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spacing w:after="240" w:line="360" w:lineRule="auto"/>
        <w:jc w:val="center"/>
        <w:rPr>
          <w:rFonts w:ascii="Arial" w:cs="Arial" w:eastAsia="Arial" w:hAnsi="Arial"/>
          <w:b w:val="1"/>
          <w:color w:val="000000"/>
        </w:rPr>
      </w:pPr>
      <w:r w:rsidDel="00000000" w:rsidR="00000000" w:rsidRPr="00000000">
        <w:rPr>
          <w:rFonts w:ascii="Arial" w:cs="Arial" w:eastAsia="Arial" w:hAnsi="Arial"/>
          <w:b w:val="1"/>
          <w:color w:val="000000"/>
          <w:rtl w:val="0"/>
        </w:rPr>
        <w:t xml:space="preserve">Reflection</w:t>
      </w:r>
    </w:p>
    <w:p w:rsidR="00000000" w:rsidDel="00000000" w:rsidP="00000000" w:rsidRDefault="00000000" w:rsidRPr="00000000" w14:paraId="00000002">
      <w:pPr>
        <w:pStyle w:val="Heading2"/>
        <w:spacing w:after="240" w:line="360" w:lineRule="auto"/>
        <w:jc w:val="both"/>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Team Management</w:t>
      </w:r>
    </w:p>
    <w:p w:rsidR="00000000" w:rsidDel="00000000" w:rsidP="00000000" w:rsidRDefault="00000000" w:rsidRPr="00000000" w14:paraId="00000003">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Time management is the method of effectively organizing and controlling the quantity and distribution of work accomplished in producing valuable items and accomplishing important tasks (Addis et al., 2023). Time management is an effective strategy in an academic environment as it is linked to achievement and health. Time management enables students to complete tasks within time, do homework, write essays, and prepare for tests and other activities. Different studies also reveal that students who manage their time work better and get better grades. Students who used time management techniques experienced an increase in their grades by 15% than those students who did not manage their time appropriately (Ahmad, Batool and Hussain Ch, 2019). Additionally, stress is kept to a minimum, and people have time for rest as well as engaging in other healthy activities such as exercise and social interactions.</w:t>
      </w:r>
    </w:p>
    <w:p w:rsidR="00000000" w:rsidDel="00000000" w:rsidP="00000000" w:rsidRDefault="00000000" w:rsidRPr="00000000" w14:paraId="00000004">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Thus, in my academic study, using time management measures has played a role in arranging my academic work and recreation. I have learned that preparing a timetable with specific time for each subject has been very helpful. For example, during the last semester, I dedicated two hours daily to brushing up on challenging topics such as statistics. I observed a positive change at the end of the term since my performance in that subject improved by 10%. Also, dedicating time to leisure activities, including reading and exercising, helped me avoid getting stressed out in school, fostering a positive attitude towards learning.</w:t>
      </w:r>
    </w:p>
    <w:p w:rsidR="00000000" w:rsidDel="00000000" w:rsidP="00000000" w:rsidRDefault="00000000" w:rsidRPr="00000000" w14:paraId="00000005">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Proper time allocation is one of the crucial elements of the ability to manage one's time efficiently. This has helped me prioritize which tasks are most pressing, reducing my overall time spent on completing tasks while still allowing me to meet important dates without compromising the quality of work done. For instance, during midterms, I spent more time preparing for exams with a higher weightage than devoting less time to other assignments. By implementing such an approach, I achieved more than 85% in my major examinations and completed all related tasks on time. The National Center for Education Statistics (2020) data also backs this method, which has observed a 12% improvement in students' time management among the priorities list (Alyami et al., 2021).</w:t>
      </w:r>
    </w:p>
    <w:p w:rsidR="00000000" w:rsidDel="00000000" w:rsidP="00000000" w:rsidRDefault="00000000" w:rsidRPr="00000000" w14:paraId="00000006">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Whenever time management is considered, changes are usually observed in academic and personal life. I have handled academic work more efficiently through proper work prioritization, organizing work schedules and effective work-life balance. In the long run, time management skills help achieve good grades and personal growth skills that can be useful in the future. Awareness and control over the time one spends pursuing goals is a skill that remains relevant long after the realm of school has been left behind; it helps people become efficient workers and happy individuals (Auld, 2019).</w:t>
      </w:r>
    </w:p>
    <w:p w:rsidR="00000000" w:rsidDel="00000000" w:rsidP="00000000" w:rsidRDefault="00000000" w:rsidRPr="00000000" w14:paraId="00000007">
      <w:pPr>
        <w:pStyle w:val="Heading2"/>
        <w:spacing w:after="240" w:line="360" w:lineRule="auto"/>
        <w:jc w:val="both"/>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Academic Writing</w:t>
      </w:r>
    </w:p>
    <w:p w:rsidR="00000000" w:rsidDel="00000000" w:rsidP="00000000" w:rsidRDefault="00000000" w:rsidRPr="00000000" w14:paraId="00000008">
      <w:pPr>
        <w:spacing w:after="240" w:line="360" w:lineRule="auto"/>
        <w:jc w:val="both"/>
        <w:rPr>
          <w:rFonts w:ascii="Arial" w:cs="Arial" w:eastAsia="Arial" w:hAnsi="Arial"/>
          <w:sz w:val="24"/>
          <w:szCs w:val="24"/>
        </w:rPr>
      </w:pPr>
      <w:r w:rsidDel="00000000" w:rsidR="00000000" w:rsidRPr="00000000">
        <w:rPr>
          <w:rFonts w:ascii="Arial" w:cs="Arial" w:eastAsia="Arial" w:hAnsi="Arial"/>
          <w:i w:val="1"/>
          <w:sz w:val="24"/>
          <w:szCs w:val="24"/>
          <w:rtl w:val="0"/>
        </w:rPr>
        <w:t xml:space="preserve">Academic writing</w:t>
      </w:r>
      <w:r w:rsidDel="00000000" w:rsidR="00000000" w:rsidRPr="00000000">
        <w:rPr>
          <w:rFonts w:ascii="Arial" w:cs="Arial" w:eastAsia="Arial" w:hAnsi="Arial"/>
          <w:sz w:val="24"/>
          <w:szCs w:val="24"/>
          <w:rtl w:val="0"/>
        </w:rPr>
        <w:t xml:space="preserve"> is a serious style or language utilized in universities and scholarly journals (The University of Sydney, 2022). Rationality is seen in logical reasoning, precision, argumentation backed by factual evidence, and clarity. Formal writing rules also require coherently structured and argued textual material that presents a thesis statement and cites relevant sources. The purpose is to help transfer information and knowledge, share the research results, and discuss those results with others. Academic writing holds a specific tone and format that corresponds with expectations associated with scholarly work and stresses non-bias and accuracy (University of Leeds, 2023).</w:t>
      </w:r>
    </w:p>
    <w:p w:rsidR="00000000" w:rsidDel="00000000" w:rsidP="00000000" w:rsidRDefault="00000000" w:rsidRPr="00000000" w14:paraId="00000009">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Writing skills play a crucial role in the academic performance of students and researchers; academic writing is important (Suastra and Menggo, 2020). It is the most common approach via which concepts are communicated, information disseminated, and results disseminated. Another advantage of academic writing is that it promotes analytical and decision-making abilities within the writer. In this way, students are trained to assess the information and present it to benefit the academic discourse. Students who frequently write academically gain better critical thinking by 18%, thereby boosting their performance (Tahira et al., 2019).</w:t>
      </w:r>
    </w:p>
    <w:p w:rsidR="00000000" w:rsidDel="00000000" w:rsidP="00000000" w:rsidRDefault="00000000" w:rsidRPr="00000000" w14:paraId="0000000A">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Based on my experience, academic writing plays a crucial role in constructing learning. Reading various sources and writing the arguments in my papers, I analyze the information I study more critically. For instance, when conducting research on the impacts of climate change on agriculture and while writing a research paper, I dedicated lots of time to studying statistical data and case studies of various regions. This helped me develop a firmer grasp of the subject matter and taught me how to convey topics concisely and effectively. For this reason, I scored an excellent grade of 90% on that paper.</w:t>
      </w:r>
    </w:p>
    <w:p w:rsidR="00000000" w:rsidDel="00000000" w:rsidP="00000000" w:rsidRDefault="00000000" w:rsidRPr="00000000" w14:paraId="0000000B">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However, the former has a broader application as a standard of academic writing commonly used in various fields. Writing persuasively and analyzing information is valuable no matter what position one is in, whether in school, a business, or a government job. For instance, in a business context, such documents as reports, proposals, policy briefs, etc., are written rigorously and argumentatively as academic papers. All these professionalisms are very much observable in academic writing and are eagerly applied in these settings. According to the National Association of Colleges and Employers (2021), the Employers' Survey found that 73% of employers deemed writing skills crucial for job performance (Minnaugh, 2023). This is the case because I have had first-hand experience in the workplace; my strong academic writing skills have helped me prepare concise and effective proposals for a project that would help the team. With good results, I have been produced in different collaborative efforts throughout my career.</w:t>
      </w:r>
    </w:p>
    <w:p w:rsidR="00000000" w:rsidDel="00000000" w:rsidP="00000000" w:rsidRDefault="00000000" w:rsidRPr="00000000" w14:paraId="0000000C">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addition, academic writing is essential to furthering a field and increasing knowledge in a given area. It provides a foundation for scholars to work on other's research results, thereby paving the way for new theories and solutions for global issues. An example of self-representing academic writing is the story of Professor John Nash, who later became a foundation for a world-renowned movie; his work on game theory impacted economics and multiple disciplines that are not limited to economics (Woodcock, 2015). This is evidence of the effectiveness of academic writing, especially when it is done correctly.</w:t>
      </w:r>
    </w:p>
    <w:p w:rsidR="00000000" w:rsidDel="00000000" w:rsidP="00000000" w:rsidRDefault="00000000" w:rsidRPr="00000000" w14:paraId="0000000D">
      <w:pPr>
        <w:pStyle w:val="Heading2"/>
        <w:spacing w:after="240" w:line="360" w:lineRule="auto"/>
        <w:jc w:val="both"/>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Critical Thinking</w:t>
      </w:r>
    </w:p>
    <w:p w:rsidR="00000000" w:rsidDel="00000000" w:rsidP="00000000" w:rsidRDefault="00000000" w:rsidRPr="00000000" w14:paraId="0000000E">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Critical thinking is a structured and purposeful analysis of information that evaluates and draws conclusions to make a decision (Monash University, 2023). It aims to analyse analysing challenging assumptions through a systematic analytic process. Critical thinking is an effective way of eliminating preconceived notions and giving more credit to facts gathered than to fads observed. Critical thinking differs from descriptive thinking in that it involves analysing facts. It means that one has to exhaustively analyse different aspects of life to come up with the best ideas and methods.</w:t>
      </w:r>
    </w:p>
    <w:p w:rsidR="00000000" w:rsidDel="00000000" w:rsidP="00000000" w:rsidRDefault="00000000" w:rsidRPr="00000000" w14:paraId="0000000F">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Critical thinking plays a crucial role in academic writing; all students should know it. It enriches the work done in the class since students have improved their comprehension of the topics studied. In writing academic reports, critical thinking enables the writer to provide data, analyse the relevance of findings, point out sources’ biases, and put forward quite reasonable arguments justifiably. For example, it is insufficient to provide temperature fluctuations (cognition at the descriptive level) in a climate change report. Reasoning would compel the writer to assess the data, weigh the pros and cons of the opposing opinions, and examine the ramifications of the conclusions. Research also indicates that students who incorporate critical thinking in their writing achieve improved performance by 18 per cent as they are engaged with the content (Tamara Al Shloul et al., 2024).</w:t>
      </w:r>
    </w:p>
    <w:p w:rsidR="00000000" w:rsidDel="00000000" w:rsidP="00000000" w:rsidRDefault="00000000" w:rsidRPr="00000000" w14:paraId="00000010">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for me, critical thinking positively affected my academic writing in my experience. In one of my research projects based on the economic consequences of the COVID-19 outbreak, I applied critical thinking to assess various sources of information. Instead of simply recounting the economic trends described in the articles I studied, I pinpointed why there are disparities, discussed the credibility of some sources or data, and, by bringing together the information and the perspectives on hand, came up with a synthesis of the conclusion. Apart from enhancing my understanding of the given topic, this approach also yielded a positive result as my professor applauded me for going into much detail in my work. Critical evaluation of sources led to viewing the sources much better, and I improved my academic performance, scoring 92% on my research paper.</w:t>
      </w:r>
    </w:p>
    <w:p w:rsidR="00000000" w:rsidDel="00000000" w:rsidP="00000000" w:rsidRDefault="00000000" w:rsidRPr="00000000" w14:paraId="00000011">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When applied to academic writing, critical thinking enhances the creativity and innovation of the writer by making him or her come up with new ideas. For instance, when authors solve problems using instruments such as the SWOT tool or the Fishbone chart, they make problems easier to overcome. Such tools assist in fragmenting and analysing several issues to arrive at a determined answer. When critical thinking is applied to academic writing styles, students can move from merely presenting facts to forming a discussion that can be considerative (Stringer, 2023). In addition, critical thinking fosters and imparts the attitude of intellectual curiosity, and so there is the gradual enhancement of the quality of the texts written over time.</w:t>
      </w:r>
    </w:p>
    <w:p w:rsidR="00000000" w:rsidDel="00000000" w:rsidP="00000000" w:rsidRDefault="00000000" w:rsidRPr="00000000" w14:paraId="00000012">
      <w:pPr>
        <w:pStyle w:val="Heading1"/>
        <w:spacing w:after="24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References</w:t>
      </w:r>
    </w:p>
    <w:p w:rsidR="00000000" w:rsidDel="00000000" w:rsidP="00000000" w:rsidRDefault="00000000" w:rsidRPr="00000000" w14:paraId="00000013">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Addis, B.A., Gelaw, Y.M., Eyowas, F.A., Bogale, T.W., Aynalem, Z.B. and Guadie, H.A. (2023). ‘Time wasted by health professionals is time not invested in patients’: time management practice and associated factors among health professionals at public hospitals in Bahir Dar, Ethiopia: a multicenter mixed method study. </w:t>
      </w:r>
      <w:r w:rsidDel="00000000" w:rsidR="00000000" w:rsidRPr="00000000">
        <w:rPr>
          <w:rFonts w:ascii="Arial" w:cs="Arial" w:eastAsia="Arial" w:hAnsi="Arial"/>
          <w:i w:val="1"/>
          <w:sz w:val="24"/>
          <w:szCs w:val="24"/>
          <w:rtl w:val="0"/>
        </w:rPr>
        <w:t xml:space="preserve">Frontiers in Public Health</w:t>
      </w:r>
      <w:r w:rsidDel="00000000" w:rsidR="00000000" w:rsidRPr="00000000">
        <w:rPr>
          <w:rFonts w:ascii="Arial" w:cs="Arial" w:eastAsia="Arial" w:hAnsi="Arial"/>
          <w:sz w:val="24"/>
          <w:szCs w:val="24"/>
          <w:rtl w:val="0"/>
        </w:rPr>
        <w:t xml:space="preserve">, [online] 11(11), p.1159275. doi:https://doi.org/10.3389/fpubh.2023.1159275.</w:t>
      </w:r>
    </w:p>
    <w:p w:rsidR="00000000" w:rsidDel="00000000" w:rsidP="00000000" w:rsidRDefault="00000000" w:rsidRPr="00000000" w14:paraId="00000014">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Ahmad, S., Batool, A. and Hussain Ch, A. (2019). </w:t>
      </w:r>
      <w:r w:rsidDel="00000000" w:rsidR="00000000" w:rsidRPr="00000000">
        <w:rPr>
          <w:rFonts w:ascii="Arial" w:cs="Arial" w:eastAsia="Arial" w:hAnsi="Arial"/>
          <w:i w:val="1"/>
          <w:sz w:val="24"/>
          <w:szCs w:val="24"/>
          <w:rtl w:val="0"/>
        </w:rPr>
        <w:t xml:space="preserve">Path Relationship of Time Management and Academic Achievement of Students in Distance Learning Institutions</w:t>
      </w:r>
      <w:r w:rsidDel="00000000" w:rsidR="00000000" w:rsidRPr="00000000">
        <w:rPr>
          <w:rFonts w:ascii="Arial" w:cs="Arial" w:eastAsia="Arial" w:hAnsi="Arial"/>
          <w:sz w:val="24"/>
          <w:szCs w:val="24"/>
          <w:rtl w:val="0"/>
        </w:rPr>
        <w:t xml:space="preserve">. [online] Available at: https://files.eric.ed.gov/fulltext/EJ1266710.pdf.</w:t>
      </w:r>
    </w:p>
    <w:p w:rsidR="00000000" w:rsidDel="00000000" w:rsidP="00000000" w:rsidRDefault="00000000" w:rsidRPr="00000000" w14:paraId="00000015">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Alyami, A., Abdulwahed, A., Azhar, A., Binsaddik, A. and Bafaraj, S.M. (2021). Impact of Time-Management on the Student’s Academic Performance: A Cross-Sectional Study. </w:t>
      </w:r>
      <w:r w:rsidDel="00000000" w:rsidR="00000000" w:rsidRPr="00000000">
        <w:rPr>
          <w:rFonts w:ascii="Arial" w:cs="Arial" w:eastAsia="Arial" w:hAnsi="Arial"/>
          <w:i w:val="1"/>
          <w:sz w:val="24"/>
          <w:szCs w:val="24"/>
          <w:rtl w:val="0"/>
        </w:rPr>
        <w:t xml:space="preserve">Creative Education</w:t>
      </w:r>
      <w:r w:rsidDel="00000000" w:rsidR="00000000" w:rsidRPr="00000000">
        <w:rPr>
          <w:rFonts w:ascii="Arial" w:cs="Arial" w:eastAsia="Arial" w:hAnsi="Arial"/>
          <w:sz w:val="24"/>
          <w:szCs w:val="24"/>
          <w:rtl w:val="0"/>
        </w:rPr>
        <w:t xml:space="preserve">, [online] 12(3), pp.471–485. doi:https://doi.org/10.4236/ce.2021.123033.</w:t>
      </w:r>
    </w:p>
    <w:p w:rsidR="00000000" w:rsidDel="00000000" w:rsidP="00000000" w:rsidRDefault="00000000" w:rsidRPr="00000000" w14:paraId="00000016">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Auld, S. (2019). </w:t>
      </w:r>
      <w:r w:rsidDel="00000000" w:rsidR="00000000" w:rsidRPr="00000000">
        <w:rPr>
          <w:rFonts w:ascii="Arial" w:cs="Arial" w:eastAsia="Arial" w:hAnsi="Arial"/>
          <w:i w:val="1"/>
          <w:sz w:val="24"/>
          <w:szCs w:val="24"/>
          <w:rtl w:val="0"/>
        </w:rPr>
        <w:t xml:space="preserve">Time Management Skills That Improve Student Learning</w:t>
      </w:r>
      <w:r w:rsidDel="00000000" w:rsidR="00000000" w:rsidRPr="00000000">
        <w:rPr>
          <w:rFonts w:ascii="Arial" w:cs="Arial" w:eastAsia="Arial" w:hAnsi="Arial"/>
          <w:sz w:val="24"/>
          <w:szCs w:val="24"/>
          <w:rtl w:val="0"/>
        </w:rPr>
        <w:t xml:space="preserve">. [online] ACC Blog. Available at: https://www.acc.edu.au/blog/time-management-skills-student-learning/.</w:t>
      </w:r>
    </w:p>
    <w:p w:rsidR="00000000" w:rsidDel="00000000" w:rsidP="00000000" w:rsidRDefault="00000000" w:rsidRPr="00000000" w14:paraId="00000017">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Minnaugh, J. (2023). </w:t>
      </w:r>
      <w:r w:rsidDel="00000000" w:rsidR="00000000" w:rsidRPr="00000000">
        <w:rPr>
          <w:rFonts w:ascii="Arial" w:cs="Arial" w:eastAsia="Arial" w:hAnsi="Arial"/>
          <w:i w:val="1"/>
          <w:sz w:val="24"/>
          <w:szCs w:val="24"/>
          <w:rtl w:val="0"/>
        </w:rPr>
        <w:t xml:space="preserve">Employer Perceptions of the Skills Gap in College Graduates’ Employer Perceptions of the Skills Gap in College Graduates’ Written Communication Written Communication</w:t>
      </w:r>
      <w:r w:rsidDel="00000000" w:rsidR="00000000" w:rsidRPr="00000000">
        <w:rPr>
          <w:rFonts w:ascii="Arial" w:cs="Arial" w:eastAsia="Arial" w:hAnsi="Arial"/>
          <w:sz w:val="24"/>
          <w:szCs w:val="24"/>
          <w:rtl w:val="0"/>
        </w:rPr>
        <w:t xml:space="preserve">. [online] Available at: https://scholarworks.waldenu.edu/cgi/viewcontent.cgi?article=13436&amp;context=dissertations.</w:t>
      </w:r>
    </w:p>
    <w:p w:rsidR="00000000" w:rsidDel="00000000" w:rsidP="00000000" w:rsidRDefault="00000000" w:rsidRPr="00000000" w14:paraId="00000018">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Monash University (2023). </w:t>
      </w:r>
      <w:r w:rsidDel="00000000" w:rsidR="00000000" w:rsidRPr="00000000">
        <w:rPr>
          <w:rFonts w:ascii="Arial" w:cs="Arial" w:eastAsia="Arial" w:hAnsi="Arial"/>
          <w:i w:val="1"/>
          <w:sz w:val="24"/>
          <w:szCs w:val="24"/>
          <w:rtl w:val="0"/>
        </w:rPr>
        <w:t xml:space="preserve">What is critical thinking?</w:t>
      </w:r>
      <w:r w:rsidDel="00000000" w:rsidR="00000000" w:rsidRPr="00000000">
        <w:rPr>
          <w:rFonts w:ascii="Arial" w:cs="Arial" w:eastAsia="Arial" w:hAnsi="Arial"/>
          <w:sz w:val="24"/>
          <w:szCs w:val="24"/>
          <w:rtl w:val="0"/>
        </w:rPr>
        <w:t xml:space="preserve"> [online] Student Academic Success. Available at: https://www.monash.edu/student-academic-success/enhance-your-thinking/critical-thinking/what-is-critical-thinking.</w:t>
      </w:r>
    </w:p>
    <w:p w:rsidR="00000000" w:rsidDel="00000000" w:rsidP="00000000" w:rsidRDefault="00000000" w:rsidRPr="00000000" w14:paraId="00000019">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Stringer, L. (2023). </w:t>
      </w:r>
      <w:r w:rsidDel="00000000" w:rsidR="00000000" w:rsidRPr="00000000">
        <w:rPr>
          <w:rFonts w:ascii="Arial" w:cs="Arial" w:eastAsia="Arial" w:hAnsi="Arial"/>
          <w:i w:val="1"/>
          <w:sz w:val="24"/>
          <w:szCs w:val="24"/>
          <w:rtl w:val="0"/>
        </w:rPr>
        <w:t xml:space="preserve">Subject Guides: Academic writing: a practical guide: Criticality</w:t>
      </w:r>
      <w:r w:rsidDel="00000000" w:rsidR="00000000" w:rsidRPr="00000000">
        <w:rPr>
          <w:rFonts w:ascii="Arial" w:cs="Arial" w:eastAsia="Arial" w:hAnsi="Arial"/>
          <w:sz w:val="24"/>
          <w:szCs w:val="24"/>
          <w:rtl w:val="0"/>
        </w:rPr>
        <w:t xml:space="preserve">. [online] subjectguides.york.ac.uk. Available at: https://subjectguides.york.ac.uk/academic-writing/criticality.</w:t>
      </w:r>
    </w:p>
    <w:p w:rsidR="00000000" w:rsidDel="00000000" w:rsidP="00000000" w:rsidRDefault="00000000" w:rsidRPr="00000000" w14:paraId="0000001A">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Suastra, I.M. and Menggo, S. (2020). Empowering Students’ Writing Skill through Performance Assessment. </w:t>
      </w:r>
      <w:r w:rsidDel="00000000" w:rsidR="00000000" w:rsidRPr="00000000">
        <w:rPr>
          <w:rFonts w:ascii="Arial" w:cs="Arial" w:eastAsia="Arial" w:hAnsi="Arial"/>
          <w:i w:val="1"/>
          <w:sz w:val="24"/>
          <w:szCs w:val="24"/>
          <w:rtl w:val="0"/>
        </w:rPr>
        <w:t xml:space="preserve">International Journal of Language Education</w:t>
      </w:r>
      <w:r w:rsidDel="00000000" w:rsidR="00000000" w:rsidRPr="00000000">
        <w:rPr>
          <w:rFonts w:ascii="Arial" w:cs="Arial" w:eastAsia="Arial" w:hAnsi="Arial"/>
          <w:sz w:val="24"/>
          <w:szCs w:val="24"/>
          <w:rtl w:val="0"/>
        </w:rPr>
        <w:t xml:space="preserve">, 4(3). doi:https://doi.org/10.26858/ijole.v4i3.15060.</w:t>
      </w:r>
    </w:p>
    <w:p w:rsidR="00000000" w:rsidDel="00000000" w:rsidP="00000000" w:rsidRDefault="00000000" w:rsidRPr="00000000" w14:paraId="0000001B">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Tahira, M., Mehr, P., Shah, A. and Haider, G. (2019). THE ROLE OF CRITICAL THINKING IN ACADEMIC WRITING: AN INVESTIGATION OF EFL STUDENTS’ PERCEPTIONS AND WRITING EXPERIENCES. </w:t>
      </w:r>
      <w:r w:rsidDel="00000000" w:rsidR="00000000" w:rsidRPr="00000000">
        <w:rPr>
          <w:rFonts w:ascii="Arial" w:cs="Arial" w:eastAsia="Arial" w:hAnsi="Arial"/>
          <w:i w:val="1"/>
          <w:sz w:val="24"/>
          <w:szCs w:val="24"/>
          <w:rtl w:val="0"/>
        </w:rPr>
        <w:t xml:space="preserve">International Online Journal of Primary Education</w:t>
      </w:r>
      <w:r w:rsidDel="00000000" w:rsidR="00000000" w:rsidRPr="00000000">
        <w:rPr>
          <w:rFonts w:ascii="Arial" w:cs="Arial" w:eastAsia="Arial" w:hAnsi="Arial"/>
          <w:sz w:val="24"/>
          <w:szCs w:val="24"/>
          <w:rtl w:val="0"/>
        </w:rPr>
        <w:t xml:space="preserve">, [online] 8(1). Available at: https://files.eric.ed.gov/fulltext/EJ1243509.pdf.</w:t>
      </w:r>
    </w:p>
    <w:p w:rsidR="00000000" w:rsidDel="00000000" w:rsidP="00000000" w:rsidRDefault="00000000" w:rsidRPr="00000000" w14:paraId="0000001C">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Tamara Al Shloul, Mazhar, T., abbas, Q., Iqbal, M., Yazeed yaseen Ghadi, shahzad, T., Malik, F. and Habib Hamam (2024). Role of activity-based learning and ChatGPT on students’ performance in education. </w:t>
      </w:r>
      <w:r w:rsidDel="00000000" w:rsidR="00000000" w:rsidRPr="00000000">
        <w:rPr>
          <w:rFonts w:ascii="Arial" w:cs="Arial" w:eastAsia="Arial" w:hAnsi="Arial"/>
          <w:i w:val="1"/>
          <w:sz w:val="24"/>
          <w:szCs w:val="24"/>
          <w:rtl w:val="0"/>
        </w:rPr>
        <w:t xml:space="preserve">Computers and education. Artificial intelligence</w:t>
      </w:r>
      <w:r w:rsidDel="00000000" w:rsidR="00000000" w:rsidRPr="00000000">
        <w:rPr>
          <w:rFonts w:ascii="Arial" w:cs="Arial" w:eastAsia="Arial" w:hAnsi="Arial"/>
          <w:sz w:val="24"/>
          <w:szCs w:val="24"/>
          <w:rtl w:val="0"/>
        </w:rPr>
        <w:t xml:space="preserve">, 6, pp.100219–100219. doi:https://doi.org/10.1016/j.caeai.2024.100219.</w:t>
      </w:r>
    </w:p>
    <w:p w:rsidR="00000000" w:rsidDel="00000000" w:rsidP="00000000" w:rsidRDefault="00000000" w:rsidRPr="00000000" w14:paraId="0000001D">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University of Sydney (2022). </w:t>
      </w:r>
      <w:r w:rsidDel="00000000" w:rsidR="00000000" w:rsidRPr="00000000">
        <w:rPr>
          <w:rFonts w:ascii="Arial" w:cs="Arial" w:eastAsia="Arial" w:hAnsi="Arial"/>
          <w:i w:val="1"/>
          <w:sz w:val="24"/>
          <w:szCs w:val="24"/>
          <w:rtl w:val="0"/>
        </w:rPr>
        <w:t xml:space="preserve">Types of academic writing</w:t>
      </w:r>
      <w:r w:rsidDel="00000000" w:rsidR="00000000" w:rsidRPr="00000000">
        <w:rPr>
          <w:rFonts w:ascii="Arial" w:cs="Arial" w:eastAsia="Arial" w:hAnsi="Arial"/>
          <w:sz w:val="24"/>
          <w:szCs w:val="24"/>
          <w:rtl w:val="0"/>
        </w:rPr>
        <w:t xml:space="preserve">. [online] The University of Sydney. Available at: https://www.sydney.edu.au/students/writing/types-of-academic-writing.html.</w:t>
      </w:r>
    </w:p>
    <w:p w:rsidR="00000000" w:rsidDel="00000000" w:rsidP="00000000" w:rsidRDefault="00000000" w:rsidRPr="00000000" w14:paraId="0000001E">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University of Leeds (2023). </w:t>
      </w:r>
      <w:r w:rsidDel="00000000" w:rsidR="00000000" w:rsidRPr="00000000">
        <w:rPr>
          <w:rFonts w:ascii="Arial" w:cs="Arial" w:eastAsia="Arial" w:hAnsi="Arial"/>
          <w:i w:val="1"/>
          <w:sz w:val="24"/>
          <w:szCs w:val="24"/>
          <w:rtl w:val="0"/>
        </w:rPr>
        <w:t xml:space="preserve">Writing</w:t>
      </w:r>
      <w:r w:rsidDel="00000000" w:rsidR="00000000" w:rsidRPr="00000000">
        <w:rPr>
          <w:rFonts w:ascii="Arial" w:cs="Arial" w:eastAsia="Arial" w:hAnsi="Arial"/>
          <w:sz w:val="24"/>
          <w:szCs w:val="24"/>
          <w:rtl w:val="0"/>
        </w:rPr>
        <w:t xml:space="preserve">. [online] library.leeds.ac.uk. Available at: https://library.leeds.ac.uk/info/14011/writing.</w:t>
      </w:r>
    </w:p>
    <w:p w:rsidR="00000000" w:rsidDel="00000000" w:rsidP="00000000" w:rsidRDefault="00000000" w:rsidRPr="00000000" w14:paraId="0000001F">
      <w:pP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Woodcock, S. (2015). </w:t>
      </w:r>
      <w:r w:rsidDel="00000000" w:rsidR="00000000" w:rsidRPr="00000000">
        <w:rPr>
          <w:rFonts w:ascii="Arial" w:cs="Arial" w:eastAsia="Arial" w:hAnsi="Arial"/>
          <w:i w:val="1"/>
          <w:sz w:val="24"/>
          <w:szCs w:val="24"/>
          <w:rtl w:val="0"/>
        </w:rPr>
        <w:t xml:space="preserve">The Game Theorist: John Nash, 1928-2015 - Social Science Space</w:t>
      </w:r>
      <w:r w:rsidDel="00000000" w:rsidR="00000000" w:rsidRPr="00000000">
        <w:rPr>
          <w:rFonts w:ascii="Arial" w:cs="Arial" w:eastAsia="Arial" w:hAnsi="Arial"/>
          <w:sz w:val="24"/>
          <w:szCs w:val="24"/>
          <w:rtl w:val="0"/>
        </w:rPr>
        <w:t xml:space="preserve">. [online] Social Science Space. Available at: https://www.socialsciencespace.com/2015/05/the-game-theorist-john-nash-1928-2015/.</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