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D505E" w14:textId="3C2C469D" w:rsidR="00331AFD" w:rsidRPr="00331AFD" w:rsidRDefault="00606AD3" w:rsidP="00331AFD">
      <w:pPr>
        <w:pStyle w:val="Title"/>
        <w:jc w:val="center"/>
        <w:rPr>
          <w:rFonts w:ascii="Times New Roman" w:hAnsi="Times New Roman" w:cs="Times New Roman"/>
          <w:u w:val="single"/>
          <w:lang w:eastAsia="en-GB"/>
        </w:rPr>
      </w:pPr>
      <w:r w:rsidRPr="00606AD3">
        <w:rPr>
          <w:rFonts w:ascii="Times New Roman" w:hAnsi="Times New Roman" w:cs="Times New Roman"/>
          <w:u w:val="single"/>
          <w:lang w:eastAsia="en-GB"/>
        </w:rPr>
        <w:t>A report examining the life course approach and health and wellbeing</w:t>
      </w:r>
    </w:p>
    <w:p w14:paraId="563E65F4" w14:textId="77777777" w:rsidR="00331AFD" w:rsidRPr="00331AFD" w:rsidRDefault="00331AFD" w:rsidP="00331AFD">
      <w:pPr>
        <w:rPr>
          <w:rFonts w:ascii="Times New Roman" w:eastAsia="Times New Roman" w:hAnsi="Times New Roman" w:cs="Times New Roman"/>
          <w:kern w:val="0"/>
          <w:sz w:val="24"/>
          <w:szCs w:val="24"/>
          <w:lang w:eastAsia="en-GB"/>
          <w14:ligatures w14:val="none"/>
        </w:rPr>
      </w:pPr>
    </w:p>
    <w:p w14:paraId="5E46279C" w14:textId="0AFA368C" w:rsidR="00606AD3" w:rsidRPr="00606AD3" w:rsidRDefault="00606AD3" w:rsidP="00606AD3">
      <w:pPr>
        <w:rPr>
          <w:rFonts w:ascii="Times New Roman" w:eastAsia="Times New Roman" w:hAnsi="Times New Roman" w:cs="Times New Roman"/>
          <w:b/>
          <w:bCs/>
          <w:kern w:val="0"/>
          <w:sz w:val="24"/>
          <w:szCs w:val="24"/>
          <w:lang w:eastAsia="en-GB"/>
          <w14:ligatures w14:val="none"/>
        </w:rPr>
      </w:pPr>
      <w:r w:rsidRPr="00606AD3">
        <w:rPr>
          <w:rFonts w:ascii="Times New Roman" w:eastAsia="Times New Roman" w:hAnsi="Times New Roman" w:cs="Times New Roman"/>
          <w:b/>
          <w:bCs/>
          <w:kern w:val="0"/>
          <w:sz w:val="24"/>
          <w:szCs w:val="24"/>
          <w:lang w:eastAsia="en-GB"/>
          <w14:ligatures w14:val="none"/>
        </w:rPr>
        <w:t xml:space="preserve">Module: </w:t>
      </w:r>
      <w:r w:rsidRPr="00606AD3">
        <w:rPr>
          <w:rFonts w:ascii="Times New Roman" w:eastAsia="Times New Roman" w:hAnsi="Times New Roman" w:cs="Times New Roman"/>
          <w:kern w:val="0"/>
          <w:sz w:val="24"/>
          <w:szCs w:val="24"/>
          <w:lang w:eastAsia="en-GB"/>
          <w14:ligatures w14:val="none"/>
        </w:rPr>
        <w:t xml:space="preserve">BMNS4014 </w:t>
      </w:r>
      <w:r>
        <w:rPr>
          <w:rFonts w:ascii="Times New Roman" w:eastAsia="Times New Roman" w:hAnsi="Times New Roman" w:cs="Times New Roman"/>
          <w:kern w:val="0"/>
          <w:sz w:val="24"/>
          <w:szCs w:val="24"/>
          <w:lang w:eastAsia="en-GB"/>
          <w14:ligatures w14:val="none"/>
        </w:rPr>
        <w:t xml:space="preserve">- </w:t>
      </w:r>
      <w:r w:rsidRPr="00606AD3">
        <w:rPr>
          <w:rFonts w:ascii="Times New Roman" w:eastAsia="Times New Roman" w:hAnsi="Times New Roman" w:cs="Times New Roman"/>
          <w:kern w:val="0"/>
          <w:sz w:val="24"/>
          <w:szCs w:val="24"/>
          <w:lang w:eastAsia="en-GB"/>
          <w14:ligatures w14:val="none"/>
        </w:rPr>
        <w:t>Living well: A Life course approach to Health &amp; Wellbeing</w:t>
      </w:r>
    </w:p>
    <w:p w14:paraId="446A6EBA" w14:textId="77777777" w:rsidR="00606AD3" w:rsidRPr="00606AD3" w:rsidRDefault="00606AD3" w:rsidP="00606AD3">
      <w:pPr>
        <w:rPr>
          <w:rFonts w:ascii="Times New Roman" w:eastAsia="Times New Roman" w:hAnsi="Times New Roman" w:cs="Times New Roman"/>
          <w:b/>
          <w:bCs/>
          <w:kern w:val="0"/>
          <w:sz w:val="24"/>
          <w:szCs w:val="24"/>
          <w:lang w:eastAsia="en-GB"/>
          <w14:ligatures w14:val="none"/>
        </w:rPr>
      </w:pPr>
      <w:r w:rsidRPr="00606AD3">
        <w:rPr>
          <w:rFonts w:ascii="Times New Roman" w:eastAsia="Times New Roman" w:hAnsi="Times New Roman" w:cs="Times New Roman"/>
          <w:b/>
          <w:bCs/>
          <w:kern w:val="0"/>
          <w:sz w:val="24"/>
          <w:szCs w:val="24"/>
          <w:lang w:eastAsia="en-GB"/>
          <w14:ligatures w14:val="none"/>
        </w:rPr>
        <w:t xml:space="preserve">Student name: </w:t>
      </w:r>
      <w:r w:rsidRPr="00606AD3">
        <w:rPr>
          <w:rFonts w:ascii="Times New Roman" w:eastAsia="Times New Roman" w:hAnsi="Times New Roman" w:cs="Times New Roman"/>
          <w:kern w:val="0"/>
          <w:sz w:val="24"/>
          <w:szCs w:val="24"/>
          <w:lang w:eastAsia="en-GB"/>
          <w14:ligatures w14:val="none"/>
        </w:rPr>
        <w:t>Andrei Marius Tutuianu</w:t>
      </w:r>
    </w:p>
    <w:p w14:paraId="09311E43" w14:textId="33305E09" w:rsidR="00606AD3" w:rsidRPr="00331AFD" w:rsidRDefault="00606AD3" w:rsidP="00606AD3">
      <w:pPr>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b/>
          <w:bCs/>
          <w:kern w:val="0"/>
          <w:sz w:val="24"/>
          <w:szCs w:val="24"/>
          <w:lang w:eastAsia="en-GB"/>
          <w14:ligatures w14:val="none"/>
        </w:rPr>
        <w:t xml:space="preserve">Student number: </w:t>
      </w:r>
      <w:r w:rsidRPr="00606AD3">
        <w:rPr>
          <w:rFonts w:ascii="Times New Roman" w:eastAsia="Times New Roman" w:hAnsi="Times New Roman" w:cs="Times New Roman"/>
          <w:kern w:val="0"/>
          <w:sz w:val="24"/>
          <w:szCs w:val="24"/>
          <w:lang w:eastAsia="en-GB"/>
          <w14:ligatures w14:val="none"/>
        </w:rPr>
        <w:t>2216856</w:t>
      </w:r>
    </w:p>
    <w:p w14:paraId="70F9F271" w14:textId="61E1D847" w:rsidR="00331AFD" w:rsidRPr="00331AFD" w:rsidRDefault="00331AFD" w:rsidP="00331AFD">
      <w:pPr>
        <w:rPr>
          <w:rFonts w:ascii="Times New Roman" w:eastAsia="Times New Roman" w:hAnsi="Times New Roman" w:cs="Times New Roman"/>
          <w:kern w:val="0"/>
          <w:sz w:val="24"/>
          <w:szCs w:val="24"/>
          <w:lang w:eastAsia="en-GB"/>
          <w14:ligatures w14:val="none"/>
        </w:rPr>
      </w:pPr>
    </w:p>
    <w:p w14:paraId="302B666E" w14:textId="77777777" w:rsidR="00331AFD" w:rsidRDefault="00331AFD" w:rsidP="002651EC">
      <w:pPr>
        <w:rPr>
          <w:lang w:eastAsia="en-GB"/>
        </w:rPr>
      </w:pPr>
    </w:p>
    <w:sdt>
      <w:sdtPr>
        <w:rPr>
          <w:rFonts w:asciiTheme="minorHAnsi" w:eastAsiaTheme="minorHAnsi" w:hAnsiTheme="minorHAnsi" w:cstheme="minorBidi"/>
          <w:color w:val="auto"/>
          <w:kern w:val="2"/>
          <w:sz w:val="22"/>
          <w:szCs w:val="22"/>
          <w:lang w:val="en-GB"/>
          <w14:ligatures w14:val="standardContextual"/>
        </w:rPr>
        <w:id w:val="-132171287"/>
        <w:docPartObj>
          <w:docPartGallery w:val="Table of Contents"/>
          <w:docPartUnique/>
        </w:docPartObj>
      </w:sdtPr>
      <w:sdtEndPr>
        <w:rPr>
          <w:b/>
          <w:bCs/>
          <w:noProof/>
        </w:rPr>
      </w:sdtEndPr>
      <w:sdtContent>
        <w:p w14:paraId="1C963190" w14:textId="7AED48D7" w:rsidR="00331AFD" w:rsidRDefault="00331AFD">
          <w:pPr>
            <w:pStyle w:val="TOCHeading"/>
          </w:pPr>
          <w:r>
            <w:t>Table of Contents</w:t>
          </w:r>
        </w:p>
        <w:p w14:paraId="7A113D99" w14:textId="7F5618F2" w:rsidR="00FF1E46" w:rsidRDefault="00331AF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1495012" w:history="1">
            <w:r w:rsidR="00FF1E46" w:rsidRPr="00CE1982">
              <w:rPr>
                <w:rStyle w:val="Hyperlink"/>
                <w:rFonts w:eastAsia="Times New Roman"/>
                <w:noProof/>
                <w:lang w:eastAsia="en-GB"/>
              </w:rPr>
              <w:t>Abstract</w:t>
            </w:r>
            <w:r w:rsidR="00FF1E46">
              <w:rPr>
                <w:noProof/>
                <w:webHidden/>
              </w:rPr>
              <w:tab/>
            </w:r>
            <w:r w:rsidR="00FF1E46">
              <w:rPr>
                <w:noProof/>
                <w:webHidden/>
              </w:rPr>
              <w:fldChar w:fldCharType="begin"/>
            </w:r>
            <w:r w:rsidR="00FF1E46">
              <w:rPr>
                <w:noProof/>
                <w:webHidden/>
              </w:rPr>
              <w:instrText xml:space="preserve"> PAGEREF _Toc231495012 \h </w:instrText>
            </w:r>
            <w:r w:rsidR="00FF1E46">
              <w:rPr>
                <w:noProof/>
                <w:webHidden/>
              </w:rPr>
            </w:r>
            <w:r w:rsidR="00FF1E46">
              <w:rPr>
                <w:noProof/>
                <w:webHidden/>
              </w:rPr>
              <w:fldChar w:fldCharType="separate"/>
            </w:r>
            <w:r w:rsidR="00FF1E46">
              <w:rPr>
                <w:noProof/>
                <w:webHidden/>
              </w:rPr>
              <w:t>2</w:t>
            </w:r>
            <w:r w:rsidR="00FF1E46">
              <w:rPr>
                <w:noProof/>
                <w:webHidden/>
              </w:rPr>
              <w:fldChar w:fldCharType="end"/>
            </w:r>
          </w:hyperlink>
        </w:p>
        <w:p w14:paraId="0274FF30" w14:textId="3C579421" w:rsidR="00FF1E46" w:rsidRDefault="00FF1E46">
          <w:pPr>
            <w:pStyle w:val="TOC1"/>
            <w:tabs>
              <w:tab w:val="right" w:leader="dot" w:pos="9016"/>
            </w:tabs>
            <w:rPr>
              <w:rFonts w:eastAsiaTheme="minorEastAsia"/>
              <w:noProof/>
              <w:sz w:val="24"/>
              <w:szCs w:val="24"/>
              <w:lang w:eastAsia="en-GB"/>
            </w:rPr>
          </w:pPr>
          <w:hyperlink w:anchor="_Toc231495013" w:history="1">
            <w:r w:rsidRPr="00CE1982">
              <w:rPr>
                <w:rStyle w:val="Hyperlink"/>
                <w:rFonts w:eastAsia="Times New Roman"/>
                <w:noProof/>
                <w:lang w:eastAsia="en-GB"/>
              </w:rPr>
              <w:t>Introduction to the life course approach to health and wellbeing</w:t>
            </w:r>
            <w:r>
              <w:rPr>
                <w:noProof/>
                <w:webHidden/>
              </w:rPr>
              <w:tab/>
            </w:r>
            <w:r>
              <w:rPr>
                <w:noProof/>
                <w:webHidden/>
              </w:rPr>
              <w:fldChar w:fldCharType="begin"/>
            </w:r>
            <w:r>
              <w:rPr>
                <w:noProof/>
                <w:webHidden/>
              </w:rPr>
              <w:instrText xml:space="preserve"> PAGEREF _Toc231495013 \h </w:instrText>
            </w:r>
            <w:r>
              <w:rPr>
                <w:noProof/>
                <w:webHidden/>
              </w:rPr>
            </w:r>
            <w:r>
              <w:rPr>
                <w:noProof/>
                <w:webHidden/>
              </w:rPr>
              <w:fldChar w:fldCharType="separate"/>
            </w:r>
            <w:r>
              <w:rPr>
                <w:noProof/>
                <w:webHidden/>
              </w:rPr>
              <w:t>3</w:t>
            </w:r>
            <w:r>
              <w:rPr>
                <w:noProof/>
                <w:webHidden/>
              </w:rPr>
              <w:fldChar w:fldCharType="end"/>
            </w:r>
          </w:hyperlink>
        </w:p>
        <w:p w14:paraId="5D6E776D" w14:textId="089EB745" w:rsidR="00FF1E46" w:rsidRDefault="00FF1E46">
          <w:pPr>
            <w:pStyle w:val="TOC1"/>
            <w:tabs>
              <w:tab w:val="right" w:leader="dot" w:pos="9016"/>
            </w:tabs>
            <w:rPr>
              <w:rFonts w:eastAsiaTheme="minorEastAsia"/>
              <w:noProof/>
              <w:sz w:val="24"/>
              <w:szCs w:val="24"/>
              <w:lang w:eastAsia="en-GB"/>
            </w:rPr>
          </w:pPr>
          <w:hyperlink w:anchor="_Toc231495014" w:history="1">
            <w:r w:rsidRPr="00CE1982">
              <w:rPr>
                <w:rStyle w:val="Hyperlink"/>
                <w:rFonts w:eastAsia="Times New Roman"/>
                <w:noProof/>
                <w:lang w:eastAsia="en-GB"/>
              </w:rPr>
              <w:t>The life course approach and social factors</w:t>
            </w:r>
            <w:r>
              <w:rPr>
                <w:noProof/>
                <w:webHidden/>
              </w:rPr>
              <w:tab/>
            </w:r>
            <w:r>
              <w:rPr>
                <w:noProof/>
                <w:webHidden/>
              </w:rPr>
              <w:fldChar w:fldCharType="begin"/>
            </w:r>
            <w:r>
              <w:rPr>
                <w:noProof/>
                <w:webHidden/>
              </w:rPr>
              <w:instrText xml:space="preserve"> PAGEREF _Toc231495014 \h </w:instrText>
            </w:r>
            <w:r>
              <w:rPr>
                <w:noProof/>
                <w:webHidden/>
              </w:rPr>
            </w:r>
            <w:r>
              <w:rPr>
                <w:noProof/>
                <w:webHidden/>
              </w:rPr>
              <w:fldChar w:fldCharType="separate"/>
            </w:r>
            <w:r>
              <w:rPr>
                <w:noProof/>
                <w:webHidden/>
              </w:rPr>
              <w:t>4</w:t>
            </w:r>
            <w:r>
              <w:rPr>
                <w:noProof/>
                <w:webHidden/>
              </w:rPr>
              <w:fldChar w:fldCharType="end"/>
            </w:r>
          </w:hyperlink>
        </w:p>
        <w:p w14:paraId="71E88A22" w14:textId="5A3EC573" w:rsidR="00FF1E46" w:rsidRDefault="00FF1E46">
          <w:pPr>
            <w:pStyle w:val="TOC1"/>
            <w:tabs>
              <w:tab w:val="right" w:leader="dot" w:pos="9016"/>
            </w:tabs>
            <w:rPr>
              <w:rFonts w:eastAsiaTheme="minorEastAsia"/>
              <w:noProof/>
              <w:sz w:val="24"/>
              <w:szCs w:val="24"/>
              <w:lang w:eastAsia="en-GB"/>
            </w:rPr>
          </w:pPr>
          <w:hyperlink w:anchor="_Toc231495015" w:history="1">
            <w:r w:rsidRPr="00CE1982">
              <w:rPr>
                <w:rStyle w:val="Hyperlink"/>
                <w:rFonts w:eastAsia="Times New Roman"/>
                <w:noProof/>
                <w:lang w:eastAsia="en-GB"/>
              </w:rPr>
              <w:t>The life course approach and economic factors</w:t>
            </w:r>
            <w:r>
              <w:rPr>
                <w:noProof/>
                <w:webHidden/>
              </w:rPr>
              <w:tab/>
            </w:r>
            <w:r>
              <w:rPr>
                <w:noProof/>
                <w:webHidden/>
              </w:rPr>
              <w:fldChar w:fldCharType="begin"/>
            </w:r>
            <w:r>
              <w:rPr>
                <w:noProof/>
                <w:webHidden/>
              </w:rPr>
              <w:instrText xml:space="preserve"> PAGEREF _Toc231495015 \h </w:instrText>
            </w:r>
            <w:r>
              <w:rPr>
                <w:noProof/>
                <w:webHidden/>
              </w:rPr>
            </w:r>
            <w:r>
              <w:rPr>
                <w:noProof/>
                <w:webHidden/>
              </w:rPr>
              <w:fldChar w:fldCharType="separate"/>
            </w:r>
            <w:r>
              <w:rPr>
                <w:noProof/>
                <w:webHidden/>
              </w:rPr>
              <w:t>4</w:t>
            </w:r>
            <w:r>
              <w:rPr>
                <w:noProof/>
                <w:webHidden/>
              </w:rPr>
              <w:fldChar w:fldCharType="end"/>
            </w:r>
          </w:hyperlink>
        </w:p>
        <w:p w14:paraId="01081CA9" w14:textId="1B795B19" w:rsidR="00FF1E46" w:rsidRDefault="00FF1E46">
          <w:pPr>
            <w:pStyle w:val="TOC1"/>
            <w:tabs>
              <w:tab w:val="right" w:leader="dot" w:pos="9016"/>
            </w:tabs>
            <w:rPr>
              <w:rFonts w:eastAsiaTheme="minorEastAsia"/>
              <w:noProof/>
              <w:sz w:val="24"/>
              <w:szCs w:val="24"/>
              <w:lang w:eastAsia="en-GB"/>
            </w:rPr>
          </w:pPr>
          <w:hyperlink w:anchor="_Toc231495016" w:history="1">
            <w:r w:rsidRPr="00CE1982">
              <w:rPr>
                <w:rStyle w:val="Hyperlink"/>
                <w:rFonts w:eastAsia="Times New Roman"/>
                <w:noProof/>
                <w:lang w:eastAsia="en-GB"/>
              </w:rPr>
              <w:t>The life course approach and environmental factors</w:t>
            </w:r>
            <w:r>
              <w:rPr>
                <w:noProof/>
                <w:webHidden/>
              </w:rPr>
              <w:tab/>
            </w:r>
            <w:r>
              <w:rPr>
                <w:noProof/>
                <w:webHidden/>
              </w:rPr>
              <w:fldChar w:fldCharType="begin"/>
            </w:r>
            <w:r>
              <w:rPr>
                <w:noProof/>
                <w:webHidden/>
              </w:rPr>
              <w:instrText xml:space="preserve"> PAGEREF _Toc231495016 \h </w:instrText>
            </w:r>
            <w:r>
              <w:rPr>
                <w:noProof/>
                <w:webHidden/>
              </w:rPr>
            </w:r>
            <w:r>
              <w:rPr>
                <w:noProof/>
                <w:webHidden/>
              </w:rPr>
              <w:fldChar w:fldCharType="separate"/>
            </w:r>
            <w:r>
              <w:rPr>
                <w:noProof/>
                <w:webHidden/>
              </w:rPr>
              <w:t>5</w:t>
            </w:r>
            <w:r>
              <w:rPr>
                <w:noProof/>
                <w:webHidden/>
              </w:rPr>
              <w:fldChar w:fldCharType="end"/>
            </w:r>
          </w:hyperlink>
        </w:p>
        <w:p w14:paraId="2F403EDC" w14:textId="70D278DE" w:rsidR="00FF1E46" w:rsidRDefault="00FF1E46">
          <w:pPr>
            <w:pStyle w:val="TOC1"/>
            <w:tabs>
              <w:tab w:val="right" w:leader="dot" w:pos="9016"/>
            </w:tabs>
            <w:rPr>
              <w:rFonts w:eastAsiaTheme="minorEastAsia"/>
              <w:noProof/>
              <w:sz w:val="24"/>
              <w:szCs w:val="24"/>
              <w:lang w:eastAsia="en-GB"/>
            </w:rPr>
          </w:pPr>
          <w:hyperlink w:anchor="_Toc231495017" w:history="1">
            <w:r w:rsidRPr="00CE1982">
              <w:rPr>
                <w:rStyle w:val="Hyperlink"/>
                <w:rFonts w:eastAsia="Times New Roman"/>
                <w:noProof/>
                <w:lang w:eastAsia="en-GB"/>
              </w:rPr>
              <w:t>Conclusions and recommendations</w:t>
            </w:r>
            <w:r>
              <w:rPr>
                <w:noProof/>
                <w:webHidden/>
              </w:rPr>
              <w:tab/>
            </w:r>
            <w:r>
              <w:rPr>
                <w:noProof/>
                <w:webHidden/>
              </w:rPr>
              <w:fldChar w:fldCharType="begin"/>
            </w:r>
            <w:r>
              <w:rPr>
                <w:noProof/>
                <w:webHidden/>
              </w:rPr>
              <w:instrText xml:space="preserve"> PAGEREF _Toc231495017 \h </w:instrText>
            </w:r>
            <w:r>
              <w:rPr>
                <w:noProof/>
                <w:webHidden/>
              </w:rPr>
            </w:r>
            <w:r>
              <w:rPr>
                <w:noProof/>
                <w:webHidden/>
              </w:rPr>
              <w:fldChar w:fldCharType="separate"/>
            </w:r>
            <w:r>
              <w:rPr>
                <w:noProof/>
                <w:webHidden/>
              </w:rPr>
              <w:t>6</w:t>
            </w:r>
            <w:r>
              <w:rPr>
                <w:noProof/>
                <w:webHidden/>
              </w:rPr>
              <w:fldChar w:fldCharType="end"/>
            </w:r>
          </w:hyperlink>
        </w:p>
        <w:p w14:paraId="4EB851FE" w14:textId="5831916C" w:rsidR="00FF1E46" w:rsidRDefault="00FF1E46">
          <w:pPr>
            <w:pStyle w:val="TOC1"/>
            <w:tabs>
              <w:tab w:val="right" w:leader="dot" w:pos="9016"/>
            </w:tabs>
            <w:rPr>
              <w:rFonts w:eastAsiaTheme="minorEastAsia"/>
              <w:noProof/>
              <w:sz w:val="24"/>
              <w:szCs w:val="24"/>
              <w:lang w:eastAsia="en-GB"/>
            </w:rPr>
          </w:pPr>
          <w:hyperlink w:anchor="_Toc231495018" w:history="1">
            <w:r w:rsidRPr="00CE1982">
              <w:rPr>
                <w:rStyle w:val="Hyperlink"/>
                <w:noProof/>
                <w:lang w:eastAsia="en-GB"/>
              </w:rPr>
              <w:t>References</w:t>
            </w:r>
            <w:r>
              <w:rPr>
                <w:noProof/>
                <w:webHidden/>
              </w:rPr>
              <w:tab/>
            </w:r>
            <w:r>
              <w:rPr>
                <w:noProof/>
                <w:webHidden/>
              </w:rPr>
              <w:fldChar w:fldCharType="begin"/>
            </w:r>
            <w:r>
              <w:rPr>
                <w:noProof/>
                <w:webHidden/>
              </w:rPr>
              <w:instrText xml:space="preserve"> PAGEREF _Toc231495018 \h </w:instrText>
            </w:r>
            <w:r>
              <w:rPr>
                <w:noProof/>
                <w:webHidden/>
              </w:rPr>
            </w:r>
            <w:r>
              <w:rPr>
                <w:noProof/>
                <w:webHidden/>
              </w:rPr>
              <w:fldChar w:fldCharType="separate"/>
            </w:r>
            <w:r>
              <w:rPr>
                <w:noProof/>
                <w:webHidden/>
              </w:rPr>
              <w:t>7</w:t>
            </w:r>
            <w:r>
              <w:rPr>
                <w:noProof/>
                <w:webHidden/>
              </w:rPr>
              <w:fldChar w:fldCharType="end"/>
            </w:r>
          </w:hyperlink>
        </w:p>
        <w:p w14:paraId="48F8147D" w14:textId="102E5AF9" w:rsidR="00331AFD" w:rsidRDefault="00331AFD">
          <w:pPr>
            <w:rPr>
              <w:b/>
              <w:bCs/>
              <w:noProof/>
            </w:rPr>
          </w:pPr>
          <w:r>
            <w:rPr>
              <w:b/>
              <w:bCs/>
              <w:noProof/>
            </w:rPr>
            <w:fldChar w:fldCharType="end"/>
          </w:r>
        </w:p>
      </w:sdtContent>
    </w:sdt>
    <w:p w14:paraId="7E8DC8A8" w14:textId="77777777" w:rsidR="00606AD3" w:rsidRDefault="00606AD3">
      <w:pPr>
        <w:rPr>
          <w:b/>
          <w:bCs/>
          <w:noProof/>
        </w:rPr>
      </w:pPr>
    </w:p>
    <w:p w14:paraId="1CFAA66A" w14:textId="77777777" w:rsidR="00606AD3" w:rsidRDefault="00606AD3">
      <w:pPr>
        <w:rPr>
          <w:b/>
          <w:bCs/>
          <w:noProof/>
        </w:rPr>
      </w:pPr>
    </w:p>
    <w:p w14:paraId="3E8DE9FA" w14:textId="77777777" w:rsidR="00606AD3" w:rsidRDefault="00606AD3">
      <w:pPr>
        <w:rPr>
          <w:b/>
          <w:bCs/>
          <w:noProof/>
        </w:rPr>
      </w:pPr>
    </w:p>
    <w:p w14:paraId="3E5C315E" w14:textId="77777777" w:rsidR="00606AD3" w:rsidRDefault="00606AD3">
      <w:pPr>
        <w:rPr>
          <w:b/>
          <w:bCs/>
          <w:noProof/>
        </w:rPr>
      </w:pPr>
    </w:p>
    <w:p w14:paraId="2F1AEAB7" w14:textId="77777777" w:rsidR="00606AD3" w:rsidRDefault="00606AD3">
      <w:pPr>
        <w:rPr>
          <w:b/>
          <w:bCs/>
          <w:noProof/>
        </w:rPr>
      </w:pPr>
    </w:p>
    <w:p w14:paraId="69386AB6" w14:textId="77777777" w:rsidR="00606AD3" w:rsidRDefault="00606AD3">
      <w:pPr>
        <w:rPr>
          <w:b/>
          <w:bCs/>
          <w:noProof/>
        </w:rPr>
      </w:pPr>
    </w:p>
    <w:p w14:paraId="1BFD2C2B" w14:textId="77777777" w:rsidR="00606AD3" w:rsidRDefault="00606AD3">
      <w:pPr>
        <w:rPr>
          <w:b/>
          <w:bCs/>
          <w:noProof/>
        </w:rPr>
      </w:pPr>
    </w:p>
    <w:p w14:paraId="3093E6F3" w14:textId="77777777" w:rsidR="00606AD3" w:rsidRDefault="00606AD3">
      <w:pPr>
        <w:rPr>
          <w:b/>
          <w:bCs/>
          <w:noProof/>
        </w:rPr>
      </w:pPr>
    </w:p>
    <w:p w14:paraId="55085882" w14:textId="77777777" w:rsidR="00606AD3" w:rsidRDefault="00606AD3">
      <w:pPr>
        <w:rPr>
          <w:b/>
          <w:bCs/>
          <w:noProof/>
        </w:rPr>
      </w:pPr>
    </w:p>
    <w:p w14:paraId="66FD2E6F" w14:textId="77777777" w:rsidR="00606AD3" w:rsidRDefault="00606AD3">
      <w:pPr>
        <w:rPr>
          <w:b/>
          <w:bCs/>
          <w:noProof/>
        </w:rPr>
      </w:pPr>
    </w:p>
    <w:p w14:paraId="749CA6FF" w14:textId="77777777" w:rsidR="00606AD3" w:rsidRDefault="00606AD3">
      <w:pPr>
        <w:rPr>
          <w:b/>
          <w:bCs/>
          <w:noProof/>
        </w:rPr>
      </w:pPr>
    </w:p>
    <w:p w14:paraId="02F7059D" w14:textId="77777777" w:rsidR="00606AD3" w:rsidRDefault="00606AD3">
      <w:pPr>
        <w:rPr>
          <w:b/>
          <w:bCs/>
          <w:noProof/>
        </w:rPr>
      </w:pPr>
    </w:p>
    <w:p w14:paraId="54A9420D" w14:textId="2A4BEC2D" w:rsidR="00606AD3" w:rsidRPr="00606AD3" w:rsidRDefault="00606AD3" w:rsidP="00606AD3">
      <w:pPr>
        <w:pStyle w:val="Heading1"/>
        <w:rPr>
          <w:rFonts w:eastAsia="Times New Roman"/>
          <w:lang w:eastAsia="en-GB"/>
        </w:rPr>
      </w:pPr>
      <w:bookmarkStart w:id="0" w:name="_Toc231495012"/>
      <w:r w:rsidRPr="00606AD3">
        <w:rPr>
          <w:rFonts w:eastAsia="Times New Roman"/>
          <w:lang w:eastAsia="en-GB"/>
        </w:rPr>
        <w:lastRenderedPageBreak/>
        <w:t>Abstract</w:t>
      </w:r>
      <w:bookmarkEnd w:id="0"/>
    </w:p>
    <w:p w14:paraId="3D742CC9"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7C57BE04" w14:textId="77EF96AC"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This report explores the concept of life course approach to health and wellbeing, and also focuses on the impact of social, economic and environmental determinants on health across the life course. The evidence based on academic literature, public health theory and policy documents and UK evidence presented in the report states that health outcomes are not solely caused by individual decisions or clinical activity. Other factors that impact them are family support, education, income, work, housing, neighbourhood conditions and access to community resources. The report considers interventions which could be relevant, such as early years services, NHS health checks and social prescribing and their appropriateness and effectiveness. It concludes that, when there are wider inequalities that do not change, current interventions are useful but limited. The report suggests greater provision of early years support and for housing action; more secure funding of community work and more research into interventions across the life course in the most deprived communities.</w:t>
      </w:r>
    </w:p>
    <w:p w14:paraId="1911CA31"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7EE4226E"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568B7A97"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2A4FD06D"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7B91E3AC"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2BBD2408"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6B5B30B3"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47EAEFFD"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1CCC2BA8"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11FE5C53"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3DDBCBF8" w14:textId="77777777"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4D21A2BA" w14:textId="77777777" w:rsidR="00606AD3" w:rsidRPr="00606AD3" w:rsidRDefault="00606AD3" w:rsidP="00606AD3">
      <w:pPr>
        <w:pStyle w:val="Heading1"/>
        <w:rPr>
          <w:rFonts w:eastAsia="Times New Roman"/>
          <w:lang w:eastAsia="en-GB"/>
        </w:rPr>
      </w:pPr>
      <w:bookmarkStart w:id="1" w:name="_Toc231495013"/>
      <w:r w:rsidRPr="00606AD3">
        <w:rPr>
          <w:rFonts w:eastAsia="Times New Roman"/>
          <w:lang w:eastAsia="en-GB"/>
        </w:rPr>
        <w:lastRenderedPageBreak/>
        <w:t>Introduction to the life course approach to health and wellbeing</w:t>
      </w:r>
      <w:bookmarkEnd w:id="1"/>
    </w:p>
    <w:p w14:paraId="005FAAE6"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1E6C9C67" w14:textId="1DAC91BC"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This report looks at the life course perspective on health and wellbeing. The life course approach to health views it as a process that unfolds over time, from the pre-conception to childhood, adulthood to old age. It is useful because it demonstrates that exposure to social, economic and environmental factors before birth, coupled with current behaviour and care has an impact on current health (Elder, 1998, Kuh and Ben-Shlomo, 2004). This is connected to the broader concept of the social determinants of health, which refers to the conditions in which individuals are born, grow, live, work and age (WHO, 2021).</w:t>
      </w:r>
    </w:p>
    <w:p w14:paraId="5BCB494E" w14:textId="0E9B6100"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The subject is relevant as inequalities in health are significant a problem in the UK. The Marmot Review demonstrated that health, and a healthy duration of life, of a person living in a more deprived community was not just a consequence of their own behaviour, but of the inequity in their access to good education, secure work, income, housing and safe environments (Marmot, 2010; Marmot et al., 2020). Therefore, prevention is supported rather than just treatment, in the context of life course theory. After setting the stage, the report then examines social, economic and environmental issues and the interventions which are relevant in each. The final section contains conclusions and suggestions for policy, practice, education and research in the future.</w:t>
      </w:r>
    </w:p>
    <w:p w14:paraId="6EAE47BE" w14:textId="7F3628E1"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drawing>
          <wp:inline distT="0" distB="0" distL="0" distR="0" wp14:anchorId="555B63BD" wp14:editId="391AE0C3">
            <wp:extent cx="5395595" cy="2700655"/>
            <wp:effectExtent l="0" t="0" r="0" b="4445"/>
            <wp:docPr id="1348463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5595" cy="2700655"/>
                    </a:xfrm>
                    <a:prstGeom prst="rect">
                      <a:avLst/>
                    </a:prstGeom>
                    <a:noFill/>
                  </pic:spPr>
                </pic:pic>
              </a:graphicData>
            </a:graphic>
          </wp:inline>
        </w:drawing>
      </w:r>
    </w:p>
    <w:p w14:paraId="7C2E6F26" w14:textId="0A90263C" w:rsidR="00606AD3" w:rsidRPr="00606AD3" w:rsidRDefault="00606AD3" w:rsidP="00606AD3">
      <w:pPr>
        <w:spacing w:line="360" w:lineRule="auto"/>
        <w:jc w:val="center"/>
        <w:rPr>
          <w:rFonts w:ascii="Times New Roman" w:eastAsia="Times New Roman" w:hAnsi="Times New Roman" w:cs="Times New Roman"/>
          <w:i/>
          <w:iCs/>
          <w:kern w:val="0"/>
          <w:sz w:val="20"/>
          <w:szCs w:val="20"/>
          <w:lang w:eastAsia="en-GB"/>
          <w14:ligatures w14:val="none"/>
        </w:rPr>
      </w:pPr>
      <w:r w:rsidRPr="00606AD3">
        <w:rPr>
          <w:rFonts w:ascii="Times New Roman" w:eastAsia="Times New Roman" w:hAnsi="Times New Roman" w:cs="Times New Roman"/>
          <w:i/>
          <w:iCs/>
          <w:kern w:val="0"/>
          <w:sz w:val="20"/>
          <w:szCs w:val="20"/>
          <w:lang w:eastAsia="en-GB"/>
          <w14:ligatures w14:val="none"/>
        </w:rPr>
        <w:t>Figure 1: Life course determinants of health and wellbeing (adapted from Dahlgren and Whitehead, 1991; Kuh and Ben-Shlomo, 2004).</w:t>
      </w:r>
    </w:p>
    <w:p w14:paraId="1B417233" w14:textId="77777777"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lastRenderedPageBreak/>
        <w:t>As explained in figure 1, the social, economic and environmental determinants are both identified as distinct and part of the same continuum of influences on health throughout childhood, adulthood and older life.</w:t>
      </w:r>
    </w:p>
    <w:p w14:paraId="23CEF4DD" w14:textId="77777777" w:rsidR="00606AD3" w:rsidRPr="00606AD3" w:rsidRDefault="00606AD3" w:rsidP="00606AD3">
      <w:pPr>
        <w:pStyle w:val="Heading1"/>
        <w:rPr>
          <w:rFonts w:eastAsia="Times New Roman"/>
          <w:lang w:eastAsia="en-GB"/>
        </w:rPr>
      </w:pPr>
      <w:bookmarkStart w:id="2" w:name="_Toc231495014"/>
      <w:r w:rsidRPr="00606AD3">
        <w:rPr>
          <w:rFonts w:eastAsia="Times New Roman"/>
          <w:lang w:eastAsia="en-GB"/>
        </w:rPr>
        <w:t>The life course approach and social factors</w:t>
      </w:r>
      <w:bookmarkEnd w:id="2"/>
    </w:p>
    <w:p w14:paraId="7274C8C9"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3B4CDAB3" w14:textId="4475B385"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Social factors play a key role in the life course approach as they constitute an important influencer of health at various stages of the life course, including social relationships, family supports and education, and community networks. Family stability and parental education/early learning experiences can influence the development of emotions, school preparedness and health habits when children are young (Dahlgren and Whitehead, 1991; Fattore and Mason, 2016). Children who enjoy secure attachment, and receive adequate support in early years of life are more likely to have protective resources. Children, on the other hand, who are exposed to stress and/or poor parental mental health or low social support are at risk of disadvantage in adulthood (Kuh and Ben-Shlomo, 2004).</w:t>
      </w:r>
    </w:p>
    <w:p w14:paraId="0E6EE5FD" w14:textId="77777777"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Social factors in adulthood continue in terms of work relationships, family responsibilities and social status. The lack of control in their work and/or low level of social networks and feelings of loneliness are associated with greater levels of stress and poorer wellbeing (Barton and Grant, 2006; Marmot et al., 2020). Social isolation is particularly important in later life as it can impact physical activity and access to informal support, and have a negative effect on the mental health of older people (PHE, 2021). A targeting approach to the targeting of interventions, such as the Healthy Child Programme and social prescribing, is appropriate as it involves interventions at key transition points. But they have to be effective with the levels of workforce capacity they have, and if they are service providers for those who need it most, and funding available locally. Without proportionality of support to social disadvantage a universal service alone may not suffice (Marmot, 2010).</w:t>
      </w:r>
    </w:p>
    <w:p w14:paraId="35DED584" w14:textId="77777777" w:rsidR="00606AD3" w:rsidRPr="00606AD3" w:rsidRDefault="00606AD3" w:rsidP="00606AD3">
      <w:pPr>
        <w:pStyle w:val="Heading1"/>
        <w:rPr>
          <w:rFonts w:eastAsia="Times New Roman"/>
          <w:lang w:eastAsia="en-GB"/>
        </w:rPr>
      </w:pPr>
      <w:bookmarkStart w:id="3" w:name="_Toc231495015"/>
      <w:r w:rsidRPr="00606AD3">
        <w:rPr>
          <w:rFonts w:eastAsia="Times New Roman"/>
          <w:lang w:eastAsia="en-GB"/>
        </w:rPr>
        <w:t>The life course approach and economic factors</w:t>
      </w:r>
      <w:bookmarkEnd w:id="3"/>
    </w:p>
    <w:p w14:paraId="1FF6F585"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0F2EBACB" w14:textId="524AF071"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 xml:space="preserve">Economy impact on health is related to income, employment, material security and access to resources. Early poverty may impact aspects of housing, food, heating, and transportation as well as access to educational activities. This is important because childhood poverty can start </w:t>
      </w:r>
      <w:r w:rsidRPr="00606AD3">
        <w:rPr>
          <w:rFonts w:ascii="Times New Roman" w:eastAsia="Times New Roman" w:hAnsi="Times New Roman" w:cs="Times New Roman"/>
          <w:kern w:val="0"/>
          <w:sz w:val="24"/>
          <w:szCs w:val="24"/>
          <w:lang w:eastAsia="en-GB"/>
          <w14:ligatures w14:val="none"/>
        </w:rPr>
        <w:lastRenderedPageBreak/>
        <w:t>a cascade of problems leading to lower school achievement and lower levels of adult employment (Bynner, 2016). The life course approach is required since here poverty is not being considered as a short-term event. It illustrates the way in which poverty can compound and be passed down over generations of people.</w:t>
      </w:r>
    </w:p>
    <w:p w14:paraId="0EC0C934" w14:textId="77777777"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 xml:space="preserve">The working environment impacts on the physical and mental health in working life. Having a secure and equitable paid employment can support health, but so </w:t>
      </w:r>
      <w:proofErr w:type="spellStart"/>
      <w:r w:rsidRPr="00606AD3">
        <w:rPr>
          <w:rFonts w:ascii="Times New Roman" w:eastAsia="Times New Roman" w:hAnsi="Times New Roman" w:cs="Times New Roman"/>
          <w:kern w:val="0"/>
          <w:sz w:val="24"/>
          <w:szCs w:val="24"/>
          <w:lang w:eastAsia="en-GB"/>
          <w14:ligatures w14:val="none"/>
        </w:rPr>
        <w:t>can not</w:t>
      </w:r>
      <w:proofErr w:type="spellEnd"/>
      <w:r w:rsidRPr="00606AD3">
        <w:rPr>
          <w:rFonts w:ascii="Times New Roman" w:eastAsia="Times New Roman" w:hAnsi="Times New Roman" w:cs="Times New Roman"/>
          <w:kern w:val="0"/>
          <w:sz w:val="24"/>
          <w:szCs w:val="24"/>
          <w:lang w:eastAsia="en-GB"/>
          <w14:ligatures w14:val="none"/>
        </w:rPr>
        <w:t xml:space="preserve"> having a paid employment or being in insecure paid employment or low paid, as it can lead to increases in stress and restrictions on making healthy choices (Marmot et al., 2020). In later life, pension income and accumulated assets may affect warm housing, mobility, social participation and social care. The gap in HEY between the most deprived and least deprived areas is clear in the ONS data, which illustrates the economic inequality as it presents in the outcome of ageing (ONS, 2024). NHS Health Checks are able to identify an adult with a cardiovascular risk within the age range 40-74 years, but the checks are not effective when they are primarily focused on individual clinical risk, and not the economic circumstances which create and exacerbate that risk (NHS England, 2019).</w:t>
      </w:r>
    </w:p>
    <w:p w14:paraId="37E316AD" w14:textId="77777777" w:rsidR="00606AD3" w:rsidRPr="00606AD3" w:rsidRDefault="00606AD3" w:rsidP="00606AD3">
      <w:pPr>
        <w:pStyle w:val="Heading1"/>
        <w:rPr>
          <w:rFonts w:eastAsia="Times New Roman"/>
          <w:lang w:eastAsia="en-GB"/>
        </w:rPr>
      </w:pPr>
      <w:bookmarkStart w:id="4" w:name="_Toc231495016"/>
      <w:r w:rsidRPr="00606AD3">
        <w:rPr>
          <w:rFonts w:eastAsia="Times New Roman"/>
          <w:lang w:eastAsia="en-GB"/>
        </w:rPr>
        <w:t>The life course approach and environmental factors</w:t>
      </w:r>
      <w:bookmarkEnd w:id="4"/>
    </w:p>
    <w:p w14:paraId="5DAB5DA1"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5C8224A3" w14:textId="72E1DB6A"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Within the context of understanding and assessing the barriers to using cycling, environmental factors encompass the housing, neighbourhood safety, air quality, transport, and wider built environment. These factors play an important role in the life course health as over many years people will be exposed to their local environment repeatedly. Living in poor housing is associated with damp and cold conditions, overcrowding, and respiratory health problems, whereas living in unsafe neighbourhoods can be associated with decreased physical activity, and increased stress (Barton and Grant, 2006; Marmot et al., 2020). Social and economic disadvantage may thus be exacerbated by environmental disadvantage. There may also be multiple dimensions of disadvantage seen in one family, such as an increased exposure to risky circumstances during the child's early childhood years in the home, and throughout the entire life course.</w:t>
      </w:r>
    </w:p>
    <w:p w14:paraId="07C47A9A" w14:textId="5EF5C979"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 xml:space="preserve">A child's environment in childhood impacts play, development and hazards. Adult life conditions (housing and work) </w:t>
      </w:r>
      <w:r w:rsidRPr="00606AD3">
        <w:rPr>
          <w:rFonts w:ascii="Times New Roman" w:eastAsia="Times New Roman" w:hAnsi="Times New Roman" w:cs="Times New Roman"/>
          <w:kern w:val="0"/>
          <w:sz w:val="24"/>
          <w:szCs w:val="24"/>
          <w:lang w:eastAsia="en-GB"/>
          <w14:ligatures w14:val="none"/>
        </w:rPr>
        <w:t>affect</w:t>
      </w:r>
      <w:r w:rsidRPr="00606AD3">
        <w:rPr>
          <w:rFonts w:ascii="Times New Roman" w:eastAsia="Times New Roman" w:hAnsi="Times New Roman" w:cs="Times New Roman"/>
          <w:kern w:val="0"/>
          <w:sz w:val="24"/>
          <w:szCs w:val="24"/>
          <w:lang w:eastAsia="en-GB"/>
          <w14:ligatures w14:val="none"/>
        </w:rPr>
        <w:t xml:space="preserve"> chronic diseases risk. As people age, transport, pavements and local services and community spaces impact on independence and social contact (PHE, </w:t>
      </w:r>
      <w:r w:rsidRPr="00606AD3">
        <w:rPr>
          <w:rFonts w:ascii="Times New Roman" w:eastAsia="Times New Roman" w:hAnsi="Times New Roman" w:cs="Times New Roman"/>
          <w:kern w:val="0"/>
          <w:sz w:val="24"/>
          <w:szCs w:val="24"/>
          <w:lang w:eastAsia="en-GB"/>
          <w14:ligatures w14:val="none"/>
        </w:rPr>
        <w:lastRenderedPageBreak/>
        <w:t xml:space="preserve">2021). The Dahlgren and Whitehead model is useful as it acknowledges that living and working conditions are part of a broader socioeconomic and environmental context rather than the same as living conditions (Dahlgren and Whitehead, 1991). Some teaching and learning </w:t>
      </w:r>
      <w:proofErr w:type="gramStart"/>
      <w:r w:rsidRPr="00606AD3">
        <w:rPr>
          <w:rFonts w:ascii="Times New Roman" w:eastAsia="Times New Roman" w:hAnsi="Times New Roman" w:cs="Times New Roman"/>
          <w:kern w:val="0"/>
          <w:sz w:val="24"/>
          <w:szCs w:val="24"/>
          <w:lang w:eastAsia="en-GB"/>
          <w14:ligatures w14:val="none"/>
        </w:rPr>
        <w:t>is</w:t>
      </w:r>
      <w:proofErr w:type="gramEnd"/>
      <w:r w:rsidRPr="00606AD3">
        <w:rPr>
          <w:rFonts w:ascii="Times New Roman" w:eastAsia="Times New Roman" w:hAnsi="Times New Roman" w:cs="Times New Roman"/>
          <w:kern w:val="0"/>
          <w:sz w:val="24"/>
          <w:szCs w:val="24"/>
          <w:lang w:eastAsia="en-GB"/>
          <w14:ligatures w14:val="none"/>
        </w:rPr>
        <w:t xml:space="preserve"> predominantly effective and some is not. There needs to be effective connections between housing regulation, local authority public health and NHS prevention. If this is not done, clinical services may attend to the illness that may have been caused or exacerbated by poor environments but fail to take action to address the underlying conditions.</w:t>
      </w:r>
    </w:p>
    <w:p w14:paraId="17A02350" w14:textId="77777777" w:rsidR="00606AD3" w:rsidRPr="00606AD3" w:rsidRDefault="00606AD3" w:rsidP="00606AD3">
      <w:pPr>
        <w:pStyle w:val="Heading1"/>
        <w:rPr>
          <w:rFonts w:eastAsia="Times New Roman"/>
          <w:lang w:eastAsia="en-GB"/>
        </w:rPr>
      </w:pPr>
      <w:bookmarkStart w:id="5" w:name="_Toc231495017"/>
      <w:r w:rsidRPr="00606AD3">
        <w:rPr>
          <w:rFonts w:eastAsia="Times New Roman"/>
          <w:lang w:eastAsia="en-GB"/>
        </w:rPr>
        <w:t>Conclusions and recommendations</w:t>
      </w:r>
      <w:bookmarkEnd w:id="5"/>
    </w:p>
    <w:p w14:paraId="33F6D647" w14:textId="77777777"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p>
    <w:p w14:paraId="757784D5" w14:textId="163F1661" w:rsidR="00606AD3" w:rsidRP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The life course approach is valuable because it has demonstrated that health and wellbeing is cumulative, and it is created in a social context, as the present report indicates. Family support, education, work relationships and loneliness are the social factors affecting health across the lifespan. Unequal healthy life expectancy can be explained by economic factors like poverty, precarious employment and low income. Personal, social and environmental circumstances, including substandard housing, and unsafe neighbourhoods, reinforce these inequalities. What is concluded is that interventions are most effective when they are done early and extended over the lifetime and influence the broader determinants of health, and not just behaviour or clinical risk.</w:t>
      </w:r>
    </w:p>
    <w:p w14:paraId="4B43C189" w14:textId="052FD83E" w:rsidR="00606AD3" w:rsidRDefault="00606AD3" w:rsidP="00606AD3">
      <w:pPr>
        <w:spacing w:line="360" w:lineRule="auto"/>
        <w:jc w:val="both"/>
        <w:rPr>
          <w:rFonts w:ascii="Times New Roman" w:eastAsia="Times New Roman" w:hAnsi="Times New Roman" w:cs="Times New Roman"/>
          <w:kern w:val="0"/>
          <w:sz w:val="24"/>
          <w:szCs w:val="24"/>
          <w:lang w:eastAsia="en-GB"/>
          <w14:ligatures w14:val="none"/>
        </w:rPr>
      </w:pPr>
      <w:r w:rsidRPr="00606AD3">
        <w:rPr>
          <w:rFonts w:ascii="Times New Roman" w:eastAsia="Times New Roman" w:hAnsi="Times New Roman" w:cs="Times New Roman"/>
          <w:kern w:val="0"/>
          <w:sz w:val="24"/>
          <w:szCs w:val="24"/>
          <w:lang w:eastAsia="en-GB"/>
          <w14:ligatures w14:val="none"/>
        </w:rPr>
        <w:t>There are a number of recommendations arising from this discussion. The government in policy should practise 'proportionate universalism' whereby it continues to provide universal provision in early years too, but provides additional funding for deprived local authorities and/or families with a high need. Health checks and social prescribing in practice needs to be more tightly coupled to the housing, welfare, employment and community support networks and practitioners needs to respond to the causes of risk as well as its symptoms. Education, health and social care students should be better taught about the social determinants of health and the life course approach in order to ensure more comprehensive care in their professional practice. More work is needed in research to investigate which interventions are effective in the life course in deprived communities in the UK and why? In general, future interventions should be extended beyond short-term programs and long-term prevention initiatives in childhood, throughout working life and to older age.</w:t>
      </w:r>
    </w:p>
    <w:p w14:paraId="5DECFB2A" w14:textId="77777777" w:rsidR="002651EC" w:rsidRDefault="002651EC" w:rsidP="0013337D"/>
    <w:p w14:paraId="7B0BEF41" w14:textId="77777777" w:rsidR="002651EC" w:rsidRDefault="002651EC" w:rsidP="002651EC">
      <w:pPr>
        <w:rPr>
          <w:rFonts w:ascii="Times New Roman" w:eastAsia="Times New Roman" w:hAnsi="Times New Roman" w:cs="Times New Roman"/>
          <w:kern w:val="0"/>
          <w:sz w:val="24"/>
          <w:szCs w:val="24"/>
          <w:lang w:eastAsia="en-GB"/>
          <w14:ligatures w14:val="none"/>
        </w:rPr>
      </w:pPr>
      <w:bookmarkStart w:id="6" w:name="_Toc231495018"/>
      <w:r w:rsidRPr="002651EC">
        <w:rPr>
          <w:rStyle w:val="Heading1Char"/>
          <w:lang w:eastAsia="en-GB"/>
        </w:rPr>
        <w:lastRenderedPageBreak/>
        <w:t>References</w:t>
      </w:r>
      <w:bookmarkEnd w:id="6"/>
      <w:r w:rsidRPr="002651EC">
        <w:rPr>
          <w:rStyle w:val="Heading1Char"/>
          <w:lang w:eastAsia="en-GB"/>
        </w:rPr>
        <w:br/>
      </w:r>
    </w:p>
    <w:p w14:paraId="070B2F25"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Barton, H. and Grant, M. (2006) 'A health map for the local human habitat', The Journal of the Royal Society for the Promotion of Health, 126(6), pp. 252-253. Available at: https://doi.org/10.1177/1466424006070466 (Accessed: 4 June 2026).</w:t>
      </w:r>
    </w:p>
    <w:p w14:paraId="531C4315"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Bynner, J. (2016) 'Life course research: The cohort study contribution', International Journal of Social Research Methodology, 19(1), pp. 19-33. Available at: https://doi.org/10.1080/13645579.2015.1011853 (Accessed: 4 June 2026).</w:t>
      </w:r>
    </w:p>
    <w:p w14:paraId="7E464FA5"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Dahlgren, G. and Whitehead, M. (1991) Policies and strategies to promote social equity in health. Stockholm: Institute for Futures Studies.</w:t>
      </w:r>
    </w:p>
    <w:p w14:paraId="6A6A7708"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Elder, G.H. (1998) 'The life course as developmental theory', Child Development, 69(1), pp. 1-12. Available at: https://doi.org/10.1111/j.1467-8624.1998.tb06128.x (Accessed: 4 June 2026).</w:t>
      </w:r>
    </w:p>
    <w:p w14:paraId="1165651F"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Fattore, T. and Mason, J. (2016) Children’s Understandings of Well-being: Towards a Child Standpoint. Dordrecht: Springer.</w:t>
      </w:r>
    </w:p>
    <w:p w14:paraId="79E5095C"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 xml:space="preserve">Kuh, D. and Ben-Shlomo, Y. (2004) A Life Course Approach to Chronic Disease Epidemiology. 2nd </w:t>
      </w:r>
      <w:proofErr w:type="spellStart"/>
      <w:r w:rsidRPr="00FF1E46">
        <w:rPr>
          <w:rFonts w:ascii="Times New Roman" w:eastAsia="Times New Roman" w:hAnsi="Times New Roman" w:cs="Times New Roman"/>
          <w:kern w:val="0"/>
          <w:sz w:val="24"/>
          <w:szCs w:val="24"/>
          <w:lang w:eastAsia="en-GB"/>
          <w14:ligatures w14:val="none"/>
        </w:rPr>
        <w:t>edn</w:t>
      </w:r>
      <w:proofErr w:type="spellEnd"/>
      <w:r w:rsidRPr="00FF1E46">
        <w:rPr>
          <w:rFonts w:ascii="Times New Roman" w:eastAsia="Times New Roman" w:hAnsi="Times New Roman" w:cs="Times New Roman"/>
          <w:kern w:val="0"/>
          <w:sz w:val="24"/>
          <w:szCs w:val="24"/>
          <w:lang w:eastAsia="en-GB"/>
          <w14:ligatures w14:val="none"/>
        </w:rPr>
        <w:t>. Oxford: Oxford University Press.</w:t>
      </w:r>
    </w:p>
    <w:p w14:paraId="62A509FA"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Marmot, M. (2010) Fair Society, Healthy Lives: The Marmot Review. London: Strategic Review of Health Inequalities in England post-2010. Available at: https://www.instituteofhealthequity.org/resources-reports/fair-society-healthy-lives-the-marmot-review (Accessed: 4 June 2026).</w:t>
      </w:r>
    </w:p>
    <w:p w14:paraId="707CA9E3"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Marmot, M., Allen, J., Boyce, T., Goldblatt, P. and Morrison, J. (2020) Health Equity in England: The Marmot Review 10 Years On. London: Institute of Health Equity. Available at: https://www.instituteofhealthequity.org/resources-reports/health-equity-in-england-the-marmot-review-10-years-on (Accessed: 4 June 2026).</w:t>
      </w:r>
    </w:p>
    <w:p w14:paraId="798E6325"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NHS England (2019) The NHS Long Term Plan. London: NHS England. Available at: https://www.longtermplan.nhs.uk/ (Accessed: 4 June 2026).</w:t>
      </w:r>
    </w:p>
    <w:p w14:paraId="667E820B"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Office for National Statistics (ONS) (2024) Health state life expectancies, UK: 2020 to 2022. Available at: https://www.ons.gov.uk/peoplepopulationandcommunity/healthandsocialcare/healthandlifeexpectancies/bulletins/healthstatelifeexpectanciesuk/2020to2022 (Accessed: 4 June 2026).</w:t>
      </w:r>
    </w:p>
    <w:p w14:paraId="1E4FC6BA" w14:textId="77777777" w:rsidR="00FF1E46" w:rsidRPr="00FF1E46"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Public Health England (PHE) (2021) Health Profile for England: 2021. London: PHE. Available at: https://www.gov.uk/government/publications/health-profile-for-england-2021 (Accessed: 4 June 2026).</w:t>
      </w:r>
    </w:p>
    <w:p w14:paraId="46D3DBDA" w14:textId="6B5C1FA9" w:rsidR="002651EC" w:rsidRPr="002651EC" w:rsidRDefault="00FF1E46" w:rsidP="00FF1E46">
      <w:pPr>
        <w:rPr>
          <w:rFonts w:ascii="Times New Roman" w:eastAsia="Times New Roman" w:hAnsi="Times New Roman" w:cs="Times New Roman"/>
          <w:kern w:val="0"/>
          <w:sz w:val="24"/>
          <w:szCs w:val="24"/>
          <w:lang w:eastAsia="en-GB"/>
          <w14:ligatures w14:val="none"/>
        </w:rPr>
      </w:pPr>
      <w:r w:rsidRPr="00FF1E46">
        <w:rPr>
          <w:rFonts w:ascii="Times New Roman" w:eastAsia="Times New Roman" w:hAnsi="Times New Roman" w:cs="Times New Roman"/>
          <w:kern w:val="0"/>
          <w:sz w:val="24"/>
          <w:szCs w:val="24"/>
          <w:lang w:eastAsia="en-GB"/>
          <w14:ligatures w14:val="none"/>
        </w:rPr>
        <w:t>World Health Organization (WHO) (2021) Social determinants of health. Available at: https://www.who.int/health-topics/social-determinants-of-health (Accessed: 4 June 2026</w:t>
      </w:r>
      <w:proofErr w:type="gramStart"/>
      <w:r w:rsidRPr="00FF1E46">
        <w:rPr>
          <w:rFonts w:ascii="Times New Roman" w:eastAsia="Times New Roman" w:hAnsi="Times New Roman" w:cs="Times New Roman"/>
          <w:kern w:val="0"/>
          <w:sz w:val="24"/>
          <w:szCs w:val="24"/>
          <w:lang w:eastAsia="en-GB"/>
          <w14:ligatures w14:val="none"/>
        </w:rPr>
        <w:t>).</w:t>
      </w:r>
      <w:proofErr w:type="gramEnd"/>
    </w:p>
    <w:sectPr w:rsidR="002651EC" w:rsidRPr="002651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F4658" w14:textId="77777777" w:rsidR="00D277F9" w:rsidRDefault="00D277F9" w:rsidP="00331AFD">
      <w:pPr>
        <w:spacing w:after="0" w:line="240" w:lineRule="auto"/>
      </w:pPr>
      <w:r>
        <w:separator/>
      </w:r>
    </w:p>
  </w:endnote>
  <w:endnote w:type="continuationSeparator" w:id="0">
    <w:p w14:paraId="23105136" w14:textId="77777777" w:rsidR="00D277F9" w:rsidRDefault="00D277F9" w:rsidP="00331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E8BB5" w14:textId="77777777" w:rsidR="00D277F9" w:rsidRDefault="00D277F9" w:rsidP="00331AFD">
      <w:pPr>
        <w:spacing w:after="0" w:line="240" w:lineRule="auto"/>
      </w:pPr>
      <w:r>
        <w:separator/>
      </w:r>
    </w:p>
  </w:footnote>
  <w:footnote w:type="continuationSeparator" w:id="0">
    <w:p w14:paraId="24733B3D" w14:textId="77777777" w:rsidR="00D277F9" w:rsidRDefault="00D277F9" w:rsidP="00331A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83C"/>
    <w:rsid w:val="0002493E"/>
    <w:rsid w:val="00116FAB"/>
    <w:rsid w:val="0013337D"/>
    <w:rsid w:val="00140E8E"/>
    <w:rsid w:val="001A465D"/>
    <w:rsid w:val="002651EC"/>
    <w:rsid w:val="0032183C"/>
    <w:rsid w:val="00331AFD"/>
    <w:rsid w:val="005A4AD5"/>
    <w:rsid w:val="00606AD3"/>
    <w:rsid w:val="006A0DEC"/>
    <w:rsid w:val="006D6157"/>
    <w:rsid w:val="007A2A80"/>
    <w:rsid w:val="008B49EE"/>
    <w:rsid w:val="00A10B25"/>
    <w:rsid w:val="00A554B0"/>
    <w:rsid w:val="00A801A9"/>
    <w:rsid w:val="00D277F9"/>
    <w:rsid w:val="00DB196B"/>
    <w:rsid w:val="00DB5C30"/>
    <w:rsid w:val="00EE10D0"/>
    <w:rsid w:val="00FF1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A9553"/>
  <w15:chartTrackingRefBased/>
  <w15:docId w15:val="{C107D020-A2D1-46B0-854F-4170825CC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8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218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218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18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18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18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8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8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8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8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218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218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18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18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18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8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8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83C"/>
    <w:rPr>
      <w:rFonts w:eastAsiaTheme="majorEastAsia" w:cstheme="majorBidi"/>
      <w:color w:val="272727" w:themeColor="text1" w:themeTint="D8"/>
    </w:rPr>
  </w:style>
  <w:style w:type="paragraph" w:styleId="Title">
    <w:name w:val="Title"/>
    <w:basedOn w:val="Normal"/>
    <w:next w:val="Normal"/>
    <w:link w:val="TitleChar"/>
    <w:uiPriority w:val="10"/>
    <w:qFormat/>
    <w:rsid w:val="003218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8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8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8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83C"/>
    <w:pPr>
      <w:spacing w:before="160"/>
      <w:jc w:val="center"/>
    </w:pPr>
    <w:rPr>
      <w:i/>
      <w:iCs/>
      <w:color w:val="404040" w:themeColor="text1" w:themeTint="BF"/>
    </w:rPr>
  </w:style>
  <w:style w:type="character" w:customStyle="1" w:styleId="QuoteChar">
    <w:name w:val="Quote Char"/>
    <w:basedOn w:val="DefaultParagraphFont"/>
    <w:link w:val="Quote"/>
    <w:uiPriority w:val="29"/>
    <w:rsid w:val="0032183C"/>
    <w:rPr>
      <w:i/>
      <w:iCs/>
      <w:color w:val="404040" w:themeColor="text1" w:themeTint="BF"/>
    </w:rPr>
  </w:style>
  <w:style w:type="paragraph" w:styleId="ListParagraph">
    <w:name w:val="List Paragraph"/>
    <w:basedOn w:val="Normal"/>
    <w:uiPriority w:val="34"/>
    <w:qFormat/>
    <w:rsid w:val="0032183C"/>
    <w:pPr>
      <w:ind w:left="720"/>
      <w:contextualSpacing/>
    </w:pPr>
  </w:style>
  <w:style w:type="character" w:styleId="IntenseEmphasis">
    <w:name w:val="Intense Emphasis"/>
    <w:basedOn w:val="DefaultParagraphFont"/>
    <w:uiPriority w:val="21"/>
    <w:qFormat/>
    <w:rsid w:val="0032183C"/>
    <w:rPr>
      <w:i/>
      <w:iCs/>
      <w:color w:val="2F5496" w:themeColor="accent1" w:themeShade="BF"/>
    </w:rPr>
  </w:style>
  <w:style w:type="paragraph" w:styleId="IntenseQuote">
    <w:name w:val="Intense Quote"/>
    <w:basedOn w:val="Normal"/>
    <w:next w:val="Normal"/>
    <w:link w:val="IntenseQuoteChar"/>
    <w:uiPriority w:val="30"/>
    <w:qFormat/>
    <w:rsid w:val="003218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183C"/>
    <w:rPr>
      <w:i/>
      <w:iCs/>
      <w:color w:val="2F5496" w:themeColor="accent1" w:themeShade="BF"/>
    </w:rPr>
  </w:style>
  <w:style w:type="character" w:styleId="IntenseReference">
    <w:name w:val="Intense Reference"/>
    <w:basedOn w:val="DefaultParagraphFont"/>
    <w:uiPriority w:val="32"/>
    <w:qFormat/>
    <w:rsid w:val="0032183C"/>
    <w:rPr>
      <w:b/>
      <w:bCs/>
      <w:smallCaps/>
      <w:color w:val="2F5496" w:themeColor="accent1" w:themeShade="BF"/>
      <w:spacing w:val="5"/>
    </w:rPr>
  </w:style>
  <w:style w:type="paragraph" w:styleId="TOCHeading">
    <w:name w:val="TOC Heading"/>
    <w:basedOn w:val="Heading1"/>
    <w:next w:val="Normal"/>
    <w:uiPriority w:val="39"/>
    <w:unhideWhenUsed/>
    <w:qFormat/>
    <w:rsid w:val="002651E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651EC"/>
    <w:pPr>
      <w:spacing w:after="100"/>
    </w:pPr>
  </w:style>
  <w:style w:type="character" w:styleId="Hyperlink">
    <w:name w:val="Hyperlink"/>
    <w:basedOn w:val="DefaultParagraphFont"/>
    <w:uiPriority w:val="99"/>
    <w:unhideWhenUsed/>
    <w:rsid w:val="002651EC"/>
    <w:rPr>
      <w:color w:val="0563C1" w:themeColor="hyperlink"/>
      <w:u w:val="single"/>
    </w:rPr>
  </w:style>
  <w:style w:type="paragraph" w:styleId="Header">
    <w:name w:val="header"/>
    <w:basedOn w:val="Normal"/>
    <w:link w:val="HeaderChar"/>
    <w:uiPriority w:val="99"/>
    <w:unhideWhenUsed/>
    <w:rsid w:val="00331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AFD"/>
  </w:style>
  <w:style w:type="paragraph" w:styleId="Footer">
    <w:name w:val="footer"/>
    <w:basedOn w:val="Normal"/>
    <w:link w:val="FooterChar"/>
    <w:uiPriority w:val="99"/>
    <w:unhideWhenUsed/>
    <w:rsid w:val="00331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AFD"/>
  </w:style>
  <w:style w:type="paragraph" w:styleId="TOC2">
    <w:name w:val="toc 2"/>
    <w:basedOn w:val="Normal"/>
    <w:next w:val="Normal"/>
    <w:autoRedefine/>
    <w:uiPriority w:val="39"/>
    <w:unhideWhenUsed/>
    <w:rsid w:val="00331AFD"/>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331AFD"/>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ACFC18-6698-41F4-A6C0-AE61C3721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7</Pages>
  <Words>2010</Words>
  <Characters>11463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Radu Bogdan</cp:lastModifiedBy>
  <cp:revision>11</cp:revision>
  <dcterms:created xsi:type="dcterms:W3CDTF">2026-05-12T12:31:00Z</dcterms:created>
  <dcterms:modified xsi:type="dcterms:W3CDTF">2026-06-04T18:49:00Z</dcterms:modified>
</cp:coreProperties>
</file>