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center"/>
        <w:rPr>
          <w:b w:val="1"/>
          <w:sz w:val="24"/>
          <w:szCs w:val="24"/>
        </w:rPr>
      </w:pPr>
      <w:r w:rsidDel="00000000" w:rsidR="00000000" w:rsidRPr="00000000">
        <w:rPr>
          <w:b w:val="1"/>
          <w:sz w:val="24"/>
          <w:szCs w:val="24"/>
          <w:rtl w:val="0"/>
        </w:rPr>
        <w:t xml:space="preserve">The Future Of Hospitality And Is It Profitable To Be Green?</w:t>
      </w:r>
    </w:p>
    <w:p w:rsidR="00000000" w:rsidDel="00000000" w:rsidP="00000000" w:rsidRDefault="00000000" w:rsidRPr="00000000" w14:paraId="0000000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Name:Lenuta-Mihaela Serbanica </w:t>
      </w:r>
    </w:p>
    <w:p w:rsidR="00000000" w:rsidDel="00000000" w:rsidP="00000000" w:rsidRDefault="00000000" w:rsidRPr="00000000" w14:paraId="0000000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Institution:UWTDS </w:t>
      </w:r>
    </w:p>
    <w:p w:rsidR="00000000" w:rsidDel="00000000" w:rsidP="00000000" w:rsidRDefault="00000000" w:rsidRPr="00000000" w14:paraId="0000000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Course:Sustainable Hospitality and Tourism Management </w:t>
      </w:r>
    </w:p>
    <w:p w:rsidR="00000000" w:rsidDel="00000000" w:rsidP="00000000" w:rsidRDefault="00000000" w:rsidRPr="00000000" w14:paraId="0000000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Professor:Ruth Taylor Davies </w:t>
      </w:r>
    </w:p>
    <w:p w:rsidR="00000000" w:rsidDel="00000000" w:rsidP="00000000" w:rsidRDefault="00000000" w:rsidRPr="00000000" w14:paraId="0000000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Date:12.11.2023</w:t>
      </w:r>
    </w:p>
    <w:p w:rsidR="00000000" w:rsidDel="00000000" w:rsidP="00000000" w:rsidRDefault="00000000" w:rsidRPr="00000000" w14:paraId="0000000C">
      <w:pPr>
        <w:spacing w:line="360" w:lineRule="auto"/>
        <w:jc w:val="center"/>
        <w:rPr>
          <w:sz w:val="24"/>
          <w:szCs w:val="24"/>
        </w:rPr>
      </w:pPr>
      <w:r w:rsidDel="00000000" w:rsidR="00000000" w:rsidRPr="00000000">
        <w:rPr>
          <w:rtl w:val="0"/>
        </w:rPr>
      </w:r>
    </w:p>
    <w:p w:rsidR="00000000" w:rsidDel="00000000" w:rsidP="00000000" w:rsidRDefault="00000000" w:rsidRPr="00000000" w14:paraId="0000000D">
      <w:pPr>
        <w:spacing w:line="360" w:lineRule="auto"/>
        <w:jc w:val="center"/>
        <w:rPr>
          <w:sz w:val="24"/>
          <w:szCs w:val="24"/>
        </w:rPr>
      </w:pPr>
      <w:r w:rsidDel="00000000" w:rsidR="00000000" w:rsidRPr="00000000">
        <w:rPr>
          <w:rtl w:val="0"/>
        </w:rPr>
      </w:r>
    </w:p>
    <w:p w:rsidR="00000000" w:rsidDel="00000000" w:rsidP="00000000" w:rsidRDefault="00000000" w:rsidRPr="00000000" w14:paraId="0000000E">
      <w:pPr>
        <w:spacing w:line="360" w:lineRule="auto"/>
        <w:jc w:val="center"/>
        <w:rPr>
          <w:sz w:val="24"/>
          <w:szCs w:val="24"/>
        </w:rPr>
      </w:pPr>
      <w:r w:rsidDel="00000000" w:rsidR="00000000" w:rsidRPr="00000000">
        <w:rPr>
          <w:rtl w:val="0"/>
        </w:rPr>
      </w:r>
    </w:p>
    <w:p w:rsidR="00000000" w:rsidDel="00000000" w:rsidP="00000000" w:rsidRDefault="00000000" w:rsidRPr="00000000" w14:paraId="0000000F">
      <w:pPr>
        <w:spacing w:line="360" w:lineRule="auto"/>
        <w:jc w:val="center"/>
        <w:rPr>
          <w:sz w:val="24"/>
          <w:szCs w:val="24"/>
        </w:rPr>
      </w:pPr>
      <w:r w:rsidDel="00000000" w:rsidR="00000000" w:rsidRPr="00000000">
        <w:rPr>
          <w:rtl w:val="0"/>
        </w:rPr>
      </w:r>
    </w:p>
    <w:p w:rsidR="00000000" w:rsidDel="00000000" w:rsidP="00000000" w:rsidRDefault="00000000" w:rsidRPr="00000000" w14:paraId="00000010">
      <w:pPr>
        <w:spacing w:line="360" w:lineRule="auto"/>
        <w:jc w:val="center"/>
        <w:rPr>
          <w:sz w:val="24"/>
          <w:szCs w:val="24"/>
        </w:rPr>
      </w:pPr>
      <w:r w:rsidDel="00000000" w:rsidR="00000000" w:rsidRPr="00000000">
        <w:rPr>
          <w:rtl w:val="0"/>
        </w:rPr>
      </w:r>
    </w:p>
    <w:p w:rsidR="00000000" w:rsidDel="00000000" w:rsidP="00000000" w:rsidRDefault="00000000" w:rsidRPr="00000000" w14:paraId="00000011">
      <w:pPr>
        <w:spacing w:line="360" w:lineRule="auto"/>
        <w:jc w:val="center"/>
        <w:rPr>
          <w:sz w:val="24"/>
          <w:szCs w:val="24"/>
        </w:rPr>
      </w:pPr>
      <w:r w:rsidDel="00000000" w:rsidR="00000000" w:rsidRPr="00000000">
        <w:rPr>
          <w:rtl w:val="0"/>
        </w:rPr>
      </w:r>
    </w:p>
    <w:p w:rsidR="00000000" w:rsidDel="00000000" w:rsidP="00000000" w:rsidRDefault="00000000" w:rsidRPr="00000000" w14:paraId="00000012">
      <w:pPr>
        <w:spacing w:line="360" w:lineRule="auto"/>
        <w:jc w:val="center"/>
        <w:rPr>
          <w:sz w:val="24"/>
          <w:szCs w:val="24"/>
        </w:rPr>
      </w:pPr>
      <w:r w:rsidDel="00000000" w:rsidR="00000000" w:rsidRPr="00000000">
        <w:rPr>
          <w:rtl w:val="0"/>
        </w:rPr>
      </w:r>
    </w:p>
    <w:p w:rsidR="00000000" w:rsidDel="00000000" w:rsidP="00000000" w:rsidRDefault="00000000" w:rsidRPr="00000000" w14:paraId="00000013">
      <w:pPr>
        <w:spacing w:line="360" w:lineRule="auto"/>
        <w:jc w:val="center"/>
        <w:rPr>
          <w:sz w:val="24"/>
          <w:szCs w:val="24"/>
        </w:rPr>
      </w:pPr>
      <w:r w:rsidDel="00000000" w:rsidR="00000000" w:rsidRPr="00000000">
        <w:rPr>
          <w:rtl w:val="0"/>
        </w:rPr>
      </w:r>
    </w:p>
    <w:p w:rsidR="00000000" w:rsidDel="00000000" w:rsidP="00000000" w:rsidRDefault="00000000" w:rsidRPr="00000000" w14:paraId="00000014">
      <w:pPr>
        <w:spacing w:line="360" w:lineRule="auto"/>
        <w:jc w:val="center"/>
        <w:rPr>
          <w:sz w:val="24"/>
          <w:szCs w:val="24"/>
        </w:rPr>
      </w:pPr>
      <w:r w:rsidDel="00000000" w:rsidR="00000000" w:rsidRPr="00000000">
        <w:rPr>
          <w:rtl w:val="0"/>
        </w:rPr>
      </w:r>
    </w:p>
    <w:p w:rsidR="00000000" w:rsidDel="00000000" w:rsidP="00000000" w:rsidRDefault="00000000" w:rsidRPr="00000000" w14:paraId="00000015">
      <w:pPr>
        <w:spacing w:line="360" w:lineRule="auto"/>
        <w:jc w:val="center"/>
        <w:rPr>
          <w:sz w:val="24"/>
          <w:szCs w:val="24"/>
        </w:rPr>
      </w:pPr>
      <w:r w:rsidDel="00000000" w:rsidR="00000000" w:rsidRPr="00000000">
        <w:rPr>
          <w:rtl w:val="0"/>
        </w:rPr>
      </w:r>
    </w:p>
    <w:p w:rsidR="00000000" w:rsidDel="00000000" w:rsidP="00000000" w:rsidRDefault="00000000" w:rsidRPr="00000000" w14:paraId="00000016">
      <w:pPr>
        <w:spacing w:line="360" w:lineRule="auto"/>
        <w:jc w:val="center"/>
        <w:rPr>
          <w:sz w:val="24"/>
          <w:szCs w:val="24"/>
        </w:rPr>
      </w:pPr>
      <w:r w:rsidDel="00000000" w:rsidR="00000000" w:rsidRPr="00000000">
        <w:rPr>
          <w:rtl w:val="0"/>
        </w:rPr>
      </w:r>
    </w:p>
    <w:p w:rsidR="00000000" w:rsidDel="00000000" w:rsidP="00000000" w:rsidRDefault="00000000" w:rsidRPr="00000000" w14:paraId="00000017">
      <w:pPr>
        <w:spacing w:line="360" w:lineRule="auto"/>
        <w:jc w:val="center"/>
        <w:rPr>
          <w:sz w:val="24"/>
          <w:szCs w:val="24"/>
        </w:rPr>
      </w:pPr>
      <w:r w:rsidDel="00000000" w:rsidR="00000000" w:rsidRPr="00000000">
        <w:rPr>
          <w:rtl w:val="0"/>
        </w:rPr>
      </w:r>
    </w:p>
    <w:p w:rsidR="00000000" w:rsidDel="00000000" w:rsidP="00000000" w:rsidRDefault="00000000" w:rsidRPr="00000000" w14:paraId="00000018">
      <w:pPr>
        <w:spacing w:line="360" w:lineRule="auto"/>
        <w:jc w:val="center"/>
        <w:rPr>
          <w:sz w:val="24"/>
          <w:szCs w:val="24"/>
        </w:rPr>
      </w:pPr>
      <w:r w:rsidDel="00000000" w:rsidR="00000000" w:rsidRPr="00000000">
        <w:rPr>
          <w:rtl w:val="0"/>
        </w:rPr>
      </w:r>
    </w:p>
    <w:p w:rsidR="00000000" w:rsidDel="00000000" w:rsidP="00000000" w:rsidRDefault="00000000" w:rsidRPr="00000000" w14:paraId="00000019">
      <w:pPr>
        <w:spacing w:line="360" w:lineRule="auto"/>
        <w:jc w:val="center"/>
        <w:rPr>
          <w:sz w:val="24"/>
          <w:szCs w:val="24"/>
        </w:rPr>
      </w:pPr>
      <w:r w:rsidDel="00000000" w:rsidR="00000000" w:rsidRPr="00000000">
        <w:rPr>
          <w:rtl w:val="0"/>
        </w:rPr>
      </w:r>
    </w:p>
    <w:p w:rsidR="00000000" w:rsidDel="00000000" w:rsidP="00000000" w:rsidRDefault="00000000" w:rsidRPr="00000000" w14:paraId="0000001A">
      <w:pPr>
        <w:spacing w:line="360" w:lineRule="auto"/>
        <w:jc w:val="center"/>
        <w:rPr>
          <w:sz w:val="24"/>
          <w:szCs w:val="24"/>
        </w:rPr>
      </w:pPr>
      <w:r w:rsidDel="00000000" w:rsidR="00000000" w:rsidRPr="00000000">
        <w:rPr>
          <w:rtl w:val="0"/>
        </w:rPr>
      </w:r>
    </w:p>
    <w:p w:rsidR="00000000" w:rsidDel="00000000" w:rsidP="00000000" w:rsidRDefault="00000000" w:rsidRPr="00000000" w14:paraId="0000001B">
      <w:pPr>
        <w:spacing w:line="360" w:lineRule="auto"/>
        <w:jc w:val="center"/>
        <w:rPr>
          <w:sz w:val="24"/>
          <w:szCs w:val="24"/>
        </w:rPr>
      </w:pPr>
      <w:r w:rsidDel="00000000" w:rsidR="00000000" w:rsidRPr="00000000">
        <w:rPr>
          <w:rtl w:val="0"/>
        </w:rPr>
      </w:r>
    </w:p>
    <w:p w:rsidR="00000000" w:rsidDel="00000000" w:rsidP="00000000" w:rsidRDefault="00000000" w:rsidRPr="00000000" w14:paraId="0000001C">
      <w:pPr>
        <w:spacing w:line="360" w:lineRule="auto"/>
        <w:jc w:val="center"/>
        <w:rPr>
          <w:sz w:val="24"/>
          <w:szCs w:val="24"/>
        </w:rPr>
      </w:pPr>
      <w:r w:rsidDel="00000000" w:rsidR="00000000" w:rsidRPr="00000000">
        <w:rPr>
          <w:rtl w:val="0"/>
        </w:rPr>
      </w:r>
    </w:p>
    <w:p w:rsidR="00000000" w:rsidDel="00000000" w:rsidP="00000000" w:rsidRDefault="00000000" w:rsidRPr="00000000" w14:paraId="0000001D">
      <w:pPr>
        <w:spacing w:line="360" w:lineRule="auto"/>
        <w:jc w:val="center"/>
        <w:rPr>
          <w:sz w:val="24"/>
          <w:szCs w:val="24"/>
        </w:rPr>
      </w:pPr>
      <w:r w:rsidDel="00000000" w:rsidR="00000000" w:rsidRPr="00000000">
        <w:rPr>
          <w:rtl w:val="0"/>
        </w:rPr>
      </w:r>
    </w:p>
    <w:p w:rsidR="00000000" w:rsidDel="00000000" w:rsidP="00000000" w:rsidRDefault="00000000" w:rsidRPr="00000000" w14:paraId="0000001E">
      <w:pPr>
        <w:spacing w:line="360" w:lineRule="auto"/>
        <w:jc w:val="center"/>
        <w:rPr>
          <w:sz w:val="24"/>
          <w:szCs w:val="24"/>
        </w:rPr>
      </w:pPr>
      <w:r w:rsidDel="00000000" w:rsidR="00000000" w:rsidRPr="00000000">
        <w:rPr>
          <w:rtl w:val="0"/>
        </w:rPr>
      </w:r>
    </w:p>
    <w:p w:rsidR="00000000" w:rsidDel="00000000" w:rsidP="00000000" w:rsidRDefault="00000000" w:rsidRPr="00000000" w14:paraId="0000001F">
      <w:pPr>
        <w:spacing w:line="360" w:lineRule="auto"/>
        <w:jc w:val="center"/>
        <w:rPr>
          <w:sz w:val="24"/>
          <w:szCs w:val="24"/>
        </w:rPr>
      </w:pPr>
      <w:r w:rsidDel="00000000" w:rsidR="00000000" w:rsidRPr="00000000">
        <w:rPr>
          <w:rtl w:val="0"/>
        </w:rPr>
      </w:r>
    </w:p>
    <w:p w:rsidR="00000000" w:rsidDel="00000000" w:rsidP="00000000" w:rsidRDefault="00000000" w:rsidRPr="00000000" w14:paraId="00000020">
      <w:pPr>
        <w:spacing w:line="360" w:lineRule="auto"/>
        <w:jc w:val="center"/>
        <w:rPr>
          <w:b w:val="1"/>
          <w:sz w:val="24"/>
          <w:szCs w:val="24"/>
        </w:rPr>
      </w:pPr>
      <w:r w:rsidDel="00000000" w:rsidR="00000000" w:rsidRPr="00000000">
        <w:rPr>
          <w:b w:val="1"/>
          <w:sz w:val="24"/>
          <w:szCs w:val="24"/>
          <w:rtl w:val="0"/>
        </w:rPr>
        <w:t xml:space="preserve">The Future Of Hospitality and Is It Profitable To Be Green?</w:t>
      </w:r>
    </w:p>
    <w:p w:rsidR="00000000" w:rsidDel="00000000" w:rsidP="00000000" w:rsidRDefault="00000000" w:rsidRPr="00000000" w14:paraId="00000021">
      <w:pPr>
        <w:spacing w:line="36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The tourism industry is a large and dynamic area comprising hotels, restaurants, travel, and tourism, which has always been about offering unforgettable experiences to tourists and travellers. At the heart of it is customer satisfaction, service excellence, and, more importantly, profitability. For years, the sector has been all about profitability. Milton Friedman, a leading economist of the 1950s, said that the sole responsibility of every organization should be making profits. This statement has guided many organizations in different fields; however, when used in the hospitality sector, it raises several serious issues. Profit is seen as the single goal for business today in a world where environmental concerns are rising, and society’s expectations have been raised high. Concerning Friedman’s comment on the hospitality industry, the modern hospitality industry stands at a crossroads, questioning the relevance of Friedman’s statement and embracing new imperatives that include balancing profitability with environmental and social responsibility. The introductory chapter lays the ground for our discussion of the future of business in society, which explores the changing role of business in society. We discuss the Triple Bottom Line theory as propounded by John Elkington, whose focus is beyond profits to people and the planet. This report will then look into some important changes that have taken place in the hospitality sector and the need to balance profitability and environmental and social responsibility.</w:t>
      </w:r>
    </w:p>
    <w:p w:rsidR="00000000" w:rsidDel="00000000" w:rsidP="00000000" w:rsidRDefault="00000000" w:rsidRPr="00000000" w14:paraId="00000023">
      <w:pPr>
        <w:spacing w:line="360" w:lineRule="auto"/>
        <w:rPr>
          <w:b w:val="1"/>
          <w:sz w:val="24"/>
          <w:szCs w:val="24"/>
        </w:rPr>
      </w:pPr>
      <w:r w:rsidDel="00000000" w:rsidR="00000000" w:rsidRPr="00000000">
        <w:rPr>
          <w:b w:val="1"/>
          <w:sz w:val="24"/>
          <w:szCs w:val="24"/>
          <w:rtl w:val="0"/>
        </w:rPr>
        <w:t xml:space="preserve">Environmental and Social Responsibility in the Hospitality Industry</w:t>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The changing business roles in society have continuously transformed. As environmental and social consciousness become more prevalent, the hospitality industry must refocus its traditional profit-driven model. The concept of the Triple Bottom Line (TBL) introduced by John Elkington provides a framework that highlights the interdependence of three key dimensions: People, Planet, and Profit (Giang et al., 2022). In hospitality, the ‘people’ dimension relates to employee’s welfare, community’s well-being, and customer’s satisfaction. The culture acknowledges the need for a pleasant and accommodating working environment, giving back to the communities businesses serve, and providing quality guest experience. This is in line with the expectations of the society and ensures sustained profitability in the hospitality industry. For example, many organizations experience higher employee retention and customer satisfaction when they put their money towards training and welfare for the employees. The ‘planet’ element is highlighted for environmental sustainability purposes. Hospitality establishments acknowledge the necessity to minimize their ecological footprint (Legrand et al., 2022). This includes the conservation of resources, reduction of waste, and saving on energy. Initiatives such as efficient lighting, water-saving measures and waste recycling are now common not only because of regulations but also to attract environmental tourists. Concerning the profitability of the hospitality industry, social and environmental responsibility is rapidly increasing. Sustainability efforts should be more of business decisions and not charity. The general acceptance that sustainable practices are cost savers in operations and enhance their brands while tapping into the niche market of eco-conscious customers. </w:t>
      </w:r>
    </w:p>
    <w:p w:rsidR="00000000" w:rsidDel="00000000" w:rsidP="00000000" w:rsidRDefault="00000000" w:rsidRPr="00000000" w14:paraId="00000025">
      <w:pPr>
        <w:spacing w:line="360" w:lineRule="auto"/>
        <w:rPr>
          <w:b w:val="1"/>
          <w:sz w:val="24"/>
          <w:szCs w:val="24"/>
        </w:rPr>
      </w:pPr>
      <w:r w:rsidDel="00000000" w:rsidR="00000000" w:rsidRPr="00000000">
        <w:rPr>
          <w:b w:val="1"/>
          <w:sz w:val="24"/>
          <w:szCs w:val="24"/>
          <w:rtl w:val="0"/>
        </w:rPr>
        <w:t xml:space="preserve">Financial Profitability as a Priority</w:t>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There is no doubt about the priority of finance for the hospitality industry. Any business has to be profitable. The business environment, characterized by high fixed costs, seasonal variations, and intense competition, makes it essential. Hospitality establishments have to make money for the costs of operations and investment into infrastructure and technology and remain competitive. Nevertheless, as the sole focus on profitability has been short-term thinking and cost-cutting, this could affect long-term sustainability over time. For instance, reducing workers’ salaries or lowering the quality of services in search of higher profits might provoke workers and customers, leading to brand damage. Sustainability and profitability are not mutually exclusive; profitability can be a means of sustainability (Gordon, 2001). Over time, implementing sustainable practices can help reduce costs and create profits. For example, acquiring energy-efficient machinery can save on running expenses in the long run. In addition to this, companies that adopt sustainable business practices have often been found to be more appealing to environmentally conscious consumers, translating into more income and customer loyalty. The implications of focusing on the financial aspect alone have been demonstrated through case studies of hospitality industry businesses. For instance, a case exists where budget airlines influenced the hospitality sector. In some cases, hotels in certain destinations reduced their rates to match the lower costs of budget travellers competing with budget airlines. This move improved the short-term revenue but gave rise to quality service issues and sustainability problems in the long run. Lower prices generally translated to little investments in property upkeep and staff development, impacting the comfort of guests and the brand’s image (Ind, 2007). Balancing financial profitability and sustainability represents the optimal strategy for the hospitality industry. The long-term profitability is dependent on sustainable practices, a kind of equilibrium. Resource efficiency, minimal wastage, and employee welfare issues should be incorporated into a business’ sustainability initiatives.</w:t>
      </w:r>
    </w:p>
    <w:p w:rsidR="00000000" w:rsidDel="00000000" w:rsidP="00000000" w:rsidRDefault="00000000" w:rsidRPr="00000000" w14:paraId="00000027">
      <w:pPr>
        <w:spacing w:line="360" w:lineRule="auto"/>
        <w:rPr>
          <w:b w:val="1"/>
          <w:sz w:val="24"/>
          <w:szCs w:val="24"/>
        </w:rPr>
      </w:pPr>
      <w:r w:rsidDel="00000000" w:rsidR="00000000" w:rsidRPr="00000000">
        <w:rPr>
          <w:b w:val="1"/>
          <w:sz w:val="24"/>
          <w:szCs w:val="24"/>
          <w:rtl w:val="0"/>
        </w:rPr>
        <w:t xml:space="preserve">Environmental Responsibility: Business-Driven or Consumer-Driven?</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Many companies operating in the hospitality sector have, in recent years, learnt how beneficial green initiatives are. The main drivers for this shift include cost savings, good branding and risk minimisation. Take, for example, adopting cost-shaving schemes such as energy-efficient systems that, in addition to cutting the running costs, attract the environmentally conscious market. Such businesses save on costs and contribute to preserving the environment simultaneously. Additionally, sustainability plans offer a way for companies to meet new regulations and address environmental issues and, consequently, avoid regulatory penalties or bad publicity. The sustainability drive in the hospitality industry has largely been driven by consumer demand. More and more travellers are looking for green accommodation and leisure. The increased demand is enhanced by the fact that information is now accessible through the Internet, thus allowing consumers to make informed decisions. Smart consumers often choose businesses whose values and environmental awareness match their own (Etsy &amp; Winston, 2009). It means they want to see transparent activities regarding their sustainability strategies of recycling and conserving energy, water and waste. As a result, businesses are adjusting to these preferences to remain competitive. The hospitality sector faces several challenges, among them balancing consumer expectations and business sustainability goals. Businesses should be guided by the need to evaluate the practicability, cost implications, and legal parameters (Crawford et al., 2023). It’s vital to find a balance between environmental responsibility and financial viability. For instance, large hotel chains have incorporated environmental measures such as water-saving systems, renewable energy options, and waste management programs. In addition to the direct push from the consumers, these initiatives are driven by the expectation of future monetary gains and risk aversion.</w:t>
      </w:r>
    </w:p>
    <w:p w:rsidR="00000000" w:rsidDel="00000000" w:rsidP="00000000" w:rsidRDefault="00000000" w:rsidRPr="00000000" w14:paraId="00000029">
      <w:pPr>
        <w:spacing w:line="360" w:lineRule="auto"/>
        <w:rPr>
          <w:b w:val="1"/>
          <w:sz w:val="24"/>
          <w:szCs w:val="24"/>
        </w:rPr>
      </w:pPr>
      <w:r w:rsidDel="00000000" w:rsidR="00000000" w:rsidRPr="00000000">
        <w:rPr>
          <w:b w:val="1"/>
          <w:sz w:val="24"/>
          <w:szCs w:val="24"/>
          <w:rtl w:val="0"/>
        </w:rPr>
        <w:t xml:space="preserve">Doxey’s Irridex Model: A Tool for Environmental Sustainability</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Doxey's Irridex Model is a useful assessment instrument for considering the impacts of tourism and hospitality on communities and environments. The model provides a systematic understanding of the complicated links between tourists, companies, and visitors in the communities where they reside. Such information can be of particular relevance to the hospitality industry, and tourism’s growth may provide both economic opportunities and environmental challenges (Wang &amp; Mirehie, 2022). Since the hospitality industry constitutes a very important component of the tourism sector, it considerably affects its operations. It is possible to employ Doxey’s Irridex Model to identify, evaluate, and assess them. This model categorizes the stages of tourist-community interaction into four phases: Euphoria, Apathy, Annoyance, and Antagonism, as, as shown in Table 1. It is worth noting that understanding the position of a destination in this spectrum informs about ways to perceive a local community towards tourism (Mohamed &amp; Mohamed, 2010). It can affect either the support or opposition of this local community toward tourism. To that end, it is imperative to identify and address any adverse effects tourism and hospitality have on communities and the planet. Some of these effects may be over-tourism, deterioration of pristine places, more pollution, and altering local culture. The Irridex Model assists businesses and destinations in identifying the precise issue they experience at every phase, which they should rectify (Matatolu, 2019). This is the reason why it is important to take precautions in reducing the harmful effects of tourism and hospitality. These may include responsible resource management, reduction of trash, and supporting local culture and norms. As such, a business can study how far a destination lies on the Irridex spectrum and develop appropriate mitigation strategies. For example, businesses can employ responsible tourism practices and outreach to local communities to re-establish trust and support if a community shows resistance. Various stakeholders need to be involved to mitigate and sustain efforts effectively. The hospitality industry should encourage good relationships between its businesses and local communities, customers, and employees (Kuo &amp; Kalargyrou, 2014). Engaging some of these groups will be important as it will ensure sustainability initiatives are aligned with the values and interests of those affected. Involving the host country in conservation activities that conserve the environment and involve the local communities in the host country will create strong alliances with the locals and provide local support. The sustainability process is a long-term exercise that involves constant evaluation and rectification. It involves following up on the mitigation measures, gathering data from the local people and tourists, and re-adjusting things. According to Doxey’s Irridex Model, continuous improvement occurs when companies can track progress through the four stages, adapt to the changing circumstances, and maintain an amicable relationship with the host community.</w:t>
      </w:r>
    </w:p>
    <w:p w:rsidR="00000000" w:rsidDel="00000000" w:rsidP="00000000" w:rsidRDefault="00000000" w:rsidRPr="00000000" w14:paraId="0000002B">
      <w:pPr>
        <w:spacing w:line="360" w:lineRule="auto"/>
        <w:rPr>
          <w:b w:val="1"/>
          <w:sz w:val="24"/>
          <w:szCs w:val="24"/>
        </w:rPr>
      </w:pPr>
      <w:r w:rsidDel="00000000" w:rsidR="00000000" w:rsidRPr="00000000">
        <w:rPr>
          <w:b w:val="1"/>
          <w:sz w:val="24"/>
          <w:szCs w:val="24"/>
          <w:rtl w:val="0"/>
        </w:rPr>
        <w:t xml:space="preserve">Table 1 Doxey’s Irridex Model</w:t>
      </w:r>
    </w:p>
    <w:p w:rsidR="00000000" w:rsidDel="00000000" w:rsidP="00000000" w:rsidRDefault="00000000" w:rsidRPr="00000000" w14:paraId="0000002C">
      <w:pPr>
        <w:spacing w:line="360" w:lineRule="auto"/>
        <w:rPr>
          <w:sz w:val="24"/>
          <w:szCs w:val="24"/>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STAGE OF HOST APPROACH TO VISITORS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24"/>
                <w:szCs w:val="24"/>
              </w:rPr>
            </w:pPr>
            <w:r w:rsidDel="00000000" w:rsidR="00000000" w:rsidRPr="00000000">
              <w:rPr>
                <w:b w:val="1"/>
                <w:sz w:val="24"/>
                <w:szCs w:val="24"/>
                <w:rtl w:val="0"/>
              </w:rPr>
              <w:t xml:space="preserve">WHAT THIS MEANS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 Euphoria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Visitors are welcome and there is little planning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Apathy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Visitors are taken for granted and contact becomes more formal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Annoyance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Saturation is approached, and the local people have misgivings. Planners attempt to control increasing infrastructure rather than limiting growth.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Antagonism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Open expression of irritation and planning is remedial, yet promotion is increased to offset the deteriorating reputation of the resort</w:t>
            </w:r>
          </w:p>
        </w:tc>
      </w:tr>
    </w:tbl>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b w:val="1"/>
          <w:sz w:val="24"/>
          <w:szCs w:val="24"/>
        </w:rPr>
      </w:pPr>
      <w:r w:rsidDel="00000000" w:rsidR="00000000" w:rsidRPr="00000000">
        <w:rPr>
          <w:b w:val="1"/>
          <w:sz w:val="24"/>
          <w:szCs w:val="24"/>
          <w:rtl w:val="0"/>
        </w:rPr>
        <w:t xml:space="preserve">Butler’s Tourism Area Life Cycle (TALC) and Sustainability</w:t>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TALC Tourism Area Life Cycle by Butler is a commonly used model in explaining the growth path of various tourist destinations. It outlines the standard evolutionary phases passed through by a destination, which starts with exploration, progresses to involvement, matures in development and consolidates as it reaches stagnation, may rejuvenate or decline. The model is indispensable for understanding the challenges and opportunities that arise in the life cycle of destinations. Applying the TALC model in the context of sustainability reveals the environmental and social impacts at each stage of a destination’s lifecycle (Kedang &amp; Soesilo, 2021). This helps businesses and policymakers understand where their destinations lie in their development trajectory for sustainability assessment. Therefore, for instance, an early ‘exploration’ destination might concentrate on conserving natural resources, while a destination in the ‘rejuvenation’ phase may rebrand a destination as an eco-friendly area to encourage tourists. The sustainability strategies in their TALC stages. The first steps towards the development of destinations include the conservation of natural resources, development without compromising culture and establishment of facilities to accommodate tourists (Woyo &amp; Slabbert, 2020). On the other hand, mature destinations should focus on sustainability aspects, including resource management and waste reduction. This makes it possible for destinations to determine the most appropriate TALC model for their level of development. As destinations grow in the TALC, diversification, in particular, becomes increasingly important for any viable long-term strategy (Manalu &amp; Manik, 2021). One should also note that an over-reliance on a specific form of tourist travel, like mass tourism, brings about negative outcomes. Changing consumer preferences involves diversifying tourism offerings such as adventure, culture, and eco-tourism to remain resilient. Successful marketing and promoting a sustainable destination are vital in bringing in tourists. Destinations should communicate their involvement in environmental protection, cultural preservation, and other related sustainability programs (Abdou et al., 2021). Destination positioning as an eco-friendly option for tourists could be reinforced through sustainable tourism certificates, eco-labels, and responsible travel marketing. Sustainability in tourism is a collaborative affair that involves several players such as communities, business people, state agencies, and nongovernmental organizations, among others (Dangi &amp; Jamal, 2016). They work in a collaborative effort with a view of maximizing the input and skills of each participant in the initiative. Such an approach would help address the challenges effectively and create a better ecosystem. Destinations change, TALC is not static. Sustainability objectives can only be monitored by conducting periodic evaluations that will at least, highlight new threats. For sustainability, strategies must be continuously monitored and reviewed against the present TALC level for the destination.</w:t>
      </w:r>
    </w:p>
    <w:p w:rsidR="00000000" w:rsidDel="00000000" w:rsidP="00000000" w:rsidRDefault="00000000" w:rsidRPr="00000000" w14:paraId="0000003A">
      <w:pPr>
        <w:spacing w:line="360" w:lineRule="auto"/>
        <w:rPr>
          <w:b w:val="1"/>
          <w:sz w:val="24"/>
          <w:szCs w:val="24"/>
        </w:rPr>
      </w:pPr>
      <w:r w:rsidDel="00000000" w:rsidR="00000000" w:rsidRPr="00000000">
        <w:rPr>
          <w:b w:val="1"/>
          <w:sz w:val="24"/>
          <w:szCs w:val="24"/>
          <w:rtl w:val="0"/>
        </w:rPr>
        <w:t xml:space="preserve">The Role of Financial Resiliency in Sustainability</w:t>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Resilience is inherently associated with sustainability in hospitality. Many sustainable initiatives involve capital expenditure, and hence, the financial capability of a firm determines whether it can take up such initiatives. The success and continuity of the sustainability efforts depend on financial resiliency. Financial stability forms the basics of feasible, sustainable projects in the hospitality industry (Legrand et al., 2022). However, for sustainable projects like, for instance, energy-efficient upgrades, waste reduction programs, and staff training on sustainable practices, upfront investments are required. Businesses with weak financial grounds can find this investment strenuous. On the other hand, a firm in good financial standing can budget towards the said initiatives without jeopardizing its operations. Besides, financial stability provides resilience to unforeseen obstacles like recession or disasters. Businesses with robust financial reserves can endure these storms and keep track of sustainability, while financially weak ones may abandon their sustainability and struggle to survive (Chomsky &amp; Pollen, 2020). Some approaches that can enhance financial resilience while focusing on sustainability in the hospitality industry include the following. Give priority to environmental investments on the yearly budgets and the inclusion of such expenditures into long-term financial plans. Perform intensive cost-benefit analysis for the sustainability investment and make sure they are in line with the financial targets (Atkinson &amp; Mourato, 2008). Focus on various sources of income, for instance, providing more services to enable extra money to contribute to environmental conservation activities. Partner with sustainable suppliers and organizations to minimize the cost without compromising sustainability. Implement risk management strategies that will help to offset any unexpected financial loss.</w:t>
      </w:r>
    </w:p>
    <w:p w:rsidR="00000000" w:rsidDel="00000000" w:rsidP="00000000" w:rsidRDefault="00000000" w:rsidRPr="00000000" w14:paraId="0000003C">
      <w:pPr>
        <w:spacing w:line="360" w:lineRule="auto"/>
        <w:rPr>
          <w:b w:val="1"/>
          <w:sz w:val="24"/>
          <w:szCs w:val="24"/>
        </w:rPr>
      </w:pPr>
      <w:r w:rsidDel="00000000" w:rsidR="00000000" w:rsidRPr="00000000">
        <w:rPr>
          <w:b w:val="1"/>
          <w:sz w:val="24"/>
          <w:szCs w:val="24"/>
          <w:rtl w:val="0"/>
        </w:rPr>
        <w:t xml:space="preserve">Future Recommendations</w:t>
      </w:r>
    </w:p>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The industry should understand that a balanced approach to financial profit and sustainability is not only desirable but also fundamental. Businesses have to acknowledge that sustainable practices lead to profits on a long-term plan. Sustainability should be embedded into core business through investments in environmentally friendly technologies, responsible sourcing and employees’ well-being (Walker &amp; Brammer, 2012). Hospitality businesses should, however, take the lead by being environmentally and socially accountable. They should take a vanguard position by creating sustainability standards instead of reacting to them. For instance, there are reductions in energy expenditure, less wastage of resources, support for communities and fairness along the supply chain. Businesses should adopt the Irridex Model to conduct systematic risk analysis and manage communities, people and the environment during their stages of business operation (Cheung &amp; Li, 2019). Businesses can enhance their sustainability practices by involving stakeholders, continuously monitoring their efforts, and adapting to community perceptions. Destination analysis should be based on the TALC model, as well as tailored sustainability strategies developed (McKercher &amp; Wong, 2021). In such a case, businesses need to expand their service portfolio, advertise sustainability-based activities, partner with the relevant stakeholders and periodically review the strategy as the destination evolves.</w:t>
      </w:r>
    </w:p>
    <w:p w:rsidR="00000000" w:rsidDel="00000000" w:rsidP="00000000" w:rsidRDefault="00000000" w:rsidRPr="00000000" w14:paraId="0000003E">
      <w:pPr>
        <w:spacing w:line="36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The hospitality industry has arrived at a crossroads where it has to strike a balance in the chase for financial profitability and social responsibility, as well as care for the environment. Consumers, regulators and wider global communities’ expectations cannot be met today by this traditional profit-centric approach. This concept called the Triple Bottom Line (People, Planet, Profit), has become an important compass and emphasizes that these three dimensions are inextricably linked. It drives home the point that sustainability for people and the planet should be incorporated into financial goals. A mixture of business interests and consumer preferences drives sustainability efforts in the hospitality industry. Businesses have realized the strategic implications of sustainability while customers demand nature-friendly accommodations and travel experiences. Sustainable and responsible tourism is more than just a moral obligation, it is also good business. It will be the most economical decision, help boost the company’s market reputation, and attract an increasing number of environmentally friendly consumers. There are models like Doxey’s Irridex and Butler’s Tourism Area Life Cycle (TALC) that help deal with the environment and social responsibilities sustainably. Such models enable companies to detect the harmful effects, design specific actions, keep on monitoring them and modify them where possible. Sustainability, profitability, proactive approach to environmental and social responsibilities, and structured models for business plans are the keys to the future of the hospitality industry. Responsible and sustainable tourism is essential in this fast-moving and competitive industry that helps attract stakeholders and investors. Sustainability should be a top priority for businesses, which is expected of them globally while they strive to remain relevant in a dynamic business environment.</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rtl w:val="0"/>
        </w:rPr>
      </w:r>
    </w:p>
    <w:p w:rsidR="00000000" w:rsidDel="00000000" w:rsidP="00000000" w:rsidRDefault="00000000" w:rsidRPr="00000000" w14:paraId="00000047">
      <w:pPr>
        <w:spacing w:line="360" w:lineRule="auto"/>
        <w:rPr>
          <w:sz w:val="24"/>
          <w:szCs w:val="24"/>
        </w:rPr>
      </w:pPr>
      <w:r w:rsidDel="00000000" w:rsidR="00000000" w:rsidRPr="00000000">
        <w:rPr>
          <w:rtl w:val="0"/>
        </w:rPr>
      </w:r>
    </w:p>
    <w:p w:rsidR="00000000" w:rsidDel="00000000" w:rsidP="00000000" w:rsidRDefault="00000000" w:rsidRPr="00000000" w14:paraId="00000048">
      <w:pPr>
        <w:spacing w:line="360" w:lineRule="auto"/>
        <w:rPr>
          <w:sz w:val="24"/>
          <w:szCs w:val="24"/>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rtl w:val="0"/>
        </w:rPr>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spacing w:line="360" w:lineRule="auto"/>
        <w:rPr>
          <w:sz w:val="24"/>
          <w:szCs w:val="24"/>
        </w:rPr>
      </w:pPr>
      <w:r w:rsidDel="00000000" w:rsidR="00000000" w:rsidRPr="00000000">
        <w:rPr>
          <w:rtl w:val="0"/>
        </w:rPr>
      </w:r>
    </w:p>
    <w:p w:rsidR="00000000" w:rsidDel="00000000" w:rsidP="00000000" w:rsidRDefault="00000000" w:rsidRPr="00000000" w14:paraId="0000004C">
      <w:pPr>
        <w:spacing w:line="360" w:lineRule="auto"/>
        <w:rPr>
          <w:sz w:val="24"/>
          <w:szCs w:val="24"/>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rtl w:val="0"/>
        </w:rPr>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sz w:val="24"/>
          <w:szCs w:val="24"/>
        </w:rPr>
      </w:pPr>
      <w:r w:rsidDel="00000000" w:rsidR="00000000" w:rsidRPr="00000000">
        <w:rPr>
          <w:rtl w:val="0"/>
        </w:rPr>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rPr>
      </w:pPr>
      <w:r w:rsidDel="00000000" w:rsidR="00000000" w:rsidRPr="00000000">
        <w:rPr>
          <w:rtl w:val="0"/>
        </w:rPr>
      </w:r>
    </w:p>
    <w:p w:rsidR="00000000" w:rsidDel="00000000" w:rsidP="00000000" w:rsidRDefault="00000000" w:rsidRPr="00000000" w14:paraId="00000054">
      <w:pPr>
        <w:spacing w:line="360" w:lineRule="auto"/>
        <w:jc w:val="center"/>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55">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Abdou, A.H., Hassan, T.H. and El Dief, M.M., 2020. A description of green hotel practices and their role in achieving sustainable development.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12</w:t>
      </w:r>
      <w:r w:rsidDel="00000000" w:rsidR="00000000" w:rsidRPr="00000000">
        <w:rPr>
          <w:color w:val="222222"/>
          <w:sz w:val="24"/>
          <w:szCs w:val="24"/>
          <w:highlight w:val="white"/>
          <w:rtl w:val="0"/>
        </w:rPr>
        <w:t xml:space="preserve">(22), p.9624. </w:t>
      </w:r>
      <w:hyperlink r:id="rId6">
        <w:r w:rsidDel="00000000" w:rsidR="00000000" w:rsidRPr="00000000">
          <w:rPr>
            <w:color w:val="1155cc"/>
            <w:sz w:val="24"/>
            <w:szCs w:val="24"/>
            <w:highlight w:val="white"/>
            <w:u w:val="single"/>
            <w:rtl w:val="0"/>
          </w:rPr>
          <w:t xml:space="preserve">https://www.mdpi.com/2071-1050/12/22/9624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6">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Atkinson, G. and Mourato, S., 2008. Environmental cost-benefit analysis. </w:t>
      </w:r>
      <w:r w:rsidDel="00000000" w:rsidR="00000000" w:rsidRPr="00000000">
        <w:rPr>
          <w:i w:val="1"/>
          <w:color w:val="222222"/>
          <w:sz w:val="24"/>
          <w:szCs w:val="24"/>
          <w:highlight w:val="white"/>
          <w:rtl w:val="0"/>
        </w:rPr>
        <w:t xml:space="preserve">Annual review of environment and resources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33</w:t>
      </w:r>
      <w:r w:rsidDel="00000000" w:rsidR="00000000" w:rsidRPr="00000000">
        <w:rPr>
          <w:color w:val="222222"/>
          <w:sz w:val="24"/>
          <w:szCs w:val="24"/>
          <w:highlight w:val="white"/>
          <w:rtl w:val="0"/>
        </w:rPr>
        <w:t xml:space="preserve">, pp.317-344. </w:t>
      </w:r>
      <w:hyperlink r:id="rId7">
        <w:r w:rsidDel="00000000" w:rsidR="00000000" w:rsidRPr="00000000">
          <w:rPr>
            <w:color w:val="1155cc"/>
            <w:sz w:val="24"/>
            <w:szCs w:val="24"/>
            <w:highlight w:val="white"/>
            <w:u w:val="single"/>
            <w:rtl w:val="0"/>
          </w:rPr>
          <w:t xml:space="preserve">https://www.annualreviews.org/doi/abs/10.1146/annurev.environ.33.020107.112927</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7">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Chomsky, N. and Pollin, R., 2020. </w:t>
      </w:r>
      <w:r w:rsidDel="00000000" w:rsidR="00000000" w:rsidRPr="00000000">
        <w:rPr>
          <w:i w:val="1"/>
          <w:color w:val="222222"/>
          <w:sz w:val="24"/>
          <w:szCs w:val="24"/>
          <w:highlight w:val="white"/>
          <w:rtl w:val="0"/>
        </w:rPr>
        <w:t xml:space="preserve">Climate crisis and the global green new deal: The political economy of saving the planet</w:t>
      </w:r>
      <w:r w:rsidDel="00000000" w:rsidR="00000000" w:rsidRPr="00000000">
        <w:rPr>
          <w:color w:val="222222"/>
          <w:sz w:val="24"/>
          <w:szCs w:val="24"/>
          <w:highlight w:val="white"/>
          <w:rtl w:val="0"/>
        </w:rPr>
        <w:t xml:space="preserve">. Verso Books. </w:t>
      </w:r>
      <w:hyperlink r:id="rId8">
        <w:r w:rsidDel="00000000" w:rsidR="00000000" w:rsidRPr="00000000">
          <w:rPr>
            <w:color w:val="1155cc"/>
            <w:sz w:val="24"/>
            <w:szCs w:val="24"/>
            <w:highlight w:val="white"/>
            <w:u w:val="single"/>
            <w:rtl w:val="0"/>
          </w:rPr>
          <w:t xml:space="preserve">https://books.google.com/books?hl=en&amp;lr=&amp;id=PlT5DwAAQBAJ&amp;oi=fnd&amp;pg=PR7&amp;dq=Businesses+with+robust+financial+reserves+can+endure+these+storms+and+keep+on+track+of+sustainability,+while+financially+weak+ones+may+abandon+their+sustainability+and+struggle+to+survive.+&amp;ots=pmfKqaDIWb&amp;sig=wQaubuniDRmZUipDFtQiUCVeR6M</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8">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Cheung, K.S. and Li, L.H., 2019. Understanding visitor–resident relations in overtourism: Developing resilience for sustainable tourism. </w:t>
      </w:r>
      <w:r w:rsidDel="00000000" w:rsidR="00000000" w:rsidRPr="00000000">
        <w:rPr>
          <w:i w:val="1"/>
          <w:color w:val="222222"/>
          <w:sz w:val="24"/>
          <w:szCs w:val="24"/>
          <w:highlight w:val="white"/>
          <w:rtl w:val="0"/>
        </w:rPr>
        <w:t xml:space="preserve">Journal of Sustainable Tourism</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27</w:t>
      </w:r>
      <w:r w:rsidDel="00000000" w:rsidR="00000000" w:rsidRPr="00000000">
        <w:rPr>
          <w:color w:val="222222"/>
          <w:sz w:val="24"/>
          <w:szCs w:val="24"/>
          <w:highlight w:val="white"/>
          <w:rtl w:val="0"/>
        </w:rPr>
        <w:t xml:space="preserve">(8), pp.1197-1216. </w:t>
      </w:r>
      <w:hyperlink r:id="rId9">
        <w:r w:rsidDel="00000000" w:rsidR="00000000" w:rsidRPr="00000000">
          <w:rPr>
            <w:color w:val="1155cc"/>
            <w:sz w:val="24"/>
            <w:szCs w:val="24"/>
            <w:highlight w:val="white"/>
            <w:u w:val="single"/>
            <w:rtl w:val="0"/>
          </w:rPr>
          <w:t xml:space="preserve">https://www.tandfonline.com/doi/abs/10.1080/09669582.2019.1606815</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9">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Crawford, B.J., Haneman, V.J. and Blattmachr, J.G., 2023. Gift tax consequences of luxury hospitality: An introduction. </w:t>
      </w:r>
      <w:hyperlink r:id="rId10">
        <w:r w:rsidDel="00000000" w:rsidR="00000000" w:rsidRPr="00000000">
          <w:rPr>
            <w:color w:val="1155cc"/>
            <w:sz w:val="24"/>
            <w:szCs w:val="24"/>
            <w:highlight w:val="white"/>
            <w:u w:val="single"/>
            <w:rtl w:val="0"/>
          </w:rPr>
          <w:t xml:space="preserve">https://papers.ssrn.com/sol3/papers.cfm?abstract_id=4449488</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A">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Dangi, T.B. and Jamal, T., 2016. An integrated approach to “sustainable community-based tourism”. </w:t>
      </w:r>
      <w:r w:rsidDel="00000000" w:rsidR="00000000" w:rsidRPr="00000000">
        <w:rPr>
          <w:i w:val="1"/>
          <w:color w:val="222222"/>
          <w:sz w:val="24"/>
          <w:szCs w:val="24"/>
          <w:highlight w:val="white"/>
          <w:rtl w:val="0"/>
        </w:rPr>
        <w:t xml:space="preserve">Sustainability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w:t>
      </w:r>
      <w:r w:rsidDel="00000000" w:rsidR="00000000" w:rsidRPr="00000000">
        <w:rPr>
          <w:color w:val="222222"/>
          <w:sz w:val="24"/>
          <w:szCs w:val="24"/>
          <w:highlight w:val="white"/>
          <w:rtl w:val="0"/>
        </w:rPr>
        <w:t xml:space="preserve">(5), p.475. </w:t>
      </w:r>
      <w:hyperlink r:id="rId11">
        <w:r w:rsidDel="00000000" w:rsidR="00000000" w:rsidRPr="00000000">
          <w:rPr>
            <w:color w:val="1155cc"/>
            <w:sz w:val="24"/>
            <w:szCs w:val="24"/>
            <w:highlight w:val="white"/>
            <w:u w:val="single"/>
            <w:rtl w:val="0"/>
          </w:rPr>
          <w:t xml:space="preserve">https://www.mdpi.com/2071-1050/8/5/475</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B">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Esty, D.C. and Winston, A., 2009. </w:t>
      </w:r>
      <w:r w:rsidDel="00000000" w:rsidR="00000000" w:rsidRPr="00000000">
        <w:rPr>
          <w:i w:val="1"/>
          <w:color w:val="222222"/>
          <w:sz w:val="24"/>
          <w:szCs w:val="24"/>
          <w:highlight w:val="white"/>
          <w:rtl w:val="0"/>
        </w:rPr>
        <w:t xml:space="preserve">Green to gold: How smart companies use environmental strategy to innovate, create value, and build competitive advantage</w:t>
      </w:r>
      <w:r w:rsidDel="00000000" w:rsidR="00000000" w:rsidRPr="00000000">
        <w:rPr>
          <w:color w:val="222222"/>
          <w:sz w:val="24"/>
          <w:szCs w:val="24"/>
          <w:highlight w:val="white"/>
          <w:rtl w:val="0"/>
        </w:rPr>
        <w:t xml:space="preserve">. John Wiley &amp; Sons. </w:t>
      </w:r>
      <w:hyperlink r:id="rId12">
        <w:r w:rsidDel="00000000" w:rsidR="00000000" w:rsidRPr="00000000">
          <w:rPr>
            <w:color w:val="1155cc"/>
            <w:sz w:val="24"/>
            <w:szCs w:val="24"/>
            <w:highlight w:val="white"/>
            <w:u w:val="single"/>
            <w:rtl w:val="0"/>
          </w:rPr>
          <w:t xml:space="preserve">https://books.google.com/books?hl=en&amp;lr=&amp;id=2NJ9fWqXLdwC&amp;oi=fnd&amp;pg=PR10&amp;dq=Smart+consumers+often+choose+businesses+whose+values+and+environmental+awareness+match+their+own&amp;ots=xTRWlnt5VG&amp;sig=S1E_ip5glWBOYVVPr1MVl7ytYVM</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C">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Giang, N.P., Tam, M.H.T. and Ngan, M.L.T.H., 2022. Triple Bottom Line (Tbl) Performance from Sustainable Reporting Perspective. </w:t>
      </w:r>
      <w:r w:rsidDel="00000000" w:rsidR="00000000" w:rsidRPr="00000000">
        <w:rPr>
          <w:i w:val="1"/>
          <w:color w:val="222222"/>
          <w:sz w:val="24"/>
          <w:szCs w:val="24"/>
          <w:highlight w:val="white"/>
          <w:rtl w:val="0"/>
        </w:rPr>
        <w:t xml:space="preserve">Journal of Positive School Psychology</w:t>
      </w:r>
      <w:r w:rsidDel="00000000" w:rsidR="00000000" w:rsidRPr="00000000">
        <w:rPr>
          <w:color w:val="222222"/>
          <w:sz w:val="24"/>
          <w:szCs w:val="24"/>
          <w:highlight w:val="white"/>
          <w:rtl w:val="0"/>
        </w:rPr>
        <w:t xml:space="preserve">, pp.11528-11543. </w:t>
      </w:r>
      <w:hyperlink r:id="rId13">
        <w:r w:rsidDel="00000000" w:rsidR="00000000" w:rsidRPr="00000000">
          <w:rPr>
            <w:color w:val="1155cc"/>
            <w:sz w:val="24"/>
            <w:szCs w:val="24"/>
            <w:highlight w:val="white"/>
            <w:u w:val="single"/>
            <w:rtl w:val="0"/>
          </w:rPr>
          <w:t xml:space="preserve">https://journalppw.com/index.php/jpsp/article/view/7008</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D">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Gordon, P., 2001. </w:t>
      </w:r>
      <w:r w:rsidDel="00000000" w:rsidR="00000000" w:rsidRPr="00000000">
        <w:rPr>
          <w:i w:val="1"/>
          <w:color w:val="222222"/>
          <w:sz w:val="24"/>
          <w:szCs w:val="24"/>
          <w:highlight w:val="white"/>
          <w:rtl w:val="0"/>
        </w:rPr>
        <w:t xml:space="preserve">Lean and green: profit for your workplace and the environment</w:t>
      </w:r>
      <w:r w:rsidDel="00000000" w:rsidR="00000000" w:rsidRPr="00000000">
        <w:rPr>
          <w:color w:val="222222"/>
          <w:sz w:val="24"/>
          <w:szCs w:val="24"/>
          <w:highlight w:val="white"/>
          <w:rtl w:val="0"/>
        </w:rPr>
        <w:t xml:space="preserve">. Berrett-Koehler Publishers. </w:t>
      </w:r>
      <w:hyperlink r:id="rId14">
        <w:r w:rsidDel="00000000" w:rsidR="00000000" w:rsidRPr="00000000">
          <w:rPr>
            <w:color w:val="1155cc"/>
            <w:sz w:val="24"/>
            <w:szCs w:val="24"/>
            <w:highlight w:val="white"/>
            <w:u w:val="single"/>
            <w:rtl w:val="0"/>
          </w:rPr>
          <w:t xml:space="preserve">https://books.google.com/books?hl=en&amp;lr=&amp;id=0uzL1nC-ZxMC&amp;oi=fnd&amp;pg=PA1&amp;dq=+Sustainability+and+profitability+are+not+mutually+exclusive%3B+profitability+can+be+a+means+of+sustainability.+&amp;ots=qfOXk18Brs&amp;sig=2N6XfJo46XafRwZRAyzRaVQOvlU</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E">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Ind, N., 2007. </w:t>
      </w:r>
      <w:r w:rsidDel="00000000" w:rsidR="00000000" w:rsidRPr="00000000">
        <w:rPr>
          <w:i w:val="1"/>
          <w:color w:val="222222"/>
          <w:sz w:val="24"/>
          <w:szCs w:val="24"/>
          <w:highlight w:val="white"/>
          <w:rtl w:val="0"/>
        </w:rPr>
        <w:t xml:space="preserve">Living the brand: How to transform every member of your organization into a brand champion</w:t>
      </w:r>
      <w:r w:rsidDel="00000000" w:rsidR="00000000" w:rsidRPr="00000000">
        <w:rPr>
          <w:color w:val="222222"/>
          <w:sz w:val="24"/>
          <w:szCs w:val="24"/>
          <w:highlight w:val="white"/>
          <w:rtl w:val="0"/>
        </w:rPr>
        <w:t xml:space="preserve">. Kogan Page Publishers. </w:t>
      </w:r>
      <w:hyperlink r:id="rId15">
        <w:r w:rsidDel="00000000" w:rsidR="00000000" w:rsidRPr="00000000">
          <w:rPr>
            <w:color w:val="1155cc"/>
            <w:sz w:val="24"/>
            <w:szCs w:val="24"/>
            <w:highlight w:val="white"/>
            <w:u w:val="single"/>
            <w:rtl w:val="0"/>
          </w:rPr>
          <w:t xml:space="preserve">https://books.google.com/books?hl=en&amp;lr=&amp;id=IOvs6ERNCS0C&amp;oi=fnd&amp;pg=PR5&amp;dq=Lower+prices+generally+translated+to+little+investments+in+property+upkeep+and+staff+development,+impacting+the+comfort+of+guests+and+the+brand%E2%80%99s+image.&amp;ots=i6F78_w1DJ&amp;sig=M5d255LYV7khv0p2ActpRlgg0J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5F">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Kedang, R.N. and Soesilo, N.I., 2021, March. Sustainable tourism development strategy in Bintan Regency based on Tourism Area Life Cycle. In </w:t>
      </w:r>
      <w:r w:rsidDel="00000000" w:rsidR="00000000" w:rsidRPr="00000000">
        <w:rPr>
          <w:i w:val="1"/>
          <w:color w:val="222222"/>
          <w:sz w:val="24"/>
          <w:szCs w:val="24"/>
          <w:highlight w:val="white"/>
          <w:rtl w:val="0"/>
        </w:rPr>
        <w:t xml:space="preserve">IOP Conference Series: Earth and Environmental Science</w:t>
      </w:r>
      <w:r w:rsidDel="00000000" w:rsidR="00000000" w:rsidRPr="00000000">
        <w:rPr>
          <w:color w:val="222222"/>
          <w:sz w:val="24"/>
          <w:szCs w:val="24"/>
          <w:highlight w:val="white"/>
          <w:rtl w:val="0"/>
        </w:rPr>
        <w:t xml:space="preserve"> (Vol. 716, No. 1, p. 012138). IOP Publishing. </w:t>
      </w:r>
      <w:hyperlink r:id="rId16">
        <w:r w:rsidDel="00000000" w:rsidR="00000000" w:rsidRPr="00000000">
          <w:rPr>
            <w:color w:val="1155cc"/>
            <w:sz w:val="24"/>
            <w:szCs w:val="24"/>
            <w:highlight w:val="white"/>
            <w:u w:val="single"/>
            <w:rtl w:val="0"/>
          </w:rPr>
          <w:t xml:space="preserve">https://iopscience.iop.org/article/10.1088/1755-1315/716/1/012138/meta</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0">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Kuo, P.J. and Kalargyrou, V., 2014. Consumers' perspectives on service staff with disabilities in the hospitality industry.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26</w:t>
      </w:r>
      <w:r w:rsidDel="00000000" w:rsidR="00000000" w:rsidRPr="00000000">
        <w:rPr>
          <w:color w:val="222222"/>
          <w:sz w:val="24"/>
          <w:szCs w:val="24"/>
          <w:highlight w:val="white"/>
          <w:rtl w:val="0"/>
        </w:rPr>
        <w:t xml:space="preserve">(2), pp.164-182. </w:t>
      </w:r>
      <w:hyperlink r:id="rId17">
        <w:r w:rsidDel="00000000" w:rsidR="00000000" w:rsidRPr="00000000">
          <w:rPr>
            <w:color w:val="1155cc"/>
            <w:sz w:val="24"/>
            <w:szCs w:val="24"/>
            <w:highlight w:val="white"/>
            <w:u w:val="single"/>
            <w:rtl w:val="0"/>
          </w:rPr>
          <w:t xml:space="preserve">https://www.researchgate.net/publication/263602243_Consumers'_perspectives_on_service_staff_with_disabilities_in_the_hospitality_industry</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1">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Legrand, W., Chen, J.S. and Laeis, G.C., 2022. </w:t>
      </w:r>
      <w:r w:rsidDel="00000000" w:rsidR="00000000" w:rsidRPr="00000000">
        <w:rPr>
          <w:i w:val="1"/>
          <w:color w:val="222222"/>
          <w:sz w:val="24"/>
          <w:szCs w:val="24"/>
          <w:highlight w:val="white"/>
          <w:rtl w:val="0"/>
        </w:rPr>
        <w:t xml:space="preserve">Sustainability in the hospitality industry: Principles of sustainable operations</w:t>
      </w:r>
      <w:r w:rsidDel="00000000" w:rsidR="00000000" w:rsidRPr="00000000">
        <w:rPr>
          <w:color w:val="222222"/>
          <w:sz w:val="24"/>
          <w:szCs w:val="24"/>
          <w:highlight w:val="white"/>
          <w:rtl w:val="0"/>
        </w:rPr>
        <w:t xml:space="preserve">. Taylor &amp; Francis. </w:t>
      </w:r>
      <w:hyperlink r:id="rId18">
        <w:r w:rsidDel="00000000" w:rsidR="00000000" w:rsidRPr="00000000">
          <w:rPr>
            <w:color w:val="1155cc"/>
            <w:sz w:val="24"/>
            <w:szCs w:val="24"/>
            <w:highlight w:val="white"/>
            <w:u w:val="single"/>
            <w:rtl w:val="0"/>
          </w:rPr>
          <w:t xml:space="preserve">https://books.google.co.ke/books?hl=en&amp;lr=&amp;id=NWJ6EAAAQBAJ&amp;oi=fnd&amp;pg=PT19&amp;dq=Hospitality+establishments+acknowledge+the+necessity+to+minimize+their+ecological+footprint&amp;ots=bfIZcunPVX&amp;sig=M23wtusj9tdSqERhjm3XpNXWL28&amp;redir_esc=y#v=onepage&amp;q=Hospitality%20establishments%20acknowledge%20the%20necessity%20to%20minimize%20their%20ecological%20footprint&amp;f=false</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2">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Manalu, L. and Manik, Y., 2021, April. Characterization of ecotourism destinations in Toba Lake area with the Tourism Area Life Cycle (TALC) method and sustainability analysis. In </w:t>
      </w:r>
      <w:r w:rsidDel="00000000" w:rsidR="00000000" w:rsidRPr="00000000">
        <w:rPr>
          <w:i w:val="1"/>
          <w:color w:val="222222"/>
          <w:sz w:val="24"/>
          <w:szCs w:val="24"/>
          <w:highlight w:val="white"/>
          <w:rtl w:val="0"/>
        </w:rPr>
        <w:t xml:space="preserve">IOP Conference Series: Earth and Environmental Science</w:t>
      </w:r>
      <w:r w:rsidDel="00000000" w:rsidR="00000000" w:rsidRPr="00000000">
        <w:rPr>
          <w:color w:val="222222"/>
          <w:sz w:val="24"/>
          <w:szCs w:val="24"/>
          <w:highlight w:val="white"/>
          <w:rtl w:val="0"/>
        </w:rPr>
        <w:t xml:space="preserve"> (Vol. 737, No. 1, p. 012017). IOP Publishing. </w:t>
      </w:r>
      <w:hyperlink r:id="rId19">
        <w:r w:rsidDel="00000000" w:rsidR="00000000" w:rsidRPr="00000000">
          <w:rPr>
            <w:color w:val="1155cc"/>
            <w:sz w:val="24"/>
            <w:szCs w:val="24"/>
            <w:highlight w:val="white"/>
            <w:u w:val="single"/>
            <w:rtl w:val="0"/>
          </w:rPr>
          <w:t xml:space="preserve">https://iopscience.iop.org/article/10.1088/1755-1315/737/1/012017/meta</w:t>
        </w:r>
      </w:hyperlink>
      <w:r w:rsidDel="00000000" w:rsidR="00000000" w:rsidRPr="00000000">
        <w:rPr>
          <w:rtl w:val="0"/>
        </w:rPr>
      </w:r>
    </w:p>
    <w:p w:rsidR="00000000" w:rsidDel="00000000" w:rsidP="00000000" w:rsidRDefault="00000000" w:rsidRPr="00000000" w14:paraId="00000063">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Matatolu, I., 2019. Tourism and residents quality of life: a critical examination. </w:t>
      </w:r>
      <w:r w:rsidDel="00000000" w:rsidR="00000000" w:rsidRPr="00000000">
        <w:rPr>
          <w:i w:val="1"/>
          <w:color w:val="222222"/>
          <w:sz w:val="24"/>
          <w:szCs w:val="24"/>
          <w:highlight w:val="white"/>
          <w:rtl w:val="0"/>
        </w:rPr>
        <w:t xml:space="preserve">Journal of Pacific Studies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39</w:t>
      </w:r>
      <w:r w:rsidDel="00000000" w:rsidR="00000000" w:rsidRPr="00000000">
        <w:rPr>
          <w:color w:val="222222"/>
          <w:sz w:val="24"/>
          <w:szCs w:val="24"/>
          <w:highlight w:val="white"/>
          <w:rtl w:val="0"/>
        </w:rPr>
        <w:t xml:space="preserve">(1), pp.128-164. </w:t>
      </w:r>
      <w:hyperlink r:id="rId20">
        <w:r w:rsidDel="00000000" w:rsidR="00000000" w:rsidRPr="00000000">
          <w:rPr>
            <w:color w:val="1155cc"/>
            <w:sz w:val="24"/>
            <w:szCs w:val="24"/>
            <w:highlight w:val="white"/>
            <w:u w:val="single"/>
            <w:rtl w:val="0"/>
          </w:rPr>
          <w:t xml:space="preserve">https://www.researchgate.net/publication/339055438_Tourism_and_Residents'_Quality_of_Life_A_Critical_Examination</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4">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McKercher, B. and Wong, I.A., 2021. Do destinations have multiple lifecycles?. </w:t>
      </w:r>
      <w:r w:rsidDel="00000000" w:rsidR="00000000" w:rsidRPr="00000000">
        <w:rPr>
          <w:i w:val="1"/>
          <w:color w:val="222222"/>
          <w:sz w:val="24"/>
          <w:szCs w:val="24"/>
          <w:highlight w:val="white"/>
          <w:rtl w:val="0"/>
        </w:rPr>
        <w:t xml:space="preserve">Tourism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83</w:t>
      </w:r>
      <w:r w:rsidDel="00000000" w:rsidR="00000000" w:rsidRPr="00000000">
        <w:rPr>
          <w:color w:val="222222"/>
          <w:sz w:val="24"/>
          <w:szCs w:val="24"/>
          <w:highlight w:val="white"/>
          <w:rtl w:val="0"/>
        </w:rPr>
        <w:t xml:space="preserve">, p.104232. </w:t>
      </w:r>
      <w:hyperlink r:id="rId21">
        <w:r w:rsidDel="00000000" w:rsidR="00000000" w:rsidRPr="00000000">
          <w:rPr>
            <w:color w:val="1155cc"/>
            <w:sz w:val="24"/>
            <w:szCs w:val="24"/>
            <w:highlight w:val="white"/>
            <w:u w:val="single"/>
            <w:rtl w:val="0"/>
          </w:rPr>
          <w:t xml:space="preserve">https://www.ncbi.nlm.nih.gov/pmc/articles/PMC7522004/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5">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Mohamed, N.R.W. and Mohamed, B., 2010, December. An Exploration of Irritation Attitudes of Host Community towards Tourists Case Study: Pulau Perhentian Terengganu Malaysia. In </w:t>
      </w:r>
      <w:r w:rsidDel="00000000" w:rsidR="00000000" w:rsidRPr="00000000">
        <w:rPr>
          <w:i w:val="1"/>
          <w:color w:val="222222"/>
          <w:sz w:val="24"/>
          <w:szCs w:val="24"/>
          <w:highlight w:val="white"/>
          <w:rtl w:val="0"/>
        </w:rPr>
        <w:t xml:space="preserve">Proceedings of Regional Conference on Tourism Research</w:t>
      </w:r>
      <w:r w:rsidDel="00000000" w:rsidR="00000000" w:rsidRPr="00000000">
        <w:rPr>
          <w:color w:val="222222"/>
          <w:sz w:val="24"/>
          <w:szCs w:val="24"/>
          <w:highlight w:val="white"/>
          <w:rtl w:val="0"/>
        </w:rPr>
        <w:t xml:space="preserve"> (p. 136). </w:t>
      </w:r>
      <w:hyperlink r:id="rId22">
        <w:r w:rsidDel="00000000" w:rsidR="00000000" w:rsidRPr="00000000">
          <w:rPr>
            <w:color w:val="1155cc"/>
            <w:sz w:val="24"/>
            <w:szCs w:val="24"/>
            <w:highlight w:val="white"/>
            <w:u w:val="single"/>
            <w:rtl w:val="0"/>
          </w:rPr>
          <w:t xml:space="preserve">https://core.ac.uk/download/pdf/16410928.pdf#page=147</w:t>
        </w:r>
      </w:hyperlink>
      <w:r w:rsidDel="00000000" w:rsidR="00000000" w:rsidRPr="00000000">
        <w:rPr>
          <w:rtl w:val="0"/>
        </w:rPr>
      </w:r>
    </w:p>
    <w:p w:rsidR="00000000" w:rsidDel="00000000" w:rsidP="00000000" w:rsidRDefault="00000000" w:rsidRPr="00000000" w14:paraId="00000066">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Walker, H. and Brammer, S., 2012. The relationship between sustainable procurement and e-procurement in the public sector. </w:t>
      </w:r>
      <w:r w:rsidDel="00000000" w:rsidR="00000000" w:rsidRPr="00000000">
        <w:rPr>
          <w:i w:val="1"/>
          <w:color w:val="222222"/>
          <w:sz w:val="24"/>
          <w:szCs w:val="24"/>
          <w:highlight w:val="white"/>
          <w:rtl w:val="0"/>
        </w:rPr>
        <w:t xml:space="preserve">International Journal of Production Economics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140</w:t>
      </w:r>
      <w:r w:rsidDel="00000000" w:rsidR="00000000" w:rsidRPr="00000000">
        <w:rPr>
          <w:color w:val="222222"/>
          <w:sz w:val="24"/>
          <w:szCs w:val="24"/>
          <w:highlight w:val="white"/>
          <w:rtl w:val="0"/>
        </w:rPr>
        <w:t xml:space="preserve">(1), pp.256-268. </w:t>
      </w:r>
      <w:hyperlink r:id="rId23">
        <w:r w:rsidDel="00000000" w:rsidR="00000000" w:rsidRPr="00000000">
          <w:rPr>
            <w:color w:val="1155cc"/>
            <w:sz w:val="24"/>
            <w:szCs w:val="24"/>
            <w:highlight w:val="white"/>
            <w:u w:val="single"/>
            <w:rtl w:val="0"/>
          </w:rPr>
          <w:t xml:space="preserve">https://www.sciencedirect.com/science/article/pii/S0925527312000096</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7">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Wang, S. and Mirehie, M., 2022. Community perceptions of tourism impacts. </w:t>
      </w:r>
      <w:r w:rsidDel="00000000" w:rsidR="00000000" w:rsidRPr="00000000">
        <w:rPr>
          <w:i w:val="1"/>
          <w:color w:val="222222"/>
          <w:sz w:val="24"/>
          <w:szCs w:val="24"/>
          <w:highlight w:val="white"/>
          <w:rtl w:val="0"/>
        </w:rPr>
        <w:t xml:space="preserve">Handbook of Tourism Impacts</w:t>
      </w:r>
      <w:r w:rsidDel="00000000" w:rsidR="00000000" w:rsidRPr="00000000">
        <w:rPr>
          <w:color w:val="222222"/>
          <w:sz w:val="24"/>
          <w:szCs w:val="24"/>
          <w:highlight w:val="white"/>
          <w:rtl w:val="0"/>
        </w:rPr>
        <w:t xml:space="preserve">, pp.60-74. </w:t>
      </w:r>
      <w:hyperlink r:id="rId24">
        <w:r w:rsidDel="00000000" w:rsidR="00000000" w:rsidRPr="00000000">
          <w:rPr>
            <w:color w:val="1155cc"/>
            <w:sz w:val="24"/>
            <w:szCs w:val="24"/>
            <w:highlight w:val="white"/>
            <w:u w:val="single"/>
            <w:rtl w:val="0"/>
          </w:rPr>
          <w:t xml:space="preserve">https://books.google.com/books?hl=en&amp;lr=&amp;id=w-RvEAAAQBAJ&amp;oi=fnd&amp;pg=PA60&amp;dq=Doxey%E2%80%99s+Irridex+Model&amp;ots=Ge4ek_PKA-&amp;sig=St6u1huA7TC2FaeQ7hYdeI8PV20</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8">
      <w:pPr>
        <w:spacing w:line="360" w:lineRule="auto"/>
        <w:ind w:left="720" w:hanging="720"/>
        <w:rPr>
          <w:color w:val="222222"/>
          <w:sz w:val="24"/>
          <w:szCs w:val="24"/>
          <w:highlight w:val="white"/>
        </w:rPr>
      </w:pPr>
      <w:r w:rsidDel="00000000" w:rsidR="00000000" w:rsidRPr="00000000">
        <w:rPr>
          <w:color w:val="222222"/>
          <w:sz w:val="24"/>
          <w:szCs w:val="24"/>
          <w:highlight w:val="white"/>
          <w:rtl w:val="0"/>
        </w:rPr>
        <w:t xml:space="preserve">Woyo, E. and Slabbert, E., 2021. Tourism destination competitiveness: A view from suppliers operating in a country with political challenges. </w:t>
      </w:r>
      <w:r w:rsidDel="00000000" w:rsidR="00000000" w:rsidRPr="00000000">
        <w:rPr>
          <w:i w:val="1"/>
          <w:color w:val="222222"/>
          <w:sz w:val="24"/>
          <w:szCs w:val="24"/>
          <w:highlight w:val="white"/>
          <w:rtl w:val="0"/>
        </w:rPr>
        <w:t xml:space="preserve">South African Journal of Economic and Management Sciences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24</w:t>
      </w:r>
      <w:r w:rsidDel="00000000" w:rsidR="00000000" w:rsidRPr="00000000">
        <w:rPr>
          <w:color w:val="222222"/>
          <w:sz w:val="24"/>
          <w:szCs w:val="24"/>
          <w:highlight w:val="white"/>
          <w:rtl w:val="0"/>
        </w:rPr>
        <w:t xml:space="preserve">(1), p.3717. </w:t>
      </w:r>
      <w:hyperlink r:id="rId25">
        <w:r w:rsidDel="00000000" w:rsidR="00000000" w:rsidRPr="00000000">
          <w:rPr>
            <w:color w:val="1155cc"/>
            <w:sz w:val="24"/>
            <w:szCs w:val="24"/>
            <w:highlight w:val="white"/>
            <w:u w:val="single"/>
            <w:rtl w:val="0"/>
          </w:rPr>
          <w:t xml:space="preserve">https://sajems.org/index.php/sajems/article/view/3717/2285</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69">
      <w:pPr>
        <w:spacing w:line="360" w:lineRule="auto"/>
        <w:rPr>
          <w:sz w:val="24"/>
          <w:szCs w:val="24"/>
        </w:rPr>
      </w:pPr>
      <w:r w:rsidDel="00000000" w:rsidR="00000000" w:rsidRPr="00000000">
        <w:rPr>
          <w:rtl w:val="0"/>
        </w:rPr>
      </w:r>
    </w:p>
    <w:p w:rsidR="00000000" w:rsidDel="00000000" w:rsidP="00000000" w:rsidRDefault="00000000" w:rsidRPr="00000000" w14:paraId="0000006A">
      <w:pPr>
        <w:spacing w:line="360" w:lineRule="auto"/>
        <w:rPr>
          <w:sz w:val="24"/>
          <w:szCs w:val="24"/>
        </w:rPr>
      </w:pPr>
      <w:r w:rsidDel="00000000" w:rsidR="00000000" w:rsidRPr="00000000">
        <w:rPr>
          <w:rtl w:val="0"/>
        </w:rPr>
      </w:r>
    </w:p>
    <w:sectPr>
      <w:head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339055438_Tourism_and_Residents'_Quality_of_Life_A_Critical_Examination" TargetMode="External"/><Relationship Id="rId22" Type="http://schemas.openxmlformats.org/officeDocument/2006/relationships/hyperlink" Target="https://core.ac.uk/download/pdf/16410928.pdf#page=147" TargetMode="External"/><Relationship Id="rId21" Type="http://schemas.openxmlformats.org/officeDocument/2006/relationships/hyperlink" Target="https://www.ncbi.nlm.nih.gov/pmc/articles/PMC7522004/" TargetMode="External"/><Relationship Id="rId24" Type="http://schemas.openxmlformats.org/officeDocument/2006/relationships/hyperlink" Target="https://books.google.com/books?hl=en&amp;lr=&amp;id=w-RvEAAAQBAJ&amp;oi=fnd&amp;pg=PA60&amp;dq=Doxey%E2%80%99s+Irridex+Model&amp;ots=Ge4ek_PKA-&amp;sig=St6u1huA7TC2FaeQ7hYdeI8PV20" TargetMode="External"/><Relationship Id="rId23" Type="http://schemas.openxmlformats.org/officeDocument/2006/relationships/hyperlink" Target="https://www.sciencedirect.com/science/article/pii/S092552731200009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doi/abs/10.1080/09669582.2019.1606815" TargetMode="External"/><Relationship Id="rId26" Type="http://schemas.openxmlformats.org/officeDocument/2006/relationships/header" Target="header1.xml"/><Relationship Id="rId25" Type="http://schemas.openxmlformats.org/officeDocument/2006/relationships/hyperlink" Target="https://sajems.org/index.php/sajems/article/view/3717/2285" TargetMode="External"/><Relationship Id="rId5" Type="http://schemas.openxmlformats.org/officeDocument/2006/relationships/styles" Target="styles.xml"/><Relationship Id="rId6" Type="http://schemas.openxmlformats.org/officeDocument/2006/relationships/hyperlink" Target="https://www.mdpi.com/2071-1050/12/22/9624" TargetMode="External"/><Relationship Id="rId7" Type="http://schemas.openxmlformats.org/officeDocument/2006/relationships/hyperlink" Target="https://www.annualreviews.org/doi/abs/10.1146/annurev.environ.33.020107.112927" TargetMode="External"/><Relationship Id="rId8" Type="http://schemas.openxmlformats.org/officeDocument/2006/relationships/hyperlink" Target="https://books.google.com/books?hl=en&amp;lr=&amp;id=PlT5DwAAQBAJ&amp;oi=fnd&amp;pg=PR7&amp;dq=Businesses+with+robust+financial+reserves+can+endure+these+storms+and+keep+on+track+of+sustainability,+while+financially+weak+ones+may+abandon+their+sustainability+and+struggle+to+survive.+&amp;ots=pmfKqaDIWb&amp;sig=wQaubuniDRmZUipDFtQiUCVeR6M" TargetMode="External"/><Relationship Id="rId11" Type="http://schemas.openxmlformats.org/officeDocument/2006/relationships/hyperlink" Target="https://www.mdpi.com/2071-1050/8/5/475" TargetMode="External"/><Relationship Id="rId10" Type="http://schemas.openxmlformats.org/officeDocument/2006/relationships/hyperlink" Target="https://papers.ssrn.com/sol3/papers.cfm?abstract_id=4449488" TargetMode="External"/><Relationship Id="rId13" Type="http://schemas.openxmlformats.org/officeDocument/2006/relationships/hyperlink" Target="https://journalppw.com/index.php/jpsp/article/view/7008" TargetMode="External"/><Relationship Id="rId12" Type="http://schemas.openxmlformats.org/officeDocument/2006/relationships/hyperlink" Target="https://books.google.com/books?hl=en&amp;lr=&amp;id=2NJ9fWqXLdwC&amp;oi=fnd&amp;pg=PR10&amp;dq=Smart+consumers+often+choose+businesses+whose+values+and+environmental+awareness+match+their+own&amp;ots=xTRWlnt5VG&amp;sig=S1E_ip5glWBOYVVPr1MVl7ytYVM" TargetMode="External"/><Relationship Id="rId15" Type="http://schemas.openxmlformats.org/officeDocument/2006/relationships/hyperlink" Target="https://books.google.com/books?hl=en&amp;lr=&amp;id=IOvs6ERNCS0C&amp;oi=fnd&amp;pg=PR5&amp;dq=Lower+prices+generally+translated+to+little+investments+in+property+upkeep+and+staff+development,+impacting+the+comfort+of+guests+and+the+brand%E2%80%99s+image.&amp;ots=i6F78_w1DJ&amp;sig=M5d255LYV7khv0p2ActpRlgg0J4" TargetMode="External"/><Relationship Id="rId14" Type="http://schemas.openxmlformats.org/officeDocument/2006/relationships/hyperlink" Target="https://books.google.com/books?hl=en&amp;lr=&amp;id=0uzL1nC-ZxMC&amp;oi=fnd&amp;pg=PA1&amp;dq=+Sustainability+and+profitability+are+not+mutually+exclusive%3B+profitability+can+be+a+means+of+sustainability.+&amp;ots=qfOXk18Brs&amp;sig=2N6XfJo46XafRwZRAyzRaVQOvlU" TargetMode="External"/><Relationship Id="rId17" Type="http://schemas.openxmlformats.org/officeDocument/2006/relationships/hyperlink" Target="https://www.researchgate.net/publication/263602243_Consumers'_perspectives_on_service_staff_with_disabilities_in_the_hospitality_industry" TargetMode="External"/><Relationship Id="rId16" Type="http://schemas.openxmlformats.org/officeDocument/2006/relationships/hyperlink" Target="https://iopscience.iop.org/article/10.1088/1755-1315/716/1/012138/meta" TargetMode="External"/><Relationship Id="rId19" Type="http://schemas.openxmlformats.org/officeDocument/2006/relationships/hyperlink" Target="https://iopscience.iop.org/article/10.1088/1755-1315/737/1/012017/meta" TargetMode="External"/><Relationship Id="rId18" Type="http://schemas.openxmlformats.org/officeDocument/2006/relationships/hyperlink" Target="https://books.google.co.ke/books?hl=en&amp;lr=&amp;id=NWJ6EAAAQBAJ&amp;oi=fnd&amp;pg=PT19&amp;dq=Hospitality+establishments+acknowledge+the+necessity+to+minimize+their+ecological+footprint&amp;ots=bfIZcunPVX&amp;sig=M23wtusj9tdSqERhjm3XpNXWL28&amp;redir_esc=y#v=onepage&amp;q=Hospitality%20establishments%20acknowledge%20the%20necessity%20to%20minimize%20their%20ecological%20footprint&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