
<file path=[Content_Types].xml><?xml version="1.0" encoding="utf-8"?>
<Types xmlns="http://schemas.openxmlformats.org/package/2006/content-types">
  <Default Extension="xml" ContentType="application/xml"/>
  <Default Extension="png" ContentType="image/png"/>
  <Default Extension="gif" ContentType="image/gif"/>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376A1" w14:textId="77777777" w:rsidR="007D594A" w:rsidRDefault="0091375D">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698E03B" wp14:editId="51DEEFA1">
            <wp:extent cx="2184094" cy="871538"/>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2184094" cy="871538"/>
                    </a:xfrm>
                    <a:prstGeom prst="rect">
                      <a:avLst/>
                    </a:prstGeom>
                    <a:ln/>
                  </pic:spPr>
                </pic:pic>
              </a:graphicData>
            </a:graphic>
          </wp:inline>
        </w:drawing>
      </w:r>
    </w:p>
    <w:p w14:paraId="100AF8B3" w14:textId="77777777" w:rsidR="007D594A" w:rsidRDefault="007D594A">
      <w:pPr>
        <w:jc w:val="center"/>
        <w:rPr>
          <w:rFonts w:ascii="Times New Roman" w:eastAsia="Times New Roman" w:hAnsi="Times New Roman" w:cs="Times New Roman"/>
          <w:sz w:val="24"/>
          <w:szCs w:val="24"/>
        </w:rPr>
      </w:pPr>
    </w:p>
    <w:p w14:paraId="0FF3A866" w14:textId="77777777" w:rsidR="007D594A" w:rsidRDefault="007D594A">
      <w:pPr>
        <w:jc w:val="center"/>
        <w:rPr>
          <w:rFonts w:ascii="Times New Roman" w:eastAsia="Times New Roman" w:hAnsi="Times New Roman" w:cs="Times New Roman"/>
          <w:b/>
          <w:sz w:val="24"/>
          <w:szCs w:val="24"/>
        </w:rPr>
      </w:pPr>
    </w:p>
    <w:p w14:paraId="118FFB78" w14:textId="77777777" w:rsidR="007D594A" w:rsidRDefault="0091375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Building Organizational Anticipation the New Gilded Age: An Analysis of Challenges and Potential Anticipatory Solutions in Raspberry Pi’s Diverse and International Workforce, Culture of Continuous Improvement, Rewards, and Work-Life Balance</w:t>
      </w:r>
    </w:p>
    <w:p w14:paraId="5BAED6BA" w14:textId="77777777" w:rsidR="007D594A" w:rsidRDefault="007D594A">
      <w:pPr>
        <w:jc w:val="center"/>
        <w:rPr>
          <w:rFonts w:ascii="Times New Roman" w:eastAsia="Times New Roman" w:hAnsi="Times New Roman" w:cs="Times New Roman"/>
          <w:b/>
          <w:sz w:val="24"/>
          <w:szCs w:val="24"/>
        </w:rPr>
      </w:pPr>
    </w:p>
    <w:p w14:paraId="5D7076E2" w14:textId="77777777" w:rsidR="007D594A" w:rsidRDefault="0091375D">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709BD62B" wp14:editId="257411EE">
            <wp:extent cx="3810000" cy="3810000"/>
            <wp:effectExtent l="0" t="0" r="0" b="0"/>
            <wp:docPr id="2" name="image4.gif"/>
            <wp:cNvGraphicFramePr/>
            <a:graphic xmlns:a="http://schemas.openxmlformats.org/drawingml/2006/main">
              <a:graphicData uri="http://schemas.openxmlformats.org/drawingml/2006/picture">
                <pic:pic xmlns:pic="http://schemas.openxmlformats.org/drawingml/2006/picture">
                  <pic:nvPicPr>
                    <pic:cNvPr id="0" name="image4.gif"/>
                    <pic:cNvPicPr preferRelativeResize="0"/>
                  </pic:nvPicPr>
                  <pic:blipFill>
                    <a:blip r:embed="rId7"/>
                    <a:srcRect/>
                    <a:stretch>
                      <a:fillRect/>
                    </a:stretch>
                  </pic:blipFill>
                  <pic:spPr>
                    <a:xfrm>
                      <a:off x="0" y="0"/>
                      <a:ext cx="3810000" cy="3810000"/>
                    </a:xfrm>
                    <a:prstGeom prst="rect">
                      <a:avLst/>
                    </a:prstGeom>
                    <a:ln/>
                  </pic:spPr>
                </pic:pic>
              </a:graphicData>
            </a:graphic>
          </wp:inline>
        </w:drawing>
      </w:r>
    </w:p>
    <w:p w14:paraId="3E8DA9B9" w14:textId="77777777" w:rsidR="007D594A" w:rsidRDefault="007D594A">
      <w:pPr>
        <w:jc w:val="center"/>
        <w:rPr>
          <w:rFonts w:ascii="Times New Roman" w:eastAsia="Times New Roman" w:hAnsi="Times New Roman" w:cs="Times New Roman"/>
          <w:b/>
          <w:sz w:val="24"/>
          <w:szCs w:val="24"/>
        </w:rPr>
      </w:pPr>
    </w:p>
    <w:p w14:paraId="5BB4EE14" w14:textId="77777777" w:rsidR="007D594A" w:rsidRDefault="007D594A">
      <w:pPr>
        <w:jc w:val="center"/>
        <w:rPr>
          <w:rFonts w:ascii="Times New Roman" w:eastAsia="Times New Roman" w:hAnsi="Times New Roman" w:cs="Times New Roman"/>
          <w:b/>
          <w:sz w:val="24"/>
          <w:szCs w:val="24"/>
        </w:rPr>
      </w:pPr>
    </w:p>
    <w:p w14:paraId="471E673B" w14:textId="77777777" w:rsidR="007D594A" w:rsidRDefault="0091375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Justin K. Fernando</w:t>
      </w:r>
    </w:p>
    <w:p w14:paraId="746B26D6" w14:textId="77777777" w:rsidR="007D594A" w:rsidRDefault="0091375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1705758</w:t>
      </w:r>
    </w:p>
    <w:p w14:paraId="4DBDC8DE" w14:textId="77777777" w:rsidR="007D594A" w:rsidRDefault="0091375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 April 2018</w:t>
      </w:r>
    </w:p>
    <w:p w14:paraId="04CFC07F" w14:textId="77777777" w:rsidR="007D594A" w:rsidRDefault="0091375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Management SBMA7101D</w:t>
      </w:r>
    </w:p>
    <w:p w14:paraId="3118856E" w14:textId="77777777" w:rsidR="007D594A" w:rsidRDefault="0091375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David Griffiths, PhD</w:t>
      </w:r>
    </w:p>
    <w:p w14:paraId="14C396C5" w14:textId="77777777" w:rsidR="007D594A" w:rsidRDefault="0091375D">
      <w:pPr>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Assignment 2: Academic Essay</w:t>
      </w:r>
    </w:p>
    <w:p w14:paraId="2E7BB3D2" w14:textId="77777777" w:rsidR="007D594A" w:rsidRDefault="007D594A">
      <w:pPr>
        <w:rPr>
          <w:rFonts w:ascii="Times New Roman" w:eastAsia="Times New Roman" w:hAnsi="Times New Roman" w:cs="Times New Roman"/>
          <w:sz w:val="24"/>
          <w:szCs w:val="24"/>
        </w:rPr>
      </w:pPr>
    </w:p>
    <w:p w14:paraId="5AAE583A" w14:textId="77777777" w:rsidR="007D594A" w:rsidRDefault="0091375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6D7B9A36"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employee population of Raspberry Pi has grown to over 2000. While the foundation has grown over twe</w:t>
      </w:r>
      <w:r>
        <w:rPr>
          <w:rFonts w:ascii="Times New Roman" w:eastAsia="Times New Roman" w:hAnsi="Times New Roman" w:cs="Times New Roman"/>
          <w:sz w:val="24"/>
          <w:szCs w:val="24"/>
        </w:rPr>
        <w:t>nty times since Assignment 1’s employee population of 100, Raspberry Pi continues to seek further scalability in its workforce numbers in addition to increasing its international presence. Doing so would extend Raspberry Pi’s social mission of making educa</w:t>
      </w:r>
      <w:r>
        <w:rPr>
          <w:rFonts w:ascii="Times New Roman" w:eastAsia="Times New Roman" w:hAnsi="Times New Roman" w:cs="Times New Roman"/>
          <w:sz w:val="24"/>
          <w:szCs w:val="24"/>
        </w:rPr>
        <w:t>tional technology accessible to youth and to educators through affordable and high performing single-board computers (Raspberry Pi, 2018) more possible for a greater amount of people worldwide, particularly for women and the economically underserved. While</w:t>
      </w:r>
      <w:r>
        <w:rPr>
          <w:rFonts w:ascii="Times New Roman" w:eastAsia="Times New Roman" w:hAnsi="Times New Roman" w:cs="Times New Roman"/>
          <w:sz w:val="24"/>
          <w:szCs w:val="24"/>
        </w:rPr>
        <w:t xml:space="preserve"> these aspirations are ambitious, they nevertheless require the Human Resources function to be more adept and anticipatory in meeting challenges that come with the situational factors (Beer et al, 1984; Griffiths, 2018) that come with an even larger workfo</w:t>
      </w:r>
      <w:r>
        <w:rPr>
          <w:rFonts w:ascii="Times New Roman" w:eastAsia="Times New Roman" w:hAnsi="Times New Roman" w:cs="Times New Roman"/>
          <w:sz w:val="24"/>
          <w:szCs w:val="24"/>
        </w:rPr>
        <w:t>rce and increased presence on the international stage (Nthere, 2018). In particular, challenges arise on cultivating an increasingly diverse and international workforce, the desire and necessity to foster continuous improvement in the foundation, and incre</w:t>
      </w:r>
      <w:r>
        <w:rPr>
          <w:rFonts w:ascii="Times New Roman" w:eastAsia="Times New Roman" w:hAnsi="Times New Roman" w:cs="Times New Roman"/>
          <w:sz w:val="24"/>
          <w:szCs w:val="24"/>
        </w:rPr>
        <w:t>asing employee expectations for better rewards and work-life balance. This study elucidates the specific challenges that may arise and the anticipatory capability that HR needs to build in order to empower the function in providing the organization with an</w:t>
      </w:r>
      <w:r>
        <w:rPr>
          <w:rFonts w:ascii="Times New Roman" w:eastAsia="Times New Roman" w:hAnsi="Times New Roman" w:cs="Times New Roman"/>
          <w:sz w:val="24"/>
          <w:szCs w:val="24"/>
        </w:rPr>
        <w:t>ticipatory solutions that would drive competitive advantage and performance as the foundation navigates through transformative changes within the next five through ten years.</w:t>
      </w:r>
    </w:p>
    <w:p w14:paraId="39D7EE19" w14:textId="77777777" w:rsidR="007D594A" w:rsidRDefault="007D594A">
      <w:pPr>
        <w:rPr>
          <w:rFonts w:ascii="Times New Roman" w:eastAsia="Times New Roman" w:hAnsi="Times New Roman" w:cs="Times New Roman"/>
          <w:sz w:val="24"/>
          <w:szCs w:val="24"/>
        </w:rPr>
      </w:pPr>
    </w:p>
    <w:p w14:paraId="2BD5FEE3" w14:textId="77777777" w:rsidR="007D594A" w:rsidRDefault="0091375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Seeing and Planning for “The Shadow of Your Future” as an Organizational Capabil</w:t>
      </w:r>
      <w:r>
        <w:rPr>
          <w:rFonts w:ascii="Times New Roman" w:eastAsia="Times New Roman" w:hAnsi="Times New Roman" w:cs="Times New Roman"/>
          <w:b/>
          <w:sz w:val="24"/>
          <w:szCs w:val="24"/>
        </w:rPr>
        <w:t>ity: Planned Strategy and Anticipatory Awareness</w:t>
      </w:r>
    </w:p>
    <w:p w14:paraId="4BA02115"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approach in-depth examination of a diverse and international workforce, the need for continuous improvement, and employee demands for better rewards and work-life balance, this study frames this </w:t>
      </w:r>
      <w:r>
        <w:rPr>
          <w:rFonts w:ascii="Times New Roman" w:eastAsia="Times New Roman" w:hAnsi="Times New Roman" w:cs="Times New Roman"/>
          <w:sz w:val="24"/>
          <w:szCs w:val="24"/>
        </w:rPr>
        <w:t xml:space="preserve">analysis through the lenses of “talent management and “anticipation.” “Talent” are individuals who “can make a difference to organisational </w:t>
      </w:r>
      <w:r>
        <w:rPr>
          <w:rFonts w:ascii="Times New Roman" w:eastAsia="Times New Roman" w:hAnsi="Times New Roman" w:cs="Times New Roman"/>
          <w:sz w:val="24"/>
          <w:szCs w:val="24"/>
        </w:rPr>
        <w:lastRenderedPageBreak/>
        <w:t xml:space="preserve">performance either through their immediate contribution or, in the longer-term, by demonstrating the highest levels </w:t>
      </w:r>
      <w:r>
        <w:rPr>
          <w:rFonts w:ascii="Times New Roman" w:eastAsia="Times New Roman" w:hAnsi="Times New Roman" w:cs="Times New Roman"/>
          <w:sz w:val="24"/>
          <w:szCs w:val="24"/>
        </w:rPr>
        <w:t>of potential” (Campbell &amp; Hirsh, 2014). Talent management “is the systematic attraction, identification, development, engagement, retention, and deployment of those individuals who are of particular value to an organisation, either in view of their “high p</w:t>
      </w:r>
      <w:r>
        <w:rPr>
          <w:rFonts w:ascii="Times New Roman" w:eastAsia="Times New Roman" w:hAnsi="Times New Roman" w:cs="Times New Roman"/>
          <w:sz w:val="24"/>
          <w:szCs w:val="24"/>
        </w:rPr>
        <w:t>otential” for the future or because they are fulfilling business/operation-critical roles” (</w:t>
      </w:r>
      <w:r>
        <w:rPr>
          <w:rFonts w:ascii="Times New Roman" w:eastAsia="Times New Roman" w:hAnsi="Times New Roman" w:cs="Times New Roman"/>
          <w:i/>
          <w:sz w:val="24"/>
          <w:szCs w:val="24"/>
        </w:rPr>
        <w:t>ibid</w:t>
      </w:r>
      <w:r>
        <w:rPr>
          <w:rFonts w:ascii="Times New Roman" w:eastAsia="Times New Roman" w:hAnsi="Times New Roman" w:cs="Times New Roman"/>
          <w:sz w:val="24"/>
          <w:szCs w:val="24"/>
        </w:rPr>
        <w:t>). Talent management takes recruitment and retention to a higher level by acknowledging that both are insufficient. Developing and managing employees as part of</w:t>
      </w:r>
      <w:r>
        <w:rPr>
          <w:rFonts w:ascii="Times New Roman" w:eastAsia="Times New Roman" w:hAnsi="Times New Roman" w:cs="Times New Roman"/>
          <w:sz w:val="24"/>
          <w:szCs w:val="24"/>
        </w:rPr>
        <w:t xml:space="preserve"> a </w:t>
      </w:r>
      <w:r>
        <w:rPr>
          <w:rFonts w:ascii="Times New Roman" w:eastAsia="Times New Roman" w:hAnsi="Times New Roman" w:cs="Times New Roman"/>
          <w:i/>
          <w:sz w:val="24"/>
          <w:szCs w:val="24"/>
        </w:rPr>
        <w:t>planned strategy</w:t>
      </w:r>
      <w:r>
        <w:rPr>
          <w:rFonts w:ascii="Times New Roman" w:eastAsia="Times New Roman" w:hAnsi="Times New Roman" w:cs="Times New Roman"/>
          <w:sz w:val="24"/>
          <w:szCs w:val="24"/>
        </w:rPr>
        <w:t xml:space="preserve"> (Turner &amp; Kalman, 2014; emphasis added). Complementary to talent management’s planned strategy, anticipation is the “gathering of insights that improve resilience or sustainability,” the latter of which is the “ongoing relevance in the </w:t>
      </w:r>
      <w:r>
        <w:rPr>
          <w:rFonts w:ascii="Times New Roman" w:eastAsia="Times New Roman" w:hAnsi="Times New Roman" w:cs="Times New Roman"/>
          <w:sz w:val="24"/>
          <w:szCs w:val="24"/>
        </w:rPr>
        <w:t>marketplace.” According to Griffiths (2018), anticipation as an HR function capability allows it to “glimpse and shape the future through better planning, decision-making and problem-solving capability” that “exists around the detection of, inference from,</w:t>
      </w:r>
      <w:r>
        <w:rPr>
          <w:rFonts w:ascii="Times New Roman" w:eastAsia="Times New Roman" w:hAnsi="Times New Roman" w:cs="Times New Roman"/>
          <w:sz w:val="24"/>
          <w:szCs w:val="24"/>
        </w:rPr>
        <w:t xml:space="preserve"> and response to, interconnected and often weak change signals” (</w:t>
      </w:r>
      <w:r>
        <w:rPr>
          <w:rFonts w:ascii="Times New Roman" w:eastAsia="Times New Roman" w:hAnsi="Times New Roman" w:cs="Times New Roman"/>
          <w:i/>
          <w:sz w:val="24"/>
          <w:szCs w:val="24"/>
        </w:rPr>
        <w:t>ibid</w:t>
      </w:r>
      <w:r>
        <w:rPr>
          <w:rFonts w:ascii="Times New Roman" w:eastAsia="Times New Roman" w:hAnsi="Times New Roman" w:cs="Times New Roman"/>
          <w:sz w:val="24"/>
          <w:szCs w:val="24"/>
        </w:rPr>
        <w:t>). Anticipatory awareness as an HR capability requires the “benchmarking of starting conditions to identify strengths and blind spots in your ability to develop anticipation as an organis</w:t>
      </w:r>
      <w:r>
        <w:rPr>
          <w:rFonts w:ascii="Times New Roman" w:eastAsia="Times New Roman" w:hAnsi="Times New Roman" w:cs="Times New Roman"/>
          <w:sz w:val="24"/>
          <w:szCs w:val="24"/>
        </w:rPr>
        <w:t>ational capability” (</w:t>
      </w:r>
      <w:r>
        <w:rPr>
          <w:rFonts w:ascii="Times New Roman" w:eastAsia="Times New Roman" w:hAnsi="Times New Roman" w:cs="Times New Roman"/>
          <w:i/>
          <w:sz w:val="24"/>
          <w:szCs w:val="24"/>
        </w:rPr>
        <w:t>ibid</w:t>
      </w:r>
      <w:r>
        <w:rPr>
          <w:rFonts w:ascii="Times New Roman" w:eastAsia="Times New Roman" w:hAnsi="Times New Roman" w:cs="Times New Roman"/>
          <w:sz w:val="24"/>
          <w:szCs w:val="24"/>
        </w:rPr>
        <w:t>). With this lens as our frame, our analysis of diversity, international HR, continuous improvement, rewards, and work-life balance gear us to find solutions for HR to be an anticipatory function that drives the organization to ach</w:t>
      </w:r>
      <w:r>
        <w:rPr>
          <w:rFonts w:ascii="Times New Roman" w:eastAsia="Times New Roman" w:hAnsi="Times New Roman" w:cs="Times New Roman"/>
          <w:sz w:val="24"/>
          <w:szCs w:val="24"/>
        </w:rPr>
        <w:t>ieve competitive advantage as a scaling and globalizing foundation that caters to a diverse employee population across borders (</w:t>
      </w:r>
      <w:r>
        <w:rPr>
          <w:rFonts w:ascii="Times New Roman" w:eastAsia="Times New Roman" w:hAnsi="Times New Roman" w:cs="Times New Roman"/>
          <w:i/>
          <w:sz w:val="24"/>
          <w:szCs w:val="24"/>
        </w:rPr>
        <w:t>ibid</w:t>
      </w:r>
      <w:r>
        <w:rPr>
          <w:rFonts w:ascii="Times New Roman" w:eastAsia="Times New Roman" w:hAnsi="Times New Roman" w:cs="Times New Roman"/>
          <w:sz w:val="24"/>
          <w:szCs w:val="24"/>
        </w:rPr>
        <w:t>).</w:t>
      </w:r>
    </w:p>
    <w:p w14:paraId="5921FB91" w14:textId="77777777" w:rsidR="007D594A" w:rsidRDefault="0091375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Situational Factors: The New Gilded Age as Opportunity for the HR Function</w:t>
      </w:r>
    </w:p>
    <w:p w14:paraId="07BCDAD2"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sz w:val="24"/>
          <w:szCs w:val="24"/>
        </w:rPr>
        <w:t>To build anticipation awareness as an organizational capability, HR needs to examine structural situational factors. Larger macro-economic forces serve as environmental factors that impact many organizations and HR functions (Beer et al, 1984). At the turn</w:t>
      </w:r>
      <w:r>
        <w:rPr>
          <w:rFonts w:ascii="Times New Roman" w:eastAsia="Times New Roman" w:hAnsi="Times New Roman" w:cs="Times New Roman"/>
          <w:sz w:val="24"/>
          <w:szCs w:val="24"/>
        </w:rPr>
        <w:t xml:space="preserve"> of this century, we </w:t>
      </w:r>
      <w:r>
        <w:rPr>
          <w:rFonts w:ascii="Times New Roman" w:eastAsia="Times New Roman" w:hAnsi="Times New Roman" w:cs="Times New Roman"/>
          <w:sz w:val="24"/>
          <w:szCs w:val="24"/>
        </w:rPr>
        <w:lastRenderedPageBreak/>
        <w:t xml:space="preserve">have entered what French economics professor Thomas Piketty calls in his book </w:t>
      </w:r>
      <w:r>
        <w:rPr>
          <w:rFonts w:ascii="Times New Roman" w:eastAsia="Times New Roman" w:hAnsi="Times New Roman" w:cs="Times New Roman"/>
          <w:i/>
          <w:sz w:val="24"/>
          <w:szCs w:val="24"/>
        </w:rPr>
        <w:t>Capital in the Twenty-First Century (</w:t>
      </w:r>
      <w:r>
        <w:rPr>
          <w:rFonts w:ascii="Times New Roman" w:eastAsia="Times New Roman" w:hAnsi="Times New Roman" w:cs="Times New Roman"/>
          <w:sz w:val="24"/>
          <w:szCs w:val="24"/>
        </w:rPr>
        <w:t xml:space="preserve">Piketty, 2017) the “second </w:t>
      </w:r>
      <w:r>
        <w:rPr>
          <w:rFonts w:ascii="Times New Roman" w:eastAsia="Times New Roman" w:hAnsi="Times New Roman" w:cs="Times New Roman"/>
          <w:color w:val="333333"/>
          <w:sz w:val="26"/>
          <w:szCs w:val="26"/>
          <w:highlight w:val="white"/>
        </w:rPr>
        <w:t>Belle Époque,” or as American economists translate it for the American experience, the second</w:t>
      </w:r>
      <w:r>
        <w:rPr>
          <w:rFonts w:ascii="Times New Roman" w:eastAsia="Times New Roman" w:hAnsi="Times New Roman" w:cs="Times New Roman"/>
          <w:color w:val="333333"/>
          <w:sz w:val="26"/>
          <w:szCs w:val="26"/>
          <w:highlight w:val="white"/>
        </w:rPr>
        <w:t xml:space="preserve"> or “New Gilded Age” (Krugman, 2014). This New Gilded Age is defined by the rise of the “one percent” (Gantz &amp; Sanders, 2017). Piketty, joined by Anthony Atkinson from Oxford University and Emmanuel Saez from University of California—Berkeley, compares the</w:t>
      </w:r>
      <w:r>
        <w:rPr>
          <w:rFonts w:ascii="Times New Roman" w:eastAsia="Times New Roman" w:hAnsi="Times New Roman" w:cs="Times New Roman"/>
          <w:color w:val="333333"/>
          <w:sz w:val="26"/>
          <w:szCs w:val="26"/>
          <w:highlight w:val="white"/>
        </w:rPr>
        <w:t xml:space="preserve"> magnitude of twenty-first century income inequality through statistical analysis of the concentration of income and wealth at the top echelons of income-earners and asset-owners with that in the early twentieth century in the United States and Great Brita</w:t>
      </w:r>
      <w:r>
        <w:rPr>
          <w:rFonts w:ascii="Times New Roman" w:eastAsia="Times New Roman" w:hAnsi="Times New Roman" w:cs="Times New Roman"/>
          <w:color w:val="333333"/>
          <w:sz w:val="26"/>
          <w:szCs w:val="26"/>
          <w:highlight w:val="white"/>
        </w:rPr>
        <w:t xml:space="preserve">in and in the late eighteenth century France at the time of the French Revolution. According to Piketty, the accumulation of capital that the United States and to a lesser extent European countries are experiencing in the 2010s (Piketty, 2017; see Exhibit </w:t>
      </w:r>
      <w:r>
        <w:rPr>
          <w:rFonts w:ascii="Times New Roman" w:eastAsia="Times New Roman" w:hAnsi="Times New Roman" w:cs="Times New Roman"/>
          <w:color w:val="333333"/>
          <w:sz w:val="26"/>
          <w:szCs w:val="26"/>
          <w:highlight w:val="white"/>
        </w:rPr>
        <w:t xml:space="preserve">1) will subsequently recreate Gilded Age-level inequality unless corrected through progressive taxation. </w:t>
      </w:r>
    </w:p>
    <w:p w14:paraId="73236867"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Despite Piketty’s recommendation, however, Labour and Green parties have been on the decline in Europe, while right-wing populist parties have begun t</w:t>
      </w:r>
      <w:r>
        <w:rPr>
          <w:rFonts w:ascii="Times New Roman" w:eastAsia="Times New Roman" w:hAnsi="Times New Roman" w:cs="Times New Roman"/>
          <w:color w:val="333333"/>
          <w:sz w:val="26"/>
          <w:szCs w:val="26"/>
          <w:highlight w:val="white"/>
        </w:rPr>
        <w:t>o be elected in government chambers in countries like the United Kingdom, France, Hungary, and Germany (Applebaum, 2017), while far-right white nationalists have taken over parts of the Republican Party in the United States—the party that presently control</w:t>
      </w:r>
      <w:r>
        <w:rPr>
          <w:rFonts w:ascii="Times New Roman" w:eastAsia="Times New Roman" w:hAnsi="Times New Roman" w:cs="Times New Roman"/>
          <w:color w:val="333333"/>
          <w:sz w:val="26"/>
          <w:szCs w:val="26"/>
          <w:highlight w:val="white"/>
        </w:rPr>
        <w:t>s all three branches of the federal government (Kabaservice, 2016) and the majority of state legislatures and 34 out of 50 governorships  (Phillips, 2016). Collectively, these serve as political factors that make Piketty’s prescription of increased progres</w:t>
      </w:r>
      <w:r>
        <w:rPr>
          <w:rFonts w:ascii="Times New Roman" w:eastAsia="Times New Roman" w:hAnsi="Times New Roman" w:cs="Times New Roman"/>
          <w:color w:val="333333"/>
          <w:sz w:val="26"/>
          <w:szCs w:val="26"/>
          <w:highlight w:val="white"/>
        </w:rPr>
        <w:t xml:space="preserve">sive taxation less </w:t>
      </w:r>
      <w:r>
        <w:rPr>
          <w:rFonts w:ascii="Times New Roman" w:eastAsia="Times New Roman" w:hAnsi="Times New Roman" w:cs="Times New Roman"/>
          <w:color w:val="333333"/>
          <w:sz w:val="26"/>
          <w:szCs w:val="26"/>
          <w:highlight w:val="white"/>
        </w:rPr>
        <w:lastRenderedPageBreak/>
        <w:t xml:space="preserve">likely, thus creating a political environment that leaves no foreseeable governmental solution to the New Gilded Age. </w:t>
      </w:r>
    </w:p>
    <w:p w14:paraId="30692783" w14:textId="77777777" w:rsidR="007D594A" w:rsidRDefault="0091375D">
      <w:pPr>
        <w:spacing w:line="480" w:lineRule="auto"/>
        <w:ind w:firstLine="720"/>
        <w:rPr>
          <w:rFonts w:ascii="Times New Roman" w:eastAsia="Times New Roman" w:hAnsi="Times New Roman" w:cs="Times New Roman"/>
          <w:color w:val="FF0000"/>
          <w:sz w:val="26"/>
          <w:szCs w:val="26"/>
          <w:highlight w:val="white"/>
        </w:rPr>
      </w:pPr>
      <w:r>
        <w:rPr>
          <w:rFonts w:ascii="Times New Roman" w:eastAsia="Times New Roman" w:hAnsi="Times New Roman" w:cs="Times New Roman"/>
          <w:color w:val="333333"/>
          <w:sz w:val="26"/>
          <w:szCs w:val="26"/>
          <w:highlight w:val="white"/>
        </w:rPr>
        <w:t>Given these polarized political cultures and the emergence of wealth accumulation at the top-earners and asset-holders</w:t>
      </w:r>
      <w:r>
        <w:rPr>
          <w:rFonts w:ascii="Times New Roman" w:eastAsia="Times New Roman" w:hAnsi="Times New Roman" w:cs="Times New Roman"/>
          <w:color w:val="333333"/>
          <w:sz w:val="26"/>
          <w:szCs w:val="26"/>
          <w:highlight w:val="white"/>
        </w:rPr>
        <w:t xml:space="preserve"> on both sides of the Atlantic, trust in government has hit a four-year low at 33% percent in the United States (Edelman, 2018). Increasingly, people are sensing that governments are becoming less effective in meeting existing political and economic challe</w:t>
      </w:r>
      <w:r>
        <w:rPr>
          <w:rFonts w:ascii="Times New Roman" w:eastAsia="Times New Roman" w:hAnsi="Times New Roman" w:cs="Times New Roman"/>
          <w:color w:val="333333"/>
          <w:sz w:val="26"/>
          <w:szCs w:val="26"/>
          <w:highlight w:val="white"/>
        </w:rPr>
        <w:t>nges (Deloitte, “2018 Human Capital Trends,” 2018). As a result, citizens and employees have turned “to business to fill the void on critical issues...to help make the world more equal and fair” (</w:t>
      </w:r>
      <w:r>
        <w:rPr>
          <w:rFonts w:ascii="Times New Roman" w:eastAsia="Times New Roman" w:hAnsi="Times New Roman" w:cs="Times New Roman"/>
          <w:i/>
          <w:color w:val="333333"/>
          <w:sz w:val="26"/>
          <w:szCs w:val="26"/>
          <w:highlight w:val="white"/>
        </w:rPr>
        <w:t>ibid</w:t>
      </w:r>
      <w:r>
        <w:rPr>
          <w:rFonts w:ascii="Times New Roman" w:eastAsia="Times New Roman" w:hAnsi="Times New Roman" w:cs="Times New Roman"/>
          <w:color w:val="333333"/>
          <w:sz w:val="26"/>
          <w:szCs w:val="26"/>
          <w:highlight w:val="white"/>
        </w:rPr>
        <w:t>). With this spotlight for businesses as providers of st</w:t>
      </w:r>
      <w:r>
        <w:rPr>
          <w:rFonts w:ascii="Times New Roman" w:eastAsia="Times New Roman" w:hAnsi="Times New Roman" w:cs="Times New Roman"/>
          <w:color w:val="333333"/>
          <w:sz w:val="26"/>
          <w:szCs w:val="26"/>
          <w:highlight w:val="white"/>
        </w:rPr>
        <w:t xml:space="preserve">ructural solutions for employees, these changes create pressure for organizations to fill the gap. </w:t>
      </w:r>
    </w:p>
    <w:p w14:paraId="4D1D9C3D"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With this economic backdrop and economic mission in mind, the anticipatory opportunity for the HR function is ripe: HR could alleviate employee anxieties an</w:t>
      </w:r>
      <w:r>
        <w:rPr>
          <w:rFonts w:ascii="Times New Roman" w:eastAsia="Times New Roman" w:hAnsi="Times New Roman" w:cs="Times New Roman"/>
          <w:color w:val="333333"/>
          <w:sz w:val="26"/>
          <w:szCs w:val="26"/>
          <w:highlight w:val="white"/>
        </w:rPr>
        <w:t>d meet their needs stemming from the deleterious financial, physical, emotional, and psychological stressors that the New Gilded Age has put upon them in order to tailor its total rewards, diversity and inclusion, and continuous improvement capabilities. D</w:t>
      </w:r>
      <w:r>
        <w:rPr>
          <w:rFonts w:ascii="Times New Roman" w:eastAsia="Times New Roman" w:hAnsi="Times New Roman" w:cs="Times New Roman"/>
          <w:color w:val="333333"/>
          <w:sz w:val="26"/>
          <w:szCs w:val="26"/>
          <w:highlight w:val="white"/>
        </w:rPr>
        <w:t>oing so would be in alignment with and advance Raspberry Pi’s social mission, as indicated in the 2018-2020 organizational strategy (Raspberry Pi, 2018).</w:t>
      </w:r>
    </w:p>
    <w:p w14:paraId="03FFAD3A" w14:textId="77777777" w:rsidR="007D594A" w:rsidRDefault="0091375D">
      <w:pPr>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t>Revamping Total Rewards and Work-Life Balance through an Intergenerational Diversity Approach</w:t>
      </w:r>
    </w:p>
    <w:p w14:paraId="02A52E1D"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 The New</w:t>
      </w:r>
      <w:r>
        <w:rPr>
          <w:rFonts w:ascii="Times New Roman" w:eastAsia="Times New Roman" w:hAnsi="Times New Roman" w:cs="Times New Roman"/>
          <w:color w:val="333333"/>
          <w:sz w:val="26"/>
          <w:szCs w:val="26"/>
          <w:highlight w:val="white"/>
        </w:rPr>
        <w:t xml:space="preserve"> Gilded Age is felt most acutely by the most vulnerable populations; generationally, this means the youth and the elderly. In the United States, comparing </w:t>
      </w:r>
      <w:r>
        <w:rPr>
          <w:rFonts w:ascii="Times New Roman" w:eastAsia="Times New Roman" w:hAnsi="Times New Roman" w:cs="Times New Roman"/>
          <w:color w:val="333333"/>
          <w:sz w:val="26"/>
          <w:szCs w:val="26"/>
          <w:highlight w:val="white"/>
        </w:rPr>
        <w:lastRenderedPageBreak/>
        <w:t>Millennials in 2015 to age 25-34 young adults in 1980, Millennials experience 15 percent unemployment</w:t>
      </w:r>
      <w:r>
        <w:rPr>
          <w:rFonts w:ascii="Times New Roman" w:eastAsia="Times New Roman" w:hAnsi="Times New Roman" w:cs="Times New Roman"/>
          <w:color w:val="333333"/>
          <w:sz w:val="26"/>
          <w:szCs w:val="26"/>
          <w:highlight w:val="white"/>
        </w:rPr>
        <w:t>, while young adults in 1980 had 8 percent unemployment as pulled from the U.S. Census Bureau’s Current Population Survey by the Brookings Institute (Frey, 2018; see Exhibit 2). In order to strategically plan and anticipate (Griffiths, 2018) these needs, t</w:t>
      </w:r>
      <w:r>
        <w:rPr>
          <w:rFonts w:ascii="Times New Roman" w:eastAsia="Times New Roman" w:hAnsi="Times New Roman" w:cs="Times New Roman"/>
          <w:color w:val="333333"/>
          <w:sz w:val="26"/>
          <w:szCs w:val="26"/>
          <w:highlight w:val="white"/>
        </w:rPr>
        <w:t>he HR function could implement loan repayment programs as part of its total rewards package. According to Society of Human Resource Management’s 2017 Employee Benefits survey report of its members, just 4 percent of employers provide student loan repayment</w:t>
      </w:r>
      <w:r>
        <w:rPr>
          <w:rFonts w:ascii="Times New Roman" w:eastAsia="Times New Roman" w:hAnsi="Times New Roman" w:cs="Times New Roman"/>
          <w:color w:val="333333"/>
          <w:sz w:val="26"/>
          <w:szCs w:val="26"/>
          <w:highlight w:val="white"/>
        </w:rPr>
        <w:t xml:space="preserve"> as a human benefit (Miller, 2017). Similarly, according to WorldatWork, an organizational association of total rewards professionals, 4 percent of the association’s members provided loan repayment assistance, while 8 percent of organizations with 40,000 o</w:t>
      </w:r>
      <w:r>
        <w:rPr>
          <w:rFonts w:ascii="Times New Roman" w:eastAsia="Times New Roman" w:hAnsi="Times New Roman" w:cs="Times New Roman"/>
          <w:color w:val="333333"/>
          <w:sz w:val="26"/>
          <w:szCs w:val="26"/>
          <w:highlight w:val="white"/>
        </w:rPr>
        <w:t>r more employees did so (</w:t>
      </w:r>
      <w:r>
        <w:rPr>
          <w:rFonts w:ascii="Times New Roman" w:eastAsia="Times New Roman" w:hAnsi="Times New Roman" w:cs="Times New Roman"/>
          <w:i/>
          <w:color w:val="333333"/>
          <w:sz w:val="26"/>
          <w:szCs w:val="26"/>
          <w:highlight w:val="white"/>
        </w:rPr>
        <w:t>ibid</w:t>
      </w:r>
      <w:r>
        <w:rPr>
          <w:rFonts w:ascii="Times New Roman" w:eastAsia="Times New Roman" w:hAnsi="Times New Roman" w:cs="Times New Roman"/>
          <w:color w:val="333333"/>
          <w:sz w:val="26"/>
          <w:szCs w:val="26"/>
          <w:highlight w:val="white"/>
        </w:rPr>
        <w:t>). Elucidating the impacts of student loans, Scott Thompson, CEO of Tuition.io, a benefit administration firm, states, “student-loan repayment assistance has the potential to affect more than 44 million Americans burdened by st</w:t>
      </w:r>
      <w:r>
        <w:rPr>
          <w:rFonts w:ascii="Times New Roman" w:eastAsia="Times New Roman" w:hAnsi="Times New Roman" w:cs="Times New Roman"/>
          <w:color w:val="333333"/>
          <w:sz w:val="26"/>
          <w:szCs w:val="26"/>
          <w:highlight w:val="white"/>
        </w:rPr>
        <w:t>udent loan debt.” He continues that the “$1.4 trillion loan crisis has...heightened financial stress, which can lead to disengagement in the workplace” (</w:t>
      </w:r>
      <w:r>
        <w:rPr>
          <w:rFonts w:ascii="Times New Roman" w:eastAsia="Times New Roman" w:hAnsi="Times New Roman" w:cs="Times New Roman"/>
          <w:i/>
          <w:color w:val="333333"/>
          <w:sz w:val="26"/>
          <w:szCs w:val="26"/>
          <w:highlight w:val="white"/>
        </w:rPr>
        <w:t>ibid</w:t>
      </w:r>
      <w:r>
        <w:rPr>
          <w:rFonts w:ascii="Times New Roman" w:eastAsia="Times New Roman" w:hAnsi="Times New Roman" w:cs="Times New Roman"/>
          <w:color w:val="333333"/>
          <w:sz w:val="26"/>
          <w:szCs w:val="26"/>
          <w:highlight w:val="white"/>
        </w:rPr>
        <w:t>). This psychological import of financial distress has a direct relationship to employee engagement</w:t>
      </w:r>
      <w:r>
        <w:rPr>
          <w:rFonts w:ascii="Times New Roman" w:eastAsia="Times New Roman" w:hAnsi="Times New Roman" w:cs="Times New Roman"/>
          <w:color w:val="333333"/>
          <w:sz w:val="26"/>
          <w:szCs w:val="26"/>
          <w:highlight w:val="white"/>
        </w:rPr>
        <w:t xml:space="preserve">, and thus employee performance (Marchington &amp; Wilkinson, 2005). Approached as an intergenerational problem, according to an IonTuition report, “millennials are not the only generation bearing the student loan debt burden, Generation Xers and Baby Boomers </w:t>
      </w:r>
      <w:r>
        <w:rPr>
          <w:rFonts w:ascii="Times New Roman" w:eastAsia="Times New Roman" w:hAnsi="Times New Roman" w:cs="Times New Roman"/>
          <w:color w:val="333333"/>
          <w:sz w:val="26"/>
          <w:szCs w:val="26"/>
          <w:highlight w:val="white"/>
        </w:rPr>
        <w:t xml:space="preserve">struggle to pay back student loans as well” (IonTuition, 2018). In their report where they surveyed 909 American adults over the age of 35 who have </w:t>
      </w:r>
      <w:r>
        <w:rPr>
          <w:rFonts w:ascii="Times New Roman" w:eastAsia="Times New Roman" w:hAnsi="Times New Roman" w:cs="Times New Roman"/>
          <w:color w:val="333333"/>
          <w:sz w:val="26"/>
          <w:szCs w:val="26"/>
          <w:highlight w:val="white"/>
        </w:rPr>
        <w:lastRenderedPageBreak/>
        <w:t>student loans or have co-signed for student loans, “76% agree that employers should provide student loan man</w:t>
      </w:r>
      <w:r>
        <w:rPr>
          <w:rFonts w:ascii="Times New Roman" w:eastAsia="Times New Roman" w:hAnsi="Times New Roman" w:cs="Times New Roman"/>
          <w:color w:val="333333"/>
          <w:sz w:val="26"/>
          <w:szCs w:val="26"/>
          <w:highlight w:val="white"/>
        </w:rPr>
        <w:t>agement resources,” “three quarters did not expect to be repaying student loans at this stage of their lives,” and “57% feel student loans are in the way of their retirement” (</w:t>
      </w:r>
      <w:r>
        <w:rPr>
          <w:rFonts w:ascii="Times New Roman" w:eastAsia="Times New Roman" w:hAnsi="Times New Roman" w:cs="Times New Roman"/>
          <w:i/>
          <w:color w:val="333333"/>
          <w:sz w:val="26"/>
          <w:szCs w:val="26"/>
          <w:highlight w:val="white"/>
        </w:rPr>
        <w:t>ibid</w:t>
      </w:r>
      <w:r>
        <w:rPr>
          <w:rFonts w:ascii="Times New Roman" w:eastAsia="Times New Roman" w:hAnsi="Times New Roman" w:cs="Times New Roman"/>
          <w:color w:val="333333"/>
          <w:sz w:val="26"/>
          <w:szCs w:val="26"/>
          <w:highlight w:val="white"/>
        </w:rPr>
        <w:t xml:space="preserve">). </w:t>
      </w:r>
    </w:p>
    <w:p w14:paraId="15E6D02D"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Should the HR function revamp its total rewards package via a diversity and inclusion approach to include student loan repayment assistance, as an example of providing total rewards that involve providing relief if not solutions to employees’ financial dis</w:t>
      </w:r>
      <w:r>
        <w:rPr>
          <w:rFonts w:ascii="Times New Roman" w:eastAsia="Times New Roman" w:hAnsi="Times New Roman" w:cs="Times New Roman"/>
          <w:color w:val="333333"/>
          <w:sz w:val="26"/>
          <w:szCs w:val="26"/>
          <w:highlight w:val="white"/>
        </w:rPr>
        <w:t>tress that cause psychological stress that, in turn, compromise engagement and, ultimately, satisfaction and performance. Providing this total rewards revamp through an intergenerational diversity approach would mean that fewer employees would have to work</w:t>
      </w:r>
      <w:r>
        <w:rPr>
          <w:rFonts w:ascii="Times New Roman" w:eastAsia="Times New Roman" w:hAnsi="Times New Roman" w:cs="Times New Roman"/>
          <w:color w:val="333333"/>
          <w:sz w:val="26"/>
          <w:szCs w:val="26"/>
          <w:highlight w:val="white"/>
        </w:rPr>
        <w:t xml:space="preserve"> another job in order to pay for rent, student loans, food, and other bills, while simultaneously saving for retirement, an organizational decision that would prevent employee burnout (Kashora, 2018) and foster work-life balance for employees. </w:t>
      </w:r>
    </w:p>
    <w:p w14:paraId="52CD0652" w14:textId="77777777" w:rsidR="007D594A" w:rsidRDefault="0091375D">
      <w:pPr>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t xml:space="preserve">Leveraging </w:t>
      </w:r>
      <w:r>
        <w:rPr>
          <w:rFonts w:ascii="Times New Roman" w:eastAsia="Times New Roman" w:hAnsi="Times New Roman" w:cs="Times New Roman"/>
          <w:b/>
          <w:color w:val="333333"/>
          <w:sz w:val="26"/>
          <w:szCs w:val="26"/>
          <w:highlight w:val="white"/>
        </w:rPr>
        <w:t>Generational Diversity to Revamp Total Rewards and Job Design to Foster a Culture of Work-Life Balance and Continuous Improvement</w:t>
      </w:r>
    </w:p>
    <w:p w14:paraId="1E785C92"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The HR function could likewise situate its total rewards that include provisions on work-life balance in order to motivate con</w:t>
      </w:r>
      <w:r>
        <w:rPr>
          <w:rFonts w:ascii="Times New Roman" w:eastAsia="Times New Roman" w:hAnsi="Times New Roman" w:cs="Times New Roman"/>
          <w:color w:val="333333"/>
          <w:sz w:val="26"/>
          <w:szCs w:val="26"/>
          <w:highlight w:val="white"/>
        </w:rPr>
        <w:t>tinuous improvement, again through an intergenerational diversity framework. Employing generational diversity as a lens to broaden the scope of diversity and inclusion holds key enterprise outcomes. Particularly, “companies in the top-quartile for racial a</w:t>
      </w:r>
      <w:r>
        <w:rPr>
          <w:rFonts w:ascii="Times New Roman" w:eastAsia="Times New Roman" w:hAnsi="Times New Roman" w:cs="Times New Roman"/>
          <w:color w:val="333333"/>
          <w:sz w:val="26"/>
          <w:szCs w:val="26"/>
          <w:highlight w:val="white"/>
        </w:rPr>
        <w:t xml:space="preserve">nd cultural diversity on executive teams were 33% more likely to have industry-leading profitability...The inclusion of highly diverse individuals —and the myriad of ways which diversity exists beyond gender (e.g. </w:t>
      </w:r>
      <w:r>
        <w:rPr>
          <w:rFonts w:ascii="Times New Roman" w:eastAsia="Times New Roman" w:hAnsi="Times New Roman" w:cs="Times New Roman"/>
          <w:color w:val="333333"/>
          <w:sz w:val="26"/>
          <w:szCs w:val="26"/>
          <w:highlight w:val="white"/>
        </w:rPr>
        <w:lastRenderedPageBreak/>
        <w:t>LGBTQ+, age/generation, international expe</w:t>
      </w:r>
      <w:r>
        <w:rPr>
          <w:rFonts w:ascii="Times New Roman" w:eastAsia="Times New Roman" w:hAnsi="Times New Roman" w:cs="Times New Roman"/>
          <w:color w:val="333333"/>
          <w:sz w:val="26"/>
          <w:szCs w:val="26"/>
          <w:highlight w:val="white"/>
        </w:rPr>
        <w:t>rience) can be a key differentiation among companies” (McKinsey, 2018). Increasingly, employers have to account for prolonged longevity in the lifespans of their employees. This lifespan longevity, combined with decreasing birth rates, most acutely in East</w:t>
      </w:r>
      <w:r>
        <w:rPr>
          <w:rFonts w:ascii="Times New Roman" w:eastAsia="Times New Roman" w:hAnsi="Times New Roman" w:cs="Times New Roman"/>
          <w:color w:val="333333"/>
          <w:sz w:val="26"/>
          <w:szCs w:val="26"/>
          <w:highlight w:val="white"/>
        </w:rPr>
        <w:t xml:space="preserve"> Asia, Europe, and North America, together are increasing the number of older populations worldwide (World Bank, 2018), thus resulting to expectations that the number of retirees per worker globally is set to decline from 8:1 in 2018 to 4:1 in 2050 (World </w:t>
      </w:r>
      <w:r>
        <w:rPr>
          <w:rFonts w:ascii="Times New Roman" w:eastAsia="Times New Roman" w:hAnsi="Times New Roman" w:cs="Times New Roman"/>
          <w:color w:val="333333"/>
          <w:sz w:val="26"/>
          <w:szCs w:val="26"/>
          <w:highlight w:val="white"/>
        </w:rPr>
        <w:t>Economic Forum, 2017). In particular, thirteen countries that include the United States, the United Kingdom, Japan, Germany, France, and South Korea are expected to have more than one in five people age 65 or older by 2020 (O’Connor, 2014). Considering the</w:t>
      </w:r>
      <w:r>
        <w:rPr>
          <w:rFonts w:ascii="Times New Roman" w:eastAsia="Times New Roman" w:hAnsi="Times New Roman" w:cs="Times New Roman"/>
          <w:color w:val="333333"/>
          <w:sz w:val="26"/>
          <w:szCs w:val="26"/>
          <w:highlight w:val="white"/>
        </w:rPr>
        <w:t>se increasing numbers of older populations that live longer lives with the New Gilded Age economic conditions that leave them insufficient retirement, HR could create flexible scheduling options and part-time work given that more elderly employees are slat</w:t>
      </w:r>
      <w:r>
        <w:rPr>
          <w:rFonts w:ascii="Times New Roman" w:eastAsia="Times New Roman" w:hAnsi="Times New Roman" w:cs="Times New Roman"/>
          <w:color w:val="333333"/>
          <w:sz w:val="26"/>
          <w:szCs w:val="26"/>
          <w:highlight w:val="white"/>
        </w:rPr>
        <w:t xml:space="preserve">ed to work for life due to low retirement savings (Deloitte, 2018). </w:t>
      </w:r>
    </w:p>
    <w:p w14:paraId="0A840C48"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The same act of creating flexible schedules and part-time work could also benefit the Millennial generation, which, despite being the largest workforce age demographic in many countries, </w:t>
      </w:r>
      <w:r>
        <w:rPr>
          <w:rFonts w:ascii="Times New Roman" w:eastAsia="Times New Roman" w:hAnsi="Times New Roman" w:cs="Times New Roman"/>
          <w:color w:val="333333"/>
          <w:sz w:val="26"/>
          <w:szCs w:val="26"/>
          <w:highlight w:val="white"/>
        </w:rPr>
        <w:t>including the United States (Fry, 2018), they nevertheless experience more than double the 5 percent general unemployment rate in the United States (Bureau of Labor Statistics, 2016). Globally, according to a World Bank report, “the unemployment rate among</w:t>
      </w:r>
      <w:r>
        <w:rPr>
          <w:rFonts w:ascii="Times New Roman" w:eastAsia="Times New Roman" w:hAnsi="Times New Roman" w:cs="Times New Roman"/>
          <w:color w:val="333333"/>
          <w:sz w:val="26"/>
          <w:szCs w:val="26"/>
          <w:highlight w:val="white"/>
        </w:rPr>
        <w:t xml:space="preserve"> workers 15 to 29 is in the double digits worldwide,” which is a bleak image for the world’s 1.8 billion young people (World Bank, 2015). In the United </w:t>
      </w:r>
      <w:r>
        <w:rPr>
          <w:rFonts w:ascii="Times New Roman" w:eastAsia="Times New Roman" w:hAnsi="Times New Roman" w:cs="Times New Roman"/>
          <w:color w:val="333333"/>
          <w:sz w:val="26"/>
          <w:szCs w:val="26"/>
          <w:highlight w:val="white"/>
        </w:rPr>
        <w:lastRenderedPageBreak/>
        <w:t>States in particular Black and Latino Millennials age 20 to 24 years experienced 12.7 percent and 8.9 pe</w:t>
      </w:r>
      <w:r>
        <w:rPr>
          <w:rFonts w:ascii="Times New Roman" w:eastAsia="Times New Roman" w:hAnsi="Times New Roman" w:cs="Times New Roman"/>
          <w:color w:val="333333"/>
          <w:sz w:val="26"/>
          <w:szCs w:val="26"/>
          <w:highlight w:val="white"/>
        </w:rPr>
        <w:t>rcent unemployment respectively (Bureau of Labor Statistics, 2018). As unemployment rate is calculated in the United States, these figures only indicate the unemployed who have looked for jobs within the past four weeks. Should the US unemployment rate inc</w:t>
      </w:r>
      <w:r>
        <w:rPr>
          <w:rFonts w:ascii="Times New Roman" w:eastAsia="Times New Roman" w:hAnsi="Times New Roman" w:cs="Times New Roman"/>
          <w:color w:val="333333"/>
          <w:sz w:val="26"/>
          <w:szCs w:val="26"/>
          <w:highlight w:val="white"/>
        </w:rPr>
        <w:t>lude everyone who is unemployed but says they want a job, perhaps by including in the unemployment rate “discouraged workers,” those who say they are no longer looking because in face of structural unemployment, psychologically they no longer think they ca</w:t>
      </w:r>
      <w:r>
        <w:rPr>
          <w:rFonts w:ascii="Times New Roman" w:eastAsia="Times New Roman" w:hAnsi="Times New Roman" w:cs="Times New Roman"/>
          <w:color w:val="333333"/>
          <w:sz w:val="26"/>
          <w:szCs w:val="26"/>
          <w:highlight w:val="white"/>
        </w:rPr>
        <w:t>n find a job, the figures would be double (Ravikumar &amp; Shao, 2014). From these figures, creating flexible schedules via job design (Ahmed, 2018) in addition to more part-time positions would benefit not only elderly employees but also many in the Millennia</w:t>
      </w:r>
      <w:r>
        <w:rPr>
          <w:rFonts w:ascii="Times New Roman" w:eastAsia="Times New Roman" w:hAnsi="Times New Roman" w:cs="Times New Roman"/>
          <w:color w:val="333333"/>
          <w:sz w:val="26"/>
          <w:szCs w:val="26"/>
          <w:highlight w:val="white"/>
        </w:rPr>
        <w:t xml:space="preserve">l generation who experience structural unemployment. </w:t>
      </w:r>
    </w:p>
    <w:p w14:paraId="06D7E553"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Even if this would not improve Millennial underemployment, as it may even contribute to it by hiring Millennials, the most educated but worst paid generation in the labor force per capita (Fry et al, 20</w:t>
      </w:r>
      <w:r>
        <w:rPr>
          <w:rFonts w:ascii="Times New Roman" w:eastAsia="Times New Roman" w:hAnsi="Times New Roman" w:cs="Times New Roman"/>
          <w:color w:val="333333"/>
          <w:sz w:val="26"/>
          <w:szCs w:val="26"/>
          <w:highlight w:val="white"/>
        </w:rPr>
        <w:t xml:space="preserve">18), into part-time positions (Abel et al, 2014), part-time work is still a better option for structurally underemployed Millennials. For this to improve the employee experience, it should also be noted that the creation of part-time jobs should not arise </w:t>
      </w:r>
      <w:r>
        <w:rPr>
          <w:rFonts w:ascii="Times New Roman" w:eastAsia="Times New Roman" w:hAnsi="Times New Roman" w:cs="Times New Roman"/>
          <w:color w:val="333333"/>
          <w:sz w:val="26"/>
          <w:szCs w:val="26"/>
          <w:highlight w:val="white"/>
        </w:rPr>
        <w:t>from the elimination of full-time jobs but should be done to supplement full-time work instead. Otherwise, it would be constitute HR eliminating job security, which is the bedrock of highly committed and engaged employees (Pfeffer, 1998; Evans, 2018). Enga</w:t>
      </w:r>
      <w:r>
        <w:rPr>
          <w:rFonts w:ascii="Times New Roman" w:eastAsia="Times New Roman" w:hAnsi="Times New Roman" w:cs="Times New Roman"/>
          <w:color w:val="333333"/>
          <w:sz w:val="26"/>
          <w:szCs w:val="26"/>
          <w:highlight w:val="white"/>
        </w:rPr>
        <w:t xml:space="preserve">ging in job design and total rewards this way, the HR function would further advance its social mission of serving economically underserved </w:t>
      </w:r>
      <w:r>
        <w:rPr>
          <w:rFonts w:ascii="Times New Roman" w:eastAsia="Times New Roman" w:hAnsi="Times New Roman" w:cs="Times New Roman"/>
          <w:color w:val="333333"/>
          <w:sz w:val="26"/>
          <w:szCs w:val="26"/>
          <w:highlight w:val="white"/>
        </w:rPr>
        <w:lastRenderedPageBreak/>
        <w:t>populations, a diversity category that it highlighted in its organizational strategy (Raspberry Pi, 2018), with inte</w:t>
      </w:r>
      <w:r>
        <w:rPr>
          <w:rFonts w:ascii="Times New Roman" w:eastAsia="Times New Roman" w:hAnsi="Times New Roman" w:cs="Times New Roman"/>
          <w:color w:val="333333"/>
          <w:sz w:val="26"/>
          <w:szCs w:val="26"/>
          <w:highlight w:val="white"/>
        </w:rPr>
        <w:t>rgenerational impacts. This melange of leveraging total rewards and diversity and inclusion would allow the HR function to anticipate and therefore plan in order to meet these unique generational needs in the New Gilded Age.</w:t>
      </w:r>
    </w:p>
    <w:p w14:paraId="2385595A" w14:textId="77777777" w:rsidR="007D594A" w:rsidRDefault="007D594A">
      <w:pPr>
        <w:ind w:firstLine="720"/>
        <w:rPr>
          <w:rFonts w:ascii="Times New Roman" w:eastAsia="Times New Roman" w:hAnsi="Times New Roman" w:cs="Times New Roman"/>
          <w:color w:val="333333"/>
          <w:sz w:val="26"/>
          <w:szCs w:val="26"/>
          <w:highlight w:val="white"/>
        </w:rPr>
      </w:pPr>
    </w:p>
    <w:p w14:paraId="4DC18E03" w14:textId="77777777" w:rsidR="007D594A" w:rsidRDefault="0091375D">
      <w:pPr>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t>Fostering a Culture of Continu</w:t>
      </w:r>
      <w:r>
        <w:rPr>
          <w:rFonts w:ascii="Times New Roman" w:eastAsia="Times New Roman" w:hAnsi="Times New Roman" w:cs="Times New Roman"/>
          <w:b/>
          <w:color w:val="333333"/>
          <w:sz w:val="26"/>
          <w:szCs w:val="26"/>
          <w:highlight w:val="white"/>
        </w:rPr>
        <w:t>ous Improvement through Continuing Education and Building Diversity and Inclusion Capabilities Across Generations</w:t>
      </w:r>
    </w:p>
    <w:p w14:paraId="1571EB66"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In order to more fully improve organizational anticipation through HR (Griffiths, 2018), the HR function should offer continuing education tot</w:t>
      </w:r>
      <w:r>
        <w:rPr>
          <w:rFonts w:ascii="Times New Roman" w:eastAsia="Times New Roman" w:hAnsi="Times New Roman" w:cs="Times New Roman"/>
          <w:color w:val="333333"/>
          <w:sz w:val="26"/>
          <w:szCs w:val="26"/>
          <w:highlight w:val="white"/>
        </w:rPr>
        <w:t xml:space="preserve">al rewards opportunities designed with intergenerational diversity in mind. Fostering lifelong learning would take the organization closer to establishing a culture of continuous improvement. Extending continuing education would allow elderly employees to </w:t>
      </w:r>
      <w:r>
        <w:rPr>
          <w:rFonts w:ascii="Times New Roman" w:eastAsia="Times New Roman" w:hAnsi="Times New Roman" w:cs="Times New Roman"/>
          <w:color w:val="333333"/>
          <w:sz w:val="26"/>
          <w:szCs w:val="26"/>
          <w:highlight w:val="white"/>
        </w:rPr>
        <w:t>replenish their skill repertoire, which, if they plan on working through retirement age as many are forecasted to do, would assist them in obtaining more analytical and problem solving skills (CIPD 2015; Frey &amp; Osborne, 2017; Davies, 2018). These skills wo</w:t>
      </w:r>
      <w:r>
        <w:rPr>
          <w:rFonts w:ascii="Times New Roman" w:eastAsia="Times New Roman" w:hAnsi="Times New Roman" w:cs="Times New Roman"/>
          <w:color w:val="333333"/>
          <w:sz w:val="26"/>
          <w:szCs w:val="26"/>
          <w:highlight w:val="white"/>
        </w:rPr>
        <w:t>uld equip Baby Boomer employees with skills that could weather the skill-obsolescence threats that come with increasing adoption and maturation of artificial intelligence, robotics, and automation (Deloitte, 2018) in an increasingly volatile, uncertain, co</w:t>
      </w:r>
      <w:r>
        <w:rPr>
          <w:rFonts w:ascii="Times New Roman" w:eastAsia="Times New Roman" w:hAnsi="Times New Roman" w:cs="Times New Roman"/>
          <w:color w:val="333333"/>
          <w:sz w:val="26"/>
          <w:szCs w:val="26"/>
          <w:highlight w:val="white"/>
        </w:rPr>
        <w:t xml:space="preserve">mplex, and ambiguous (VUCA) world (Griffiths, 2018; Wolf, 2007). </w:t>
      </w:r>
    </w:p>
    <w:p w14:paraId="4E606785"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In addition, continuing education as part of an integenerationally-designed total rewards package could be beneficial for Millennials as they begin to occupy managerial roles. For example, a mutually beneficial potential outcome involves providing </w:t>
      </w:r>
      <w:r>
        <w:rPr>
          <w:rFonts w:ascii="Times New Roman" w:eastAsia="Times New Roman" w:hAnsi="Times New Roman" w:cs="Times New Roman"/>
          <w:color w:val="333333"/>
          <w:sz w:val="26"/>
          <w:szCs w:val="26"/>
          <w:highlight w:val="white"/>
        </w:rPr>
        <w:lastRenderedPageBreak/>
        <w:t>continui</w:t>
      </w:r>
      <w:r>
        <w:rPr>
          <w:rFonts w:ascii="Times New Roman" w:eastAsia="Times New Roman" w:hAnsi="Times New Roman" w:cs="Times New Roman"/>
          <w:color w:val="333333"/>
          <w:sz w:val="26"/>
          <w:szCs w:val="26"/>
          <w:highlight w:val="white"/>
        </w:rPr>
        <w:t>ng education and professional development opportunities for Millennials to learn how to exercise manage employees across various generations, including employees who might be their parents’ age (Deloitte, 2018). This would enhance the leadership capabiliti</w:t>
      </w:r>
      <w:r>
        <w:rPr>
          <w:rFonts w:ascii="Times New Roman" w:eastAsia="Times New Roman" w:hAnsi="Times New Roman" w:cs="Times New Roman"/>
          <w:color w:val="333333"/>
          <w:sz w:val="26"/>
          <w:szCs w:val="26"/>
          <w:highlight w:val="white"/>
        </w:rPr>
        <w:t>es of the Millennial manager, while at the same time equipping them with the diversity and inclusion capability of inclusive leadership (Deloitte, 2012). This capability-building would create an engaging, trusting, and developmental relationship between th</w:t>
      </w:r>
      <w:r>
        <w:rPr>
          <w:rFonts w:ascii="Times New Roman" w:eastAsia="Times New Roman" w:hAnsi="Times New Roman" w:cs="Times New Roman"/>
          <w:color w:val="333333"/>
          <w:sz w:val="26"/>
          <w:szCs w:val="26"/>
          <w:highlight w:val="white"/>
        </w:rPr>
        <w:t>e Millennial manager and the Baby Boomer staff they could be supervising—the kind of trust outcomes that unlocks high commitment and high performance potential of both generations (Pfeffer, 1998). Further, the same anticipatory strategy for intergeneration</w:t>
      </w:r>
      <w:r>
        <w:rPr>
          <w:rFonts w:ascii="Times New Roman" w:eastAsia="Times New Roman" w:hAnsi="Times New Roman" w:cs="Times New Roman"/>
          <w:color w:val="333333"/>
          <w:sz w:val="26"/>
          <w:szCs w:val="26"/>
          <w:highlight w:val="white"/>
        </w:rPr>
        <w:t>al diversity planning can be reproduced and tweaked for updates across distant geographical locations and in decades to come when Generation X begins to enter retirement-age and Generation Z/Edge begin to occupy management roles.  This reproducibility acro</w:t>
      </w:r>
      <w:r>
        <w:rPr>
          <w:rFonts w:ascii="Times New Roman" w:eastAsia="Times New Roman" w:hAnsi="Times New Roman" w:cs="Times New Roman"/>
          <w:color w:val="333333"/>
          <w:sz w:val="26"/>
          <w:szCs w:val="26"/>
          <w:highlight w:val="white"/>
        </w:rPr>
        <w:t xml:space="preserve">ss time and space likewise ensures that the culture of continuous improvement endures as individual employees and entire generations transfer abroad within the foundation and as they temporally evolve through the HR employee life cycle. Collectively, this </w:t>
      </w:r>
      <w:r>
        <w:rPr>
          <w:rFonts w:ascii="Times New Roman" w:eastAsia="Times New Roman" w:hAnsi="Times New Roman" w:cs="Times New Roman"/>
          <w:color w:val="333333"/>
          <w:sz w:val="26"/>
          <w:szCs w:val="26"/>
          <w:highlight w:val="white"/>
        </w:rPr>
        <w:t>structural cultivation of diversity and inclusion capabilities, as done through intergenerationally-designed continuous learning total rewards, would strengthen the organizational anticipatory capabilities of Raspberry Pi for decades to come—an anticipator</w:t>
      </w:r>
      <w:r>
        <w:rPr>
          <w:rFonts w:ascii="Times New Roman" w:eastAsia="Times New Roman" w:hAnsi="Times New Roman" w:cs="Times New Roman"/>
          <w:color w:val="333333"/>
          <w:sz w:val="26"/>
          <w:szCs w:val="26"/>
          <w:highlight w:val="white"/>
        </w:rPr>
        <w:t>y accomplishment that would prove pivotal to the foundation surmounting future situational and workforce challenges across time and space that may and will arise.</w:t>
      </w:r>
    </w:p>
    <w:p w14:paraId="63702D62" w14:textId="77777777" w:rsidR="007D594A" w:rsidRDefault="007D594A">
      <w:pPr>
        <w:rPr>
          <w:rFonts w:ascii="Times New Roman" w:eastAsia="Times New Roman" w:hAnsi="Times New Roman" w:cs="Times New Roman"/>
          <w:color w:val="333333"/>
          <w:sz w:val="26"/>
          <w:szCs w:val="26"/>
          <w:highlight w:val="white"/>
        </w:rPr>
      </w:pPr>
    </w:p>
    <w:p w14:paraId="618A0129" w14:textId="77777777" w:rsidR="007D594A" w:rsidRDefault="0091375D">
      <w:pPr>
        <w:jc w:val="center"/>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lastRenderedPageBreak/>
        <w:t>Reference List</w:t>
      </w:r>
    </w:p>
    <w:p w14:paraId="065B65B4" w14:textId="77777777" w:rsidR="007D594A" w:rsidRDefault="007D594A">
      <w:pPr>
        <w:rPr>
          <w:rFonts w:ascii="Times New Roman" w:eastAsia="Times New Roman" w:hAnsi="Times New Roman" w:cs="Times New Roman"/>
          <w:color w:val="333333"/>
          <w:sz w:val="26"/>
          <w:szCs w:val="26"/>
          <w:highlight w:val="white"/>
        </w:rPr>
      </w:pPr>
    </w:p>
    <w:p w14:paraId="7B595BC4" w14:textId="77777777" w:rsidR="007D594A" w:rsidRDefault="0091375D">
      <w:pPr>
        <w:spacing w:line="480" w:lineRule="auto"/>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Abel, J., Deitz, R., and Su, Y. (2014). Are Recent College Graduates Finding Good Jobs? </w:t>
      </w:r>
    </w:p>
    <w:p w14:paraId="2E2262F1" w14:textId="77777777" w:rsidR="007D594A" w:rsidRDefault="0091375D">
      <w:pPr>
        <w:spacing w:line="480" w:lineRule="auto"/>
        <w:ind w:left="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i/>
          <w:color w:val="333333"/>
          <w:sz w:val="26"/>
          <w:szCs w:val="26"/>
          <w:highlight w:val="white"/>
        </w:rPr>
        <w:t>Federal Reserve Bank of New York: Current Issues in Economics and Finance</w:t>
      </w:r>
      <w:r>
        <w:rPr>
          <w:rFonts w:ascii="Times New Roman" w:eastAsia="Times New Roman" w:hAnsi="Times New Roman" w:cs="Times New Roman"/>
          <w:color w:val="333333"/>
          <w:sz w:val="26"/>
          <w:szCs w:val="26"/>
          <w:highlight w:val="white"/>
        </w:rPr>
        <w:t>, 20 (1).</w:t>
      </w:r>
    </w:p>
    <w:p w14:paraId="783A9163" w14:textId="77777777" w:rsidR="007D594A" w:rsidRDefault="0091375D">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color w:val="333333"/>
          <w:sz w:val="26"/>
          <w:szCs w:val="26"/>
          <w:highlight w:val="white"/>
        </w:rPr>
        <w:t xml:space="preserve">Ahmed, S. (2018). </w:t>
      </w:r>
      <w:r>
        <w:rPr>
          <w:rFonts w:ascii="Times New Roman" w:eastAsia="Times New Roman" w:hAnsi="Times New Roman" w:cs="Times New Roman"/>
          <w:sz w:val="24"/>
          <w:szCs w:val="24"/>
          <w:highlight w:val="white"/>
        </w:rPr>
        <w:t>A Hotel in Mexico. [Blog.] Week 8: Globalisation and International</w:t>
      </w:r>
      <w:r>
        <w:rPr>
          <w:rFonts w:ascii="Times New Roman" w:eastAsia="Times New Roman" w:hAnsi="Times New Roman" w:cs="Times New Roman"/>
          <w:sz w:val="24"/>
          <w:szCs w:val="24"/>
          <w:highlight w:val="white"/>
        </w:rPr>
        <w:t xml:space="preserve"> HRM.</w:t>
      </w:r>
    </w:p>
    <w:p w14:paraId="79E87AFF" w14:textId="77777777" w:rsidR="007D594A" w:rsidRDefault="0091375D">
      <w:pPr>
        <w:spacing w:line="480" w:lineRule="auto"/>
        <w:ind w:firstLine="720"/>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sz w:val="24"/>
          <w:szCs w:val="24"/>
          <w:highlight w:val="white"/>
        </w:rPr>
        <w:t>Available at:</w:t>
      </w:r>
      <w:hyperlink r:id="rId8" w:anchor="object/221653">
        <w:r>
          <w:rPr>
            <w:rFonts w:ascii="Times New Roman" w:eastAsia="Times New Roman" w:hAnsi="Times New Roman" w:cs="Times New Roman"/>
            <w:sz w:val="24"/>
            <w:szCs w:val="24"/>
            <w:highlight w:val="white"/>
          </w:rPr>
          <w:t xml:space="preserve"> </w:t>
        </w:r>
      </w:hyperlink>
      <w:hyperlink r:id="rId9">
        <w:r>
          <w:rPr>
            <w:rFonts w:ascii="Times New Roman" w:eastAsia="Times New Roman" w:hAnsi="Times New Roman" w:cs="Times New Roman"/>
            <w:color w:val="1155CC"/>
            <w:sz w:val="24"/>
            <w:szCs w:val="24"/>
            <w:highlight w:val="white"/>
            <w:u w:val="single"/>
          </w:rPr>
          <w:t>https://uniwales.curatr3.com/courses/eMBAHRM-copy-</w:t>
        </w:r>
      </w:hyperlink>
      <w:r>
        <w:fldChar w:fldCharType="begin"/>
      </w:r>
      <w:r>
        <w:instrText xml:space="preserve"> HYPERLINK "https:</w:instrText>
      </w:r>
      <w:r>
        <w:instrText xml:space="preserve">//uniwales.curatr3.com/courses/eMBAHRM-copy-5615/home#object/221653" </w:instrText>
      </w:r>
      <w:r>
        <w:fldChar w:fldCharType="separate"/>
      </w:r>
    </w:p>
    <w:p w14:paraId="66C3888A" w14:textId="77777777" w:rsidR="007D594A" w:rsidRDefault="0091375D">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color w:val="1155CC"/>
          <w:sz w:val="24"/>
          <w:szCs w:val="24"/>
          <w:highlight w:val="white"/>
          <w:u w:val="single"/>
        </w:rPr>
        <w:t>5615/home#object/221653</w:t>
      </w:r>
      <w:r>
        <w:fldChar w:fldCharType="end"/>
      </w:r>
      <w:r>
        <w:rPr>
          <w:rFonts w:ascii="Times New Roman" w:eastAsia="Times New Roman" w:hAnsi="Times New Roman" w:cs="Times New Roman"/>
          <w:sz w:val="24"/>
          <w:szCs w:val="24"/>
          <w:highlight w:val="white"/>
        </w:rPr>
        <w:t xml:space="preserve"> [Accessed: 25 April 2018].</w:t>
      </w:r>
    </w:p>
    <w:p w14:paraId="7659F25E" w14:textId="77777777" w:rsidR="007D594A" w:rsidRDefault="0091375D">
      <w:pPr>
        <w:spacing w:line="480" w:lineRule="auto"/>
        <w:rPr>
          <w:rFonts w:ascii="Times New Roman" w:eastAsia="Times New Roman" w:hAnsi="Times New Roman" w:cs="Times New Roman"/>
          <w:i/>
          <w:color w:val="333333"/>
          <w:sz w:val="26"/>
          <w:szCs w:val="26"/>
          <w:highlight w:val="white"/>
        </w:rPr>
      </w:pPr>
      <w:r>
        <w:rPr>
          <w:rFonts w:ascii="Times New Roman" w:eastAsia="Times New Roman" w:hAnsi="Times New Roman" w:cs="Times New Roman"/>
          <w:color w:val="333333"/>
          <w:sz w:val="26"/>
          <w:szCs w:val="26"/>
          <w:highlight w:val="white"/>
        </w:rPr>
        <w:t xml:space="preserve">Applebaum, A. (2017). Britain After Brexit: A Transformed Political Landscape. </w:t>
      </w:r>
      <w:r>
        <w:rPr>
          <w:rFonts w:ascii="Times New Roman" w:eastAsia="Times New Roman" w:hAnsi="Times New Roman" w:cs="Times New Roman"/>
          <w:i/>
          <w:color w:val="333333"/>
          <w:sz w:val="26"/>
          <w:szCs w:val="26"/>
          <w:highlight w:val="white"/>
        </w:rPr>
        <w:t xml:space="preserve">Journal </w:t>
      </w:r>
    </w:p>
    <w:p w14:paraId="73B3F0FD"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i/>
          <w:color w:val="333333"/>
          <w:sz w:val="26"/>
          <w:szCs w:val="26"/>
          <w:highlight w:val="white"/>
        </w:rPr>
        <w:t>of Democracy</w:t>
      </w:r>
      <w:r>
        <w:rPr>
          <w:rFonts w:ascii="Times New Roman" w:eastAsia="Times New Roman" w:hAnsi="Times New Roman" w:cs="Times New Roman"/>
          <w:color w:val="333333"/>
          <w:sz w:val="26"/>
          <w:szCs w:val="26"/>
          <w:highlight w:val="white"/>
        </w:rPr>
        <w:t>, 28 (1), 53-58.</w:t>
      </w:r>
    </w:p>
    <w:p w14:paraId="59310907" w14:textId="77777777" w:rsidR="007D594A" w:rsidRDefault="0091375D">
      <w:pPr>
        <w:spacing w:line="480" w:lineRule="auto"/>
        <w:rPr>
          <w:rFonts w:ascii="Times New Roman" w:eastAsia="Times New Roman" w:hAnsi="Times New Roman" w:cs="Times New Roman"/>
          <w:i/>
          <w:sz w:val="24"/>
          <w:szCs w:val="24"/>
          <w:highlight w:val="white"/>
        </w:rPr>
      </w:pPr>
      <w:r>
        <w:rPr>
          <w:rFonts w:ascii="Times New Roman" w:eastAsia="Times New Roman" w:hAnsi="Times New Roman" w:cs="Times New Roman"/>
          <w:sz w:val="24"/>
          <w:szCs w:val="24"/>
          <w:highlight w:val="white"/>
        </w:rPr>
        <w:t xml:space="preserve">Beer, M., Spector, B., Lawrence, P., and Mills, D. (1984). </w:t>
      </w:r>
      <w:r>
        <w:rPr>
          <w:rFonts w:ascii="Times New Roman" w:eastAsia="Times New Roman" w:hAnsi="Times New Roman" w:cs="Times New Roman"/>
          <w:i/>
          <w:sz w:val="24"/>
          <w:szCs w:val="24"/>
          <w:highlight w:val="white"/>
        </w:rPr>
        <w:t>Managing Human Assets: The</w:t>
      </w:r>
    </w:p>
    <w:p w14:paraId="493439C5"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i/>
          <w:sz w:val="24"/>
          <w:szCs w:val="24"/>
          <w:highlight w:val="white"/>
        </w:rPr>
        <w:t>Groundbreaking Harvard Business School Program</w:t>
      </w:r>
      <w:r>
        <w:rPr>
          <w:rFonts w:ascii="Times New Roman" w:eastAsia="Times New Roman" w:hAnsi="Times New Roman" w:cs="Times New Roman"/>
          <w:sz w:val="24"/>
          <w:szCs w:val="24"/>
          <w:highlight w:val="white"/>
        </w:rPr>
        <w:t>. New York: Free Press.</w:t>
      </w:r>
    </w:p>
    <w:p w14:paraId="73990771" w14:textId="77777777" w:rsidR="007D594A" w:rsidRDefault="0091375D">
      <w:pPr>
        <w:spacing w:line="480" w:lineRule="auto"/>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Bureau of Labor Statistics. (2016). The Employment Situation. Washington, D.C.: </w:t>
      </w:r>
    </w:p>
    <w:p w14:paraId="50BF61D3"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Bureau of Labor Sta</w:t>
      </w:r>
      <w:r>
        <w:rPr>
          <w:rFonts w:ascii="Times New Roman" w:eastAsia="Times New Roman" w:hAnsi="Times New Roman" w:cs="Times New Roman"/>
          <w:color w:val="333333"/>
          <w:sz w:val="26"/>
          <w:szCs w:val="26"/>
          <w:highlight w:val="white"/>
        </w:rPr>
        <w:t>tistics, U.S. Department of Labor.</w:t>
      </w:r>
    </w:p>
    <w:p w14:paraId="5918CB85" w14:textId="77777777" w:rsidR="007D594A" w:rsidRDefault="0091375D">
      <w:pPr>
        <w:spacing w:line="480" w:lineRule="auto"/>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Campbell, V. and Hirsh, W. (2014). </w:t>
      </w:r>
      <w:r>
        <w:rPr>
          <w:rFonts w:ascii="Times New Roman" w:eastAsia="Times New Roman" w:hAnsi="Times New Roman" w:cs="Times New Roman"/>
          <w:i/>
          <w:color w:val="333333"/>
          <w:sz w:val="26"/>
          <w:szCs w:val="26"/>
          <w:highlight w:val="white"/>
        </w:rPr>
        <w:t>Talent Management: A Four-Step Approach</w:t>
      </w:r>
      <w:r>
        <w:rPr>
          <w:rFonts w:ascii="Times New Roman" w:eastAsia="Times New Roman" w:hAnsi="Times New Roman" w:cs="Times New Roman"/>
          <w:color w:val="333333"/>
          <w:sz w:val="26"/>
          <w:szCs w:val="26"/>
          <w:highlight w:val="white"/>
        </w:rPr>
        <w:t xml:space="preserve">. </w:t>
      </w:r>
    </w:p>
    <w:p w14:paraId="27448E6D"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Brighton: Institute for Employment Studies.</w:t>
      </w:r>
    </w:p>
    <w:p w14:paraId="0C18AEA9" w14:textId="77777777" w:rsidR="007D594A" w:rsidRDefault="0091375D">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CIPD. (2015). Employee Engagement. London: Chartered Institute of Personnel and</w:t>
      </w:r>
    </w:p>
    <w:p w14:paraId="29F152AD"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sz w:val="24"/>
          <w:szCs w:val="24"/>
          <w:highlight w:val="white"/>
        </w:rPr>
        <w:t>Development.</w:t>
      </w:r>
    </w:p>
    <w:p w14:paraId="29FD830D" w14:textId="77777777" w:rsidR="007D594A" w:rsidRDefault="0091375D">
      <w:pPr>
        <w:spacing w:line="480" w:lineRule="auto"/>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Davies, C. (2018) Technological Factors. [Blog] Week 5: Situational Factors and the </w:t>
      </w:r>
    </w:p>
    <w:p w14:paraId="7D995925" w14:textId="77777777" w:rsidR="007D594A" w:rsidRDefault="0091375D">
      <w:pPr>
        <w:spacing w:line="480" w:lineRule="auto"/>
        <w:ind w:firstLine="720"/>
      </w:pPr>
      <w:r>
        <w:rPr>
          <w:rFonts w:ascii="Times New Roman" w:eastAsia="Times New Roman" w:hAnsi="Times New Roman" w:cs="Times New Roman"/>
          <w:color w:val="333333"/>
          <w:sz w:val="26"/>
          <w:szCs w:val="26"/>
          <w:highlight w:val="white"/>
        </w:rPr>
        <w:t xml:space="preserve">Impact upon HR Outcomes. Available at: </w:t>
      </w:r>
      <w:hyperlink r:id="rId10" w:anchor="level/45533">
        <w:r>
          <w:rPr>
            <w:rFonts w:ascii="Times New Roman" w:eastAsia="Times New Roman" w:hAnsi="Times New Roman" w:cs="Times New Roman"/>
            <w:color w:val="1155CC"/>
            <w:sz w:val="26"/>
            <w:szCs w:val="26"/>
            <w:highlight w:val="white"/>
            <w:u w:val="single"/>
          </w:rPr>
          <w:t>https://uniwales.curatr3.com/courses</w:t>
        </w:r>
        <w:r>
          <w:rPr>
            <w:rFonts w:ascii="Times New Roman" w:eastAsia="Times New Roman" w:hAnsi="Times New Roman" w:cs="Times New Roman"/>
            <w:color w:val="1155CC"/>
            <w:sz w:val="26"/>
            <w:szCs w:val="26"/>
            <w:highlight w:val="white"/>
            <w:u w:val="single"/>
          </w:rPr>
          <w:t>/</w:t>
        </w:r>
      </w:hyperlink>
    </w:p>
    <w:p w14:paraId="7EFDCEF5"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hyperlink r:id="rId11" w:anchor="level/45533">
        <w:r>
          <w:rPr>
            <w:rFonts w:ascii="Times New Roman" w:eastAsia="Times New Roman" w:hAnsi="Times New Roman" w:cs="Times New Roman"/>
            <w:color w:val="1155CC"/>
            <w:sz w:val="26"/>
            <w:szCs w:val="26"/>
            <w:highlight w:val="white"/>
            <w:u w:val="single"/>
          </w:rPr>
          <w:t>eMBAHRM-copy-5615/home#level/45533</w:t>
        </w:r>
      </w:hyperlink>
      <w:r>
        <w:rPr>
          <w:rFonts w:ascii="Times New Roman" w:eastAsia="Times New Roman" w:hAnsi="Times New Roman" w:cs="Times New Roman"/>
          <w:color w:val="333333"/>
          <w:sz w:val="26"/>
          <w:szCs w:val="26"/>
          <w:highlight w:val="white"/>
        </w:rPr>
        <w:t xml:space="preserve"> [Accessed: 27 April 2018].</w:t>
      </w:r>
    </w:p>
    <w:p w14:paraId="69F98A35" w14:textId="77777777" w:rsidR="007D594A" w:rsidRDefault="0091375D">
      <w:pPr>
        <w:spacing w:line="480" w:lineRule="auto"/>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Deloitte. (2018). The Rise of the Social Enterprise: 2018 Deloitte Global Human Capital </w:t>
      </w:r>
    </w:p>
    <w:p w14:paraId="2538012D"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lastRenderedPageBreak/>
        <w:t>Trends.</w:t>
      </w:r>
      <w:r>
        <w:rPr>
          <w:rFonts w:ascii="Times New Roman" w:eastAsia="Times New Roman" w:hAnsi="Times New Roman" w:cs="Times New Roman"/>
          <w:color w:val="333333"/>
          <w:sz w:val="26"/>
          <w:szCs w:val="26"/>
          <w:highlight w:val="white"/>
        </w:rPr>
        <w:t xml:space="preserve"> New York: Deloitte Insights.</w:t>
      </w:r>
    </w:p>
    <w:p w14:paraId="7091E0BB" w14:textId="77777777" w:rsidR="007D594A" w:rsidRDefault="0091375D">
      <w:pPr>
        <w:spacing w:line="480" w:lineRule="auto"/>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Deloitte. (2012). Waiter, Is That Inclusion in my Soup?: A New Recipe to Improve </w:t>
      </w:r>
    </w:p>
    <w:p w14:paraId="2767476B" w14:textId="77777777" w:rsidR="007D594A" w:rsidRDefault="0091375D">
      <w:pPr>
        <w:spacing w:line="480" w:lineRule="auto"/>
        <w:ind w:firstLine="7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Organisational Performance. Sydney: Deloitte Australia. </w:t>
      </w:r>
    </w:p>
    <w:p w14:paraId="402B937C"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Edelman. (2018). 2018 Edelman Trust Barometer Global Report. Chicago: Edelman Trust </w:t>
      </w:r>
    </w:p>
    <w:p w14:paraId="62C5DE0D"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Barometer: Annual Global Study.</w:t>
      </w:r>
    </w:p>
    <w:p w14:paraId="5BE4890A"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Evans, J. (2018).  High Commitment/High Performance HR: A Debate. [Blog]. Week 6: The </w:t>
      </w:r>
    </w:p>
    <w:p w14:paraId="696A292F" w14:textId="77777777" w:rsidR="007D594A" w:rsidRDefault="0091375D">
      <w:pPr>
        <w:spacing w:line="480" w:lineRule="auto"/>
        <w:ind w:left="720"/>
      </w:pPr>
      <w:r>
        <w:rPr>
          <w:rFonts w:ascii="Times New Roman" w:eastAsia="Times New Roman" w:hAnsi="Times New Roman" w:cs="Times New Roman"/>
          <w:sz w:val="24"/>
          <w:szCs w:val="24"/>
        </w:rPr>
        <w:t xml:space="preserve">Value of the Human Resource, Engagement and Demonstrating the Value of HR Outcomes. Available at: </w:t>
      </w:r>
      <w:hyperlink r:id="rId12" w:anchor="object/221639">
        <w:r>
          <w:rPr>
            <w:rFonts w:ascii="Times New Roman" w:eastAsia="Times New Roman" w:hAnsi="Times New Roman" w:cs="Times New Roman"/>
            <w:color w:val="1155CC"/>
            <w:sz w:val="24"/>
            <w:szCs w:val="24"/>
            <w:u w:val="single"/>
          </w:rPr>
          <w:t>https://uniwales.curatr3.com/courses/eMBAH</w:t>
        </w:r>
      </w:hyperlink>
    </w:p>
    <w:p w14:paraId="28BAE723" w14:textId="77777777" w:rsidR="007D594A" w:rsidRDefault="0091375D">
      <w:pPr>
        <w:spacing w:line="480" w:lineRule="auto"/>
        <w:ind w:left="720"/>
        <w:rPr>
          <w:rFonts w:ascii="Times New Roman" w:eastAsia="Times New Roman" w:hAnsi="Times New Roman" w:cs="Times New Roman"/>
          <w:sz w:val="24"/>
          <w:szCs w:val="24"/>
        </w:rPr>
      </w:pPr>
      <w:hyperlink r:id="rId13" w:anchor="object/221639">
        <w:r>
          <w:rPr>
            <w:rFonts w:ascii="Times New Roman" w:eastAsia="Times New Roman" w:hAnsi="Times New Roman" w:cs="Times New Roman"/>
            <w:color w:val="1155CC"/>
            <w:sz w:val="24"/>
            <w:szCs w:val="24"/>
            <w:u w:val="single"/>
          </w:rPr>
          <w:t>RM-copy-5615/home#object/221639</w:t>
        </w:r>
      </w:hyperlink>
      <w:r>
        <w:rPr>
          <w:rFonts w:ascii="Times New Roman" w:eastAsia="Times New Roman" w:hAnsi="Times New Roman" w:cs="Times New Roman"/>
          <w:sz w:val="24"/>
          <w:szCs w:val="24"/>
        </w:rPr>
        <w:t xml:space="preserve"> [Accessed: 20 April 2018</w:t>
      </w:r>
      <w:r>
        <w:rPr>
          <w:rFonts w:ascii="Times New Roman" w:eastAsia="Times New Roman" w:hAnsi="Times New Roman" w:cs="Times New Roman"/>
          <w:sz w:val="24"/>
          <w:szCs w:val="24"/>
        </w:rPr>
        <w:t>].</w:t>
      </w:r>
    </w:p>
    <w:p w14:paraId="2541F53F"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Frey, C. and Osborne, A. (2017). The Future of Employment: How Susceptible are Jobs to </w:t>
      </w:r>
    </w:p>
    <w:p w14:paraId="6E6A28F5"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Computerisation? </w:t>
      </w:r>
      <w:r>
        <w:rPr>
          <w:rFonts w:ascii="Times New Roman" w:eastAsia="Times New Roman" w:hAnsi="Times New Roman" w:cs="Times New Roman"/>
          <w:i/>
          <w:sz w:val="24"/>
          <w:szCs w:val="24"/>
        </w:rPr>
        <w:t>Technological Forecasting and Social Change</w:t>
      </w:r>
      <w:r>
        <w:rPr>
          <w:rFonts w:ascii="Times New Roman" w:eastAsia="Times New Roman" w:hAnsi="Times New Roman" w:cs="Times New Roman"/>
          <w:sz w:val="24"/>
          <w:szCs w:val="24"/>
        </w:rPr>
        <w:t>, 114 ©, 254-280.</w:t>
      </w:r>
    </w:p>
    <w:p w14:paraId="79B22C3F"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Frey, W. (2018) The Millennial Generation: A Demographic Bridge to America’s Diverse Future. </w:t>
      </w:r>
    </w:p>
    <w:p w14:paraId="435866CC"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Washington, D.C.: Brookings Institute.</w:t>
      </w:r>
    </w:p>
    <w:p w14:paraId="316C67F8" w14:textId="77777777" w:rsidR="007D594A" w:rsidRDefault="0091375D">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Front, S. and Kalman, D. (2016). </w:t>
      </w:r>
      <w:r>
        <w:rPr>
          <w:rFonts w:ascii="Times New Roman" w:eastAsia="Times New Roman" w:hAnsi="Times New Roman" w:cs="Times New Roman"/>
          <w:i/>
          <w:sz w:val="24"/>
          <w:szCs w:val="24"/>
        </w:rPr>
        <w:t xml:space="preserve">Inclusive Talent Management: How Business Can Thrive in an </w:t>
      </w:r>
    </w:p>
    <w:p w14:paraId="26DD4FFD"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Age of Diversity</w:t>
      </w:r>
      <w:r>
        <w:rPr>
          <w:rFonts w:ascii="Times New Roman" w:eastAsia="Times New Roman" w:hAnsi="Times New Roman" w:cs="Times New Roman"/>
          <w:sz w:val="24"/>
          <w:szCs w:val="24"/>
        </w:rPr>
        <w:t>. London: Koga</w:t>
      </w:r>
      <w:r>
        <w:rPr>
          <w:rFonts w:ascii="Times New Roman" w:eastAsia="Times New Roman" w:hAnsi="Times New Roman" w:cs="Times New Roman"/>
          <w:sz w:val="24"/>
          <w:szCs w:val="24"/>
        </w:rPr>
        <w:t>n Page.</w:t>
      </w:r>
    </w:p>
    <w:p w14:paraId="13526DE9"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Fry, R., Igielnik, R, and Patten, E.  (2018). How Millennials Today Compare with their </w:t>
      </w:r>
    </w:p>
    <w:p w14:paraId="5C4F44AE" w14:textId="77777777" w:rsidR="007D594A" w:rsidRDefault="0091375D">
      <w:pPr>
        <w:spacing w:line="480" w:lineRule="auto"/>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Grandparents 50 Years Ago. Washington, D.C.: </w:t>
      </w:r>
      <w:r>
        <w:rPr>
          <w:rFonts w:ascii="Times New Roman" w:eastAsia="Times New Roman" w:hAnsi="Times New Roman" w:cs="Times New Roman"/>
          <w:i/>
          <w:sz w:val="24"/>
          <w:szCs w:val="24"/>
        </w:rPr>
        <w:t xml:space="preserve">Pew Research Center.  </w:t>
      </w:r>
    </w:p>
    <w:p w14:paraId="680ABA86"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Fry, R. (2018). Millennials are the Largest Generation in the U.S. Labor Force. Washington, </w:t>
      </w:r>
    </w:p>
    <w:p w14:paraId="7EA2956C"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D.C.: Pew Research Center.</w:t>
      </w:r>
    </w:p>
    <w:p w14:paraId="3E4B3BE8"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Gantz, J. and Sanders, B. (2017). The Age of Inequality: Corporate America’s War on Working </w:t>
      </w:r>
    </w:p>
    <w:p w14:paraId="67460DDE"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People. New York: Verso.</w:t>
      </w:r>
    </w:p>
    <w:p w14:paraId="058EEEA5"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Griffiths, D. (2018). Anticipation: Tools for Extending the Shadow of Your Future. [Blog]. </w:t>
      </w:r>
    </w:p>
    <w:p w14:paraId="5765E01F"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Atavist. Available</w:t>
      </w:r>
      <w:r>
        <w:rPr>
          <w:rFonts w:ascii="Times New Roman" w:eastAsia="Times New Roman" w:hAnsi="Times New Roman" w:cs="Times New Roman"/>
          <w:sz w:val="24"/>
          <w:szCs w:val="24"/>
        </w:rPr>
        <w:t xml:space="preserve"> at: </w:t>
      </w:r>
      <w:hyperlink r:id="rId14">
        <w:r>
          <w:rPr>
            <w:rFonts w:ascii="Times New Roman" w:eastAsia="Times New Roman" w:hAnsi="Times New Roman" w:cs="Times New Roman"/>
            <w:color w:val="1155CC"/>
            <w:sz w:val="24"/>
            <w:szCs w:val="24"/>
            <w:u w:val="single"/>
          </w:rPr>
          <w:t>https://davidg.atavist.com/anticipation</w:t>
        </w:r>
      </w:hyperlink>
      <w:r>
        <w:rPr>
          <w:rFonts w:ascii="Times New Roman" w:eastAsia="Times New Roman" w:hAnsi="Times New Roman" w:cs="Times New Roman"/>
          <w:sz w:val="24"/>
          <w:szCs w:val="24"/>
        </w:rPr>
        <w:t xml:space="preserve"> [Accessed 21 April 2018]. </w:t>
      </w:r>
    </w:p>
    <w:p w14:paraId="7A53D73B"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IonTuition. (2018). An Unexpected Burden: Student Loans and Their Impact on Americans Over </w:t>
      </w:r>
    </w:p>
    <w:p w14:paraId="7D74E7B1"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35. IonTuition.</w:t>
      </w:r>
    </w:p>
    <w:p w14:paraId="08E97BD9"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Kabaservice, G. (</w:t>
      </w:r>
      <w:r>
        <w:rPr>
          <w:rFonts w:ascii="Times New Roman" w:eastAsia="Times New Roman" w:hAnsi="Times New Roman" w:cs="Times New Roman"/>
          <w:sz w:val="24"/>
          <w:szCs w:val="24"/>
        </w:rPr>
        <w:t xml:space="preserve">2016). When Republicans Take Power. [online] </w:t>
      </w:r>
      <w:r>
        <w:rPr>
          <w:rFonts w:ascii="Times New Roman" w:eastAsia="Times New Roman" w:hAnsi="Times New Roman" w:cs="Times New Roman"/>
          <w:i/>
          <w:sz w:val="24"/>
          <w:szCs w:val="24"/>
        </w:rPr>
        <w:t xml:space="preserve">The New York Times. </w:t>
      </w:r>
      <w:r>
        <w:rPr>
          <w:rFonts w:ascii="Times New Roman" w:eastAsia="Times New Roman" w:hAnsi="Times New Roman" w:cs="Times New Roman"/>
          <w:sz w:val="24"/>
          <w:szCs w:val="24"/>
        </w:rPr>
        <w:t xml:space="preserve">Available </w:t>
      </w:r>
    </w:p>
    <w:p w14:paraId="0040E1C4" w14:textId="77777777" w:rsidR="007D594A" w:rsidRDefault="0091375D">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w:t>
      </w:r>
      <w:hyperlink r:id="rId15">
        <w:r>
          <w:rPr>
            <w:rFonts w:ascii="Times New Roman" w:eastAsia="Times New Roman" w:hAnsi="Times New Roman" w:cs="Times New Roman"/>
            <w:color w:val="1155CC"/>
            <w:sz w:val="24"/>
            <w:szCs w:val="24"/>
            <w:u w:val="single"/>
          </w:rPr>
          <w:t>https://www.nytimes.com/2016/11/13/opinion/sunday/when-republicans-take- po</w:t>
        </w:r>
        <w:r>
          <w:rPr>
            <w:rFonts w:ascii="Times New Roman" w:eastAsia="Times New Roman" w:hAnsi="Times New Roman" w:cs="Times New Roman"/>
            <w:color w:val="1155CC"/>
            <w:sz w:val="24"/>
            <w:szCs w:val="24"/>
            <w:u w:val="single"/>
          </w:rPr>
          <w:t>wer.html</w:t>
        </w:r>
      </w:hyperlink>
      <w:r>
        <w:rPr>
          <w:rFonts w:ascii="Times New Roman" w:eastAsia="Times New Roman" w:hAnsi="Times New Roman" w:cs="Times New Roman"/>
          <w:sz w:val="24"/>
          <w:szCs w:val="24"/>
        </w:rPr>
        <w:t xml:space="preserve"> [Accessed 16 April 2018].</w:t>
      </w:r>
    </w:p>
    <w:p w14:paraId="5421DCF1"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Kashora, F. (2018). High Commitment/High Performance HR: A Debate. [Blog]. Week 6: The</w:t>
      </w:r>
    </w:p>
    <w:p w14:paraId="3225E0FF" w14:textId="77777777" w:rsidR="007D594A" w:rsidRDefault="0091375D">
      <w:pPr>
        <w:spacing w:line="480" w:lineRule="auto"/>
        <w:ind w:left="72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Value of the Human Resource, Engagement and Demonstrating the Value of HR Outcomes. Available at:</w:t>
      </w:r>
      <w:hyperlink r:id="rId16">
        <w:r>
          <w:rPr>
            <w:rFonts w:ascii="Times New Roman" w:eastAsia="Times New Roman" w:hAnsi="Times New Roman" w:cs="Times New Roman"/>
            <w:sz w:val="24"/>
            <w:szCs w:val="24"/>
          </w:rPr>
          <w:t xml:space="preserve"> </w:t>
        </w:r>
      </w:hyperlink>
      <w:r>
        <w:fldChar w:fldCharType="begin"/>
      </w:r>
      <w:r>
        <w:instrText xml:space="preserve"> HYPERLINK "https://uniwales.curatr3.com/courses/eMBAH" </w:instrText>
      </w:r>
      <w:r>
        <w:fldChar w:fldCharType="separate"/>
      </w:r>
      <w:r>
        <w:rPr>
          <w:rFonts w:ascii="Times New Roman" w:eastAsia="Times New Roman" w:hAnsi="Times New Roman" w:cs="Times New Roman"/>
          <w:color w:val="1155CC"/>
          <w:sz w:val="24"/>
          <w:szCs w:val="24"/>
          <w:u w:val="single"/>
        </w:rPr>
        <w:t>https://uniwales.curatr3.com/courses/eMBAH</w:t>
      </w:r>
    </w:p>
    <w:p w14:paraId="72355786" w14:textId="77777777" w:rsidR="007D594A" w:rsidRDefault="0091375D">
      <w:pPr>
        <w:spacing w:line="480" w:lineRule="auto"/>
        <w:ind w:firstLine="720"/>
        <w:rPr>
          <w:rFonts w:ascii="Times New Roman" w:eastAsia="Times New Roman" w:hAnsi="Times New Roman" w:cs="Times New Roman"/>
          <w:sz w:val="24"/>
          <w:szCs w:val="24"/>
        </w:rPr>
      </w:pPr>
      <w:r>
        <w:fldChar w:fldCharType="end"/>
      </w:r>
      <w:hyperlink r:id="rId17" w:anchor="object/221639">
        <w:r>
          <w:rPr>
            <w:rFonts w:ascii="Times New Roman" w:eastAsia="Times New Roman" w:hAnsi="Times New Roman" w:cs="Times New Roman"/>
            <w:color w:val="1155CC"/>
            <w:sz w:val="24"/>
            <w:szCs w:val="24"/>
            <w:u w:val="single"/>
          </w:rPr>
          <w:t>RM-copy-5615/home#object/221639</w:t>
        </w:r>
      </w:hyperlink>
      <w:r>
        <w:rPr>
          <w:rFonts w:ascii="Times New Roman" w:eastAsia="Times New Roman" w:hAnsi="Times New Roman" w:cs="Times New Roman"/>
          <w:sz w:val="24"/>
          <w:szCs w:val="24"/>
        </w:rPr>
        <w:t xml:space="preserve"> [Accessed: 20 April 2018].</w:t>
      </w:r>
    </w:p>
    <w:p w14:paraId="036B9510"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Krugman, P. (2014). Why We’re in a New Gilded Age. [online] The New York Review of </w:t>
      </w:r>
    </w:p>
    <w:p w14:paraId="51423125" w14:textId="77777777" w:rsidR="007D594A" w:rsidRDefault="0091375D">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Books. Available at </w:t>
      </w:r>
      <w:hyperlink r:id="rId18">
        <w:r>
          <w:rPr>
            <w:rFonts w:ascii="Times New Roman" w:eastAsia="Times New Roman" w:hAnsi="Times New Roman" w:cs="Times New Roman"/>
            <w:color w:val="1155CC"/>
            <w:sz w:val="24"/>
            <w:szCs w:val="24"/>
            <w:u w:val="single"/>
          </w:rPr>
          <w:t>http://www.nybooks.com/articles/2014/05/08/thomas-piketty -new-gilded-age/</w:t>
        </w:r>
      </w:hyperlink>
      <w:r>
        <w:rPr>
          <w:rFonts w:ascii="Times New Roman" w:eastAsia="Times New Roman" w:hAnsi="Times New Roman" w:cs="Times New Roman"/>
          <w:sz w:val="24"/>
          <w:szCs w:val="24"/>
        </w:rPr>
        <w:t xml:space="preserve"> [Accessed 15 April 2018].</w:t>
      </w:r>
    </w:p>
    <w:p w14:paraId="73644A54" w14:textId="77777777" w:rsidR="007D594A" w:rsidRDefault="0091375D">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Marchington, M. and Wilkinson, A. (2005). High Commitment HRM and Performance. </w:t>
      </w:r>
      <w:r>
        <w:rPr>
          <w:rFonts w:ascii="Times New Roman" w:eastAsia="Times New Roman" w:hAnsi="Times New Roman" w:cs="Times New Roman"/>
          <w:i/>
          <w:sz w:val="24"/>
          <w:szCs w:val="24"/>
        </w:rPr>
        <w:t>Human</w:t>
      </w:r>
    </w:p>
    <w:p w14:paraId="69847C50" w14:textId="77777777" w:rsidR="007D594A" w:rsidRDefault="0091375D">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Resource Management at Work</w:t>
      </w:r>
      <w:r>
        <w:rPr>
          <w:rFonts w:ascii="Times New Roman" w:eastAsia="Times New Roman" w:hAnsi="Times New Roman" w:cs="Times New Roman"/>
          <w:sz w:val="24"/>
          <w:szCs w:val="24"/>
        </w:rPr>
        <w:t xml:space="preserve">. London: Chartered Institute of Personnel </w:t>
      </w:r>
      <w:r>
        <w:rPr>
          <w:rFonts w:ascii="Times New Roman" w:eastAsia="Times New Roman" w:hAnsi="Times New Roman" w:cs="Times New Roman"/>
          <w:sz w:val="24"/>
          <w:szCs w:val="24"/>
        </w:rPr>
        <w:t>and Development.</w:t>
      </w:r>
    </w:p>
    <w:p w14:paraId="1AA1F663"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McKinsey &amp; Company. (2018). Delivering Through Diversity. New York: McKinsey &amp; </w:t>
      </w:r>
    </w:p>
    <w:p w14:paraId="5275E7F7"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Company.</w:t>
      </w:r>
    </w:p>
    <w:p w14:paraId="1050CAD2"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Miller, S. (2017). Student Loan Assistance Benefits See Little Growth, but Need is Real. [online] </w:t>
      </w:r>
    </w:p>
    <w:p w14:paraId="068196D6" w14:textId="77777777" w:rsidR="007D594A" w:rsidRDefault="0091375D">
      <w:pPr>
        <w:spacing w:line="480" w:lineRule="auto"/>
        <w:ind w:firstLine="720"/>
      </w:pPr>
      <w:r>
        <w:rPr>
          <w:rFonts w:ascii="Times New Roman" w:eastAsia="Times New Roman" w:hAnsi="Times New Roman" w:cs="Times New Roman"/>
          <w:sz w:val="24"/>
          <w:szCs w:val="24"/>
        </w:rPr>
        <w:t>Society for Human Resource Management. Available at</w:t>
      </w:r>
      <w:r>
        <w:rPr>
          <w:rFonts w:ascii="Times New Roman" w:eastAsia="Times New Roman" w:hAnsi="Times New Roman" w:cs="Times New Roman"/>
          <w:sz w:val="24"/>
          <w:szCs w:val="24"/>
        </w:rPr>
        <w:t xml:space="preserve">: </w:t>
      </w:r>
      <w:hyperlink r:id="rId19">
        <w:r>
          <w:rPr>
            <w:rFonts w:ascii="Times New Roman" w:eastAsia="Times New Roman" w:hAnsi="Times New Roman" w:cs="Times New Roman"/>
            <w:color w:val="1155CC"/>
            <w:sz w:val="24"/>
            <w:szCs w:val="24"/>
            <w:u w:val="single"/>
          </w:rPr>
          <w:t>https://www.shrm.org/Resources</w:t>
        </w:r>
      </w:hyperlink>
    </w:p>
    <w:p w14:paraId="34843A3A" w14:textId="77777777" w:rsidR="007D594A" w:rsidRDefault="0091375D">
      <w:pPr>
        <w:spacing w:line="480" w:lineRule="auto"/>
        <w:ind w:left="720"/>
        <w:rPr>
          <w:rFonts w:ascii="Times New Roman" w:eastAsia="Times New Roman" w:hAnsi="Times New Roman" w:cs="Times New Roman"/>
          <w:sz w:val="24"/>
          <w:szCs w:val="24"/>
        </w:rPr>
      </w:pPr>
      <w:hyperlink r:id="rId20">
        <w:r>
          <w:rPr>
            <w:rFonts w:ascii="Times New Roman" w:eastAsia="Times New Roman" w:hAnsi="Times New Roman" w:cs="Times New Roman"/>
            <w:color w:val="1155CC"/>
            <w:sz w:val="24"/>
            <w:szCs w:val="24"/>
            <w:u w:val="single"/>
          </w:rPr>
          <w:t>AndTools/hr-topics/benefits/pages/student-loan-assistance-benefit.aspx</w:t>
        </w:r>
      </w:hyperlink>
      <w:r>
        <w:rPr>
          <w:rFonts w:ascii="Times New Roman" w:eastAsia="Times New Roman" w:hAnsi="Times New Roman" w:cs="Times New Roman"/>
          <w:sz w:val="24"/>
          <w:szCs w:val="24"/>
        </w:rPr>
        <w:t xml:space="preserve"> [Accessed 20 April 2018]. </w:t>
      </w:r>
    </w:p>
    <w:p w14:paraId="4FBA9C89"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Nthere, J. (2018). A Hotel in Mexico. [Blog.] Week 8: Globalisation and International HRM. </w:t>
      </w:r>
    </w:p>
    <w:p w14:paraId="451408F7" w14:textId="77777777" w:rsidR="007D594A" w:rsidRDefault="0091375D">
      <w:pPr>
        <w:spacing w:line="480" w:lineRule="auto"/>
        <w:ind w:firstLine="72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Available at:</w:t>
      </w:r>
      <w:hyperlink r:id="rId21" w:anchor="object/221653">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u w:val="single"/>
          </w:rPr>
          <w:t>https://uniwales.curatr3.com/courses/eMBAHRM-copy-</w:t>
        </w:r>
      </w:hyperlink>
      <w:r>
        <w:fldChar w:fldCharType="begin"/>
      </w:r>
      <w:r>
        <w:instrText xml:space="preserve"> HYPERLINK "https://uniwales.curatr3.com/courses/eMBAHRM-copy-5615/home#o</w:instrText>
      </w:r>
      <w:r>
        <w:instrText xml:space="preserve">bject/221653" </w:instrText>
      </w:r>
      <w:r>
        <w:fldChar w:fldCharType="separate"/>
      </w:r>
    </w:p>
    <w:p w14:paraId="2CA8B35D"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1155CC"/>
          <w:sz w:val="24"/>
          <w:szCs w:val="24"/>
          <w:u w:val="single"/>
        </w:rPr>
        <w:t>5615/home#object/221653</w:t>
      </w:r>
      <w:r>
        <w:fldChar w:fldCharType="end"/>
      </w:r>
      <w:r>
        <w:rPr>
          <w:rFonts w:ascii="Times New Roman" w:eastAsia="Times New Roman" w:hAnsi="Times New Roman" w:cs="Times New Roman"/>
          <w:sz w:val="24"/>
          <w:szCs w:val="24"/>
        </w:rPr>
        <w:t xml:space="preserve"> [Accessed: 25 April 2018].</w:t>
      </w:r>
    </w:p>
    <w:p w14:paraId="5EF5C323"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O’Connor, S. (2014). World Will Have 13 “Super-Aged” Nations by 2020. </w:t>
      </w:r>
      <w:r>
        <w:rPr>
          <w:rFonts w:ascii="Times New Roman" w:eastAsia="Times New Roman" w:hAnsi="Times New Roman" w:cs="Times New Roman"/>
          <w:i/>
          <w:sz w:val="24"/>
          <w:szCs w:val="24"/>
        </w:rPr>
        <w:t>Financial Times</w:t>
      </w:r>
      <w:r>
        <w:rPr>
          <w:rFonts w:ascii="Times New Roman" w:eastAsia="Times New Roman" w:hAnsi="Times New Roman" w:cs="Times New Roman"/>
          <w:sz w:val="24"/>
          <w:szCs w:val="24"/>
        </w:rPr>
        <w:t xml:space="preserve">. </w:t>
      </w:r>
    </w:p>
    <w:p w14:paraId="154BF314" w14:textId="77777777" w:rsidR="007D594A" w:rsidRDefault="0091375D">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Phillips, A. (2016). Republicans are Poised to Grasp the Holy Grail of Governance. T</w:t>
      </w:r>
      <w:r>
        <w:rPr>
          <w:rFonts w:ascii="Times New Roman" w:eastAsia="Times New Roman" w:hAnsi="Times New Roman" w:cs="Times New Roman"/>
          <w:i/>
          <w:sz w:val="24"/>
          <w:szCs w:val="24"/>
        </w:rPr>
        <w:t xml:space="preserve">he </w:t>
      </w:r>
    </w:p>
    <w:p w14:paraId="1DB9062F"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Washington Post.</w:t>
      </w:r>
    </w:p>
    <w:p w14:paraId="5E2EEA3A"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Piketty, T. (2017). </w:t>
      </w:r>
      <w:r>
        <w:rPr>
          <w:rFonts w:ascii="Times New Roman" w:eastAsia="Times New Roman" w:hAnsi="Times New Roman" w:cs="Times New Roman"/>
          <w:i/>
          <w:sz w:val="24"/>
          <w:szCs w:val="24"/>
        </w:rPr>
        <w:t>Capital in the Twenty-First Century</w:t>
      </w:r>
      <w:r>
        <w:rPr>
          <w:rFonts w:ascii="Times New Roman" w:eastAsia="Times New Roman" w:hAnsi="Times New Roman" w:cs="Times New Roman"/>
          <w:sz w:val="24"/>
          <w:szCs w:val="24"/>
        </w:rPr>
        <w:t xml:space="preserve">. Cambridge, MA: Belknap Press: An </w:t>
      </w:r>
    </w:p>
    <w:p w14:paraId="48DC92E7"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Imprint of Harvard University Press.</w:t>
      </w:r>
    </w:p>
    <w:p w14:paraId="50FC8DF8"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Pfeffer, J. (1998) </w:t>
      </w:r>
      <w:r>
        <w:rPr>
          <w:rFonts w:ascii="Times New Roman" w:eastAsia="Times New Roman" w:hAnsi="Times New Roman" w:cs="Times New Roman"/>
          <w:i/>
          <w:sz w:val="24"/>
          <w:szCs w:val="24"/>
        </w:rPr>
        <w:t>The Human Equation: Building Profits by Putting People First</w:t>
      </w:r>
      <w:r>
        <w:rPr>
          <w:rFonts w:ascii="Times New Roman" w:eastAsia="Times New Roman" w:hAnsi="Times New Roman" w:cs="Times New Roman"/>
          <w:sz w:val="24"/>
          <w:szCs w:val="24"/>
        </w:rPr>
        <w:t xml:space="preserve">. Cambridge, </w:t>
      </w:r>
    </w:p>
    <w:p w14:paraId="03DF4C13" w14:textId="77777777" w:rsidR="007D594A" w:rsidRDefault="0091375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MA: Harvard Busine</w:t>
      </w:r>
      <w:r>
        <w:rPr>
          <w:rFonts w:ascii="Times New Roman" w:eastAsia="Times New Roman" w:hAnsi="Times New Roman" w:cs="Times New Roman"/>
          <w:sz w:val="24"/>
          <w:szCs w:val="24"/>
        </w:rPr>
        <w:t xml:space="preserve">ss School Press. </w:t>
      </w:r>
    </w:p>
    <w:p w14:paraId="28761460"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Raspberry Pi. (2018).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Raspberry Pi Foundation. Available at:</w:t>
      </w:r>
    </w:p>
    <w:p w14:paraId="54F86570" w14:textId="77777777" w:rsidR="007D594A" w:rsidRDefault="0091375D">
      <w:pPr>
        <w:spacing w:line="480" w:lineRule="auto"/>
        <w:ind w:firstLine="720"/>
        <w:rPr>
          <w:rFonts w:ascii="Times New Roman" w:eastAsia="Times New Roman" w:hAnsi="Times New Roman" w:cs="Times New Roman"/>
          <w:sz w:val="24"/>
          <w:szCs w:val="24"/>
        </w:rPr>
      </w:pPr>
      <w:hyperlink r:id="rId23">
        <w:r>
          <w:rPr>
            <w:rFonts w:ascii="Times New Roman" w:eastAsia="Times New Roman" w:hAnsi="Times New Roman" w:cs="Times New Roman"/>
            <w:color w:val="1155CC"/>
            <w:sz w:val="24"/>
            <w:szCs w:val="24"/>
            <w:u w:val="single"/>
          </w:rPr>
          <w:t>https://www.raspberrypi.org/about/</w:t>
        </w:r>
      </w:hyperlink>
      <w:r>
        <w:rPr>
          <w:rFonts w:ascii="Times New Roman" w:eastAsia="Times New Roman" w:hAnsi="Times New Roman" w:cs="Times New Roman"/>
          <w:sz w:val="24"/>
          <w:szCs w:val="24"/>
        </w:rPr>
        <w:t xml:space="preserve"> [Accessed 1 April 2018].</w:t>
      </w:r>
    </w:p>
    <w:p w14:paraId="58586D3A"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Ravikumar, B and Lin Shao. (2014). Accounting for Dis</w:t>
      </w:r>
      <w:r>
        <w:rPr>
          <w:rFonts w:ascii="Times New Roman" w:eastAsia="Times New Roman" w:hAnsi="Times New Roman" w:cs="Times New Roman"/>
          <w:sz w:val="24"/>
          <w:szCs w:val="24"/>
        </w:rPr>
        <w:t xml:space="preserve">couraged Workers in the Unemployment </w:t>
      </w:r>
    </w:p>
    <w:p w14:paraId="5363275B" w14:textId="77777777" w:rsidR="007D594A" w:rsidRDefault="0091375D">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Rate. </w:t>
      </w:r>
      <w:r>
        <w:rPr>
          <w:rFonts w:ascii="Times New Roman" w:eastAsia="Times New Roman" w:hAnsi="Times New Roman" w:cs="Times New Roman"/>
          <w:i/>
          <w:sz w:val="24"/>
          <w:szCs w:val="24"/>
        </w:rPr>
        <w:t>Economic Synopses</w:t>
      </w:r>
      <w:r>
        <w:rPr>
          <w:rFonts w:ascii="Times New Roman" w:eastAsia="Times New Roman" w:hAnsi="Times New Roman" w:cs="Times New Roman"/>
          <w:sz w:val="24"/>
          <w:szCs w:val="24"/>
        </w:rPr>
        <w:t xml:space="preserve">. St. Louis, MO: Economic Research: Federal Reserve Bank of St. Louis. </w:t>
      </w:r>
      <w:r>
        <w:rPr>
          <w:rFonts w:ascii="Times New Roman" w:eastAsia="Times New Roman" w:hAnsi="Times New Roman" w:cs="Times New Roman"/>
          <w:sz w:val="24"/>
          <w:szCs w:val="24"/>
        </w:rPr>
        <w:tab/>
        <w:t xml:space="preserve"> </w:t>
      </w:r>
    </w:p>
    <w:p w14:paraId="1DE9AD5F" w14:textId="77777777" w:rsidR="007D594A" w:rsidRDefault="0091375D">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Turner, P. and Kalman, D. (2014). </w:t>
      </w:r>
      <w:r>
        <w:rPr>
          <w:rFonts w:ascii="Times New Roman" w:eastAsia="Times New Roman" w:hAnsi="Times New Roman" w:cs="Times New Roman"/>
          <w:i/>
          <w:sz w:val="24"/>
          <w:szCs w:val="24"/>
        </w:rPr>
        <w:t xml:space="preserve">Make Your People Before You Make Your Products: Using </w:t>
      </w:r>
    </w:p>
    <w:p w14:paraId="28ACCACA" w14:textId="77777777" w:rsidR="007D594A" w:rsidRDefault="0091375D">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Talent Management to Achieve Com</w:t>
      </w:r>
      <w:r>
        <w:rPr>
          <w:rFonts w:ascii="Times New Roman" w:eastAsia="Times New Roman" w:hAnsi="Times New Roman" w:cs="Times New Roman"/>
          <w:i/>
          <w:sz w:val="24"/>
          <w:szCs w:val="24"/>
        </w:rPr>
        <w:t>petitive Advantage in Global Organizations</w:t>
      </w:r>
      <w:r>
        <w:rPr>
          <w:rFonts w:ascii="Times New Roman" w:eastAsia="Times New Roman" w:hAnsi="Times New Roman" w:cs="Times New Roman"/>
          <w:sz w:val="24"/>
          <w:szCs w:val="24"/>
        </w:rPr>
        <w:t>. Chichester: Wiley.</w:t>
      </w:r>
    </w:p>
    <w:p w14:paraId="07EC607B"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D. (2007) </w:t>
      </w:r>
      <w:r>
        <w:rPr>
          <w:rFonts w:ascii="Times New Roman" w:eastAsia="Times New Roman" w:hAnsi="Times New Roman" w:cs="Times New Roman"/>
          <w:i/>
          <w:sz w:val="24"/>
          <w:szCs w:val="24"/>
        </w:rPr>
        <w:t>Prepared and Resolved: The Strategic Agenda for Growth, Performance, and Change</w:t>
      </w:r>
      <w:r>
        <w:rPr>
          <w:rFonts w:ascii="Times New Roman" w:eastAsia="Times New Roman" w:hAnsi="Times New Roman" w:cs="Times New Roman"/>
          <w:sz w:val="24"/>
          <w:szCs w:val="24"/>
        </w:rPr>
        <w:t xml:space="preserve">. Milbrook, AL: DSB Publications. </w:t>
      </w:r>
    </w:p>
    <w:p w14:paraId="123E11E6" w14:textId="77777777" w:rsidR="007D594A" w:rsidRDefault="007D594A">
      <w:pPr>
        <w:spacing w:line="480" w:lineRule="auto"/>
        <w:rPr>
          <w:rFonts w:ascii="Times New Roman" w:eastAsia="Times New Roman" w:hAnsi="Times New Roman" w:cs="Times New Roman"/>
          <w:sz w:val="24"/>
          <w:szCs w:val="24"/>
        </w:rPr>
      </w:pPr>
    </w:p>
    <w:p w14:paraId="72415568"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World Bank. (2015). Toward Solutions for Youth Employment: A B</w:t>
      </w:r>
      <w:r>
        <w:rPr>
          <w:rFonts w:ascii="Times New Roman" w:eastAsia="Times New Roman" w:hAnsi="Times New Roman" w:cs="Times New Roman"/>
          <w:sz w:val="24"/>
          <w:szCs w:val="24"/>
        </w:rPr>
        <w:t xml:space="preserve">aseline Report. [online] </w:t>
      </w:r>
    </w:p>
    <w:p w14:paraId="4F76611B" w14:textId="77777777" w:rsidR="007D594A" w:rsidRDefault="0091375D">
      <w:pPr>
        <w:spacing w:line="480" w:lineRule="auto"/>
        <w:ind w:firstLine="720"/>
      </w:pPr>
      <w:r>
        <w:rPr>
          <w:rFonts w:ascii="Times New Roman" w:eastAsia="Times New Roman" w:hAnsi="Times New Roman" w:cs="Times New Roman"/>
          <w:sz w:val="24"/>
          <w:szCs w:val="24"/>
        </w:rPr>
        <w:t>World Bank. Available at</w:t>
      </w:r>
      <w:hyperlink r:id="rId24">
        <w:r>
          <w:rPr>
            <w:rFonts w:ascii="Times New Roman" w:eastAsia="Times New Roman" w:hAnsi="Times New Roman" w:cs="Times New Roman"/>
            <w:color w:val="1155CC"/>
            <w:sz w:val="24"/>
            <w:szCs w:val="24"/>
            <w:u w:val="single"/>
          </w:rPr>
          <w:t>http://www.ilo.org/wcmsp5/groups/public/---ed_emp/documents</w:t>
        </w:r>
      </w:hyperlink>
    </w:p>
    <w:p w14:paraId="0B78190F" w14:textId="77777777" w:rsidR="007D594A" w:rsidRDefault="0091375D">
      <w:pPr>
        <w:spacing w:line="480" w:lineRule="auto"/>
        <w:ind w:firstLine="720"/>
        <w:rPr>
          <w:rFonts w:ascii="Times New Roman" w:eastAsia="Times New Roman" w:hAnsi="Times New Roman" w:cs="Times New Roman"/>
          <w:sz w:val="24"/>
          <w:szCs w:val="24"/>
        </w:rPr>
      </w:pPr>
      <w:hyperlink r:id="rId25">
        <w:r>
          <w:rPr>
            <w:rFonts w:ascii="Times New Roman" w:eastAsia="Times New Roman" w:hAnsi="Times New Roman" w:cs="Times New Roman"/>
            <w:color w:val="1155CC"/>
            <w:sz w:val="24"/>
            <w:szCs w:val="24"/>
            <w:u w:val="single"/>
          </w:rPr>
          <w:t>/publication/wcms_413826.pdf</w:t>
        </w:r>
      </w:hyperlink>
      <w:r>
        <w:rPr>
          <w:rFonts w:ascii="Times New Roman" w:eastAsia="Times New Roman" w:hAnsi="Times New Roman" w:cs="Times New Roman"/>
          <w:sz w:val="24"/>
          <w:szCs w:val="24"/>
        </w:rPr>
        <w:t xml:space="preserve"> [Accessed 26 April 2018].</w:t>
      </w:r>
    </w:p>
    <w:p w14:paraId="19661C88"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Bank. (2018). World Bank Open Data. [online] World Bank. Available at: </w:t>
      </w:r>
    </w:p>
    <w:p w14:paraId="7D615D34" w14:textId="77777777" w:rsidR="007D594A" w:rsidRDefault="0091375D">
      <w:pPr>
        <w:spacing w:line="480" w:lineRule="auto"/>
        <w:ind w:firstLine="720"/>
        <w:rPr>
          <w:rFonts w:ascii="Times New Roman" w:eastAsia="Times New Roman" w:hAnsi="Times New Roman" w:cs="Times New Roman"/>
          <w:sz w:val="24"/>
          <w:szCs w:val="24"/>
        </w:rPr>
      </w:pPr>
      <w:hyperlink r:id="rId26">
        <w:r>
          <w:rPr>
            <w:rFonts w:ascii="Times New Roman" w:eastAsia="Times New Roman" w:hAnsi="Times New Roman" w:cs="Times New Roman"/>
            <w:color w:val="1155CC"/>
            <w:sz w:val="24"/>
            <w:szCs w:val="24"/>
            <w:u w:val="single"/>
          </w:rPr>
          <w:t>https://data.worldbank.org/indicator/SP.DYN.TFRT.IN</w:t>
        </w:r>
      </w:hyperlink>
      <w:r>
        <w:rPr>
          <w:rFonts w:ascii="Times New Roman" w:eastAsia="Times New Roman" w:hAnsi="Times New Roman" w:cs="Times New Roman"/>
          <w:sz w:val="24"/>
          <w:szCs w:val="24"/>
        </w:rPr>
        <w:t xml:space="preserve"> [Accessed 18 April 2018]. </w:t>
      </w:r>
    </w:p>
    <w:p w14:paraId="1B417EE4" w14:textId="77777777" w:rsidR="007D594A" w:rsidRDefault="0091375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Economic Forum. (2017). We’ll Live to 100 - How Can We Afford It?. [online] World </w:t>
      </w:r>
    </w:p>
    <w:p w14:paraId="3AADB2FE" w14:textId="77777777" w:rsidR="007D594A" w:rsidRDefault="0091375D">
      <w:pPr>
        <w:spacing w:line="480" w:lineRule="auto"/>
        <w:ind w:firstLine="720"/>
      </w:pPr>
      <w:r>
        <w:rPr>
          <w:rFonts w:ascii="Times New Roman" w:eastAsia="Times New Roman" w:hAnsi="Times New Roman" w:cs="Times New Roman"/>
          <w:sz w:val="24"/>
          <w:szCs w:val="24"/>
        </w:rPr>
        <w:t>Economic Forum. Ava</w:t>
      </w:r>
      <w:r>
        <w:rPr>
          <w:rFonts w:ascii="Times New Roman" w:eastAsia="Times New Roman" w:hAnsi="Times New Roman" w:cs="Times New Roman"/>
          <w:sz w:val="24"/>
          <w:szCs w:val="24"/>
        </w:rPr>
        <w:t xml:space="preserve">ilable at: </w:t>
      </w:r>
      <w:hyperlink r:id="rId27">
        <w:r>
          <w:rPr>
            <w:rFonts w:ascii="Times New Roman" w:eastAsia="Times New Roman" w:hAnsi="Times New Roman" w:cs="Times New Roman"/>
            <w:color w:val="1155CC"/>
            <w:sz w:val="24"/>
            <w:szCs w:val="24"/>
            <w:u w:val="single"/>
          </w:rPr>
          <w:t>https://www.weforum.org/whitepapers/we-ll-live-</w:t>
        </w:r>
      </w:hyperlink>
    </w:p>
    <w:p w14:paraId="34B87CA9" w14:textId="77777777" w:rsidR="007D594A" w:rsidRDefault="0091375D">
      <w:pPr>
        <w:spacing w:line="480" w:lineRule="auto"/>
        <w:ind w:firstLine="720"/>
        <w:rPr>
          <w:rFonts w:ascii="Times New Roman" w:eastAsia="Times New Roman" w:hAnsi="Times New Roman" w:cs="Times New Roman"/>
          <w:sz w:val="24"/>
          <w:szCs w:val="24"/>
        </w:rPr>
      </w:pPr>
      <w:hyperlink r:id="rId28">
        <w:r>
          <w:rPr>
            <w:rFonts w:ascii="Times New Roman" w:eastAsia="Times New Roman" w:hAnsi="Times New Roman" w:cs="Times New Roman"/>
            <w:color w:val="1155CC"/>
            <w:sz w:val="24"/>
            <w:szCs w:val="24"/>
            <w:u w:val="single"/>
          </w:rPr>
          <w:t>to-100-ho</w:t>
        </w:r>
        <w:r>
          <w:rPr>
            <w:rFonts w:ascii="Times New Roman" w:eastAsia="Times New Roman" w:hAnsi="Times New Roman" w:cs="Times New Roman"/>
            <w:color w:val="1155CC"/>
            <w:sz w:val="24"/>
            <w:szCs w:val="24"/>
            <w:u w:val="single"/>
          </w:rPr>
          <w:t>w-can-we-afford-it</w:t>
        </w:r>
      </w:hyperlink>
      <w:r>
        <w:rPr>
          <w:rFonts w:ascii="Times New Roman" w:eastAsia="Times New Roman" w:hAnsi="Times New Roman" w:cs="Times New Roman"/>
          <w:sz w:val="24"/>
          <w:szCs w:val="24"/>
        </w:rPr>
        <w:t xml:space="preserve"> [Accessed 18 April 2018].</w:t>
      </w:r>
    </w:p>
    <w:p w14:paraId="249336B0" w14:textId="77777777" w:rsidR="007D594A" w:rsidRDefault="007D594A">
      <w:pPr>
        <w:rPr>
          <w:rFonts w:ascii="Times New Roman" w:eastAsia="Times New Roman" w:hAnsi="Times New Roman" w:cs="Times New Roman"/>
          <w:sz w:val="24"/>
          <w:szCs w:val="24"/>
        </w:rPr>
      </w:pPr>
    </w:p>
    <w:p w14:paraId="3EA5C8DE" w14:textId="77777777" w:rsidR="007D594A" w:rsidRDefault="007D594A">
      <w:pPr>
        <w:rPr>
          <w:rFonts w:ascii="Times New Roman" w:eastAsia="Times New Roman" w:hAnsi="Times New Roman" w:cs="Times New Roman"/>
          <w:sz w:val="24"/>
          <w:szCs w:val="24"/>
        </w:rPr>
      </w:pPr>
    </w:p>
    <w:p w14:paraId="7917B8B3" w14:textId="77777777" w:rsidR="007D594A" w:rsidRDefault="007D594A">
      <w:pPr>
        <w:rPr>
          <w:rFonts w:ascii="Times New Roman" w:eastAsia="Times New Roman" w:hAnsi="Times New Roman" w:cs="Times New Roman"/>
          <w:sz w:val="24"/>
          <w:szCs w:val="24"/>
        </w:rPr>
      </w:pPr>
    </w:p>
    <w:p w14:paraId="1E1592E1" w14:textId="77777777" w:rsidR="007D594A" w:rsidRDefault="007D594A">
      <w:pPr>
        <w:rPr>
          <w:rFonts w:ascii="Times New Roman" w:eastAsia="Times New Roman" w:hAnsi="Times New Roman" w:cs="Times New Roman"/>
          <w:sz w:val="24"/>
          <w:szCs w:val="24"/>
        </w:rPr>
      </w:pPr>
    </w:p>
    <w:p w14:paraId="3CB09249" w14:textId="77777777" w:rsidR="007D594A" w:rsidRDefault="007D594A">
      <w:pPr>
        <w:rPr>
          <w:rFonts w:ascii="Times New Roman" w:eastAsia="Times New Roman" w:hAnsi="Times New Roman" w:cs="Times New Roman"/>
          <w:sz w:val="24"/>
          <w:szCs w:val="24"/>
        </w:rPr>
      </w:pPr>
    </w:p>
    <w:p w14:paraId="5CE8DE79" w14:textId="77777777" w:rsidR="007D594A" w:rsidRDefault="007D594A">
      <w:pPr>
        <w:rPr>
          <w:rFonts w:ascii="Times New Roman" w:eastAsia="Times New Roman" w:hAnsi="Times New Roman" w:cs="Times New Roman"/>
          <w:sz w:val="24"/>
          <w:szCs w:val="24"/>
        </w:rPr>
      </w:pPr>
    </w:p>
    <w:p w14:paraId="6CABADA2" w14:textId="77777777" w:rsidR="007D594A" w:rsidRDefault="007D594A">
      <w:pPr>
        <w:rPr>
          <w:rFonts w:ascii="Times New Roman" w:eastAsia="Times New Roman" w:hAnsi="Times New Roman" w:cs="Times New Roman"/>
          <w:sz w:val="24"/>
          <w:szCs w:val="24"/>
        </w:rPr>
      </w:pPr>
    </w:p>
    <w:p w14:paraId="11310C5A" w14:textId="77777777" w:rsidR="007D594A" w:rsidRDefault="007D594A">
      <w:pPr>
        <w:rPr>
          <w:rFonts w:ascii="Times New Roman" w:eastAsia="Times New Roman" w:hAnsi="Times New Roman" w:cs="Times New Roman"/>
          <w:sz w:val="24"/>
          <w:szCs w:val="24"/>
        </w:rPr>
      </w:pPr>
    </w:p>
    <w:p w14:paraId="21B38CC6" w14:textId="77777777" w:rsidR="007D594A" w:rsidRDefault="007D594A">
      <w:pPr>
        <w:rPr>
          <w:rFonts w:ascii="Times New Roman" w:eastAsia="Times New Roman" w:hAnsi="Times New Roman" w:cs="Times New Roman"/>
          <w:sz w:val="24"/>
          <w:szCs w:val="24"/>
        </w:rPr>
      </w:pPr>
    </w:p>
    <w:p w14:paraId="002C44A0" w14:textId="77777777" w:rsidR="007D594A" w:rsidRDefault="007D594A">
      <w:pPr>
        <w:rPr>
          <w:rFonts w:ascii="Times New Roman" w:eastAsia="Times New Roman" w:hAnsi="Times New Roman" w:cs="Times New Roman"/>
          <w:sz w:val="24"/>
          <w:szCs w:val="24"/>
        </w:rPr>
      </w:pPr>
    </w:p>
    <w:p w14:paraId="3D51668C" w14:textId="77777777" w:rsidR="007D594A" w:rsidRDefault="007D594A">
      <w:pPr>
        <w:rPr>
          <w:rFonts w:ascii="Times New Roman" w:eastAsia="Times New Roman" w:hAnsi="Times New Roman" w:cs="Times New Roman"/>
          <w:sz w:val="24"/>
          <w:szCs w:val="24"/>
        </w:rPr>
      </w:pPr>
    </w:p>
    <w:p w14:paraId="76D7DA15" w14:textId="77777777" w:rsidR="007D594A" w:rsidRDefault="007D594A">
      <w:pPr>
        <w:rPr>
          <w:rFonts w:ascii="Times New Roman" w:eastAsia="Times New Roman" w:hAnsi="Times New Roman" w:cs="Times New Roman"/>
          <w:sz w:val="24"/>
          <w:szCs w:val="24"/>
        </w:rPr>
      </w:pPr>
    </w:p>
    <w:p w14:paraId="51D63BF5" w14:textId="77777777" w:rsidR="007D594A" w:rsidRDefault="007D594A">
      <w:pPr>
        <w:rPr>
          <w:rFonts w:ascii="Times New Roman" w:eastAsia="Times New Roman" w:hAnsi="Times New Roman" w:cs="Times New Roman"/>
          <w:sz w:val="24"/>
          <w:szCs w:val="24"/>
        </w:rPr>
      </w:pPr>
    </w:p>
    <w:p w14:paraId="22C7083D" w14:textId="77777777" w:rsidR="007D594A" w:rsidRDefault="007D594A">
      <w:pPr>
        <w:rPr>
          <w:rFonts w:ascii="Times New Roman" w:eastAsia="Times New Roman" w:hAnsi="Times New Roman" w:cs="Times New Roman"/>
          <w:sz w:val="24"/>
          <w:szCs w:val="24"/>
        </w:rPr>
      </w:pPr>
    </w:p>
    <w:p w14:paraId="4893C4A8" w14:textId="77777777" w:rsidR="007D594A" w:rsidRDefault="007D594A">
      <w:pPr>
        <w:rPr>
          <w:rFonts w:ascii="Times New Roman" w:eastAsia="Times New Roman" w:hAnsi="Times New Roman" w:cs="Times New Roman"/>
          <w:sz w:val="24"/>
          <w:szCs w:val="24"/>
        </w:rPr>
      </w:pPr>
    </w:p>
    <w:p w14:paraId="67EC3938" w14:textId="77777777" w:rsidR="007D594A" w:rsidRDefault="007D594A">
      <w:pPr>
        <w:rPr>
          <w:rFonts w:ascii="Times New Roman" w:eastAsia="Times New Roman" w:hAnsi="Times New Roman" w:cs="Times New Roman"/>
          <w:sz w:val="24"/>
          <w:szCs w:val="24"/>
        </w:rPr>
      </w:pPr>
    </w:p>
    <w:p w14:paraId="6C5C1187" w14:textId="77777777" w:rsidR="007D594A" w:rsidRDefault="007D594A">
      <w:pPr>
        <w:rPr>
          <w:rFonts w:ascii="Times New Roman" w:eastAsia="Times New Roman" w:hAnsi="Times New Roman" w:cs="Times New Roman"/>
          <w:sz w:val="24"/>
          <w:szCs w:val="24"/>
        </w:rPr>
      </w:pPr>
    </w:p>
    <w:p w14:paraId="23194F5F" w14:textId="77777777" w:rsidR="007D594A" w:rsidRDefault="007D594A">
      <w:pPr>
        <w:rPr>
          <w:rFonts w:ascii="Times New Roman" w:eastAsia="Times New Roman" w:hAnsi="Times New Roman" w:cs="Times New Roman"/>
          <w:sz w:val="24"/>
          <w:szCs w:val="24"/>
        </w:rPr>
      </w:pPr>
    </w:p>
    <w:p w14:paraId="1D06B592" w14:textId="77777777" w:rsidR="007D594A" w:rsidRDefault="007D594A">
      <w:pPr>
        <w:rPr>
          <w:rFonts w:ascii="Times New Roman" w:eastAsia="Times New Roman" w:hAnsi="Times New Roman" w:cs="Times New Roman"/>
          <w:sz w:val="24"/>
          <w:szCs w:val="24"/>
        </w:rPr>
      </w:pPr>
    </w:p>
    <w:p w14:paraId="25707583" w14:textId="77777777" w:rsidR="007D594A" w:rsidRDefault="007D594A">
      <w:pPr>
        <w:rPr>
          <w:rFonts w:ascii="Times New Roman" w:eastAsia="Times New Roman" w:hAnsi="Times New Roman" w:cs="Times New Roman"/>
          <w:sz w:val="24"/>
          <w:szCs w:val="24"/>
        </w:rPr>
      </w:pPr>
    </w:p>
    <w:p w14:paraId="6658E367" w14:textId="77777777" w:rsidR="007D594A" w:rsidRDefault="007D594A">
      <w:pPr>
        <w:rPr>
          <w:rFonts w:ascii="Times New Roman" w:eastAsia="Times New Roman" w:hAnsi="Times New Roman" w:cs="Times New Roman"/>
          <w:sz w:val="24"/>
          <w:szCs w:val="24"/>
        </w:rPr>
      </w:pPr>
    </w:p>
    <w:p w14:paraId="7B18C4D3" w14:textId="77777777" w:rsidR="007D594A" w:rsidRDefault="007D594A">
      <w:pPr>
        <w:rPr>
          <w:rFonts w:ascii="Times New Roman" w:eastAsia="Times New Roman" w:hAnsi="Times New Roman" w:cs="Times New Roman"/>
          <w:sz w:val="24"/>
          <w:szCs w:val="24"/>
        </w:rPr>
      </w:pPr>
    </w:p>
    <w:p w14:paraId="0043CDC4" w14:textId="77777777" w:rsidR="007D594A" w:rsidRDefault="007D594A">
      <w:pPr>
        <w:rPr>
          <w:rFonts w:ascii="Times New Roman" w:eastAsia="Times New Roman" w:hAnsi="Times New Roman" w:cs="Times New Roman"/>
          <w:sz w:val="24"/>
          <w:szCs w:val="24"/>
        </w:rPr>
      </w:pPr>
    </w:p>
    <w:p w14:paraId="44397619" w14:textId="77777777" w:rsidR="007D594A" w:rsidRDefault="0091375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w:t>
      </w:r>
    </w:p>
    <w:p w14:paraId="6B748921" w14:textId="77777777" w:rsidR="007D594A" w:rsidRDefault="007D594A">
      <w:pPr>
        <w:jc w:val="center"/>
        <w:rPr>
          <w:rFonts w:ascii="Times New Roman" w:eastAsia="Times New Roman" w:hAnsi="Times New Roman" w:cs="Times New Roman"/>
          <w:b/>
          <w:sz w:val="24"/>
          <w:szCs w:val="24"/>
        </w:rPr>
      </w:pPr>
    </w:p>
    <w:p w14:paraId="70BD9C5D" w14:textId="77777777" w:rsidR="007D594A" w:rsidRDefault="0091375D">
      <w:pPr>
        <w:rPr>
          <w:rFonts w:ascii="Times New Roman" w:eastAsia="Times New Roman" w:hAnsi="Times New Roman" w:cs="Times New Roman"/>
          <w:sz w:val="24"/>
          <w:szCs w:val="24"/>
        </w:rPr>
      </w:pPr>
      <w:r>
        <w:rPr>
          <w:rFonts w:ascii="Times New Roman" w:eastAsia="Times New Roman" w:hAnsi="Times New Roman" w:cs="Times New Roman"/>
          <w:sz w:val="24"/>
          <w:szCs w:val="24"/>
        </w:rPr>
        <w:t>Exhibit 1:</w:t>
      </w:r>
    </w:p>
    <w:p w14:paraId="352492D9" w14:textId="77777777" w:rsidR="007D594A" w:rsidRDefault="0091375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0E096EC" wp14:editId="730AD62A">
            <wp:extent cx="5943600" cy="25654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9"/>
                    <a:srcRect/>
                    <a:stretch>
                      <a:fillRect/>
                    </a:stretch>
                  </pic:blipFill>
                  <pic:spPr>
                    <a:xfrm>
                      <a:off x="0" y="0"/>
                      <a:ext cx="5943600" cy="2565400"/>
                    </a:xfrm>
                    <a:prstGeom prst="rect">
                      <a:avLst/>
                    </a:prstGeom>
                    <a:ln/>
                  </pic:spPr>
                </pic:pic>
              </a:graphicData>
            </a:graphic>
          </wp:inline>
        </w:drawing>
      </w:r>
    </w:p>
    <w:p w14:paraId="57225A6F" w14:textId="77777777" w:rsidR="007D594A" w:rsidRDefault="007D594A">
      <w:pPr>
        <w:rPr>
          <w:rFonts w:ascii="Times New Roman" w:eastAsia="Times New Roman" w:hAnsi="Times New Roman" w:cs="Times New Roman"/>
          <w:sz w:val="24"/>
          <w:szCs w:val="24"/>
        </w:rPr>
      </w:pPr>
    </w:p>
    <w:p w14:paraId="5BF438BA" w14:textId="77777777" w:rsidR="007D594A" w:rsidRDefault="0091375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Krugman, P. (2014). Why We’re in a New Gilded Age. [online] The New York Review of Books. Available at </w:t>
      </w:r>
      <w:hyperlink r:id="rId30">
        <w:r>
          <w:rPr>
            <w:rFonts w:ascii="Times New Roman" w:eastAsia="Times New Roman" w:hAnsi="Times New Roman" w:cs="Times New Roman"/>
            <w:color w:val="1155CC"/>
            <w:sz w:val="24"/>
            <w:szCs w:val="24"/>
            <w:u w:val="single"/>
          </w:rPr>
          <w:t>http://www.nybooks.com/articles/2014/05/08/thomas-piketty-new-gilded-age/</w:t>
        </w:r>
      </w:hyperlink>
      <w:r>
        <w:rPr>
          <w:rFonts w:ascii="Times New Roman" w:eastAsia="Times New Roman" w:hAnsi="Times New Roman" w:cs="Times New Roman"/>
          <w:sz w:val="24"/>
          <w:szCs w:val="24"/>
        </w:rPr>
        <w:t xml:space="preserve"> [Accessed 15 April 2018].</w:t>
      </w:r>
    </w:p>
    <w:p w14:paraId="433120B2" w14:textId="77777777" w:rsidR="007D594A" w:rsidRDefault="007D594A">
      <w:pPr>
        <w:rPr>
          <w:rFonts w:ascii="Times New Roman" w:eastAsia="Times New Roman" w:hAnsi="Times New Roman" w:cs="Times New Roman"/>
          <w:sz w:val="24"/>
          <w:szCs w:val="24"/>
        </w:rPr>
      </w:pPr>
    </w:p>
    <w:p w14:paraId="4EC0206F" w14:textId="77777777" w:rsidR="007D594A" w:rsidRDefault="007D594A">
      <w:pPr>
        <w:rPr>
          <w:rFonts w:ascii="Times New Roman" w:eastAsia="Times New Roman" w:hAnsi="Times New Roman" w:cs="Times New Roman"/>
          <w:sz w:val="24"/>
          <w:szCs w:val="24"/>
        </w:rPr>
      </w:pPr>
    </w:p>
    <w:p w14:paraId="3BA91F03" w14:textId="77777777" w:rsidR="007D594A" w:rsidRDefault="007D594A">
      <w:pPr>
        <w:rPr>
          <w:rFonts w:ascii="Times New Roman" w:eastAsia="Times New Roman" w:hAnsi="Times New Roman" w:cs="Times New Roman"/>
          <w:sz w:val="24"/>
          <w:szCs w:val="24"/>
        </w:rPr>
      </w:pPr>
    </w:p>
    <w:p w14:paraId="62178403" w14:textId="77777777" w:rsidR="007D594A" w:rsidRDefault="007D594A">
      <w:pPr>
        <w:rPr>
          <w:rFonts w:ascii="Times New Roman" w:eastAsia="Times New Roman" w:hAnsi="Times New Roman" w:cs="Times New Roman"/>
          <w:sz w:val="24"/>
          <w:szCs w:val="24"/>
        </w:rPr>
      </w:pPr>
    </w:p>
    <w:p w14:paraId="3B3063B2" w14:textId="77777777" w:rsidR="007D594A" w:rsidRDefault="007D594A">
      <w:pPr>
        <w:rPr>
          <w:rFonts w:ascii="Times New Roman" w:eastAsia="Times New Roman" w:hAnsi="Times New Roman" w:cs="Times New Roman"/>
          <w:sz w:val="24"/>
          <w:szCs w:val="24"/>
        </w:rPr>
      </w:pPr>
    </w:p>
    <w:p w14:paraId="4A6D8020" w14:textId="77777777" w:rsidR="007D594A" w:rsidRDefault="007D594A">
      <w:pPr>
        <w:rPr>
          <w:rFonts w:ascii="Times New Roman" w:eastAsia="Times New Roman" w:hAnsi="Times New Roman" w:cs="Times New Roman"/>
          <w:sz w:val="24"/>
          <w:szCs w:val="24"/>
        </w:rPr>
      </w:pPr>
    </w:p>
    <w:p w14:paraId="65D92B02" w14:textId="77777777" w:rsidR="007D594A" w:rsidRDefault="007D594A">
      <w:pPr>
        <w:rPr>
          <w:rFonts w:ascii="Times New Roman" w:eastAsia="Times New Roman" w:hAnsi="Times New Roman" w:cs="Times New Roman"/>
          <w:sz w:val="24"/>
          <w:szCs w:val="24"/>
        </w:rPr>
      </w:pPr>
    </w:p>
    <w:p w14:paraId="5753CE55" w14:textId="77777777" w:rsidR="007D594A" w:rsidRDefault="007D594A">
      <w:pPr>
        <w:rPr>
          <w:rFonts w:ascii="Times New Roman" w:eastAsia="Times New Roman" w:hAnsi="Times New Roman" w:cs="Times New Roman"/>
          <w:sz w:val="24"/>
          <w:szCs w:val="24"/>
        </w:rPr>
      </w:pPr>
    </w:p>
    <w:p w14:paraId="451F6E37" w14:textId="77777777" w:rsidR="007D594A" w:rsidRDefault="007D594A">
      <w:pPr>
        <w:rPr>
          <w:rFonts w:ascii="Times New Roman" w:eastAsia="Times New Roman" w:hAnsi="Times New Roman" w:cs="Times New Roman"/>
          <w:sz w:val="24"/>
          <w:szCs w:val="24"/>
        </w:rPr>
      </w:pPr>
    </w:p>
    <w:p w14:paraId="61D41DED" w14:textId="77777777" w:rsidR="007D594A" w:rsidRDefault="007D594A">
      <w:pPr>
        <w:rPr>
          <w:rFonts w:ascii="Times New Roman" w:eastAsia="Times New Roman" w:hAnsi="Times New Roman" w:cs="Times New Roman"/>
          <w:sz w:val="24"/>
          <w:szCs w:val="24"/>
        </w:rPr>
      </w:pPr>
    </w:p>
    <w:p w14:paraId="218D0728" w14:textId="77777777" w:rsidR="007D594A" w:rsidRDefault="007D594A">
      <w:pPr>
        <w:rPr>
          <w:rFonts w:ascii="Times New Roman" w:eastAsia="Times New Roman" w:hAnsi="Times New Roman" w:cs="Times New Roman"/>
          <w:sz w:val="24"/>
          <w:szCs w:val="24"/>
        </w:rPr>
      </w:pPr>
    </w:p>
    <w:p w14:paraId="3A585F40" w14:textId="77777777" w:rsidR="007D594A" w:rsidRDefault="007D594A">
      <w:pPr>
        <w:rPr>
          <w:rFonts w:ascii="Times New Roman" w:eastAsia="Times New Roman" w:hAnsi="Times New Roman" w:cs="Times New Roman"/>
          <w:sz w:val="24"/>
          <w:szCs w:val="24"/>
        </w:rPr>
      </w:pPr>
    </w:p>
    <w:p w14:paraId="6B4AEC4B" w14:textId="77777777" w:rsidR="007D594A" w:rsidRDefault="007D594A">
      <w:pPr>
        <w:rPr>
          <w:rFonts w:ascii="Times New Roman" w:eastAsia="Times New Roman" w:hAnsi="Times New Roman" w:cs="Times New Roman"/>
          <w:sz w:val="24"/>
          <w:szCs w:val="24"/>
        </w:rPr>
      </w:pPr>
    </w:p>
    <w:p w14:paraId="3457F57A" w14:textId="77777777" w:rsidR="007D594A" w:rsidRDefault="007D594A">
      <w:pPr>
        <w:rPr>
          <w:rFonts w:ascii="Times New Roman" w:eastAsia="Times New Roman" w:hAnsi="Times New Roman" w:cs="Times New Roman"/>
          <w:sz w:val="24"/>
          <w:szCs w:val="24"/>
        </w:rPr>
      </w:pPr>
    </w:p>
    <w:p w14:paraId="2D712974" w14:textId="77777777" w:rsidR="007D594A" w:rsidRDefault="007D594A">
      <w:pPr>
        <w:rPr>
          <w:rFonts w:ascii="Times New Roman" w:eastAsia="Times New Roman" w:hAnsi="Times New Roman" w:cs="Times New Roman"/>
          <w:sz w:val="24"/>
          <w:szCs w:val="24"/>
        </w:rPr>
      </w:pPr>
    </w:p>
    <w:p w14:paraId="695022B3" w14:textId="77777777" w:rsidR="00322A29" w:rsidRDefault="00322A29">
      <w:pPr>
        <w:rPr>
          <w:rFonts w:ascii="Times New Roman" w:eastAsia="Times New Roman" w:hAnsi="Times New Roman" w:cs="Times New Roman"/>
          <w:sz w:val="24"/>
          <w:szCs w:val="24"/>
        </w:rPr>
      </w:pPr>
    </w:p>
    <w:p w14:paraId="42502BE2" w14:textId="77777777" w:rsidR="007D594A" w:rsidRDefault="007D594A">
      <w:pPr>
        <w:rPr>
          <w:rFonts w:ascii="Times New Roman" w:eastAsia="Times New Roman" w:hAnsi="Times New Roman" w:cs="Times New Roman"/>
          <w:sz w:val="24"/>
          <w:szCs w:val="24"/>
        </w:rPr>
      </w:pPr>
    </w:p>
    <w:p w14:paraId="18B04470" w14:textId="77777777" w:rsidR="007D594A" w:rsidRDefault="007D594A">
      <w:pPr>
        <w:rPr>
          <w:rFonts w:ascii="Times New Roman" w:eastAsia="Times New Roman" w:hAnsi="Times New Roman" w:cs="Times New Roman"/>
          <w:sz w:val="24"/>
          <w:szCs w:val="24"/>
        </w:rPr>
      </w:pPr>
    </w:p>
    <w:p w14:paraId="3D3E2D2B" w14:textId="77777777" w:rsidR="007D594A" w:rsidRDefault="007D594A">
      <w:pPr>
        <w:rPr>
          <w:rFonts w:ascii="Times New Roman" w:eastAsia="Times New Roman" w:hAnsi="Times New Roman" w:cs="Times New Roman"/>
          <w:sz w:val="24"/>
          <w:szCs w:val="24"/>
        </w:rPr>
      </w:pPr>
    </w:p>
    <w:p w14:paraId="1557921B" w14:textId="77777777" w:rsidR="007D594A" w:rsidRDefault="0091375D">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Exhibit 2:</w:t>
      </w:r>
    </w:p>
    <w:p w14:paraId="5B8CD439" w14:textId="77777777" w:rsidR="007D594A" w:rsidRDefault="0091375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1C701F9" wp14:editId="4AA3528C">
            <wp:extent cx="5943600" cy="72263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5943600" cy="7226300"/>
                    </a:xfrm>
                    <a:prstGeom prst="rect">
                      <a:avLst/>
                    </a:prstGeom>
                    <a:ln/>
                  </pic:spPr>
                </pic:pic>
              </a:graphicData>
            </a:graphic>
          </wp:inline>
        </w:drawing>
      </w:r>
      <w:bookmarkStart w:id="0" w:name="_GoBack"/>
      <w:bookmarkEnd w:id="0"/>
    </w:p>
    <w:p w14:paraId="44B6744F" w14:textId="77777777" w:rsidR="007D594A" w:rsidRDefault="0091375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Frey, W. (2018) The Millennial Generation: A Demographic Bridge to America’s Diverse Future. Washington, D.C.: Brookings Institute.</w:t>
      </w:r>
    </w:p>
    <w:sectPr w:rsidR="007D594A">
      <w:headerReference w:type="default" r:id="rId32"/>
      <w:footerReference w:type="default" r:id="rId33"/>
      <w:headerReference w:type="first" r:id="rId34"/>
      <w:footerReference w:type="first" r:id="rId35"/>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8A5099" w14:textId="77777777" w:rsidR="0091375D" w:rsidRDefault="0091375D">
      <w:pPr>
        <w:spacing w:line="240" w:lineRule="auto"/>
      </w:pPr>
      <w:r>
        <w:separator/>
      </w:r>
    </w:p>
  </w:endnote>
  <w:endnote w:type="continuationSeparator" w:id="0">
    <w:p w14:paraId="2DD73AE4" w14:textId="77777777" w:rsidR="0091375D" w:rsidRDefault="009137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D4EAC" w14:textId="77777777" w:rsidR="007D594A" w:rsidRDefault="0091375D">
    <w:pPr>
      <w:jc w:val="right"/>
    </w:pPr>
    <w:r>
      <w:rPr>
        <w:noProof/>
        <w:lang w:val="en-US"/>
      </w:rPr>
      <w:drawing>
        <wp:inline distT="114300" distB="114300" distL="114300" distR="114300" wp14:anchorId="51E83732" wp14:editId="549A4DE8">
          <wp:extent cx="747713" cy="747713"/>
          <wp:effectExtent l="0" t="0" r="0" b="0"/>
          <wp:docPr id="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
                  <a:srcRect/>
                  <a:stretch>
                    <a:fillRect/>
                  </a:stretch>
                </pic:blipFill>
                <pic:spPr>
                  <a:xfrm>
                    <a:off x="0" y="0"/>
                    <a:ext cx="747713" cy="747713"/>
                  </a:xfrm>
                  <a:prstGeom prst="rect">
                    <a:avLst/>
                  </a:prstGeom>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D508D" w14:textId="77777777" w:rsidR="007D594A" w:rsidRDefault="007D594A"/>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92E23" w14:textId="77777777" w:rsidR="0091375D" w:rsidRDefault="0091375D">
      <w:pPr>
        <w:spacing w:line="240" w:lineRule="auto"/>
      </w:pPr>
      <w:r>
        <w:separator/>
      </w:r>
    </w:p>
  </w:footnote>
  <w:footnote w:type="continuationSeparator" w:id="0">
    <w:p w14:paraId="1206991B" w14:textId="77777777" w:rsidR="0091375D" w:rsidRDefault="0091375D">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9D334" w14:textId="77777777" w:rsidR="007D594A" w:rsidRDefault="0091375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A782BF1" wp14:editId="0F3A7D5E">
          <wp:extent cx="1300908" cy="519113"/>
          <wp:effectExtent l="0" t="0" r="0" b="0"/>
          <wp:docPr id="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
                  <a:srcRect/>
                  <a:stretch>
                    <a:fillRect/>
                  </a:stretch>
                </pic:blipFill>
                <pic:spPr>
                  <a:xfrm>
                    <a:off x="0" y="0"/>
                    <a:ext cx="1300908" cy="519113"/>
                  </a:xfrm>
                  <a:prstGeom prst="rect">
                    <a:avLst/>
                  </a:prstGeom>
                  <a:ln/>
                </pic:spPr>
              </pic:pic>
            </a:graphicData>
          </a:graphic>
        </wp:inline>
      </w:drawing>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Fernando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322A29">
      <w:rPr>
        <w:rFonts w:ascii="Times New Roman" w:eastAsia="Times New Roman" w:hAnsi="Times New Roman" w:cs="Times New Roman"/>
        <w:sz w:val="24"/>
        <w:szCs w:val="24"/>
      </w:rPr>
      <w:fldChar w:fldCharType="separate"/>
    </w:r>
    <w:r w:rsidR="00322A29">
      <w:rPr>
        <w:rFonts w:ascii="Times New Roman" w:eastAsia="Times New Roman" w:hAnsi="Times New Roman" w:cs="Times New Roman"/>
        <w:noProof/>
        <w:sz w:val="24"/>
        <w:szCs w:val="24"/>
      </w:rPr>
      <w:t>17</w:t>
    </w:r>
    <w:r>
      <w:rPr>
        <w:rFonts w:ascii="Times New Roman" w:eastAsia="Times New Roman" w:hAnsi="Times New Roman" w:cs="Times New Roman"/>
        <w:sz w:val="24"/>
        <w:szCs w:val="24"/>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E15F1" w14:textId="77777777" w:rsidR="007D594A" w:rsidRDefault="0091375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D594A"/>
    <w:rsid w:val="00322A29"/>
    <w:rsid w:val="007D594A"/>
    <w:rsid w:val="00913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5255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shrm.org/ResourcesAndTools/hr-topics/benefits/pages/student-loan-assistance-benefit.aspx" TargetMode="External"/><Relationship Id="rId21" Type="http://schemas.openxmlformats.org/officeDocument/2006/relationships/hyperlink" Target="https://uniwales.curatr3.com/courses/eMBAHRM-copy-5615/home" TargetMode="External"/><Relationship Id="rId22" Type="http://schemas.openxmlformats.org/officeDocument/2006/relationships/hyperlink" Target="https://uniwales.curatr3.com/courses/eMBAHRM-copy-" TargetMode="External"/><Relationship Id="rId23" Type="http://schemas.openxmlformats.org/officeDocument/2006/relationships/hyperlink" Target="https://www.raspberrypi.org/about/" TargetMode="External"/><Relationship Id="rId24" Type="http://schemas.openxmlformats.org/officeDocument/2006/relationships/hyperlink" Target="http://www.ilo.org/wcmsp5/groups/public/---ed_emp/documents/publication/wcms_413826.pdf" TargetMode="External"/><Relationship Id="rId25" Type="http://schemas.openxmlformats.org/officeDocument/2006/relationships/hyperlink" Target="http://www.ilo.org/wcmsp5/groups/public/---ed_emp/documents/publication/wcms_413826.pdf" TargetMode="External"/><Relationship Id="rId26" Type="http://schemas.openxmlformats.org/officeDocument/2006/relationships/hyperlink" Target="https://data.worldbank.org/indicator/SP.DYN.TFRT.IN" TargetMode="External"/><Relationship Id="rId27" Type="http://schemas.openxmlformats.org/officeDocument/2006/relationships/hyperlink" Target="https://www.weforum.org/whitepapers/we-ll-live-to-100-how-can-we-afford-it" TargetMode="External"/><Relationship Id="rId28" Type="http://schemas.openxmlformats.org/officeDocument/2006/relationships/hyperlink" Target="https://www.weforum.org/whitepapers/we-ll-live-to-100-how-can-we-afford-it" TargetMode="External"/><Relationship Id="rId29" Type="http://schemas.openxmlformats.org/officeDocument/2006/relationships/image" Target="media/image3.pn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30" Type="http://schemas.openxmlformats.org/officeDocument/2006/relationships/hyperlink" Target="http://www.nybooks.com/articles/2014/05/08/thomas-piketty-new-gilded-age/" TargetMode="External"/><Relationship Id="rId31" Type="http://schemas.openxmlformats.org/officeDocument/2006/relationships/image" Target="media/image4.png"/><Relationship Id="rId32" Type="http://schemas.openxmlformats.org/officeDocument/2006/relationships/header" Target="header1.xml"/><Relationship Id="rId9" Type="http://schemas.openxmlformats.org/officeDocument/2006/relationships/hyperlink" Target="https://uniwales.curatr3.com/courses/eMBAHRM-copy-" TargetMode="External"/><Relationship Id="rId6" Type="http://schemas.openxmlformats.org/officeDocument/2006/relationships/image" Target="media/image1.jpg"/><Relationship Id="rId7" Type="http://schemas.openxmlformats.org/officeDocument/2006/relationships/image" Target="media/image2.gif"/><Relationship Id="rId8" Type="http://schemas.openxmlformats.org/officeDocument/2006/relationships/hyperlink" Target="https://uniwales.curatr3.com/courses/eMBAHRM-copy-5615/home" TargetMode="External"/><Relationship Id="rId33" Type="http://schemas.openxmlformats.org/officeDocument/2006/relationships/footer" Target="footer1.xml"/><Relationship Id="rId34" Type="http://schemas.openxmlformats.org/officeDocument/2006/relationships/header" Target="header2.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hyperlink" Target="https://uniwales.curatr3.com/courses/eMBAHRM-copy-5615/home" TargetMode="External"/><Relationship Id="rId11" Type="http://schemas.openxmlformats.org/officeDocument/2006/relationships/hyperlink" Target="https://uniwales.curatr3.com/courses/eMBAHRM-copy-5615/home" TargetMode="External"/><Relationship Id="rId12" Type="http://schemas.openxmlformats.org/officeDocument/2006/relationships/hyperlink" Target="https://uniwales.curatr3.com/courses/eMBAHRM-copy-5615/home" TargetMode="External"/><Relationship Id="rId13" Type="http://schemas.openxmlformats.org/officeDocument/2006/relationships/hyperlink" Target="https://uniwales.curatr3.com/courses/eMBAHRM-copy-5615/home" TargetMode="External"/><Relationship Id="rId14" Type="http://schemas.openxmlformats.org/officeDocument/2006/relationships/hyperlink" Target="https://davidg.atavist.com/anticipation" TargetMode="External"/><Relationship Id="rId15" Type="http://schemas.openxmlformats.org/officeDocument/2006/relationships/hyperlink" Target="https://www.nytimes.com/2016/11/13/opinion/sunday/when-republicans-take-power.html" TargetMode="External"/><Relationship Id="rId16" Type="http://schemas.openxmlformats.org/officeDocument/2006/relationships/hyperlink" Target="https://uniwales.curatr3.com/courses/eMBAH" TargetMode="External"/><Relationship Id="rId17" Type="http://schemas.openxmlformats.org/officeDocument/2006/relationships/hyperlink" Target="https://uniwales.curatr3.com/courses/eMBAHRM-copy-5615/home" TargetMode="External"/><Relationship Id="rId18" Type="http://schemas.openxmlformats.org/officeDocument/2006/relationships/hyperlink" Target="http://www.nybooks.com/articles/2014/05/08/thomas-piketty-new-gilded-age/" TargetMode="External"/><Relationship Id="rId19" Type="http://schemas.openxmlformats.org/officeDocument/2006/relationships/hyperlink" Target="https://www.shrm.org/ResourcesAndTools/hr-topics/benefits/pages/student-loan-assistance-benefit.aspx" TargetMode="External"/><Relationship Id="rId3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4082</Words>
  <Characters>23268</Characters>
  <Application>Microsoft Macintosh Word</Application>
  <DocSecurity>0</DocSecurity>
  <Lines>193</Lines>
  <Paragraphs>54</Paragraphs>
  <ScaleCrop>false</ScaleCrop>
  <LinksUpToDate>false</LinksUpToDate>
  <CharactersWithSpaces>27296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2018-04-29T22:41:00Z</dcterms:created>
  <dcterms:modified xsi:type="dcterms:W3CDTF">2018-04-29T22:42:00Z</dcterms:modified>
</cp:coreProperties>
</file>