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r>
              <w:rPr>
                <w:rFonts w:ascii="Arial" w:hAnsi="Arial"/>
                <w:sz w:val="22"/>
              </w:rPr>
              <w:t>Dip Kirankumar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r>
              <w:rPr>
                <w:rFonts w:ascii="Arial" w:hAnsi="Arial"/>
                <w:sz w:val="22"/>
              </w:rPr>
              <w:t>2530744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C87FC48" w:rsidR="005E6C44" w:rsidRPr="004C3A0B" w:rsidRDefault="00832873" w:rsidP="003F6F7B">
            <w:pPr>
              <w:rPr>
                <w:rFonts w:ascii="Arial" w:hAnsi="Arial" w:cs="Arial"/>
                <w:sz w:val="22"/>
                <w:szCs w:val="22"/>
              </w:rPr>
            </w:pPr>
            <w:r>
              <w:rPr>
                <w:rFonts w:ascii="Arial" w:hAnsi="Arial" w:cs="Arial"/>
                <w:sz w:val="22"/>
                <w:szCs w:val="22"/>
              </w:rPr>
              <w:t>Dipkpatel04092001@gmail.com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DBE01AD" w:rsidR="005E6C44" w:rsidRPr="004C3A0B" w:rsidRDefault="00354E15" w:rsidP="003F6F7B">
            <w:pPr>
              <w:rPr>
                <w:rFonts w:ascii="Arial" w:hAnsi="Arial" w:cs="Arial"/>
                <w:sz w:val="22"/>
                <w:szCs w:val="22"/>
              </w:rPr>
            </w:pPr>
            <w:r>
              <w:rPr>
                <w:rFonts w:ascii="Arial" w:hAnsi="Arial" w:cs="Arial"/>
                <w:sz w:val="22"/>
                <w:szCs w:val="22"/>
              </w:rPr>
              <w:t xml:space="preserve">Msc Cyber security and digital forensics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D53209D" w:rsidR="005E6C44" w:rsidRPr="004C3A0B" w:rsidRDefault="00354E15" w:rsidP="003F6F7B">
            <w:pPr>
              <w:rPr>
                <w:rFonts w:ascii="Arial" w:hAnsi="Arial" w:cs="Arial"/>
                <w:sz w:val="22"/>
                <w:szCs w:val="22"/>
              </w:rPr>
            </w:pPr>
            <w:r>
              <w:rPr>
                <w:rFonts w:ascii="Arial" w:hAnsi="Arial" w:cs="Arial"/>
                <w:sz w:val="22"/>
                <w:szCs w:val="22"/>
              </w:rPr>
              <w:t>Suresh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MS Gothic"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r>
              <w:rPr>
                <w:rFonts w:ascii="Arial" w:hAnsi="Arial"/>
                <w:sz w:val="22"/>
              </w:rPr>
              <w:t>Detecting Machine-Written Deception: A Comparative Evaluation of Transformer and Large Language Model Detectors against LLM-Generated and Paraphrased Phishing Email</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B98E478" w:rsidR="004C3D85" w:rsidRPr="00D839CD" w:rsidRDefault="0023430A" w:rsidP="003C07E3">
            <w:pPr>
              <w:rPr>
                <w:rFonts w:ascii="Arial" w:hAnsi="Arial" w:cs="Arial"/>
                <w:sz w:val="22"/>
                <w:szCs w:val="22"/>
              </w:rPr>
            </w:pPr>
            <w:r>
              <w:rPr>
                <w:rFonts w:ascii="Arial" w:hAnsi="Arial" w:cs="Arial"/>
                <w:sz w:val="22"/>
                <w:szCs w:val="22"/>
              </w:rPr>
              <w:t>8/6/26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523E347" w:rsidR="004C3D85" w:rsidRPr="004C3A0B" w:rsidRDefault="001B3D76" w:rsidP="003C07E3">
            <w:pPr>
              <w:rPr>
                <w:rFonts w:ascii="Arial" w:hAnsi="Arial" w:cs="Arial"/>
                <w:sz w:val="22"/>
                <w:szCs w:val="22"/>
              </w:rPr>
            </w:pPr>
            <w:r>
              <w:rPr>
                <w:rFonts w:ascii="Arial" w:hAnsi="Arial" w:cs="Arial"/>
                <w:sz w:val="22"/>
                <w:szCs w:val="22"/>
              </w:rPr>
              <w:t>3/8/26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r>
              <w:rPr>
                <w:rFonts w:ascii="Arial" w:hAnsi="Arial"/>
                <w:sz w:val="22"/>
              </w:rPr>
              <w:t>Phishing remains the leading way attackers first gain access to organisations, and large language models (LLMs) now let attackers write convincing phishing emails cheaply and at scale. Most existing phishing detection tools were built and tested before LLMs became widely available, so it is unclear whether they still work well against AI-written phishing. This research investigates whether modern phishing detectors - from simple classifiers through to fine-tuned transformer models and LLM-based detectors - can still reliably identify phishing emails that have been generated or rewritten by an LLM, and whether their performance can be restored through additional training.</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r>
              <w:rPr>
                <w:rFonts w:ascii="Arial" w:hAnsi="Arial"/>
                <w:sz w:val="22"/>
              </w:rPr>
              <w:t>How does the detection performance of content-based phishing email classifiers (classical machine learning, fine-tuned transformers, and prompted large language models) change when tested against phishing emails that have been generated or paraphrased by a large language model, compared with legacy human-written phishing, and can adversarial data augmentation recover any performance that is lost?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r>
              <w:rPr>
                <w:rFonts w:ascii="Arial" w:hAnsi="Arial"/>
                <w:sz w:val="22"/>
              </w:rPr>
              <w:t>1. To quantify the change in detection performance of four detector families when confronted with LLM-generated and LLM-paraphrased phishing email, compared with legacy human-written phishing (linked to Objectives 2-4).</w:t>
            </w:r>
            <w:r>
              <w:rPr>
                <w:rFonts w:ascii="Arial" w:hAnsi="Arial"/>
                <w:sz w:val="22"/>
              </w:rPr>
              <w:br/>
              <w:t>2. To explain why any observed degradation occurs, using attribution analysis to identify whether detectors rely on surface artefacts that LLM authorship removes (linked to Objective 4).</w:t>
            </w:r>
            <w:r>
              <w:rPr>
                <w:rFonts w:ascii="Arial" w:hAnsi="Arial"/>
                <w:sz w:val="22"/>
              </w:rPr>
              <w:br/>
              <w:t>3. To mitigate any degradation found, by designing and evaluating an adversarially augmented detector and measuring how much lost performance it recovers (linked to Objective 5).</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r>
              <w:rPr>
                <w:rFonts w:ascii="Arial" w:hAnsi="Arial"/>
                <w:sz w:val="22"/>
              </w:rPr>
              <w:t>1. Conduct a systematic literature review (2020-2026) of LLM-assisted phishing generation and detection to confirm the research gap.</w:t>
            </w:r>
            <w:r>
              <w:rPr>
                <w:rFonts w:ascii="Arial" w:hAnsi="Arial"/>
                <w:sz w:val="22"/>
              </w:rPr>
              <w:br/>
              <w:t>2. Assemble a cross-generational phishing email corpus combining legacy human-written phishing, legitimate business email, and approximately 2,000 LLM-generated/paraphrased phishing messages, with full provenance logging.</w:t>
            </w:r>
            <w:r>
              <w:rPr>
                <w:rFonts w:ascii="Arial" w:hAnsi="Arial"/>
                <w:sz w:val="22"/>
              </w:rPr>
              <w:br/>
              <w:t>3. Implement and train four detector families: feature-engineered classical classifiers, fine-tuned DistilBERT, fine-tuned RoBERTa, and an instruction-tuned LLM (zero/few-shot).</w:t>
            </w:r>
            <w:r>
              <w:rPr>
                <w:rFonts w:ascii="Arial" w:hAnsi="Arial"/>
                <w:sz w:val="22"/>
              </w:rPr>
              <w:br/>
              <w:t>4. Compare detector families across four email-generation conditions using paired statistical inference to test whether observed differences are significant.</w:t>
            </w:r>
            <w:r>
              <w:rPr>
                <w:rFonts w:ascii="Arial" w:hAnsi="Arial"/>
                <w:sz w:val="22"/>
              </w:rPr>
              <w:br/>
              <w:t>5. Design and evaluate an adversarial augmentation strategy (embedding-level perturbation plus synthetic training data) and quantify how much lost accuracy it recovers.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r>
              <w:rPr>
                <w:rFonts w:ascii="Arial" w:hAnsi="Arial"/>
                <w:sz w:val="22"/>
              </w:rPr>
              <w:t>No human participants are involved and no data is collected from people. All material is either existing public archival email data or synthetic text generated by an AI model.</w:t>
            </w:r>
            <w:r>
              <w:rPr>
                <w:rFonts w:ascii="Arial" w:hAnsi="Arial"/>
                <w:sz w:val="22"/>
              </w:rPr>
              <w:br/>
            </w:r>
            <w:r>
              <w:rPr>
                <w:rFonts w:ascii="Arial" w:hAnsi="Arial"/>
                <w:sz w:val="22"/>
              </w:rPr>
              <w:br/>
              <w:t>Pre-generative (legacy) data will be drawn from four public research corpora: the Nazario phishing corpus, the Apache SpamAssassin corpus, the Enron corpus (used as a source of legitimate business email), and a consolidated public phishing corpus used for cross-validation.</w:t>
            </w:r>
            <w:r>
              <w:rPr>
                <w:rFonts w:ascii="Arial" w:hAnsi="Arial"/>
                <w:sz w:val="22"/>
              </w:rPr>
              <w:br/>
            </w:r>
            <w:r>
              <w:rPr>
                <w:rFonts w:ascii="Arial" w:hAnsi="Arial"/>
                <w:sz w:val="22"/>
              </w:rPr>
              <w:br/>
              <w:t>Post-generative (synthetic) data will be created by the researcher using an open-weight, instruction-tuned large language model running in an isolated environment, to generate and paraphrase approximately 2,000 phishing-style messages seeded from archetypes present in the legacy corpora (e.g. credential verification, account suspension, payment processing, package delivery and HR notifications). Every prompt, sampling parameter and seed used will be logged so the synthetic corpus can be regenerated exactly. No real organisation, brand or live infrastructure will be referenced, and no generated message will be sent to any recipient.</w:t>
            </w:r>
            <w:r>
              <w:rPr>
                <w:rFonts w:ascii="Arial" w:hAnsi="Arial"/>
                <w:sz w:val="22"/>
              </w:rPr>
              <w:br/>
            </w:r>
            <w:r>
              <w:rPr>
                <w:rFonts w:ascii="Arial" w:hAnsi="Arial"/>
                <w:sz w:val="22"/>
              </w:rPr>
              <w:br/>
              <w:t>The combined corpus will be pre-processed and tokenised, then used to train and evaluate the four detector families. No audio or video recordings will be collected.</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MS Gothic"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MS Gothic"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MS Gothic"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MS Gothic"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MS Gothic"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MS Gothic"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sz w:val="22"/>
              </w:rPr>
              <w:t>N/A - the research involves no human participants. All data used are either existing public archival email corpora or synthetic text generated by an AI model.</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r>
              <w:rPr>
                <w:rFonts w:ascii="Arial" w:hAnsi="Arial"/>
                <w:sz w:val="22"/>
              </w:rPr>
              <w:t>Not applicable - no participants are involved in this study.</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r>
              <w:rPr>
                <w:rFonts w:ascii="Arial" w:hAnsi="Arial"/>
                <w:sz w:val="22"/>
              </w:rPr>
              <w:t>N/A - no participants are involved in this study, and no real individuals are contacted, deceived or placed at risk. Although the study concerns phishing (a form of deception), no generated message will ever be sent to any real person, and no credential-harvesting or live attack infrastructure will be created.</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r>
              <w:rPr>
                <w:rFonts w:ascii="Arial" w:hAnsi="Arial"/>
                <w:sz w:val="22"/>
              </w:rPr>
              <w:t>Repeated handling of realistic phishing content and prompts could in principle be misused, and there is a small risk of the researcher's work being mistaken for genuine malicious activity if synthetic phishing material were seen out of context.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r>
              <w:rPr>
                <w:rFonts w:ascii="Arial" w:hAnsi="Arial"/>
                <w:sz w:val="22"/>
              </w:rPr>
              <w:t>All phishing generation and handling is carried out in an isolated virtual machine with outbound mail disabled; synthetic content is clearly labelled as research material, is never sent to real recipients, and access is restricted to the researcher and supervisor.</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r>
              <w:rPr>
                <w:rFonts w:ascii="Arial" w:hAnsi="Arial"/>
                <w:sz w:val="22"/>
              </w:rPr>
              <w:t>Reputational or dual-use risk if realistic synthetic phishing content were leaked, misused, or mistaken for a real attack; data-protection risk from processing the Enron corpus, which contains real (if historical) personal email data.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r>
              <w:rPr>
                <w:rFonts w:ascii="Arial" w:hAnsi="Arial"/>
                <w:sz w:val="22"/>
              </w:rPr>
              <w:t>Synthetic phishing text and trained model weights are held in encrypted storage with restricted access; only aggregate statistics, trained model weights and analysis code will be published, not the raw phishing text. Enron data is processed under the research provisions of the UK GDPR, pseudonymised at ingestion, encrypted at rest, and deleted on project completion.</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r>
              <w:rPr>
                <w:rFonts w:ascii="Arial" w:hAnsi="Arial"/>
                <w:sz w:val="22"/>
              </w:rPr>
              <w:t>Minimal - limited to the electricity consumption associated with GPU-based model training.</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r>
              <w:rPr>
                <w:rFonts w:ascii="Arial" w:hAnsi="Arial"/>
                <w:sz w:val="22"/>
              </w:rPr>
              <w:t>Training is restricted to a single GPU where possible, uses efficient fine-tuning of compact models (e.g. DistilBERT) before larger ones, and uses Google Colab Pro only as a documented fallback.</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r>
              <w:rPr>
                <w:rFonts w:ascii="Arial" w:hAnsi="Arial"/>
                <w:sz w:val="22"/>
              </w:rPr>
              <w:t>The Enron email corpus, used as a source of legitimate business email, contains real historical email correspondence including senders' and recipients' names and email addresses. It is needed to give the legitimate-email class a realistic register and formality, so that the detectors' false-positive behaviour is measured on data that resembles real organisational mail rather than only spam. No other personal data is collected - no participants are recruited and no data is collected about, or from, living individuals through this research.</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r>
              <w:rPr>
                <w:rFonts w:ascii="Arial" w:hAnsi="Arial"/>
                <w:sz w:val="22"/>
              </w:rPr>
              <w:t>N/A - no special category data (as defined by the GDPR) is processed by this research.</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r>
              <w:rPr>
                <w:rFonts w:ascii="Arial" w:hAnsi="Arial"/>
                <w:sz w:val="22"/>
              </w:rPr>
              <w:t>All data (the legacy corpora, the synthetic corpus, model weights and drafts) will be kept in password-protected, encrypted cloud storage on the University's Office 365 system, which will not be shared outside the research team. The Enron corpus will be pseudonymised at ingestion. Any local copies used for training will be held on encrypted university or personal computers within an isolated virtual machine with outbound mail disabled, and deleted once training is complete. No paper/manual files or portable USB/disk storage will be used. All data will be retained only until the project is completed and then deleted.</w:t>
            </w: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r>
              <w:rPr>
                <w:rFonts w:ascii="Arial" w:hAnsi="Arial"/>
                <w:sz w:val="22"/>
              </w:rPr>
              <w:t>The Enron corpus (containing real historical email addresses and names) will be downloaded from its public research repository (hosted outside the UK) and transferred electronically into the University's secure cloud storage; this constitutes both an international data import and an electronic transfer. The corpus will be pseudonymised at ingestion, encrypted at rest, and access restricted to the researcher and supervisor. No data will be shared with other organisations or with University staff outside the immediate research team. Only aggregate statistics, trained model weights and analysis code will be published; the underlying email text, including the Enron material, will not be published or made identifiable, in line with the UK GDPR and Data Protection Act 2018.</w:t>
            </w:r>
          </w:p>
          <w:p w14:paraId="5D52B1AE" w14:textId="242692A0"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r>
              <w:rPr>
                <w:rFonts w:ascii="Arial" w:hAnsi="Arial"/>
                <w:sz w:val="22"/>
              </w:rPr>
              <w:t>The principal researcher (Dip Patel) and the academic 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r>
              <w:rPr>
                <w:rFonts w:ascii="Arial" w:hAnsi="Arial"/>
                <w:sz w:val="22"/>
              </w:rPr>
              <w:t>The principal researcher (Dip Patel).</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t>All data will be encrypted and kept in password-protected cloud storage on the University Office 365 system, which will not be shared. Any local working copies will be kept on encrypted university/personal machines within an isolated virtual machine with outbound mail disabled. Data will be retained only until the project is completed (approximately 12 weeks) and then permanently deleted.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4B4EFB"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121A0">
                  <w:rPr>
                    <w:rFonts w:ascii="MS Gothic" w:eastAsia="MS Gothic" w:hAnsi="MS Gothic" w:cs="MS Gothic"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4B4EFB"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77654">
                  <w:rPr>
                    <w:rFonts w:ascii="MS Gothic" w:eastAsia="MS Gothic" w:hAnsi="MS Gothic" w:cs="MS Gothic"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EndPr/>
            <w:sdtContent>
              <w:p w14:paraId="09AB06AD" w14:textId="657C7C22"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MS Gothic"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sidRPr="00AF2D7B">
              <w:rPr>
                <w:rFonts w:ascii="Arial" w:hAnsi="Arial" w:cs="Arial"/>
                <w:sz w:val="22"/>
                <w:szCs w:val="22"/>
                <w:highlight w:val="black"/>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1"/>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1"/>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r>
              <w:rPr>
                <w:rFonts w:ascii="Arial" w:hAnsi="Arial"/>
                <w:sz w:val="22"/>
              </w:rPr>
              <w:t>This project uses AI/ML in two ways. First, an open-weight, locally-hosted, instruction-tuned large language model (e.g. from the Llama or Mistral family) is used, within an isolated environment with no external data sharing, to generate and paraphrase the synthetic phishing corpus described in Section C, and as one of the four detector families (prompted zero/few-shot classification). Because the model is self-hosted and open-weight, no data leaves University-controlled infrastructure. Second, fine-tuned transformer models (DistilBERT, RoBERTa) and classical machine-learning classifiers are trained and used to classify/analyse email data as part of the core research method. No proprietary cloud AI service (e.g. ChatGPT, Copilot) is used to process the Enron corpus or any personal data; where a general-purpose AI assistant is used for supporting tasks such as code assistance, only the University-provided (UWTSD) licensed version will be used, in line with current UWTSD AI guidance/policy.</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606420F" w:rsidR="004D0161" w:rsidRPr="00AF2D7B" w:rsidRDefault="00F1241C" w:rsidP="00694EA8">
            <w:pPr>
              <w:spacing w:before="100" w:beforeAutospacing="1" w:after="100" w:afterAutospacing="1"/>
              <w:rPr>
                <w:rFonts w:ascii="Arial" w:hAnsi="Arial" w:cs="Arial"/>
                <w:sz w:val="22"/>
                <w:szCs w:val="22"/>
              </w:rPr>
            </w:pPr>
            <w:r>
              <w:rPr>
                <w:rFonts w:ascii="Arial" w:hAnsi="Arial" w:cs="Arial"/>
                <w:sz w:val="22"/>
                <w:szCs w:val="22"/>
              </w:rPr>
              <w:t xml:space="preserve">Dip Kirankumar Patel </w:t>
            </w:r>
          </w:p>
        </w:tc>
        <w:tc>
          <w:tcPr>
            <w:tcW w:w="2139" w:type="dxa"/>
            <w:gridSpan w:val="3"/>
            <w:vAlign w:val="center"/>
          </w:tcPr>
          <w:p w14:paraId="7C2D2CC9" w14:textId="1E0574D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F0798">
              <w:rPr>
                <w:rFonts w:ascii="Arial" w:hAnsi="Arial" w:cs="Arial"/>
                <w:b/>
                <w:bCs/>
                <w:sz w:val="22"/>
                <w:szCs w:val="22"/>
              </w:rPr>
              <w:t>9/8/26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AEE4E" w14:textId="77777777" w:rsidR="00F21EB2" w:rsidRDefault="00F21EB2" w:rsidP="00390251">
      <w:r>
        <w:separator/>
      </w:r>
    </w:p>
    <w:p w14:paraId="1A0502CD" w14:textId="77777777" w:rsidR="00F21EB2" w:rsidRDefault="00F21EB2"/>
  </w:endnote>
  <w:endnote w:type="continuationSeparator" w:id="0">
    <w:p w14:paraId="0B166362" w14:textId="77777777" w:rsidR="00F21EB2" w:rsidRDefault="00F21EB2" w:rsidP="00390251">
      <w:r>
        <w:continuationSeparator/>
      </w:r>
    </w:p>
    <w:p w14:paraId="74EF5B93" w14:textId="77777777" w:rsidR="00F21EB2" w:rsidRDefault="00F21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FDD6B" w14:textId="77777777" w:rsidR="00F21EB2" w:rsidRDefault="00F21EB2" w:rsidP="00390251">
      <w:r>
        <w:separator/>
      </w:r>
    </w:p>
    <w:p w14:paraId="55DE3646" w14:textId="77777777" w:rsidR="00F21EB2" w:rsidRDefault="00F21EB2"/>
  </w:footnote>
  <w:footnote w:type="continuationSeparator" w:id="0">
    <w:p w14:paraId="2F1C8F5B" w14:textId="77777777" w:rsidR="00F21EB2" w:rsidRDefault="00F21EB2" w:rsidP="00390251">
      <w:r>
        <w:continuationSeparator/>
      </w:r>
    </w:p>
    <w:p w14:paraId="75B472BE" w14:textId="77777777" w:rsidR="00F21EB2" w:rsidRDefault="00F21E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00AE"/>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3D76"/>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430A"/>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E15"/>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6793"/>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76BAB"/>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2873"/>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2D7B"/>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0798"/>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41C"/>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uwtsd.ac.uk/research/research-ethics/" TargetMode="Externa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7"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footer" Target="foot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4474</Words>
  <Characters>24823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Dip Kirankumar Patel (2530744)</cp:lastModifiedBy>
  <cp:revision>2</cp:revision>
  <cp:lastPrinted>2016-10-24T12:21:00Z</cp:lastPrinted>
  <dcterms:created xsi:type="dcterms:W3CDTF">2026-08-09T19:05:00Z</dcterms:created>
  <dcterms:modified xsi:type="dcterms:W3CDTF">2026-08-09T19:05:00Z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