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413788" w14:textId="730C0F9D" w:rsidR="00766D46" w:rsidRPr="0086104F" w:rsidRDefault="00DD48BE">
      <w:pPr>
        <w:rPr>
          <w:sz w:val="24"/>
          <w:szCs w:val="24"/>
        </w:rPr>
      </w:pPr>
      <w:r w:rsidRPr="0086104F">
        <w:rPr>
          <w:sz w:val="24"/>
          <w:szCs w:val="24"/>
        </w:rPr>
        <w:t xml:space="preserve">Under the Children </w:t>
      </w:r>
      <w:r w:rsidR="009E4B3A" w:rsidRPr="0086104F">
        <w:rPr>
          <w:sz w:val="24"/>
          <w:szCs w:val="24"/>
        </w:rPr>
        <w:t>3</w:t>
      </w:r>
      <w:r w:rsidRPr="0086104F">
        <w:rPr>
          <w:sz w:val="24"/>
          <w:szCs w:val="24"/>
        </w:rPr>
        <w:t xml:space="preserve"> (2004), Serious Case Reviews (SCRs) were created to examine situations in which a minor has died and there is knowledge of or suspicion of exploitation or maltreatment. SCRs may also be used in cases when a minor has suffered significant harm due to neglect or cruelty but has not yet died. They want to create learning opportunities for organisations and experts so they can collaborate better to protect children. Any time a local safeguarding children board (LSCB) believes there is room for improvement in </w:t>
      </w:r>
      <w:r w:rsidRPr="0086104F">
        <w:rPr>
          <w:sz w:val="24"/>
          <w:szCs w:val="24"/>
        </w:rPr>
        <w:t xml:space="preserve">the </w:t>
      </w:r>
      <w:r w:rsidRPr="0086104F">
        <w:rPr>
          <w:sz w:val="24"/>
          <w:szCs w:val="24"/>
        </w:rPr>
        <w:t>local procedure, it may request a review.</w:t>
      </w:r>
      <w:r w:rsidR="00AD4AE5" w:rsidRPr="0086104F">
        <w:rPr>
          <w:sz w:val="24"/>
          <w:szCs w:val="24"/>
        </w:rPr>
        <w:t xml:space="preserve"> </w:t>
      </w:r>
      <w:r w:rsidR="00B407B9" w:rsidRPr="0086104F">
        <w:rPr>
          <w:sz w:val="24"/>
          <w:szCs w:val="24"/>
        </w:rPr>
        <w:t>(SCIE,2</w:t>
      </w:r>
      <w:r w:rsidR="0024553C" w:rsidRPr="0086104F">
        <w:rPr>
          <w:sz w:val="24"/>
          <w:szCs w:val="24"/>
        </w:rPr>
        <w:t>019)</w:t>
      </w:r>
      <w:r w:rsidR="00766D46" w:rsidRPr="0086104F">
        <w:rPr>
          <w:sz w:val="24"/>
          <w:szCs w:val="24"/>
        </w:rPr>
        <w:t>.</w:t>
      </w:r>
    </w:p>
    <w:p w14:paraId="54D1C6AB" w14:textId="2E647006" w:rsidR="001058E9" w:rsidRPr="0086104F" w:rsidRDefault="00766D46" w:rsidP="001058E9">
      <w:pPr>
        <w:pStyle w:val="NormalWeb"/>
        <w:ind w:left="567" w:hanging="567"/>
      </w:pPr>
      <w:r w:rsidRPr="0086104F">
        <w:t>In this case study, a young girl named Millie will be discussed. After being taken away from her mother and made to live with her father, Millie struggled greatly with separation</w:t>
      </w:r>
      <w:r w:rsidR="008F2F2E" w:rsidRPr="0086104F">
        <w:t xml:space="preserve"> issues</w:t>
      </w:r>
      <w:r w:rsidRPr="0086104F">
        <w:t>. She was said to have been feeling alone and lonely and had turned to social media to cry out for assistance. Without assistance from anyone, Millie was left to handle daily activities like cooking, cleaning, and other responsibilities that adults should handle. She had siblings that didn't like her and would not spend time with her.</w:t>
      </w:r>
      <w:r w:rsidR="00AE3DC4" w:rsidRPr="0086104F">
        <w:t xml:space="preserve"> </w:t>
      </w:r>
      <w:r w:rsidR="00AE3DC4" w:rsidRPr="0086104F">
        <w:t>The school failed to inform anyone about Millie despite the fact that it was well known that she had been exhibiting serious warning indications that would have alerted agencies. One of Millie's siblings contacted the school as well, but nothing was implemented. Social services' attempts to work with her family have been fruitless, as evidenced by this.</w:t>
      </w:r>
      <w:r w:rsidR="0071790E" w:rsidRPr="0086104F">
        <w:t xml:space="preserve"> Dr. Deb claims Children feel secure and loved when families are strong and supportive of one another. Families with strong bonds are better able to resolve disputes, work together, and have fun. A happy family is built on the pillars of quality time, open communication, teamwork, and appreciation for one another. (Dr Deb,2020).</w:t>
      </w:r>
      <w:r w:rsidR="00FB6684" w:rsidRPr="0086104F">
        <w:t xml:space="preserve"> </w:t>
      </w:r>
      <w:r w:rsidR="00C5780F" w:rsidRPr="0086104F">
        <w:t>Being left alone at home and being forced to cook and clean for oneself exposed Millie to exploitation. To maintain their physical and emotional wellbeing, children need safe homes. It was seen how Millies' family suffered from broken relationships and addictions, making her vulnerable. It has been highlighted a few times how Millie tried to appeal for assistance in numerous ways on social media while at home and in class, but she never felt like she had a voice. There was documented proof that millie's mother struggled with her mental health. In their 2011 study, Cleaver, Unell, and Aldgate found that these challenges are frequently related and that the</w:t>
      </w:r>
      <w:r w:rsidR="001058E9" w:rsidRPr="0086104F">
        <w:t xml:space="preserve"> </w:t>
      </w:r>
      <w:r w:rsidR="001058E9" w:rsidRPr="0086104F">
        <w:t>connected, and that the more difficulties a child's family has, the higher the chance of maltreatment. While anybody could be exploited, research indicates that some children who have been maltreated have qualities in common. They might be more exposed as a consequence.   (Cleaver, Unell and Aldgate, 2011).</w:t>
      </w:r>
      <w:r w:rsidR="00D44470" w:rsidRPr="0086104F">
        <w:t xml:space="preserve"> </w:t>
      </w:r>
      <w:r w:rsidR="00D44470" w:rsidRPr="0086104F">
        <w:t>Statistics indicate that extremely few youngsters commit suicide. Although this is encouraging, it is possible that there are still too few reports of kid suicides because they are frequently classified as accidents or unintended deaths (Gray et al., 2014).</w:t>
      </w:r>
      <w:r w:rsidR="0015335A" w:rsidRPr="0086104F">
        <w:t xml:space="preserve"> </w:t>
      </w:r>
      <w:r w:rsidR="0015335A" w:rsidRPr="0086104F">
        <w:t>Despite the overall rarity of adolescent suicide deaths, some minors do try suicide (Whalen et al., 2017).</w:t>
      </w:r>
      <w:r w:rsidR="00417DDE" w:rsidRPr="0086104F">
        <w:t xml:space="preserve"> </w:t>
      </w:r>
      <w:r w:rsidR="00417DDE" w:rsidRPr="0086104F">
        <w:t>If young children who have psychological distress are not handled, they are more likely to commit suicide . So that they can obtain treatment for mental health issues, it is crucial to spot children who are considering suicide as soon as possible (Wyman et al., 2009; Herba et al., 2007).</w:t>
      </w:r>
      <w:r w:rsidR="001D3888" w:rsidRPr="0086104F">
        <w:t xml:space="preserve"> </w:t>
      </w:r>
      <w:r w:rsidR="00CE29FD" w:rsidRPr="0086104F">
        <w:t>It is crucial that all services collaborate to keep children safe and stay in touch with a child when they are exhibiting suicidal thoughts. Social services did not call out to visit Millie or her siblings and disregarded the fact that she had been in their c</w:t>
      </w:r>
      <w:r w:rsidR="00931E5F" w:rsidRPr="0086104F">
        <w:t>are</w:t>
      </w:r>
      <w:r w:rsidR="00CE29FD" w:rsidRPr="0086104F">
        <w:t xml:space="preserve"> since she was 6 years old.</w:t>
      </w:r>
      <w:r w:rsidR="00F520F2" w:rsidRPr="0086104F">
        <w:t xml:space="preserve"> </w:t>
      </w:r>
      <w:r w:rsidR="00F520F2" w:rsidRPr="0086104F">
        <w:t>The system failed Millie, who committed suicide because the school nurse repeatedly made contact with her but did not provide any follow-up care.</w:t>
      </w:r>
      <w:r w:rsidR="000D346C" w:rsidRPr="0086104F">
        <w:t xml:space="preserve"> </w:t>
      </w:r>
      <w:r w:rsidR="000D346C" w:rsidRPr="0086104F">
        <w:t xml:space="preserve">Social Services </w:t>
      </w:r>
      <w:r w:rsidR="003A31C4" w:rsidRPr="0086104F">
        <w:t>should</w:t>
      </w:r>
      <w:r w:rsidR="000D346C" w:rsidRPr="0086104F">
        <w:t xml:space="preserve"> provide a broad range of care services to children and their parents, and they are required by law to protect and advance the welfare of vulnerable children.</w:t>
      </w:r>
      <w:r w:rsidR="003A31C4" w:rsidRPr="0086104F">
        <w:t xml:space="preserve"> </w:t>
      </w:r>
      <w:r w:rsidR="003A31C4" w:rsidRPr="0086104F">
        <w:t xml:space="preserve">Two important components should serve as the </w:t>
      </w:r>
      <w:r w:rsidR="003A31C4" w:rsidRPr="0086104F">
        <w:lastRenderedPageBreak/>
        <w:t>foundations of each and every local authority area's effective safeguarding systems.</w:t>
      </w:r>
      <w:r w:rsidR="00D34D62" w:rsidRPr="0086104F">
        <w:t xml:space="preserve"> </w:t>
      </w:r>
      <w:r w:rsidR="00D34D62" w:rsidRPr="0086104F">
        <w:t>In order for services to be successful, each individual and agencies involved with a vulnerable child must contribute their full attention to share any information to each other. Therefore, everyone is responsible for safeguarding.</w:t>
      </w:r>
      <w:r w:rsidR="001D35F4" w:rsidRPr="0086104F">
        <w:t xml:space="preserve"> </w:t>
      </w:r>
      <w:r w:rsidR="001D35F4" w:rsidRPr="0086104F">
        <w:t>The centered approach for children is required for any services to put into effect on how clear the grasp of the child's goals and priorities is. The approach should be centered on children's rights, and what's within the best interest of the child and how this should come first when dealing with a vulnerable child.</w:t>
      </w:r>
      <w:r w:rsidR="00E70EEF" w:rsidRPr="0086104F">
        <w:t xml:space="preserve"> </w:t>
      </w:r>
      <w:r w:rsidR="00E70EEF" w:rsidRPr="0086104F">
        <w:t>(goverment, 2004)</w:t>
      </w:r>
      <w:r w:rsidR="00F37599" w:rsidRPr="0086104F">
        <w:t>.</w:t>
      </w:r>
      <w:r w:rsidR="00204C63" w:rsidRPr="0086104F">
        <w:t xml:space="preserve"> </w:t>
      </w:r>
      <w:r w:rsidR="00204C63" w:rsidRPr="0086104F">
        <w:t>To help these children as much as possible and provide them with the most care they require, even if they have any support at home, my recommendation would be to have a liaison officer present at the schools and to be checking every case by Friday afternoon. Even if they have any support at home, school is typically a safe place for a child to come and feel free.</w:t>
      </w:r>
      <w:r w:rsidR="00D61C28" w:rsidRPr="0086104F">
        <w:t xml:space="preserve"> </w:t>
      </w:r>
      <w:r w:rsidR="00D61C28" w:rsidRPr="0086104F">
        <w:t>As some youths, schools is the only stability in their lives. Some of the most vulnerable individuals, scho</w:t>
      </w:r>
      <w:r w:rsidR="008F2F2E" w:rsidRPr="0086104F">
        <w:t>ol</w:t>
      </w:r>
      <w:r w:rsidR="00D61C28" w:rsidRPr="0086104F">
        <w:t xml:space="preserve"> may be a safe place. As soon as they arrive at the institution, they can put aside their concerns and obligations and transform into children for a few hours, giving them the chance to develop and </w:t>
      </w:r>
      <w:r w:rsidR="00C90BD2" w:rsidRPr="0086104F">
        <w:t xml:space="preserve">succeed </w:t>
      </w:r>
      <w:r w:rsidR="00D61C28" w:rsidRPr="0086104F">
        <w:t xml:space="preserve"> alongside their friends.</w:t>
      </w:r>
      <w:r w:rsidR="00322ED3" w:rsidRPr="0086104F">
        <w:t xml:space="preserve"> </w:t>
      </w:r>
      <w:r w:rsidR="00322ED3" w:rsidRPr="0086104F">
        <w:t>(Knightsmith, 2017)</w:t>
      </w:r>
      <w:r w:rsidR="00322ED3" w:rsidRPr="0086104F">
        <w:t>.</w:t>
      </w:r>
      <w:r w:rsidR="00DE3971" w:rsidRPr="0086104F">
        <w:t xml:space="preserve"> </w:t>
      </w:r>
      <w:r w:rsidR="00DE3971" w:rsidRPr="0086104F">
        <w:t>Another suggestion I would make is to follow up with social services once children are freed from child-in-need or protection programmes.</w:t>
      </w:r>
      <w:r w:rsidR="0082741D" w:rsidRPr="0086104F">
        <w:t xml:space="preserve"> </w:t>
      </w:r>
      <w:r w:rsidR="0082741D" w:rsidRPr="0086104F">
        <w:t xml:space="preserve">Whether children's welfare and development requirements can be met within the family setting and within </w:t>
      </w:r>
      <w:r w:rsidR="00C90BD2" w:rsidRPr="0086104F">
        <w:t xml:space="preserve"> </w:t>
      </w:r>
      <w:r w:rsidR="0082741D" w:rsidRPr="0086104F">
        <w:t xml:space="preserve"> timeframes will be a major consideration in choosing the most effective therapies. In some instances, the child will have to wait too long while the parent or caregiver undergoes therapeutic transformation. Decisions must be made quickly and within the specified timeframes for the youngster. Decisions about the child's long-term future will be required in cases when the family structure is not getting better or changing quickly enough to meet the child's requirements. This will be determined by the assessment, that the initial reviews child protection conference will finish</w:t>
      </w:r>
      <w:r w:rsidR="00C90BD2" w:rsidRPr="0086104F">
        <w:t>.</w:t>
      </w:r>
      <w:r w:rsidR="00580E19" w:rsidRPr="0086104F">
        <w:t xml:space="preserve"> </w:t>
      </w:r>
      <w:r w:rsidR="00580E19" w:rsidRPr="0086104F">
        <w:t>(Rue du Gouffre, 2017)</w:t>
      </w:r>
    </w:p>
    <w:p w14:paraId="0CE64A4D" w14:textId="0EBF6770" w:rsidR="00D47C2F" w:rsidRDefault="00D47C2F"/>
    <w:p w14:paraId="20471D13" w14:textId="77777777" w:rsidR="00B407B9" w:rsidRDefault="00B407B9"/>
    <w:p w14:paraId="2005F49E" w14:textId="77777777" w:rsidR="00A619BE" w:rsidRDefault="00A619BE"/>
    <w:p w14:paraId="76BD3148" w14:textId="77777777" w:rsidR="00A619BE" w:rsidRDefault="00A619BE"/>
    <w:p w14:paraId="083C36F7" w14:textId="1671F624" w:rsidR="00A619BE" w:rsidRDefault="00A619BE"/>
    <w:p w14:paraId="5BBBF7CE" w14:textId="77777777" w:rsidR="000B77D8" w:rsidRDefault="000B77D8"/>
    <w:p w14:paraId="0F818068" w14:textId="77777777" w:rsidR="000B77D8" w:rsidRDefault="000B77D8"/>
    <w:p w14:paraId="7049902C" w14:textId="77777777" w:rsidR="000B77D8" w:rsidRDefault="000B77D8"/>
    <w:p w14:paraId="3EBDFA42" w14:textId="77777777" w:rsidR="000B77D8" w:rsidRDefault="000B77D8"/>
    <w:p w14:paraId="5EC7A49F" w14:textId="77777777" w:rsidR="000B77D8" w:rsidRDefault="000B77D8"/>
    <w:p w14:paraId="144BDEDF" w14:textId="77777777" w:rsidR="000B77D8" w:rsidRDefault="000B77D8"/>
    <w:p w14:paraId="640B53E6" w14:textId="77777777" w:rsidR="0086104F" w:rsidRDefault="0086104F"/>
    <w:p w14:paraId="57D3C87B" w14:textId="77777777" w:rsidR="0086104F" w:rsidRDefault="0086104F"/>
    <w:p w14:paraId="2684E3A8" w14:textId="77777777" w:rsidR="0086104F" w:rsidRDefault="0086104F"/>
    <w:p w14:paraId="23BB6ED2" w14:textId="72BF0DE4" w:rsidR="000B77D8" w:rsidRDefault="000B77D8">
      <w:r>
        <w:lastRenderedPageBreak/>
        <w:t xml:space="preserve">References  </w:t>
      </w:r>
    </w:p>
    <w:p w14:paraId="21C740F5" w14:textId="77777777" w:rsidR="009F7361" w:rsidRPr="00F75045" w:rsidRDefault="009F7361" w:rsidP="009F7361">
      <w:pPr>
        <w:rPr>
          <w:sz w:val="20"/>
          <w:szCs w:val="20"/>
        </w:rPr>
      </w:pPr>
      <w:r w:rsidRPr="00F75045">
        <w:rPr>
          <w:sz w:val="20"/>
          <w:szCs w:val="20"/>
        </w:rPr>
        <w:t>Cleaver, H., Unell, I. and Aldgate, J (2011) </w:t>
      </w:r>
      <w:hyperlink r:id="rId4" w:tgtFrame="_blank" w:tooltip="Children’s needs: parenting capacity: child abuse: parental mental illness, learning disability, substance misuse, and domestic violence (PDF)." w:history="1">
        <w:r w:rsidRPr="00F75045">
          <w:rPr>
            <w:rStyle w:val="Hyperlink"/>
            <w:sz w:val="20"/>
            <w:szCs w:val="20"/>
          </w:rPr>
          <w:t>Children’s needs: parenting capacity: child abuse: parental mental illness, learning disability, substance misuse, and domestic violence (PDF).</w:t>
        </w:r>
      </w:hyperlink>
      <w:r w:rsidRPr="00F75045">
        <w:rPr>
          <w:sz w:val="20"/>
          <w:szCs w:val="20"/>
        </w:rPr>
        <w:t> London: The Stationery Office (TSO).</w:t>
      </w:r>
    </w:p>
    <w:p w14:paraId="6C0EBC2C" w14:textId="055B35CC" w:rsidR="000E3C17" w:rsidRDefault="000E3C17" w:rsidP="009F7361">
      <w:pPr>
        <w:rPr>
          <w:color w:val="333333"/>
          <w:sz w:val="20"/>
          <w:szCs w:val="20"/>
        </w:rPr>
      </w:pPr>
      <w:r w:rsidRPr="00F75045">
        <w:rPr>
          <w:color w:val="333333"/>
          <w:sz w:val="20"/>
          <w:szCs w:val="20"/>
        </w:rPr>
        <w:t>Gray, D., Coon, H., McGlade, E., Callor, W., Byrd, J., Viskochil, J., Bakian, A., Yurgelun-Todd, D., Grey, T. &amp; McMahon, W. (2014). Comparative analysis of suicide, accidental and undetermined cause of death classification. </w:t>
      </w:r>
      <w:r w:rsidRPr="00F75045">
        <w:rPr>
          <w:rStyle w:val="Emphasis"/>
          <w:color w:val="333333"/>
          <w:sz w:val="20"/>
          <w:szCs w:val="20"/>
        </w:rPr>
        <w:t>Suicide and Life-Threatening Behaviors, 44</w:t>
      </w:r>
      <w:r w:rsidRPr="00F75045">
        <w:rPr>
          <w:color w:val="333333"/>
          <w:sz w:val="20"/>
          <w:szCs w:val="20"/>
        </w:rPr>
        <w:t>(3), 304-316.</w:t>
      </w:r>
    </w:p>
    <w:p w14:paraId="135A5565" w14:textId="77777777" w:rsidR="00366AA4" w:rsidRDefault="00366AA4" w:rsidP="00366AA4">
      <w:pPr>
        <w:pStyle w:val="NormalWeb"/>
        <w:ind w:left="567" w:hanging="567"/>
      </w:pPr>
      <w:r>
        <w:t xml:space="preserve">goverment, welsh (2004) </w:t>
      </w:r>
      <w:r>
        <w:rPr>
          <w:i/>
          <w:iCs/>
        </w:rPr>
        <w:t>Social Services and well-being (wales) act 2014 - Welsh Government</w:t>
      </w:r>
      <w:r>
        <w:t xml:space="preserve">. Available at: https://gov.wales/sites/default/files/publications/2019-07/working-together-to-safeguard-people-information-sharing-to-safeguard-children.pdf (Accessed: November 30, 2022). </w:t>
      </w:r>
    </w:p>
    <w:p w14:paraId="3BECF1DF" w14:textId="77777777" w:rsidR="00366AA4" w:rsidRPr="00F75045" w:rsidRDefault="00366AA4" w:rsidP="009F7361">
      <w:pPr>
        <w:rPr>
          <w:color w:val="333333"/>
          <w:sz w:val="20"/>
          <w:szCs w:val="20"/>
        </w:rPr>
      </w:pPr>
    </w:p>
    <w:p w14:paraId="2699B4F4" w14:textId="2D13440B" w:rsidR="00F75045" w:rsidRPr="00F75045" w:rsidRDefault="00F75045" w:rsidP="009F7361">
      <w:pPr>
        <w:rPr>
          <w:sz w:val="20"/>
          <w:szCs w:val="20"/>
        </w:rPr>
      </w:pPr>
      <w:r w:rsidRPr="00F75045">
        <w:rPr>
          <w:color w:val="333333"/>
          <w:sz w:val="20"/>
          <w:szCs w:val="20"/>
          <w:lang w:val="de-DE"/>
        </w:rPr>
        <w:t xml:space="preserve">Herba, C., Ferdinand, R., van der Ende, J., &amp; Verhulst, F. (2007). </w:t>
      </w:r>
      <w:r w:rsidRPr="00F75045">
        <w:rPr>
          <w:color w:val="333333"/>
          <w:sz w:val="20"/>
          <w:szCs w:val="20"/>
        </w:rPr>
        <w:t>Long-term associations of childhood suicide ideation. Journal of the American Academy of Child and Adolescent Psychiatry</w:t>
      </w:r>
      <w:r w:rsidRPr="00F75045">
        <w:rPr>
          <w:rStyle w:val="Emphasis"/>
          <w:color w:val="333333"/>
          <w:sz w:val="20"/>
          <w:szCs w:val="20"/>
        </w:rPr>
        <w:t>, 46</w:t>
      </w:r>
      <w:r w:rsidRPr="00F75045">
        <w:rPr>
          <w:color w:val="333333"/>
          <w:sz w:val="20"/>
          <w:szCs w:val="20"/>
        </w:rPr>
        <w:t>(11), 1473-1481.</w:t>
      </w:r>
    </w:p>
    <w:p w14:paraId="21FDD453" w14:textId="26A62BBA" w:rsidR="009F7361" w:rsidRPr="00F75045" w:rsidRDefault="009F7361" w:rsidP="00AA0B2A">
      <w:pPr>
        <w:pStyle w:val="NormalWeb"/>
        <w:ind w:left="567" w:hanging="567"/>
        <w:rPr>
          <w:sz w:val="20"/>
          <w:szCs w:val="20"/>
        </w:rPr>
      </w:pPr>
      <w:r w:rsidRPr="00F75045">
        <w:rPr>
          <w:i/>
          <w:iCs/>
          <w:sz w:val="20"/>
          <w:szCs w:val="20"/>
        </w:rPr>
        <w:t>Positive relationships for families: How to build them</w:t>
      </w:r>
      <w:r w:rsidRPr="00F75045">
        <w:rPr>
          <w:sz w:val="20"/>
          <w:szCs w:val="20"/>
        </w:rPr>
        <w:t xml:space="preserve"> (2020) </w:t>
      </w:r>
      <w:r w:rsidRPr="00F75045">
        <w:rPr>
          <w:i/>
          <w:iCs/>
          <w:sz w:val="20"/>
          <w:szCs w:val="20"/>
        </w:rPr>
        <w:t>Raising Children Network</w:t>
      </w:r>
      <w:r w:rsidRPr="00F75045">
        <w:rPr>
          <w:sz w:val="20"/>
          <w:szCs w:val="20"/>
        </w:rPr>
        <w:t xml:space="preserve">. Available at: https://raisingchildren.net.au/grown-ups/family-life/routines-rituals-relationships/good-family-relationships#:~:text=Children%20feel%20secure%20and%20loved,and%20appreciation%20of%20each%20other. (Accessed: November 23, 2022). </w:t>
      </w:r>
    </w:p>
    <w:p w14:paraId="54E806DD" w14:textId="77777777" w:rsidR="006549BD" w:rsidRDefault="006549BD" w:rsidP="006549BD">
      <w:pPr>
        <w:pStyle w:val="NormalWeb"/>
        <w:ind w:left="567" w:hanging="567"/>
        <w:rPr>
          <w:sz w:val="20"/>
          <w:szCs w:val="20"/>
        </w:rPr>
      </w:pPr>
      <w:r w:rsidRPr="00F75045">
        <w:rPr>
          <w:i/>
          <w:iCs/>
          <w:sz w:val="20"/>
          <w:szCs w:val="20"/>
        </w:rPr>
        <w:t>Learning from serious case reviews for Education</w:t>
      </w:r>
      <w:r w:rsidRPr="00F75045">
        <w:rPr>
          <w:sz w:val="20"/>
          <w:szCs w:val="20"/>
        </w:rPr>
        <w:t xml:space="preserve"> (2019) </w:t>
      </w:r>
      <w:r w:rsidRPr="00F75045">
        <w:rPr>
          <w:i/>
          <w:iCs/>
          <w:sz w:val="20"/>
          <w:szCs w:val="20"/>
        </w:rPr>
        <w:t>Social Care Institute for Excellence (SCIE)</w:t>
      </w:r>
      <w:r w:rsidRPr="00F75045">
        <w:rPr>
          <w:sz w:val="20"/>
          <w:szCs w:val="20"/>
        </w:rPr>
        <w:t xml:space="preserve">. Available at: https://www.scie.org.uk/safeguarding/children/education/serious-case-reviews (Accessed: November 28, 2022). </w:t>
      </w:r>
    </w:p>
    <w:p w14:paraId="7D5512AE" w14:textId="77777777" w:rsidR="00D32DB4" w:rsidRDefault="00D32DB4" w:rsidP="00D32DB4">
      <w:pPr>
        <w:pStyle w:val="NormalWeb"/>
        <w:ind w:left="567" w:hanging="567"/>
      </w:pPr>
      <w:r>
        <w:t xml:space="preserve">Knightsmith, D.P. (2017) </w:t>
      </w:r>
      <w:r>
        <w:rPr>
          <w:i/>
          <w:iCs/>
        </w:rPr>
        <w:t>Pupil wellbeing: Is your school a safe place?</w:t>
      </w:r>
      <w:r>
        <w:t xml:space="preserve">, </w:t>
      </w:r>
      <w:r>
        <w:rPr>
          <w:i/>
          <w:iCs/>
        </w:rPr>
        <w:t>Home</w:t>
      </w:r>
      <w:r>
        <w:t xml:space="preserve">. Available at: https://www.sec-ed.co.uk/best-practice/pupil-wellbeing-is-your-school-a-safe-place/ (Accessed: November 30, 2022). </w:t>
      </w:r>
    </w:p>
    <w:p w14:paraId="77597BB8" w14:textId="77777777" w:rsidR="00C564B2" w:rsidRDefault="00C564B2" w:rsidP="00C564B2">
      <w:pPr>
        <w:pStyle w:val="NormalWeb"/>
        <w:ind w:left="567" w:hanging="567"/>
      </w:pPr>
      <w:r w:rsidRPr="00C564B2">
        <w:rPr>
          <w:lang w:val="fr-FR"/>
        </w:rPr>
        <w:t xml:space="preserve">Rue du Gouffre, F. (2017) </w:t>
      </w:r>
      <w:r w:rsidRPr="00C564B2">
        <w:rPr>
          <w:i/>
          <w:iCs/>
          <w:lang w:val="fr-FR"/>
        </w:rPr>
        <w:t>The Child Protection Plan</w:t>
      </w:r>
      <w:r w:rsidRPr="00C564B2">
        <w:rPr>
          <w:lang w:val="fr-FR"/>
        </w:rPr>
        <w:t xml:space="preserve">, </w:t>
      </w:r>
      <w:r w:rsidRPr="00C564B2">
        <w:rPr>
          <w:i/>
          <w:iCs/>
          <w:lang w:val="fr-FR"/>
        </w:rPr>
        <w:t>Child Protection Guidelines</w:t>
      </w:r>
      <w:r w:rsidRPr="00C564B2">
        <w:rPr>
          <w:lang w:val="fr-FR"/>
        </w:rPr>
        <w:t xml:space="preserve">. Rue du Gouffre , Forest, Guernsey. </w:t>
      </w:r>
      <w:r>
        <w:t xml:space="preserve">Available at: http://iscp.gg/article/118110/Child-Protection-Plan#:~:text=The%20overall%20aim%20of%20the,best%20interests%20of%20the%20child. (Accessed: November 30, 2022). </w:t>
      </w:r>
    </w:p>
    <w:p w14:paraId="24707FD7" w14:textId="4E2833D6" w:rsidR="00385D91" w:rsidRPr="00C564B2" w:rsidRDefault="00385D91" w:rsidP="00C564B2">
      <w:pPr>
        <w:pStyle w:val="NormalWeb"/>
        <w:ind w:left="567" w:hanging="567"/>
      </w:pPr>
      <w:r w:rsidRPr="00F75045">
        <w:rPr>
          <w:color w:val="333333"/>
          <w:sz w:val="20"/>
          <w:szCs w:val="20"/>
        </w:rPr>
        <w:t>Whalen, D., Luby, J. &amp; Barch, D. (2017). Highlighting risk of suicide from a developmental perspective. </w:t>
      </w:r>
      <w:r w:rsidRPr="00F75045">
        <w:rPr>
          <w:rStyle w:val="Emphasis"/>
          <w:color w:val="333333"/>
          <w:sz w:val="20"/>
          <w:szCs w:val="20"/>
        </w:rPr>
        <w:t>Clinical Psychology Science and Practice</w:t>
      </w:r>
      <w:r w:rsidRPr="00F75045">
        <w:rPr>
          <w:color w:val="333333"/>
          <w:sz w:val="20"/>
          <w:szCs w:val="20"/>
        </w:rPr>
        <w:t>, DOI: 10.1111/cpsp.12229.</w:t>
      </w:r>
    </w:p>
    <w:p w14:paraId="47CCBA40" w14:textId="77777777" w:rsidR="00F64524" w:rsidRPr="00F75045" w:rsidRDefault="00F64524" w:rsidP="00F64524">
      <w:pPr>
        <w:pStyle w:val="NormalWeb"/>
        <w:spacing w:before="500" w:beforeAutospacing="0" w:after="0" w:afterAutospacing="0"/>
        <w:rPr>
          <w:sz w:val="20"/>
          <w:szCs w:val="20"/>
        </w:rPr>
      </w:pPr>
      <w:r w:rsidRPr="00F75045">
        <w:rPr>
          <w:sz w:val="20"/>
          <w:szCs w:val="20"/>
        </w:rPr>
        <w:t>Wyman, P., Gauderi, P., Schemeelk-Cone, K., Cross, W., Hendricks Brown, C., Sworts, L., West, J., Burke, K. &amp; Nathan, J. (2009). Emotional triggers and psychopathology associated with suicidal ideation in young urban children with elevated aggressive-disruptive behavior. </w:t>
      </w:r>
      <w:r w:rsidRPr="00F75045">
        <w:rPr>
          <w:rStyle w:val="Emphasis"/>
          <w:sz w:val="20"/>
          <w:szCs w:val="20"/>
        </w:rPr>
        <w:t>Journal of Abnormal Child Psychology, 37</w:t>
      </w:r>
      <w:r w:rsidRPr="00F75045">
        <w:rPr>
          <w:sz w:val="20"/>
          <w:szCs w:val="20"/>
        </w:rPr>
        <w:t>(7), 917-928.</w:t>
      </w:r>
    </w:p>
    <w:p w14:paraId="09CBDE56" w14:textId="77777777" w:rsidR="00F64524" w:rsidRPr="00F75045" w:rsidRDefault="00F64524" w:rsidP="00385D91">
      <w:pPr>
        <w:pStyle w:val="NormalWeb"/>
        <w:spacing w:before="500" w:beforeAutospacing="0" w:after="500" w:afterAutospacing="0"/>
        <w:rPr>
          <w:color w:val="333333"/>
          <w:sz w:val="20"/>
          <w:szCs w:val="20"/>
        </w:rPr>
      </w:pPr>
    </w:p>
    <w:p w14:paraId="1F781108" w14:textId="77777777" w:rsidR="00385D91" w:rsidRPr="00F75045" w:rsidRDefault="00385D91" w:rsidP="006549BD">
      <w:pPr>
        <w:pStyle w:val="NormalWeb"/>
        <w:ind w:left="567" w:hanging="567"/>
        <w:rPr>
          <w:sz w:val="20"/>
          <w:szCs w:val="20"/>
        </w:rPr>
      </w:pPr>
    </w:p>
    <w:p w14:paraId="69CF019D" w14:textId="77777777" w:rsidR="006549BD" w:rsidRPr="00F75045" w:rsidRDefault="006549BD">
      <w:pPr>
        <w:rPr>
          <w:sz w:val="20"/>
          <w:szCs w:val="20"/>
        </w:rPr>
      </w:pPr>
    </w:p>
    <w:sectPr w:rsidR="006549BD" w:rsidRPr="00F7504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6297"/>
    <w:rsid w:val="000B77D8"/>
    <w:rsid w:val="000D346C"/>
    <w:rsid w:val="000E3C17"/>
    <w:rsid w:val="000F7A22"/>
    <w:rsid w:val="001058E9"/>
    <w:rsid w:val="0015335A"/>
    <w:rsid w:val="001D35F4"/>
    <w:rsid w:val="001D3888"/>
    <w:rsid w:val="00204C63"/>
    <w:rsid w:val="00215525"/>
    <w:rsid w:val="0024553C"/>
    <w:rsid w:val="002E6B01"/>
    <w:rsid w:val="00322ED3"/>
    <w:rsid w:val="00366AA4"/>
    <w:rsid w:val="00385D91"/>
    <w:rsid w:val="003A31C4"/>
    <w:rsid w:val="00417DDE"/>
    <w:rsid w:val="00436297"/>
    <w:rsid w:val="00453C8D"/>
    <w:rsid w:val="005239E2"/>
    <w:rsid w:val="00575FA4"/>
    <w:rsid w:val="00580E19"/>
    <w:rsid w:val="006549BD"/>
    <w:rsid w:val="0071790E"/>
    <w:rsid w:val="00766D46"/>
    <w:rsid w:val="0082741D"/>
    <w:rsid w:val="0086104F"/>
    <w:rsid w:val="008F2F2E"/>
    <w:rsid w:val="00931E5F"/>
    <w:rsid w:val="009E4B3A"/>
    <w:rsid w:val="009F7361"/>
    <w:rsid w:val="00A619BE"/>
    <w:rsid w:val="00AA0B2A"/>
    <w:rsid w:val="00AD4AE5"/>
    <w:rsid w:val="00AE3DC4"/>
    <w:rsid w:val="00B407B9"/>
    <w:rsid w:val="00BC239F"/>
    <w:rsid w:val="00C564B2"/>
    <w:rsid w:val="00C5780F"/>
    <w:rsid w:val="00C90BD2"/>
    <w:rsid w:val="00CB59BA"/>
    <w:rsid w:val="00CE29FD"/>
    <w:rsid w:val="00CF256D"/>
    <w:rsid w:val="00D32DB4"/>
    <w:rsid w:val="00D34D62"/>
    <w:rsid w:val="00D44470"/>
    <w:rsid w:val="00D47C2F"/>
    <w:rsid w:val="00D61C28"/>
    <w:rsid w:val="00DD48BE"/>
    <w:rsid w:val="00DE3971"/>
    <w:rsid w:val="00E70EEF"/>
    <w:rsid w:val="00E801D4"/>
    <w:rsid w:val="00F37599"/>
    <w:rsid w:val="00F520F2"/>
    <w:rsid w:val="00F64524"/>
    <w:rsid w:val="00F75045"/>
    <w:rsid w:val="00FB66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EE8381"/>
  <w15:chartTrackingRefBased/>
  <w15:docId w15:val="{B253533A-4848-43B9-BDC1-EDF3E3A68E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6549B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9F7361"/>
    <w:rPr>
      <w:color w:val="0563C1" w:themeColor="hyperlink"/>
      <w:u w:val="single"/>
    </w:rPr>
  </w:style>
  <w:style w:type="character" w:styleId="Emphasis">
    <w:name w:val="Emphasis"/>
    <w:basedOn w:val="DefaultParagraphFont"/>
    <w:uiPriority w:val="20"/>
    <w:qFormat/>
    <w:rsid w:val="000E3C17"/>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6840418">
      <w:bodyDiv w:val="1"/>
      <w:marLeft w:val="0"/>
      <w:marRight w:val="0"/>
      <w:marTop w:val="0"/>
      <w:marBottom w:val="0"/>
      <w:divBdr>
        <w:top w:val="none" w:sz="0" w:space="0" w:color="auto"/>
        <w:left w:val="none" w:sz="0" w:space="0" w:color="auto"/>
        <w:bottom w:val="none" w:sz="0" w:space="0" w:color="auto"/>
        <w:right w:val="none" w:sz="0" w:space="0" w:color="auto"/>
      </w:divBdr>
      <w:divsChild>
        <w:div w:id="692269807">
          <w:marLeft w:val="0"/>
          <w:marRight w:val="0"/>
          <w:marTop w:val="0"/>
          <w:marBottom w:val="0"/>
          <w:divBdr>
            <w:top w:val="none" w:sz="0" w:space="0" w:color="auto"/>
            <w:left w:val="none" w:sz="0" w:space="0" w:color="auto"/>
            <w:bottom w:val="none" w:sz="0" w:space="0" w:color="auto"/>
            <w:right w:val="none" w:sz="0" w:space="0" w:color="auto"/>
          </w:divBdr>
          <w:divsChild>
            <w:div w:id="12609426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5503198">
      <w:bodyDiv w:val="1"/>
      <w:marLeft w:val="0"/>
      <w:marRight w:val="0"/>
      <w:marTop w:val="0"/>
      <w:marBottom w:val="0"/>
      <w:divBdr>
        <w:top w:val="none" w:sz="0" w:space="0" w:color="auto"/>
        <w:left w:val="none" w:sz="0" w:space="0" w:color="auto"/>
        <w:bottom w:val="none" w:sz="0" w:space="0" w:color="auto"/>
        <w:right w:val="none" w:sz="0" w:space="0" w:color="auto"/>
      </w:divBdr>
    </w:div>
    <w:div w:id="318848630">
      <w:bodyDiv w:val="1"/>
      <w:marLeft w:val="0"/>
      <w:marRight w:val="0"/>
      <w:marTop w:val="0"/>
      <w:marBottom w:val="0"/>
      <w:divBdr>
        <w:top w:val="none" w:sz="0" w:space="0" w:color="auto"/>
        <w:left w:val="none" w:sz="0" w:space="0" w:color="auto"/>
        <w:bottom w:val="none" w:sz="0" w:space="0" w:color="auto"/>
        <w:right w:val="none" w:sz="0" w:space="0" w:color="auto"/>
      </w:divBdr>
    </w:div>
    <w:div w:id="760417884">
      <w:bodyDiv w:val="1"/>
      <w:marLeft w:val="0"/>
      <w:marRight w:val="0"/>
      <w:marTop w:val="0"/>
      <w:marBottom w:val="0"/>
      <w:divBdr>
        <w:top w:val="none" w:sz="0" w:space="0" w:color="auto"/>
        <w:left w:val="none" w:sz="0" w:space="0" w:color="auto"/>
        <w:bottom w:val="none" w:sz="0" w:space="0" w:color="auto"/>
        <w:right w:val="none" w:sz="0" w:space="0" w:color="auto"/>
      </w:divBdr>
    </w:div>
    <w:div w:id="1523401537">
      <w:bodyDiv w:val="1"/>
      <w:marLeft w:val="0"/>
      <w:marRight w:val="0"/>
      <w:marTop w:val="0"/>
      <w:marBottom w:val="0"/>
      <w:divBdr>
        <w:top w:val="none" w:sz="0" w:space="0" w:color="auto"/>
        <w:left w:val="none" w:sz="0" w:space="0" w:color="auto"/>
        <w:bottom w:val="none" w:sz="0" w:space="0" w:color="auto"/>
        <w:right w:val="none" w:sz="0" w:space="0" w:color="auto"/>
      </w:divBdr>
    </w:div>
    <w:div w:id="20749632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assets.publishing.service.gov.uk/government/uploads/system/uploads/attachment_data/file/182095/DFE-00108-2011-Childrens_Needs_Parenting_Capacity.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1377</Words>
  <Characters>7849</Characters>
  <Application>Microsoft Office Word</Application>
  <DocSecurity>0</DocSecurity>
  <Lines>65</Lines>
  <Paragraphs>18</Paragraphs>
  <ScaleCrop>false</ScaleCrop>
  <Company/>
  <LinksUpToDate>false</LinksUpToDate>
  <CharactersWithSpaces>9208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Sacha Pugsley</dc:creator>
  <cp:keywords/>
  <dc:description/>
  <cp:lastModifiedBy>Sacha Pugsley</cp:lastModifiedBy>
  <cp:revision>56</cp:revision>
  <dcterms:created xsi:type="dcterms:W3CDTF">2022-11-28T13:58:00Z</dcterms:created>
  <dcterms:modified xsi:type="dcterms:W3CDTF">2022-11-30T19:26:00Z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96b94a92-7141-493f-8c9b-eac98af78c3e</vt:lpwstr>
  </property>
</Properties>
</file>