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522AC" w:rsidRDefault="00575305">
      <w:pPr>
        <w:spacing w:line="259" w:lineRule="auto"/>
        <w:jc w:val="center"/>
        <w:rPr>
          <w:b/>
          <w:bCs/>
          <w:sz w:val="28"/>
          <w:szCs w:val="28"/>
        </w:rPr>
      </w:pPr>
      <w:bookmarkStart w:id="0" w:name="_Toc126254815"/>
      <w:bookmarkStart w:id="1" w:name="_GoBack"/>
      <w:bookmarkEnd w:id="1"/>
      <w:r>
        <w:rPr>
          <w:b/>
          <w:bCs/>
          <w:sz w:val="28"/>
          <w:szCs w:val="28"/>
          <w:lang w:val="en-US"/>
        </w:rPr>
        <w:t xml:space="preserve">BMSW4005 </w:t>
      </w:r>
      <w:r>
        <w:rPr>
          <w:b/>
          <w:bCs/>
          <w:sz w:val="28"/>
          <w:szCs w:val="28"/>
        </w:rPr>
        <w:t>Professional and Career development</w:t>
      </w:r>
    </w:p>
    <w:p w:rsidR="003522AC" w:rsidRDefault="00575305">
      <w:pPr>
        <w:spacing w:line="259" w:lineRule="auto"/>
        <w:jc w:val="center"/>
        <w:rPr>
          <w:b/>
          <w:bCs/>
          <w:sz w:val="28"/>
          <w:szCs w:val="28"/>
        </w:rPr>
      </w:pPr>
      <w:r>
        <w:rPr>
          <w:b/>
          <w:bCs/>
          <w:sz w:val="28"/>
          <w:szCs w:val="28"/>
          <w:lang w:val="en-US"/>
        </w:rPr>
        <w:t>Task 1 Open book assessment</w:t>
      </w:r>
    </w:p>
    <w:p w:rsidR="003522AC" w:rsidRDefault="003522AC">
      <w:pPr>
        <w:spacing w:line="259" w:lineRule="auto"/>
        <w:jc w:val="center"/>
        <w:rPr>
          <w:b/>
          <w:bCs/>
          <w:sz w:val="28"/>
          <w:szCs w:val="28"/>
        </w:rPr>
      </w:pPr>
    </w:p>
    <w:p w:rsidR="003522AC" w:rsidRDefault="003522AC">
      <w:pPr>
        <w:spacing w:line="259" w:lineRule="auto"/>
        <w:jc w:val="center"/>
        <w:rPr>
          <w:sz w:val="28"/>
          <w:szCs w:val="28"/>
        </w:rPr>
      </w:pPr>
    </w:p>
    <w:p w:rsidR="003522AC" w:rsidRDefault="003522AC">
      <w:pPr>
        <w:spacing w:line="259" w:lineRule="auto"/>
        <w:jc w:val="center"/>
        <w:rPr>
          <w:sz w:val="28"/>
          <w:szCs w:val="28"/>
        </w:rPr>
      </w:pPr>
    </w:p>
    <w:p w:rsidR="003522AC" w:rsidRDefault="00575305">
      <w:pPr>
        <w:spacing w:line="259" w:lineRule="auto"/>
        <w:jc w:val="center"/>
      </w:pPr>
      <w:r>
        <w:br w:type="page"/>
      </w:r>
    </w:p>
    <w:p w:rsidR="003522AC" w:rsidRDefault="00575305">
      <w:pPr>
        <w:pStyle w:val="TOCHeading"/>
      </w:pPr>
      <w:r>
        <w:lastRenderedPageBreak/>
        <w:t>Table of Contents</w:t>
      </w:r>
    </w:p>
    <w:p w:rsidR="003522AC" w:rsidRDefault="00575305">
      <w:pPr>
        <w:pStyle w:val="TOC1"/>
        <w:tabs>
          <w:tab w:val="right" w:leader="dot" w:pos="9350"/>
        </w:tabs>
        <w:rPr>
          <w:rFonts w:ascii="Calibri" w:eastAsia="SimSun" w:hAnsi="Calibri"/>
          <w:noProof/>
          <w:lang w:eastAsia="en-GB"/>
        </w:rPr>
      </w:pPr>
      <w:r>
        <w:fldChar w:fldCharType="begin"/>
      </w:r>
      <w:r>
        <w:instrText xml:space="preserve"> TOC \o "1-3" \h \z \u </w:instrText>
      </w:r>
      <w:r>
        <w:fldChar w:fldCharType="separate"/>
      </w:r>
      <w:hyperlink w:anchor="_Toc126345096" w:history="1">
        <w:r>
          <w:rPr>
            <w:rStyle w:val="Hyperlink"/>
            <w:noProof/>
          </w:rPr>
          <w:t>Task 1 – Open Book Assessment</w:t>
        </w:r>
        <w:r>
          <w:rPr>
            <w:noProof/>
            <w:webHidden/>
          </w:rPr>
          <w:tab/>
        </w:r>
        <w:r>
          <w:rPr>
            <w:noProof/>
            <w:webHidden/>
          </w:rPr>
          <w:fldChar w:fldCharType="begin"/>
        </w:r>
        <w:r>
          <w:rPr>
            <w:noProof/>
            <w:webHidden/>
          </w:rPr>
          <w:instrText xml:space="preserve"> PAGEREF _Toc126345096 \h </w:instrText>
        </w:r>
        <w:r>
          <w:rPr>
            <w:noProof/>
            <w:webHidden/>
          </w:rPr>
        </w:r>
        <w:r>
          <w:rPr>
            <w:noProof/>
            <w:webHidden/>
          </w:rPr>
          <w:fldChar w:fldCharType="separate"/>
        </w:r>
        <w:r>
          <w:rPr>
            <w:noProof/>
            <w:webHidden/>
          </w:rPr>
          <w:t>3</w:t>
        </w:r>
        <w:r>
          <w:rPr>
            <w:noProof/>
            <w:webHidden/>
          </w:rPr>
          <w:fldChar w:fldCharType="end"/>
        </w:r>
      </w:hyperlink>
    </w:p>
    <w:p w:rsidR="003522AC" w:rsidRDefault="00575305">
      <w:pPr>
        <w:pStyle w:val="TOC2"/>
        <w:tabs>
          <w:tab w:val="right" w:leader="dot" w:pos="9350"/>
        </w:tabs>
        <w:rPr>
          <w:rFonts w:ascii="Calibri" w:eastAsia="SimSun" w:hAnsi="Calibri"/>
          <w:noProof/>
          <w:lang w:eastAsia="en-GB"/>
        </w:rPr>
      </w:pPr>
      <w:hyperlink w:anchor="_Toc126345097" w:history="1">
        <w:r>
          <w:rPr>
            <w:rStyle w:val="Hyperlink"/>
            <w:noProof/>
          </w:rPr>
          <w:t>Reflection on the Role Play</w:t>
        </w:r>
        <w:r>
          <w:rPr>
            <w:noProof/>
            <w:webHidden/>
          </w:rPr>
          <w:tab/>
        </w:r>
        <w:r>
          <w:rPr>
            <w:noProof/>
            <w:webHidden/>
          </w:rPr>
          <w:fldChar w:fldCharType="begin"/>
        </w:r>
        <w:r>
          <w:rPr>
            <w:noProof/>
            <w:webHidden/>
          </w:rPr>
          <w:instrText xml:space="preserve"> PAGEREF _Toc126345097 \h </w:instrText>
        </w:r>
        <w:r>
          <w:rPr>
            <w:noProof/>
            <w:webHidden/>
          </w:rPr>
        </w:r>
        <w:r>
          <w:rPr>
            <w:noProof/>
            <w:webHidden/>
          </w:rPr>
          <w:fldChar w:fldCharType="separate"/>
        </w:r>
        <w:r>
          <w:rPr>
            <w:noProof/>
            <w:webHidden/>
          </w:rPr>
          <w:t>3</w:t>
        </w:r>
        <w:r>
          <w:rPr>
            <w:noProof/>
            <w:webHidden/>
          </w:rPr>
          <w:fldChar w:fldCharType="end"/>
        </w:r>
      </w:hyperlink>
    </w:p>
    <w:p w:rsidR="003522AC" w:rsidRDefault="00575305">
      <w:pPr>
        <w:pStyle w:val="TOC1"/>
        <w:tabs>
          <w:tab w:val="right" w:leader="dot" w:pos="9350"/>
        </w:tabs>
        <w:rPr>
          <w:rFonts w:ascii="Calibri" w:eastAsia="SimSun" w:hAnsi="Calibri"/>
          <w:noProof/>
          <w:lang w:eastAsia="en-GB"/>
        </w:rPr>
      </w:pPr>
      <w:hyperlink w:anchor="_Toc126345098" w:history="1">
        <w:r>
          <w:rPr>
            <w:rStyle w:val="Hyperlink"/>
            <w:noProof/>
          </w:rPr>
          <w:t>Re</w:t>
        </w:r>
        <w:r>
          <w:rPr>
            <w:rStyle w:val="Hyperlink"/>
            <w:noProof/>
          </w:rPr>
          <w:t>ferences</w:t>
        </w:r>
        <w:r>
          <w:rPr>
            <w:noProof/>
            <w:webHidden/>
          </w:rPr>
          <w:tab/>
        </w:r>
        <w:r>
          <w:rPr>
            <w:noProof/>
            <w:webHidden/>
          </w:rPr>
          <w:fldChar w:fldCharType="begin"/>
        </w:r>
        <w:r>
          <w:rPr>
            <w:noProof/>
            <w:webHidden/>
          </w:rPr>
          <w:instrText xml:space="preserve"> PAGEREF _Toc126345098 \h </w:instrText>
        </w:r>
        <w:r>
          <w:rPr>
            <w:noProof/>
            <w:webHidden/>
          </w:rPr>
        </w:r>
        <w:r>
          <w:rPr>
            <w:noProof/>
            <w:webHidden/>
          </w:rPr>
          <w:fldChar w:fldCharType="separate"/>
        </w:r>
        <w:r>
          <w:rPr>
            <w:noProof/>
            <w:webHidden/>
          </w:rPr>
          <w:t>5</w:t>
        </w:r>
        <w:r>
          <w:rPr>
            <w:noProof/>
            <w:webHidden/>
          </w:rPr>
          <w:fldChar w:fldCharType="end"/>
        </w:r>
      </w:hyperlink>
    </w:p>
    <w:p w:rsidR="003522AC" w:rsidRDefault="00575305">
      <w:r>
        <w:rPr>
          <w:b/>
          <w:bCs/>
          <w:noProof/>
        </w:rPr>
        <w:fldChar w:fldCharType="end"/>
      </w:r>
    </w:p>
    <w:p w:rsidR="003522AC" w:rsidRDefault="00575305">
      <w:pPr>
        <w:spacing w:line="259" w:lineRule="auto"/>
        <w:jc w:val="left"/>
        <w:rPr>
          <w:rFonts w:eastAsia="SimSun" w:cs="Times New Roman"/>
          <w:b/>
          <w:color w:val="2F5496"/>
          <w:sz w:val="30"/>
          <w:szCs w:val="32"/>
        </w:rPr>
      </w:pPr>
      <w:r>
        <w:br w:type="page"/>
      </w:r>
    </w:p>
    <w:p w:rsidR="003522AC" w:rsidRDefault="00575305">
      <w:pPr>
        <w:pStyle w:val="Heading1"/>
      </w:pPr>
      <w:bookmarkStart w:id="2" w:name="_Toc126345096"/>
      <w:r>
        <w:lastRenderedPageBreak/>
        <w:t>Task 1 – Open Book Assessment</w:t>
      </w:r>
      <w:bookmarkEnd w:id="0"/>
      <w:bookmarkEnd w:id="2"/>
    </w:p>
    <w:p w:rsidR="003522AC" w:rsidRDefault="00575305">
      <w:pPr>
        <w:pStyle w:val="Heading2"/>
      </w:pPr>
      <w:bookmarkStart w:id="3" w:name="_Toc126254816"/>
      <w:bookmarkStart w:id="4" w:name="_Toc126345097"/>
      <w:r>
        <w:t>Reflection on the Role Play</w:t>
      </w:r>
      <w:bookmarkEnd w:id="3"/>
      <w:bookmarkEnd w:id="4"/>
    </w:p>
    <w:p w:rsidR="003522AC" w:rsidRDefault="00575305">
      <w:r>
        <w:t>Expressive therapies like art therapy may help improve a person's emotional, mental,</w:t>
      </w:r>
      <w:r>
        <w:t xml:space="preserve"> and even physical well-being by channelling their pent-up emotions and energy into something constructive, like a work of art (</w:t>
      </w:r>
      <w:r>
        <w:rPr>
          <w:shd w:val="clear" w:color="auto" w:fill="FFFFFF"/>
        </w:rPr>
        <w:t>Rønning and Bjørkly, 2019)</w:t>
      </w:r>
      <w:r>
        <w:t>. Creative arts therapy is another name for this form of treatment. Creative expression aids problem-s</w:t>
      </w:r>
      <w:r>
        <w:t>olving, character development and emotional regulation, stress management, self-awareness, and other positive outcomes by encouraging out-of-the-box thinking. Since starting this course, I have been exposed to a wide range of information. Each class was in</w:t>
      </w:r>
      <w:r>
        <w:t>formative and helpful, but there were a few key takeaways that stayed with me.</w:t>
      </w:r>
    </w:p>
    <w:p w:rsidR="003522AC" w:rsidRDefault="00575305">
      <w:r>
        <w:t>This course has introduced me to the history of art therapy, a subject I find highly interesting and informative since it sheds light on the origins of the field (</w:t>
      </w:r>
      <w:r>
        <w:rPr>
          <w:shd w:val="clear" w:color="auto" w:fill="FFFFFF"/>
        </w:rPr>
        <w:t>Stevens, 2015)</w:t>
      </w:r>
      <w:r>
        <w:t>. My mother is the subject of my research paper because she never fails to make me feel at home. The other presentations on the first day gave me the motivation I needed to get started on my first piece of art, which I had been struggling to begin. The ent</w:t>
      </w:r>
      <w:r>
        <w:t>ire experience was novel for me since I had not given much attention to my relationship until I had to make a choice about it. Finding a select few things that we like doing was also a challenge.</w:t>
      </w:r>
    </w:p>
    <w:p w:rsidR="003522AC" w:rsidRDefault="00575305">
      <w:r>
        <w:t xml:space="preserve">The Art Therapist will deal with patients aged 12-18 across </w:t>
      </w:r>
      <w:r>
        <w:t>several settings, including the General Acute Unit, a 14-bed Psychiatric Intensive Care Unit, and a Day Service, as part of an innovative Inpatient CAMHS Service (</w:t>
      </w:r>
      <w:r>
        <w:rPr>
          <w:shd w:val="clear" w:color="auto" w:fill="FFFFFF"/>
        </w:rPr>
        <w:t>Brown et al., 2020)</w:t>
      </w:r>
      <w:r>
        <w:t>. The ideal candidate would collaborate with other members of the MDT to a</w:t>
      </w:r>
      <w:r>
        <w:t>ssess and treat children, adolescents, and their families via the use of individualised and/or small-group Art therapies. Evaluations of adolescents, children, and their families/caregivers who have been referred due to moderate to severe mental health dis</w:t>
      </w:r>
      <w:r>
        <w:t>orders, including risk assessment. One of my many responsibilities as an Art Therapist is to consult with and, when required, train other professionals who work with adolescents, children, and their carers who have been referred for therapy for moderate to</w:t>
      </w:r>
      <w:r>
        <w:t xml:space="preserve"> serious mental health difficulties (</w:t>
      </w:r>
      <w:r>
        <w:rPr>
          <w:shd w:val="clear" w:color="auto" w:fill="FFFFFF"/>
        </w:rPr>
        <w:t>Ungar and Theron, 2020)</w:t>
      </w:r>
      <w:r>
        <w:t>. As a consequence of these assessments and reports, it is possible to constructively inform clients as well as other professionals of truths that they may find unsettling.</w:t>
      </w:r>
    </w:p>
    <w:p w:rsidR="003522AC" w:rsidRDefault="00575305">
      <w:r>
        <w:t>One will also be expect</w:t>
      </w:r>
      <w:r>
        <w:t>ed to act as a go-to expert on children's and young people's mental health issues for the coworkers at the Coborn Centre and elsewhere, as well as for other professionals and organisations involved in this sector. The next stage is to interact and work wit</w:t>
      </w:r>
      <w:r>
        <w:t xml:space="preserve">h other members of the Multidisciplinary Team (MDT), as well as consult with other professionals to assist formulate treatment programmes for children and adolescents admitted to the Coborn Centre </w:t>
      </w:r>
      <w:r>
        <w:lastRenderedPageBreak/>
        <w:t>(</w:t>
      </w:r>
      <w:r>
        <w:rPr>
          <w:shd w:val="clear" w:color="auto" w:fill="FFFFFF"/>
        </w:rPr>
        <w:t>Cole et al., 2014)</w:t>
      </w:r>
      <w:r>
        <w:t>. Care for two patients as a care manage</w:t>
      </w:r>
      <w:r>
        <w:t xml:space="preserve">r, making decisions about their treatment in accordance with CPA guidelines and business policy. Personalized care and psychoeducational programmes for youth and their families, taking into account their unique family dynamics and the vast support systems </w:t>
      </w:r>
      <w:r>
        <w:t>in which they are enmeshed.</w:t>
      </w:r>
    </w:p>
    <w:p w:rsidR="003522AC" w:rsidRDefault="00575305">
      <w:pPr>
        <w:spacing w:line="259" w:lineRule="auto"/>
        <w:jc w:val="left"/>
        <w:rPr>
          <w:rFonts w:eastAsia="SimSun" w:cs="Times New Roman"/>
          <w:b/>
          <w:color w:val="2F5496"/>
          <w:sz w:val="30"/>
          <w:szCs w:val="32"/>
        </w:rPr>
      </w:pPr>
      <w:r>
        <w:br w:type="page"/>
      </w:r>
    </w:p>
    <w:p w:rsidR="003522AC" w:rsidRDefault="00575305">
      <w:pPr>
        <w:pStyle w:val="Heading1"/>
      </w:pPr>
      <w:bookmarkStart w:id="5" w:name="_Toc126345098"/>
      <w:r>
        <w:lastRenderedPageBreak/>
        <w:t>References</w:t>
      </w:r>
      <w:bookmarkEnd w:id="5"/>
    </w:p>
    <w:p w:rsidR="003522AC" w:rsidRDefault="00575305">
      <w:pPr>
        <w:ind w:left="720" w:hanging="720"/>
        <w:rPr>
          <w:shd w:val="clear" w:color="auto" w:fill="FFFFFF"/>
        </w:rPr>
      </w:pPr>
      <w:r>
        <w:rPr>
          <w:shd w:val="clear" w:color="auto" w:fill="FFFFFF"/>
        </w:rPr>
        <w:t>Brown, E.J., Cohen, J.A. and Mannarino, A.P., 2020. Trauma-focused cognitive-behavioral therapy: The role of caregivers. </w:t>
      </w:r>
      <w:r>
        <w:rPr>
          <w:i/>
          <w:iCs/>
          <w:shd w:val="clear" w:color="auto" w:fill="FFFFFF"/>
        </w:rPr>
        <w:t>Journal of Affective Disorders</w:t>
      </w:r>
      <w:r>
        <w:rPr>
          <w:shd w:val="clear" w:color="auto" w:fill="FFFFFF"/>
        </w:rPr>
        <w:t>, </w:t>
      </w:r>
      <w:r>
        <w:rPr>
          <w:i/>
          <w:iCs/>
          <w:shd w:val="clear" w:color="auto" w:fill="FFFFFF"/>
        </w:rPr>
        <w:t>277</w:t>
      </w:r>
      <w:r>
        <w:rPr>
          <w:shd w:val="clear" w:color="auto" w:fill="FFFFFF"/>
        </w:rPr>
        <w:t>, pp.39-45.</w:t>
      </w:r>
    </w:p>
    <w:p w:rsidR="003522AC" w:rsidRDefault="00575305">
      <w:pPr>
        <w:ind w:left="720" w:hanging="720"/>
        <w:rPr>
          <w:shd w:val="clear" w:color="auto" w:fill="FFFFFF"/>
        </w:rPr>
      </w:pPr>
      <w:r>
        <w:rPr>
          <w:shd w:val="clear" w:color="auto" w:fill="FFFFFF"/>
        </w:rPr>
        <w:t>Cole, M.W., Repovš, G. and Anticevic, A., 2014.</w:t>
      </w:r>
      <w:r>
        <w:rPr>
          <w:shd w:val="clear" w:color="auto" w:fill="FFFFFF"/>
        </w:rPr>
        <w:t xml:space="preserve"> The frontoparietal control system: a central role in mental health. </w:t>
      </w:r>
      <w:r>
        <w:rPr>
          <w:i/>
          <w:iCs/>
          <w:shd w:val="clear" w:color="auto" w:fill="FFFFFF"/>
        </w:rPr>
        <w:t>The Neuroscientist</w:t>
      </w:r>
      <w:r>
        <w:rPr>
          <w:shd w:val="clear" w:color="auto" w:fill="FFFFFF"/>
        </w:rPr>
        <w:t>, </w:t>
      </w:r>
      <w:r>
        <w:rPr>
          <w:i/>
          <w:iCs/>
          <w:shd w:val="clear" w:color="auto" w:fill="FFFFFF"/>
        </w:rPr>
        <w:t>20</w:t>
      </w:r>
      <w:r>
        <w:rPr>
          <w:shd w:val="clear" w:color="auto" w:fill="FFFFFF"/>
        </w:rPr>
        <w:t>(6), pp.652-664.</w:t>
      </w:r>
    </w:p>
    <w:p w:rsidR="003522AC" w:rsidRDefault="00575305">
      <w:pPr>
        <w:ind w:left="720" w:hanging="720"/>
        <w:rPr>
          <w:shd w:val="clear" w:color="auto" w:fill="FFFFFF"/>
        </w:rPr>
      </w:pPr>
      <w:r>
        <w:rPr>
          <w:shd w:val="clear" w:color="auto" w:fill="FFFFFF"/>
        </w:rPr>
        <w:t>Rønning, S.B. and Bjørkly, S., 2019. The use of clinical role-play and reflection in learning therapeutic communication skills in mental health educ</w:t>
      </w:r>
      <w:r>
        <w:rPr>
          <w:shd w:val="clear" w:color="auto" w:fill="FFFFFF"/>
        </w:rPr>
        <w:t>ation: an integrative review. </w:t>
      </w:r>
      <w:r>
        <w:rPr>
          <w:i/>
          <w:iCs/>
          <w:shd w:val="clear" w:color="auto" w:fill="FFFFFF"/>
        </w:rPr>
        <w:t>Advances in medical education and practice</w:t>
      </w:r>
      <w:r>
        <w:rPr>
          <w:shd w:val="clear" w:color="auto" w:fill="FFFFFF"/>
        </w:rPr>
        <w:t>, pp.415-425.</w:t>
      </w:r>
    </w:p>
    <w:p w:rsidR="003522AC" w:rsidRDefault="00575305">
      <w:pPr>
        <w:ind w:left="720" w:hanging="720"/>
        <w:rPr>
          <w:shd w:val="clear" w:color="auto" w:fill="FFFFFF"/>
        </w:rPr>
      </w:pPr>
      <w:r>
        <w:rPr>
          <w:shd w:val="clear" w:color="auto" w:fill="FFFFFF"/>
        </w:rPr>
        <w:t>Stevens, R., 2015. Role-play and student engagement: reflections from the classroom. </w:t>
      </w:r>
      <w:r>
        <w:rPr>
          <w:i/>
          <w:iCs/>
          <w:shd w:val="clear" w:color="auto" w:fill="FFFFFF"/>
        </w:rPr>
        <w:t>Teaching in Higher Education</w:t>
      </w:r>
      <w:r>
        <w:rPr>
          <w:shd w:val="clear" w:color="auto" w:fill="FFFFFF"/>
        </w:rPr>
        <w:t>, </w:t>
      </w:r>
      <w:r>
        <w:rPr>
          <w:i/>
          <w:iCs/>
          <w:shd w:val="clear" w:color="auto" w:fill="FFFFFF"/>
        </w:rPr>
        <w:t>20</w:t>
      </w:r>
      <w:r>
        <w:rPr>
          <w:shd w:val="clear" w:color="auto" w:fill="FFFFFF"/>
        </w:rPr>
        <w:t>(5), pp.481-492.</w:t>
      </w:r>
    </w:p>
    <w:p w:rsidR="003522AC" w:rsidRDefault="00575305">
      <w:pPr>
        <w:ind w:left="720" w:hanging="720"/>
        <w:rPr>
          <w:shd w:val="clear" w:color="auto" w:fill="FFFFFF"/>
        </w:rPr>
      </w:pPr>
      <w:r>
        <w:rPr>
          <w:shd w:val="clear" w:color="auto" w:fill="FFFFFF"/>
        </w:rPr>
        <w:t xml:space="preserve">Ungar, M. and Theron, L., 2020. </w:t>
      </w:r>
      <w:r>
        <w:rPr>
          <w:shd w:val="clear" w:color="auto" w:fill="FFFFFF"/>
        </w:rPr>
        <w:t>Resilience and mental health: How multisystemic processes contribute to positive outcomes. </w:t>
      </w:r>
      <w:r>
        <w:rPr>
          <w:i/>
          <w:iCs/>
          <w:shd w:val="clear" w:color="auto" w:fill="FFFFFF"/>
        </w:rPr>
        <w:t>The Lancet Psychiatry</w:t>
      </w:r>
      <w:r>
        <w:rPr>
          <w:shd w:val="clear" w:color="auto" w:fill="FFFFFF"/>
        </w:rPr>
        <w:t>, </w:t>
      </w:r>
      <w:r>
        <w:rPr>
          <w:i/>
          <w:iCs/>
          <w:shd w:val="clear" w:color="auto" w:fill="FFFFFF"/>
        </w:rPr>
        <w:t>7</w:t>
      </w:r>
      <w:r>
        <w:rPr>
          <w:shd w:val="clear" w:color="auto" w:fill="FFFFFF"/>
        </w:rPr>
        <w:t>(5), pp.441-448.</w:t>
      </w:r>
    </w:p>
    <w:p w:rsidR="003522AC" w:rsidRDefault="003522AC"/>
    <w:sectPr w:rsidR="003522AC">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75305" w:rsidRDefault="00575305">
      <w:pPr>
        <w:spacing w:after="0" w:line="240" w:lineRule="auto"/>
      </w:pPr>
      <w:r>
        <w:separator/>
      </w:r>
    </w:p>
  </w:endnote>
  <w:endnote w:type="continuationSeparator" w:id="0">
    <w:p w:rsidR="00575305" w:rsidRDefault="005753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522AC" w:rsidRDefault="00575305">
    <w:pPr>
      <w:pStyle w:val="Footer"/>
      <w:jc w:val="center"/>
    </w:pPr>
    <w:r>
      <w:fldChar w:fldCharType="begin"/>
    </w:r>
    <w:r>
      <w:instrText xml:space="preserve"> PAGE   \* MERGEFORMAT </w:instrText>
    </w:r>
    <w:r>
      <w:fldChar w:fldCharType="separate"/>
    </w:r>
    <w:r w:rsidR="004E4050">
      <w:rPr>
        <w:noProof/>
      </w:rPr>
      <w:t>2</w:t>
    </w:r>
    <w:r>
      <w:rPr>
        <w:noProof/>
      </w:rPr>
      <w:fldChar w:fldCharType="end"/>
    </w:r>
  </w:p>
  <w:p w:rsidR="003522AC" w:rsidRDefault="003522A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75305" w:rsidRDefault="00575305">
      <w:pPr>
        <w:spacing w:after="0" w:line="240" w:lineRule="auto"/>
      </w:pPr>
      <w:r>
        <w:separator/>
      </w:r>
    </w:p>
  </w:footnote>
  <w:footnote w:type="continuationSeparator" w:id="0">
    <w:p w:rsidR="00575305" w:rsidRDefault="005753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22AC"/>
    <w:rsid w:val="003522AC"/>
    <w:rsid w:val="004E4050"/>
    <w:rsid w:val="0057530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73AB98E-80E2-480B-8FE7-DC8A843D3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line="360" w:lineRule="auto"/>
      <w:jc w:val="both"/>
    </w:pPr>
    <w:rPr>
      <w:rFonts w:ascii="Arial" w:hAnsi="Arial"/>
    </w:rPr>
  </w:style>
  <w:style w:type="paragraph" w:styleId="Heading1">
    <w:name w:val="heading 1"/>
    <w:basedOn w:val="Normal"/>
    <w:next w:val="Normal"/>
    <w:link w:val="Heading1Char"/>
    <w:uiPriority w:val="9"/>
    <w:qFormat/>
    <w:pPr>
      <w:keepNext/>
      <w:keepLines/>
      <w:spacing w:before="240" w:after="0"/>
      <w:outlineLvl w:val="0"/>
    </w:pPr>
    <w:rPr>
      <w:rFonts w:eastAsia="SimSun" w:cs="Times New Roman"/>
      <w:b/>
      <w:color w:val="2F5496"/>
      <w:sz w:val="30"/>
      <w:szCs w:val="32"/>
    </w:rPr>
  </w:style>
  <w:style w:type="paragraph" w:styleId="Heading2">
    <w:name w:val="heading 2"/>
    <w:basedOn w:val="Normal"/>
    <w:next w:val="Normal"/>
    <w:link w:val="Heading2Char"/>
    <w:uiPriority w:val="9"/>
    <w:qFormat/>
    <w:pPr>
      <w:keepNext/>
      <w:keepLines/>
      <w:spacing w:before="40" w:after="0"/>
      <w:outlineLvl w:val="1"/>
    </w:pPr>
    <w:rPr>
      <w:rFonts w:eastAsia="SimSun" w:cs="Times New Roman"/>
      <w:b/>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Arial" w:eastAsia="SimSun" w:hAnsi="Arial" w:cs="Times New Roman"/>
      <w:b/>
      <w:color w:val="2F5496"/>
      <w:sz w:val="30"/>
      <w:szCs w:val="32"/>
    </w:rPr>
  </w:style>
  <w:style w:type="character" w:customStyle="1" w:styleId="Heading2Char">
    <w:name w:val="Heading 2 Char"/>
    <w:basedOn w:val="DefaultParagraphFont"/>
    <w:link w:val="Heading2"/>
    <w:uiPriority w:val="9"/>
    <w:rPr>
      <w:rFonts w:ascii="Arial" w:eastAsia="SimSun" w:hAnsi="Arial" w:cs="Times New Roman"/>
      <w:b/>
      <w:color w:val="2F5496"/>
      <w:sz w:val="26"/>
      <w:szCs w:val="26"/>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rPr>
      <w:rFonts w:ascii="Arial" w:hAnsi="Arial"/>
    </w:rPr>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rPr>
      <w:rFonts w:ascii="Arial" w:hAnsi="Arial"/>
    </w:rPr>
  </w:style>
  <w:style w:type="paragraph" w:styleId="TOCHeading">
    <w:name w:val="TOC Heading"/>
    <w:basedOn w:val="Heading1"/>
    <w:next w:val="Normal"/>
    <w:uiPriority w:val="39"/>
    <w:qFormat/>
    <w:pPr>
      <w:spacing w:line="259" w:lineRule="auto"/>
      <w:jc w:val="left"/>
      <w:outlineLvl w:val="9"/>
    </w:pPr>
    <w:rPr>
      <w:rFonts w:ascii="Calibri Light" w:hAnsi="Calibri Light"/>
      <w:b w:val="0"/>
      <w:sz w:val="32"/>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4CBCB7-7746-42A5-B26D-B311EAD47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671</Words>
  <Characters>3829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my pc</cp:lastModifiedBy>
  <cp:revision>2</cp:revision>
  <dcterms:created xsi:type="dcterms:W3CDTF">2023-02-03T13:28:00Z</dcterms:created>
  <dcterms:modified xsi:type="dcterms:W3CDTF">2023-02-03T13:47:00Z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6370c370-d307-4f08-84b6-7329bea4c8ba</vt:lpwstr>
  </property>
  <property fmtid="{D5CDD505-2E9C-101B-9397-08002B2CF9AE}" pid="3" name="ICV">
    <vt:lpwstr>9e6635b4eb72475e961e54227f7f9c24</vt:lpwstr>
  </property>
</Properties>
</file>