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78094CE" w14:textId="2DC0A94F" w:rsidR="00AD6D75" w:rsidRDefault="00374596" w:rsidP="00216501">
      <w:pPr>
        <w:pStyle w:val="COVERPAGETEXT"/>
      </w:pPr>
      <w:r>
        <w:t>Matt Claridge</w:t>
      </w:r>
    </w:p>
    <w:p w14:paraId="5F9A4BD5" w14:textId="77777777" w:rsidR="00045D6F" w:rsidRPr="00BB05A0" w:rsidRDefault="00045D6F" w:rsidP="00045D6F">
      <w:pPr>
        <w:pStyle w:val="COVERPAGETEXT"/>
      </w:pPr>
    </w:p>
    <w:p w14:paraId="19705265" w14:textId="7AB6EB45" w:rsidR="00AD6D75" w:rsidRPr="00216501" w:rsidRDefault="00091EA0" w:rsidP="007B7D72">
      <w:pPr>
        <w:pStyle w:val="COVERPAGETEXT"/>
        <w:rPr>
          <w:rFonts w:ascii="Calibri Light" w:hAnsi="Calibri Light" w:cs="Calibri Light"/>
          <w:i/>
          <w:iCs/>
          <w:sz w:val="96"/>
          <w:szCs w:val="96"/>
        </w:rPr>
      </w:pPr>
      <w:r>
        <w:rPr>
          <w:rFonts w:ascii="Calibri Light" w:hAnsi="Calibri Light" w:cs="Calibri Light"/>
          <w:i/>
          <w:iCs/>
          <w:sz w:val="96"/>
          <w:szCs w:val="96"/>
        </w:rPr>
        <w:t>Safety and Hazard Assessment</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C681950" w:rsidR="00AD6D75" w:rsidRPr="00BB05A0" w:rsidRDefault="00AB0D69" w:rsidP="009F4F9E">
      <w:pPr>
        <w:pStyle w:val="COVERPAGETEXT"/>
      </w:pPr>
      <w:r>
        <w:t>UWTSD</w:t>
      </w:r>
    </w:p>
    <w:p w14:paraId="7B6B882C" w14:textId="239E2246" w:rsidR="00AD6D75" w:rsidRPr="00BB05A0" w:rsidRDefault="00753C30" w:rsidP="009F4F9E">
      <w:pPr>
        <w:pStyle w:val="COVERPAGETEXT"/>
      </w:pPr>
      <w:r>
        <w:t>Ordnance</w:t>
      </w:r>
      <w:r w:rsidR="005427C5">
        <w:t xml:space="preserve">, Munitions </w:t>
      </w:r>
      <w:r>
        <w:t>&amp; Explosives</w:t>
      </w:r>
    </w:p>
    <w:p w14:paraId="6753F339" w14:textId="77777777" w:rsidR="00AD6D75" w:rsidRPr="00BB05A0" w:rsidRDefault="00AD6D75" w:rsidP="009F4F9E">
      <w:pPr>
        <w:pStyle w:val="COVERPAGETEXT"/>
      </w:pPr>
    </w:p>
    <w:p w14:paraId="04815D3F" w14:textId="77777777" w:rsidR="00AD6D75" w:rsidRPr="00BB05A0" w:rsidRDefault="00AD6D75" w:rsidP="00216501">
      <w:pPr>
        <w:pStyle w:val="COVERPAGETEXT"/>
        <w:jc w:val="both"/>
      </w:pPr>
    </w:p>
    <w:p w14:paraId="71E2DB74" w14:textId="399BA1D9" w:rsidR="00AD6D75" w:rsidRPr="00BB05A0" w:rsidRDefault="00F0175B" w:rsidP="009F4F9E">
      <w:pPr>
        <w:pStyle w:val="COVERPAGETEXT"/>
      </w:pPr>
      <w:r>
        <w:t>BEng Degree Apprenticeship</w:t>
      </w:r>
    </w:p>
    <w:p w14:paraId="2709D95E" w14:textId="04068899" w:rsidR="00AD6D75" w:rsidRPr="00BB05A0" w:rsidRDefault="00AD6D75" w:rsidP="009F4F9E">
      <w:pPr>
        <w:pStyle w:val="COVERPAGETEXT"/>
      </w:pPr>
      <w:r>
        <w:t xml:space="preserve">Academic Year: </w:t>
      </w:r>
      <w:r w:rsidR="00F0175B">
        <w:t>2023</w:t>
      </w:r>
      <w:r>
        <w:t xml:space="preserve"> -</w:t>
      </w:r>
      <w:r w:rsidRPr="00931620">
        <w:t xml:space="preserve"> </w:t>
      </w:r>
      <w:r w:rsidR="00F0175B">
        <w:t>2028</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1463EEE8" w:rsidR="00AD6D75" w:rsidRPr="00F9632B" w:rsidRDefault="004679A1" w:rsidP="009F4F9E">
      <w:pPr>
        <w:pStyle w:val="COVERPAGETEXT"/>
        <w:rPr>
          <w:b/>
        </w:rPr>
      </w:pPr>
      <w:r>
        <w:t>Lecturer</w:t>
      </w:r>
      <w:r w:rsidR="00AD6D75" w:rsidRPr="00BB05A0">
        <w:t>:</w:t>
      </w:r>
      <w:r w:rsidR="00AD6D75" w:rsidRPr="00BB05A0">
        <w:tab/>
      </w:r>
      <w:r w:rsidR="00AD6D75">
        <w:t xml:space="preserve"> </w:t>
      </w:r>
      <w:r w:rsidR="00F9632B" w:rsidRPr="00F9632B">
        <w:rPr>
          <w:bCs/>
        </w:rPr>
        <w:t>Austin Clark</w:t>
      </w:r>
    </w:p>
    <w:p w14:paraId="52B1F4ED" w14:textId="6ED9D4EF" w:rsidR="00DA28B2" w:rsidRDefault="00F9632B" w:rsidP="00893417">
      <w:pPr>
        <w:pStyle w:val="COVERPAGETEXT"/>
        <w:sectPr w:rsidR="00DA28B2" w:rsidSect="00623A81">
          <w:footerReference w:type="default" r:id="rId12"/>
          <w:pgSz w:w="11906" w:h="16838" w:code="9"/>
          <w:pgMar w:top="1701" w:right="1701" w:bottom="1701" w:left="1701" w:header="709" w:footer="851" w:gutter="0"/>
          <w:pgNumType w:fmt="lowerRoman" w:start="1"/>
          <w:cols w:space="708"/>
          <w:docGrid w:linePitch="360"/>
        </w:sectPr>
      </w:pPr>
      <w:r>
        <w:t xml:space="preserve">July </w:t>
      </w:r>
      <w:r w:rsidR="007B7D72">
        <w:t>202</w:t>
      </w:r>
      <w:r w:rsidR="004679A1">
        <w:t>5</w:t>
      </w:r>
      <w:r w:rsidR="00F2159F">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2C8F7DD4" w14:textId="646825E7" w:rsidR="009811A9"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03740386" w:history="1">
        <w:r w:rsidR="009811A9" w:rsidRPr="007B6B90">
          <w:rPr>
            <w:rStyle w:val="Hyperlink"/>
          </w:rPr>
          <w:t>1 ALARP Justification</w:t>
        </w:r>
        <w:r w:rsidR="009811A9">
          <w:rPr>
            <w:webHidden/>
          </w:rPr>
          <w:tab/>
        </w:r>
        <w:r w:rsidR="009811A9">
          <w:rPr>
            <w:webHidden/>
          </w:rPr>
          <w:fldChar w:fldCharType="begin"/>
        </w:r>
        <w:r w:rsidR="009811A9">
          <w:rPr>
            <w:webHidden/>
          </w:rPr>
          <w:instrText xml:space="preserve"> PAGEREF _Toc203740386 \h </w:instrText>
        </w:r>
        <w:r w:rsidR="009811A9">
          <w:rPr>
            <w:webHidden/>
          </w:rPr>
        </w:r>
        <w:r w:rsidR="009811A9">
          <w:rPr>
            <w:webHidden/>
          </w:rPr>
          <w:fldChar w:fldCharType="separate"/>
        </w:r>
        <w:r w:rsidR="009811A9">
          <w:rPr>
            <w:webHidden/>
          </w:rPr>
          <w:t>4</w:t>
        </w:r>
        <w:r w:rsidR="009811A9">
          <w:rPr>
            <w:webHidden/>
          </w:rPr>
          <w:fldChar w:fldCharType="end"/>
        </w:r>
      </w:hyperlink>
    </w:p>
    <w:p w14:paraId="17DB07B5" w14:textId="5E4D07F0" w:rsidR="009811A9" w:rsidRDefault="009811A9">
      <w:pPr>
        <w:pStyle w:val="TOC2"/>
        <w:rPr>
          <w:rFonts w:asciiTheme="minorHAnsi" w:eastAsiaTheme="minorEastAsia" w:hAnsiTheme="minorHAnsi" w:cstheme="minorBidi"/>
          <w:noProof/>
          <w:kern w:val="2"/>
          <w:lang w:eastAsia="en-GB"/>
          <w14:ligatures w14:val="standardContextual"/>
        </w:rPr>
      </w:pPr>
      <w:hyperlink w:anchor="_Toc203740387" w:history="1">
        <w:r w:rsidRPr="007B6B90">
          <w:rPr>
            <w:rStyle w:val="Hyperlink"/>
            <w:noProof/>
            <w:lang w:eastAsia="en-GB"/>
          </w:rPr>
          <w:t>1.1 Introduction</w:t>
        </w:r>
        <w:r>
          <w:rPr>
            <w:noProof/>
            <w:webHidden/>
          </w:rPr>
          <w:tab/>
        </w:r>
        <w:r>
          <w:rPr>
            <w:noProof/>
            <w:webHidden/>
          </w:rPr>
          <w:fldChar w:fldCharType="begin"/>
        </w:r>
        <w:r>
          <w:rPr>
            <w:noProof/>
            <w:webHidden/>
          </w:rPr>
          <w:instrText xml:space="preserve"> PAGEREF _Toc203740387 \h </w:instrText>
        </w:r>
        <w:r>
          <w:rPr>
            <w:noProof/>
            <w:webHidden/>
          </w:rPr>
        </w:r>
        <w:r>
          <w:rPr>
            <w:noProof/>
            <w:webHidden/>
          </w:rPr>
          <w:fldChar w:fldCharType="separate"/>
        </w:r>
        <w:r>
          <w:rPr>
            <w:noProof/>
            <w:webHidden/>
          </w:rPr>
          <w:t>4</w:t>
        </w:r>
        <w:r>
          <w:rPr>
            <w:noProof/>
            <w:webHidden/>
          </w:rPr>
          <w:fldChar w:fldCharType="end"/>
        </w:r>
      </w:hyperlink>
    </w:p>
    <w:p w14:paraId="48C36E7D" w14:textId="5BF1102A" w:rsidR="009811A9" w:rsidRDefault="009811A9">
      <w:pPr>
        <w:pStyle w:val="TOC2"/>
        <w:rPr>
          <w:rFonts w:asciiTheme="minorHAnsi" w:eastAsiaTheme="minorEastAsia" w:hAnsiTheme="minorHAnsi" w:cstheme="minorBidi"/>
          <w:noProof/>
          <w:kern w:val="2"/>
          <w:lang w:eastAsia="en-GB"/>
          <w14:ligatures w14:val="standardContextual"/>
        </w:rPr>
      </w:pPr>
      <w:hyperlink w:anchor="_Toc203740388" w:history="1">
        <w:r w:rsidRPr="007B6B90">
          <w:rPr>
            <w:rStyle w:val="Hyperlink"/>
            <w:noProof/>
          </w:rPr>
          <w:t>1.2 System/ Activity Description</w:t>
        </w:r>
        <w:r>
          <w:rPr>
            <w:noProof/>
            <w:webHidden/>
          </w:rPr>
          <w:tab/>
        </w:r>
        <w:r>
          <w:rPr>
            <w:noProof/>
            <w:webHidden/>
          </w:rPr>
          <w:fldChar w:fldCharType="begin"/>
        </w:r>
        <w:r>
          <w:rPr>
            <w:noProof/>
            <w:webHidden/>
          </w:rPr>
          <w:instrText xml:space="preserve"> PAGEREF _Toc203740388 \h </w:instrText>
        </w:r>
        <w:r>
          <w:rPr>
            <w:noProof/>
            <w:webHidden/>
          </w:rPr>
        </w:r>
        <w:r>
          <w:rPr>
            <w:noProof/>
            <w:webHidden/>
          </w:rPr>
          <w:fldChar w:fldCharType="separate"/>
        </w:r>
        <w:r>
          <w:rPr>
            <w:noProof/>
            <w:webHidden/>
          </w:rPr>
          <w:t>4</w:t>
        </w:r>
        <w:r>
          <w:rPr>
            <w:noProof/>
            <w:webHidden/>
          </w:rPr>
          <w:fldChar w:fldCharType="end"/>
        </w:r>
      </w:hyperlink>
    </w:p>
    <w:p w14:paraId="0C72930C" w14:textId="61311668" w:rsidR="009811A9" w:rsidRDefault="009811A9">
      <w:pPr>
        <w:pStyle w:val="TOC2"/>
        <w:rPr>
          <w:rFonts w:asciiTheme="minorHAnsi" w:eastAsiaTheme="minorEastAsia" w:hAnsiTheme="minorHAnsi" w:cstheme="minorBidi"/>
          <w:noProof/>
          <w:kern w:val="2"/>
          <w:lang w:eastAsia="en-GB"/>
          <w14:ligatures w14:val="standardContextual"/>
        </w:rPr>
      </w:pPr>
      <w:hyperlink w:anchor="_Toc203740389" w:history="1">
        <w:r w:rsidRPr="007B6B90">
          <w:rPr>
            <w:rStyle w:val="Hyperlink"/>
            <w:noProof/>
            <w:lang w:eastAsia="en-GB"/>
          </w:rPr>
          <w:t>1.3</w:t>
        </w:r>
        <w:r w:rsidRPr="007B6B90">
          <w:rPr>
            <w:rStyle w:val="Hyperlink"/>
            <w:noProof/>
          </w:rPr>
          <w:t xml:space="preserve"> Risk Assessment Summary</w:t>
        </w:r>
        <w:r>
          <w:rPr>
            <w:noProof/>
            <w:webHidden/>
          </w:rPr>
          <w:tab/>
        </w:r>
        <w:r>
          <w:rPr>
            <w:noProof/>
            <w:webHidden/>
          </w:rPr>
          <w:fldChar w:fldCharType="begin"/>
        </w:r>
        <w:r>
          <w:rPr>
            <w:noProof/>
            <w:webHidden/>
          </w:rPr>
          <w:instrText xml:space="preserve"> PAGEREF _Toc203740389 \h </w:instrText>
        </w:r>
        <w:r>
          <w:rPr>
            <w:noProof/>
            <w:webHidden/>
          </w:rPr>
        </w:r>
        <w:r>
          <w:rPr>
            <w:noProof/>
            <w:webHidden/>
          </w:rPr>
          <w:fldChar w:fldCharType="separate"/>
        </w:r>
        <w:r>
          <w:rPr>
            <w:noProof/>
            <w:webHidden/>
          </w:rPr>
          <w:t>4</w:t>
        </w:r>
        <w:r>
          <w:rPr>
            <w:noProof/>
            <w:webHidden/>
          </w:rPr>
          <w:fldChar w:fldCharType="end"/>
        </w:r>
      </w:hyperlink>
    </w:p>
    <w:p w14:paraId="227FDA79" w14:textId="28A645CA" w:rsidR="009811A9" w:rsidRDefault="009811A9">
      <w:pPr>
        <w:pStyle w:val="TOC2"/>
        <w:rPr>
          <w:rFonts w:asciiTheme="minorHAnsi" w:eastAsiaTheme="minorEastAsia" w:hAnsiTheme="minorHAnsi" w:cstheme="minorBidi"/>
          <w:noProof/>
          <w:kern w:val="2"/>
          <w:lang w:eastAsia="en-GB"/>
          <w14:ligatures w14:val="standardContextual"/>
        </w:rPr>
      </w:pPr>
      <w:hyperlink w:anchor="_Toc203740390" w:history="1">
        <w:r w:rsidRPr="007B6B90">
          <w:rPr>
            <w:rStyle w:val="Hyperlink"/>
            <w:noProof/>
            <w:lang w:eastAsia="en-GB"/>
          </w:rPr>
          <w:t>1.4 Risk Reduction Measures</w:t>
        </w:r>
        <w:r>
          <w:rPr>
            <w:noProof/>
            <w:webHidden/>
          </w:rPr>
          <w:tab/>
        </w:r>
        <w:r>
          <w:rPr>
            <w:noProof/>
            <w:webHidden/>
          </w:rPr>
          <w:fldChar w:fldCharType="begin"/>
        </w:r>
        <w:r>
          <w:rPr>
            <w:noProof/>
            <w:webHidden/>
          </w:rPr>
          <w:instrText xml:space="preserve"> PAGEREF _Toc203740390 \h </w:instrText>
        </w:r>
        <w:r>
          <w:rPr>
            <w:noProof/>
            <w:webHidden/>
          </w:rPr>
        </w:r>
        <w:r>
          <w:rPr>
            <w:noProof/>
            <w:webHidden/>
          </w:rPr>
          <w:fldChar w:fldCharType="separate"/>
        </w:r>
        <w:r>
          <w:rPr>
            <w:noProof/>
            <w:webHidden/>
          </w:rPr>
          <w:t>5</w:t>
        </w:r>
        <w:r>
          <w:rPr>
            <w:noProof/>
            <w:webHidden/>
          </w:rPr>
          <w:fldChar w:fldCharType="end"/>
        </w:r>
      </w:hyperlink>
    </w:p>
    <w:p w14:paraId="1DED26C1" w14:textId="067AD085" w:rsidR="009811A9" w:rsidRDefault="009811A9">
      <w:pPr>
        <w:pStyle w:val="TOC2"/>
        <w:rPr>
          <w:rFonts w:asciiTheme="minorHAnsi" w:eastAsiaTheme="minorEastAsia" w:hAnsiTheme="minorHAnsi" w:cstheme="minorBidi"/>
          <w:noProof/>
          <w:kern w:val="2"/>
          <w:lang w:eastAsia="en-GB"/>
          <w14:ligatures w14:val="standardContextual"/>
        </w:rPr>
      </w:pPr>
      <w:hyperlink w:anchor="_Toc203740391" w:history="1">
        <w:r w:rsidRPr="007B6B90">
          <w:rPr>
            <w:rStyle w:val="Hyperlink"/>
            <w:noProof/>
            <w:lang w:eastAsia="en-GB"/>
          </w:rPr>
          <w:t>1.5 ALARP Demonstration</w:t>
        </w:r>
        <w:r>
          <w:rPr>
            <w:noProof/>
            <w:webHidden/>
          </w:rPr>
          <w:tab/>
        </w:r>
        <w:r>
          <w:rPr>
            <w:noProof/>
            <w:webHidden/>
          </w:rPr>
          <w:fldChar w:fldCharType="begin"/>
        </w:r>
        <w:r>
          <w:rPr>
            <w:noProof/>
            <w:webHidden/>
          </w:rPr>
          <w:instrText xml:space="preserve"> PAGEREF _Toc203740391 \h </w:instrText>
        </w:r>
        <w:r>
          <w:rPr>
            <w:noProof/>
            <w:webHidden/>
          </w:rPr>
        </w:r>
        <w:r>
          <w:rPr>
            <w:noProof/>
            <w:webHidden/>
          </w:rPr>
          <w:fldChar w:fldCharType="separate"/>
        </w:r>
        <w:r>
          <w:rPr>
            <w:noProof/>
            <w:webHidden/>
          </w:rPr>
          <w:t>7</w:t>
        </w:r>
        <w:r>
          <w:rPr>
            <w:noProof/>
            <w:webHidden/>
          </w:rPr>
          <w:fldChar w:fldCharType="end"/>
        </w:r>
      </w:hyperlink>
    </w:p>
    <w:p w14:paraId="2DF488F0" w14:textId="425BAE3A" w:rsidR="009811A9" w:rsidRDefault="009811A9">
      <w:pPr>
        <w:pStyle w:val="TOC2"/>
        <w:rPr>
          <w:rFonts w:asciiTheme="minorHAnsi" w:eastAsiaTheme="minorEastAsia" w:hAnsiTheme="minorHAnsi" w:cstheme="minorBidi"/>
          <w:noProof/>
          <w:kern w:val="2"/>
          <w:lang w:eastAsia="en-GB"/>
          <w14:ligatures w14:val="standardContextual"/>
        </w:rPr>
      </w:pPr>
      <w:hyperlink w:anchor="_Toc203740392" w:history="1">
        <w:r w:rsidRPr="007B6B90">
          <w:rPr>
            <w:rStyle w:val="Hyperlink"/>
            <w:noProof/>
            <w:lang w:eastAsia="en-GB"/>
          </w:rPr>
          <w:t>1.6 Conclusion and recommendations</w:t>
        </w:r>
        <w:r>
          <w:rPr>
            <w:noProof/>
            <w:webHidden/>
          </w:rPr>
          <w:tab/>
        </w:r>
        <w:r>
          <w:rPr>
            <w:noProof/>
            <w:webHidden/>
          </w:rPr>
          <w:fldChar w:fldCharType="begin"/>
        </w:r>
        <w:r>
          <w:rPr>
            <w:noProof/>
            <w:webHidden/>
          </w:rPr>
          <w:instrText xml:space="preserve"> PAGEREF _Toc203740392 \h </w:instrText>
        </w:r>
        <w:r>
          <w:rPr>
            <w:noProof/>
            <w:webHidden/>
          </w:rPr>
        </w:r>
        <w:r>
          <w:rPr>
            <w:noProof/>
            <w:webHidden/>
          </w:rPr>
          <w:fldChar w:fldCharType="separate"/>
        </w:r>
        <w:r>
          <w:rPr>
            <w:noProof/>
            <w:webHidden/>
          </w:rPr>
          <w:t>8</w:t>
        </w:r>
        <w:r>
          <w:rPr>
            <w:noProof/>
            <w:webHidden/>
          </w:rPr>
          <w:fldChar w:fldCharType="end"/>
        </w:r>
      </w:hyperlink>
    </w:p>
    <w:p w14:paraId="19363C53" w14:textId="3D7818C5" w:rsidR="009811A9" w:rsidRDefault="009811A9">
      <w:pPr>
        <w:pStyle w:val="TOC1"/>
        <w:rPr>
          <w:rFonts w:asciiTheme="minorHAnsi" w:eastAsiaTheme="minorEastAsia" w:hAnsiTheme="minorHAnsi" w:cstheme="minorBidi"/>
          <w:kern w:val="2"/>
          <w:lang w:eastAsia="en-GB"/>
          <w14:ligatures w14:val="standardContextual"/>
        </w:rPr>
      </w:pPr>
      <w:hyperlink w:anchor="_Toc203740393" w:history="1">
        <w:r w:rsidRPr="007B6B90">
          <w:rPr>
            <w:rStyle w:val="Hyperlink"/>
          </w:rPr>
          <w:t>Appendices</w:t>
        </w:r>
        <w:r>
          <w:rPr>
            <w:webHidden/>
          </w:rPr>
          <w:tab/>
        </w:r>
        <w:r>
          <w:rPr>
            <w:webHidden/>
          </w:rPr>
          <w:fldChar w:fldCharType="begin"/>
        </w:r>
        <w:r>
          <w:rPr>
            <w:webHidden/>
          </w:rPr>
          <w:instrText xml:space="preserve"> PAGEREF _Toc203740393 \h </w:instrText>
        </w:r>
        <w:r>
          <w:rPr>
            <w:webHidden/>
          </w:rPr>
        </w:r>
        <w:r>
          <w:rPr>
            <w:webHidden/>
          </w:rPr>
          <w:fldChar w:fldCharType="separate"/>
        </w:r>
        <w:r>
          <w:rPr>
            <w:webHidden/>
          </w:rPr>
          <w:t>12</w:t>
        </w:r>
        <w:r>
          <w:rPr>
            <w:webHidden/>
          </w:rPr>
          <w:fldChar w:fldCharType="end"/>
        </w:r>
      </w:hyperlink>
    </w:p>
    <w:p w14:paraId="50B50D86" w14:textId="16701B8C" w:rsidR="009811A9" w:rsidRDefault="009811A9">
      <w:pPr>
        <w:pStyle w:val="TOC2"/>
        <w:rPr>
          <w:rFonts w:asciiTheme="minorHAnsi" w:eastAsiaTheme="minorEastAsia" w:hAnsiTheme="minorHAnsi" w:cstheme="minorBidi"/>
          <w:noProof/>
          <w:kern w:val="2"/>
          <w:lang w:eastAsia="en-GB"/>
          <w14:ligatures w14:val="standardContextual"/>
        </w:rPr>
      </w:pPr>
      <w:hyperlink w:anchor="_Toc203740394" w:history="1">
        <w:r w:rsidRPr="007B6B90">
          <w:rPr>
            <w:rStyle w:val="Hyperlink"/>
            <w:noProof/>
          </w:rPr>
          <w:t>Appendix A Hazard Assessment</w:t>
        </w:r>
        <w:r>
          <w:rPr>
            <w:noProof/>
            <w:webHidden/>
          </w:rPr>
          <w:tab/>
        </w:r>
        <w:r>
          <w:rPr>
            <w:noProof/>
            <w:webHidden/>
          </w:rPr>
          <w:fldChar w:fldCharType="begin"/>
        </w:r>
        <w:r>
          <w:rPr>
            <w:noProof/>
            <w:webHidden/>
          </w:rPr>
          <w:instrText xml:space="preserve"> PAGEREF _Toc203740394 \h </w:instrText>
        </w:r>
        <w:r>
          <w:rPr>
            <w:noProof/>
            <w:webHidden/>
          </w:rPr>
        </w:r>
        <w:r>
          <w:rPr>
            <w:noProof/>
            <w:webHidden/>
          </w:rPr>
          <w:fldChar w:fldCharType="separate"/>
        </w:r>
        <w:r>
          <w:rPr>
            <w:noProof/>
            <w:webHidden/>
          </w:rPr>
          <w:t>12</w:t>
        </w:r>
        <w:r>
          <w:rPr>
            <w:noProof/>
            <w:webHidden/>
          </w:rPr>
          <w:fldChar w:fldCharType="end"/>
        </w:r>
      </w:hyperlink>
    </w:p>
    <w:p w14:paraId="4CD4B18F" w14:textId="7C21294B" w:rsidR="009811A9" w:rsidRDefault="009811A9">
      <w:pPr>
        <w:pStyle w:val="TOC2"/>
        <w:rPr>
          <w:rFonts w:asciiTheme="minorHAnsi" w:eastAsiaTheme="minorEastAsia" w:hAnsiTheme="minorHAnsi" w:cstheme="minorBidi"/>
          <w:noProof/>
          <w:kern w:val="2"/>
          <w:lang w:eastAsia="en-GB"/>
          <w14:ligatures w14:val="standardContextual"/>
        </w:rPr>
      </w:pPr>
      <w:hyperlink w:anchor="_Toc203740395" w:history="1">
        <w:r w:rsidRPr="007B6B90">
          <w:rPr>
            <w:rStyle w:val="Hyperlink"/>
            <w:noProof/>
          </w:rPr>
          <w:t>Appendix B Definitions</w:t>
        </w:r>
        <w:r>
          <w:rPr>
            <w:noProof/>
            <w:webHidden/>
          </w:rPr>
          <w:tab/>
        </w:r>
        <w:r>
          <w:rPr>
            <w:noProof/>
            <w:webHidden/>
          </w:rPr>
          <w:fldChar w:fldCharType="begin"/>
        </w:r>
        <w:r>
          <w:rPr>
            <w:noProof/>
            <w:webHidden/>
          </w:rPr>
          <w:instrText xml:space="preserve"> PAGEREF _Toc203740395 \h </w:instrText>
        </w:r>
        <w:r>
          <w:rPr>
            <w:noProof/>
            <w:webHidden/>
          </w:rPr>
        </w:r>
        <w:r>
          <w:rPr>
            <w:noProof/>
            <w:webHidden/>
          </w:rPr>
          <w:fldChar w:fldCharType="separate"/>
        </w:r>
        <w:r>
          <w:rPr>
            <w:noProof/>
            <w:webHidden/>
          </w:rPr>
          <w:t>18</w:t>
        </w:r>
        <w:r>
          <w:rPr>
            <w:noProof/>
            <w:webHidden/>
          </w:rPr>
          <w:fldChar w:fldCharType="end"/>
        </w:r>
      </w:hyperlink>
    </w:p>
    <w:p w14:paraId="1E0A1994" w14:textId="16AC99A9" w:rsidR="00DA28B2" w:rsidRDefault="00B765F2" w:rsidP="00941D35">
      <w:r>
        <w:fldChar w:fldCharType="end"/>
      </w:r>
    </w:p>
    <w:p w14:paraId="0483FE1D" w14:textId="77777777" w:rsidR="00DA28B2" w:rsidRDefault="00DA28B2" w:rsidP="00941D35"/>
    <w:p w14:paraId="036DDC55" w14:textId="2A2165CE" w:rsidR="003E2E7B" w:rsidRDefault="003E2E7B">
      <w:pPr>
        <w:spacing w:before="0" w:after="200" w:line="276" w:lineRule="auto"/>
        <w:jc w:val="left"/>
      </w:pPr>
      <w:r>
        <w:br w:type="page"/>
      </w:r>
    </w:p>
    <w:p w14:paraId="2D550121" w14:textId="0898D1A3" w:rsidR="00BE30BF" w:rsidRDefault="00BE30BF" w:rsidP="007B0CD5">
      <w:pPr>
        <w:pStyle w:val="TABLEOFCONTENTSHEADING"/>
      </w:pPr>
      <w:r>
        <w:lastRenderedPageBreak/>
        <w:t>Table of Figures</w:t>
      </w:r>
    </w:p>
    <w:p w14:paraId="2AD33AA0" w14:textId="77777777" w:rsidR="00BE30BF" w:rsidRDefault="00BE30BF">
      <w:pPr>
        <w:pStyle w:val="TableofFigures"/>
        <w:tabs>
          <w:tab w:val="right" w:leader="dot" w:pos="8494"/>
        </w:tabs>
      </w:pPr>
    </w:p>
    <w:p w14:paraId="355ADC2A" w14:textId="5805C3B4" w:rsidR="009811A9" w:rsidRDefault="00BE30BF">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03740396" w:history="1">
        <w:r w:rsidR="009811A9" w:rsidRPr="00046CD5">
          <w:rPr>
            <w:rStyle w:val="Hyperlink"/>
            <w:noProof/>
          </w:rPr>
          <w:t>Figure 1</w:t>
        </w:r>
        <w:r w:rsidR="009811A9" w:rsidRPr="00046CD5">
          <w:rPr>
            <w:rStyle w:val="Hyperlink"/>
            <w:noProof/>
          </w:rPr>
          <w:noBreakHyphen/>
          <w:t>1 Qualitative and Quantitative Frequency Categories</w:t>
        </w:r>
        <w:r w:rsidR="009811A9">
          <w:rPr>
            <w:noProof/>
            <w:webHidden/>
          </w:rPr>
          <w:tab/>
        </w:r>
        <w:r w:rsidR="009811A9">
          <w:rPr>
            <w:noProof/>
            <w:webHidden/>
          </w:rPr>
          <w:fldChar w:fldCharType="begin"/>
        </w:r>
        <w:r w:rsidR="009811A9">
          <w:rPr>
            <w:noProof/>
            <w:webHidden/>
          </w:rPr>
          <w:instrText xml:space="preserve"> PAGEREF _Toc203740396 \h </w:instrText>
        </w:r>
        <w:r w:rsidR="009811A9">
          <w:rPr>
            <w:noProof/>
            <w:webHidden/>
          </w:rPr>
        </w:r>
        <w:r w:rsidR="009811A9">
          <w:rPr>
            <w:noProof/>
            <w:webHidden/>
          </w:rPr>
          <w:fldChar w:fldCharType="separate"/>
        </w:r>
        <w:r w:rsidR="009811A9">
          <w:rPr>
            <w:noProof/>
            <w:webHidden/>
          </w:rPr>
          <w:t>18</w:t>
        </w:r>
        <w:r w:rsidR="009811A9">
          <w:rPr>
            <w:noProof/>
            <w:webHidden/>
          </w:rPr>
          <w:fldChar w:fldCharType="end"/>
        </w:r>
      </w:hyperlink>
    </w:p>
    <w:p w14:paraId="79BD0B8D" w14:textId="3C7649F1" w:rsidR="009811A9" w:rsidRDefault="009811A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40397" w:history="1">
        <w:r w:rsidRPr="00046CD5">
          <w:rPr>
            <w:rStyle w:val="Hyperlink"/>
            <w:noProof/>
          </w:rPr>
          <w:t>Figure 1</w:t>
        </w:r>
        <w:r w:rsidRPr="00046CD5">
          <w:rPr>
            <w:rStyle w:val="Hyperlink"/>
            <w:noProof/>
          </w:rPr>
          <w:noBreakHyphen/>
          <w:t>2 Severity Category Definitions</w:t>
        </w:r>
        <w:r>
          <w:rPr>
            <w:noProof/>
            <w:webHidden/>
          </w:rPr>
          <w:tab/>
        </w:r>
        <w:r>
          <w:rPr>
            <w:noProof/>
            <w:webHidden/>
          </w:rPr>
          <w:fldChar w:fldCharType="begin"/>
        </w:r>
        <w:r>
          <w:rPr>
            <w:noProof/>
            <w:webHidden/>
          </w:rPr>
          <w:instrText xml:space="preserve"> PAGEREF _Toc203740397 \h </w:instrText>
        </w:r>
        <w:r>
          <w:rPr>
            <w:noProof/>
            <w:webHidden/>
          </w:rPr>
        </w:r>
        <w:r>
          <w:rPr>
            <w:noProof/>
            <w:webHidden/>
          </w:rPr>
          <w:fldChar w:fldCharType="separate"/>
        </w:r>
        <w:r>
          <w:rPr>
            <w:noProof/>
            <w:webHidden/>
          </w:rPr>
          <w:t>18</w:t>
        </w:r>
        <w:r>
          <w:rPr>
            <w:noProof/>
            <w:webHidden/>
          </w:rPr>
          <w:fldChar w:fldCharType="end"/>
        </w:r>
      </w:hyperlink>
    </w:p>
    <w:p w14:paraId="64710752" w14:textId="04765874" w:rsidR="009811A9" w:rsidRDefault="009811A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40398" w:history="1">
        <w:r w:rsidRPr="00046CD5">
          <w:rPr>
            <w:rStyle w:val="Hyperlink"/>
            <w:noProof/>
          </w:rPr>
          <w:t>Figure 1</w:t>
        </w:r>
        <w:r w:rsidRPr="00046CD5">
          <w:rPr>
            <w:rStyle w:val="Hyperlink"/>
            <w:noProof/>
          </w:rPr>
          <w:noBreakHyphen/>
          <w:t>3 Risk Classification Matrix</w:t>
        </w:r>
        <w:r>
          <w:rPr>
            <w:noProof/>
            <w:webHidden/>
          </w:rPr>
          <w:tab/>
        </w:r>
        <w:r>
          <w:rPr>
            <w:noProof/>
            <w:webHidden/>
          </w:rPr>
          <w:fldChar w:fldCharType="begin"/>
        </w:r>
        <w:r>
          <w:rPr>
            <w:noProof/>
            <w:webHidden/>
          </w:rPr>
          <w:instrText xml:space="preserve"> PAGEREF _Toc203740398 \h </w:instrText>
        </w:r>
        <w:r>
          <w:rPr>
            <w:noProof/>
            <w:webHidden/>
          </w:rPr>
        </w:r>
        <w:r>
          <w:rPr>
            <w:noProof/>
            <w:webHidden/>
          </w:rPr>
          <w:fldChar w:fldCharType="separate"/>
        </w:r>
        <w:r>
          <w:rPr>
            <w:noProof/>
            <w:webHidden/>
          </w:rPr>
          <w:t>19</w:t>
        </w:r>
        <w:r>
          <w:rPr>
            <w:noProof/>
            <w:webHidden/>
          </w:rPr>
          <w:fldChar w:fldCharType="end"/>
        </w:r>
      </w:hyperlink>
    </w:p>
    <w:p w14:paraId="5F32D298" w14:textId="72588BFC" w:rsidR="009811A9" w:rsidRDefault="009811A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40399" w:history="1">
        <w:r w:rsidRPr="00046CD5">
          <w:rPr>
            <w:rStyle w:val="Hyperlink"/>
            <w:noProof/>
          </w:rPr>
          <w:t>Figure 1</w:t>
        </w:r>
        <w:r w:rsidRPr="00046CD5">
          <w:rPr>
            <w:rStyle w:val="Hyperlink"/>
            <w:noProof/>
          </w:rPr>
          <w:noBreakHyphen/>
          <w:t>4 Risk Class Definitions</w:t>
        </w:r>
        <w:r>
          <w:rPr>
            <w:noProof/>
            <w:webHidden/>
          </w:rPr>
          <w:tab/>
        </w:r>
        <w:r>
          <w:rPr>
            <w:noProof/>
            <w:webHidden/>
          </w:rPr>
          <w:fldChar w:fldCharType="begin"/>
        </w:r>
        <w:r>
          <w:rPr>
            <w:noProof/>
            <w:webHidden/>
          </w:rPr>
          <w:instrText xml:space="preserve"> PAGEREF _Toc203740399 \h </w:instrText>
        </w:r>
        <w:r>
          <w:rPr>
            <w:noProof/>
            <w:webHidden/>
          </w:rPr>
        </w:r>
        <w:r>
          <w:rPr>
            <w:noProof/>
            <w:webHidden/>
          </w:rPr>
          <w:fldChar w:fldCharType="separate"/>
        </w:r>
        <w:r>
          <w:rPr>
            <w:noProof/>
            <w:webHidden/>
          </w:rPr>
          <w:t>19</w:t>
        </w:r>
        <w:r>
          <w:rPr>
            <w:noProof/>
            <w:webHidden/>
          </w:rPr>
          <w:fldChar w:fldCharType="end"/>
        </w:r>
      </w:hyperlink>
    </w:p>
    <w:p w14:paraId="27C66BA4" w14:textId="3BC5EA16" w:rsidR="00BE30BF" w:rsidRDefault="00BE30BF">
      <w:r>
        <w:fldChar w:fldCharType="end"/>
      </w:r>
      <w:r>
        <w:br w:type="page"/>
      </w:r>
    </w:p>
    <w:p w14:paraId="7BC622A2" w14:textId="77777777" w:rsidR="008F6185" w:rsidRPr="006063BC" w:rsidRDefault="008F6185" w:rsidP="008F6185">
      <w:pPr>
        <w:pStyle w:val="Heading1"/>
        <w:jc w:val="center"/>
        <w:rPr>
          <w:u w:val="single"/>
        </w:rPr>
      </w:pPr>
      <w:bookmarkStart w:id="0" w:name="_Toc203740386"/>
      <w:r w:rsidRPr="006063BC">
        <w:rPr>
          <w:u w:val="single"/>
        </w:rPr>
        <w:lastRenderedPageBreak/>
        <w:t>ALARP Justification</w:t>
      </w:r>
      <w:bookmarkEnd w:id="0"/>
    </w:p>
    <w:p w14:paraId="54D3FBFD" w14:textId="1755ACA8" w:rsidR="008F6185" w:rsidRPr="003E2E7B" w:rsidRDefault="008F6185" w:rsidP="003E2E7B">
      <w:pPr>
        <w:jc w:val="center"/>
        <w:rPr>
          <w:rFonts w:cs="Arial"/>
          <w:u w:val="single"/>
        </w:rPr>
      </w:pPr>
      <w:r w:rsidRPr="006063BC">
        <w:rPr>
          <w:rFonts w:cs="Arial"/>
          <w:u w:val="single"/>
        </w:rPr>
        <w:t>115mm Large Calibre Gun – H4 Physical impact with weapon system</w:t>
      </w:r>
    </w:p>
    <w:p w14:paraId="6687B332" w14:textId="234649BA" w:rsidR="008F6185" w:rsidRPr="006063BC" w:rsidRDefault="008F6185" w:rsidP="008F6185">
      <w:pPr>
        <w:pStyle w:val="Heading2"/>
        <w:rPr>
          <w:lang w:eastAsia="en-GB"/>
        </w:rPr>
      </w:pPr>
      <w:bookmarkStart w:id="1" w:name="_Toc203740387"/>
      <w:r w:rsidRPr="006063BC">
        <w:rPr>
          <w:lang w:eastAsia="en-GB"/>
        </w:rPr>
        <w:t>Introduction</w:t>
      </w:r>
      <w:bookmarkEnd w:id="1"/>
    </w:p>
    <w:p w14:paraId="34306FA8" w14:textId="472636A6" w:rsidR="008F6185" w:rsidRPr="006063BC" w:rsidRDefault="008F6185" w:rsidP="008F6185">
      <w:pPr>
        <w:rPr>
          <w:rFonts w:cs="Arial"/>
        </w:rPr>
      </w:pPr>
      <w:r w:rsidRPr="006063BC">
        <w:rPr>
          <w:rFonts w:cs="Arial"/>
        </w:rPr>
        <w:t>This document is written to detail the mitigations and justifications which warrant the risks being classified as As Low As Reasonably Practicable for hazard H4 – Physical impact with the weapon system for a 115mm large calibre gun.</w:t>
      </w:r>
    </w:p>
    <w:p w14:paraId="08574DFD" w14:textId="30EA148C" w:rsidR="008F6185" w:rsidRPr="006063BC" w:rsidRDefault="008F6185" w:rsidP="008F6185">
      <w:pPr>
        <w:rPr>
          <w:rFonts w:cs="Arial"/>
        </w:rPr>
      </w:pPr>
      <w:r w:rsidRPr="006063BC">
        <w:rPr>
          <w:rFonts w:cs="Arial"/>
          <w:color w:val="212121"/>
          <w:lang w:eastAsia="en-GB"/>
        </w:rPr>
        <w:t xml:space="preserve">The scope of the ALARP justification </w:t>
      </w:r>
      <w:r w:rsidRPr="006063BC">
        <w:rPr>
          <w:rFonts w:cs="Arial"/>
        </w:rPr>
        <w:t>covers the risk to people coming to harm from contact with the weapon system at any stage of the systems life. The hazard is significant due to the mass and momentum, as well as the likelihood of sharp or protruding edges causing harm to personnel during handling, transportation, training, firing and maintenance.</w:t>
      </w:r>
    </w:p>
    <w:p w14:paraId="75562CEF" w14:textId="23365A05" w:rsidR="008F6185" w:rsidRPr="006063BC" w:rsidRDefault="008F6185" w:rsidP="008F6185">
      <w:pPr>
        <w:pStyle w:val="Heading2"/>
      </w:pPr>
      <w:bookmarkStart w:id="2" w:name="_Toc203740388"/>
      <w:r w:rsidRPr="006063BC">
        <w:t>System/ Activity Description</w:t>
      </w:r>
      <w:bookmarkEnd w:id="2"/>
      <w:r w:rsidRPr="006063BC">
        <w:t xml:space="preserve"> </w:t>
      </w:r>
    </w:p>
    <w:p w14:paraId="5BBFF4EF" w14:textId="24E45C3A" w:rsidR="00162C52" w:rsidRDefault="008F6185" w:rsidP="000D6AAF">
      <w:pPr>
        <w:jc w:val="left"/>
        <w:rPr>
          <w:rFonts w:cs="Arial"/>
        </w:rPr>
      </w:pPr>
      <w:r w:rsidRPr="006063BC">
        <w:rPr>
          <w:rFonts w:cs="Arial"/>
        </w:rPr>
        <w:t>The risk of physical impact</w:t>
      </w:r>
      <w:r w:rsidR="000D6AAF">
        <w:rPr>
          <w:rFonts w:cs="Arial"/>
        </w:rPr>
        <w:t xml:space="preserve"> predominately</w:t>
      </w:r>
      <w:r w:rsidRPr="006063BC">
        <w:rPr>
          <w:rFonts w:cs="Arial"/>
        </w:rPr>
        <w:t xml:space="preserve"> sits within the Demonstration, Manufacture, In-service, and Disposal sections of the CADMID cycle, although mitigations have been considered throughout the full cycle including Concept and Assessment.</w:t>
      </w:r>
      <w:r w:rsidR="00792965">
        <w:rPr>
          <w:rFonts w:cs="Arial"/>
        </w:rPr>
        <w:t xml:space="preserve"> A</w:t>
      </w:r>
      <w:r w:rsidR="00263DA2">
        <w:rPr>
          <w:rFonts w:cs="Arial"/>
        </w:rPr>
        <w:t>ctivities</w:t>
      </w:r>
      <w:r w:rsidR="00792965">
        <w:rPr>
          <w:rFonts w:cs="Arial"/>
        </w:rPr>
        <w:t xml:space="preserve"> highlighted </w:t>
      </w:r>
      <w:r w:rsidR="00263DA2">
        <w:rPr>
          <w:rFonts w:cs="Arial"/>
        </w:rPr>
        <w:t>as</w:t>
      </w:r>
      <w:r w:rsidR="00792965">
        <w:rPr>
          <w:rFonts w:cs="Arial"/>
        </w:rPr>
        <w:t xml:space="preserve"> particular</w:t>
      </w:r>
      <w:r w:rsidR="00263DA2">
        <w:rPr>
          <w:rFonts w:cs="Arial"/>
        </w:rPr>
        <w:t>ly high</w:t>
      </w:r>
      <w:r w:rsidR="00792965">
        <w:rPr>
          <w:rFonts w:cs="Arial"/>
        </w:rPr>
        <w:t xml:space="preserve"> risk include the firing and targeting of the weapon system</w:t>
      </w:r>
      <w:r w:rsidR="00D07B2D">
        <w:rPr>
          <w:rFonts w:cs="Arial"/>
        </w:rPr>
        <w:t xml:space="preserve"> due to its movement. The transporting of the weapon system and its components</w:t>
      </w:r>
      <w:r w:rsidR="00263DA2">
        <w:rPr>
          <w:rFonts w:cs="Arial"/>
        </w:rPr>
        <w:t xml:space="preserve">. </w:t>
      </w:r>
    </w:p>
    <w:p w14:paraId="606FAE41" w14:textId="593A26E5" w:rsidR="00FC4826" w:rsidRPr="00FC4826" w:rsidRDefault="00FC4826" w:rsidP="000D6AAF">
      <w:pPr>
        <w:jc w:val="left"/>
        <w:rPr>
          <w:rFonts w:cs="Arial"/>
        </w:rPr>
      </w:pPr>
      <w:sdt>
        <w:sdtPr>
          <w:rPr>
            <w:rFonts w:cs="Arial"/>
          </w:rPr>
          <w:id w:val="1134210886"/>
          <w:citation/>
        </w:sdtPr>
        <w:sdtContent>
          <w:r>
            <w:rPr>
              <w:rFonts w:cs="Arial"/>
            </w:rPr>
            <w:fldChar w:fldCharType="begin"/>
          </w:r>
          <w:r>
            <w:rPr>
              <w:rFonts w:cs="Arial"/>
            </w:rPr>
            <w:instrText xml:space="preserve"> CITATION Eur24 \l 2057 </w:instrText>
          </w:r>
          <w:r>
            <w:rPr>
              <w:rFonts w:cs="Arial"/>
            </w:rPr>
            <w:fldChar w:fldCharType="separate"/>
          </w:r>
          <w:r w:rsidRPr="00FC4826">
            <w:rPr>
              <w:rFonts w:cs="Arial"/>
              <w:noProof/>
            </w:rPr>
            <w:t>[1]</w:t>
          </w:r>
          <w:r>
            <w:rPr>
              <w:rFonts w:cs="Arial"/>
            </w:rPr>
            <w:fldChar w:fldCharType="end"/>
          </w:r>
        </w:sdtContent>
      </w:sdt>
      <w:r>
        <w:rPr>
          <w:rFonts w:cs="Arial"/>
        </w:rPr>
        <w:t xml:space="preserve"> During 2022, more than a quarter (27.4%) of fatal accidents at work in the EU resulted from losing control of a machine, tool or transport/handling equipment.</w:t>
      </w:r>
    </w:p>
    <w:p w14:paraId="1778CDCA" w14:textId="7A4C408F" w:rsidR="008F6185" w:rsidRPr="006063BC" w:rsidRDefault="008F6185" w:rsidP="008F6185">
      <w:pPr>
        <w:pStyle w:val="Heading2"/>
        <w:rPr>
          <w:color w:val="212121"/>
          <w:lang w:eastAsia="en-GB"/>
        </w:rPr>
      </w:pPr>
      <w:bookmarkStart w:id="3" w:name="_Toc203740389"/>
      <w:r w:rsidRPr="006063BC">
        <w:t>Risk Assessment Summary</w:t>
      </w:r>
      <w:bookmarkEnd w:id="3"/>
    </w:p>
    <w:p w14:paraId="6DBCF4B5" w14:textId="2BC1B715" w:rsidR="008F6185" w:rsidRDefault="008F6185" w:rsidP="008F6185">
      <w:pPr>
        <w:rPr>
          <w:rFonts w:cs="Arial"/>
          <w:color w:val="212121"/>
          <w:lang w:eastAsia="en-GB"/>
        </w:rPr>
      </w:pPr>
      <w:r w:rsidRPr="006063BC">
        <w:rPr>
          <w:rFonts w:cs="Arial"/>
          <w:color w:val="212121"/>
          <w:lang w:eastAsia="en-GB"/>
        </w:rPr>
        <w:t xml:space="preserve">The hazard ID given for Physical impact with the weapon system is recorded as H4. The outcomes identified were personnel injury – such as crushing, fractures, cuts and bruises, or blunt force trauma. Several causes were identified which could increase the likelihood of personnel injury. They include the lack of or incorrect use of PPE, the lack of or failure to follow procedures, proximity to the weapon system whilst in use (especially whilst the weapon system is moving), </w:t>
      </w:r>
      <w:r w:rsidRPr="006063BC">
        <w:rPr>
          <w:rFonts w:cs="Arial"/>
          <w:color w:val="212121"/>
          <w:lang w:eastAsia="en-GB"/>
        </w:rPr>
        <w:lastRenderedPageBreak/>
        <w:t xml:space="preserve">slips, trips and falls, sharp or proceeding parts of the weapon system, improper use of the weapon system, the incorrect storage of the weapon system and its components, or the system or its components being incorrectly loaded during transportation. The </w:t>
      </w:r>
      <w:r w:rsidR="00C96E75" w:rsidRPr="006063BC">
        <w:rPr>
          <w:rFonts w:cs="Arial"/>
          <w:color w:val="212121"/>
          <w:lang w:eastAsia="en-GB"/>
        </w:rPr>
        <w:t>initial</w:t>
      </w:r>
      <w:r w:rsidRPr="006063BC">
        <w:rPr>
          <w:rFonts w:cs="Arial"/>
          <w:color w:val="212121"/>
          <w:lang w:eastAsia="en-GB"/>
        </w:rPr>
        <w:t xml:space="preserve"> risk estimate has been calculated as Risk Level A, based on the likelihood of an accident happening being frequent and the severity moderate.</w:t>
      </w:r>
    </w:p>
    <w:p w14:paraId="21B70DD2" w14:textId="0CCE966A" w:rsidR="007276AC" w:rsidRPr="003A4B79" w:rsidRDefault="007276AC" w:rsidP="008F6185">
      <w:pPr>
        <w:rPr>
          <w:rFonts w:cs="Arial"/>
          <w:color w:val="212121"/>
          <w:lang w:eastAsia="en-GB"/>
        </w:rPr>
      </w:pPr>
      <w:r>
        <w:rPr>
          <w:rFonts w:cs="Arial"/>
          <w:color w:val="212121"/>
          <w:lang w:eastAsia="en-GB"/>
        </w:rPr>
        <w:t xml:space="preserve">The </w:t>
      </w:r>
      <w:r w:rsidR="001A7820">
        <w:rPr>
          <w:rFonts w:cs="Arial"/>
          <w:color w:val="212121"/>
          <w:lang w:eastAsia="en-GB"/>
        </w:rPr>
        <w:t xml:space="preserve">likelihood, severity and risk rating has been calculated using </w:t>
      </w:r>
      <w:r w:rsidR="00C36F72">
        <w:rPr>
          <w:rFonts w:cs="Arial"/>
          <w:color w:val="212121"/>
          <w:lang w:eastAsia="en-GB"/>
        </w:rPr>
        <w:t xml:space="preserve">the definitions from </w:t>
      </w:r>
      <w:sdt>
        <w:sdtPr>
          <w:rPr>
            <w:rFonts w:cs="Arial"/>
            <w:color w:val="212121"/>
            <w:lang w:eastAsia="en-GB"/>
          </w:rPr>
          <w:id w:val="-596329838"/>
          <w:citation/>
        </w:sdtPr>
        <w:sdtContent>
          <w:r w:rsidR="003C25D4">
            <w:rPr>
              <w:rFonts w:cs="Arial"/>
              <w:color w:val="212121"/>
              <w:lang w:eastAsia="en-GB"/>
            </w:rPr>
            <w:fldChar w:fldCharType="begin"/>
          </w:r>
          <w:r w:rsidR="009C4F26">
            <w:rPr>
              <w:rFonts w:cs="Arial"/>
              <w:color w:val="212121"/>
              <w:lang w:eastAsia="en-GB"/>
            </w:rPr>
            <w:instrText xml:space="preserve">CITATION Def24 \l 2057 </w:instrText>
          </w:r>
          <w:r w:rsidR="003C25D4">
            <w:rPr>
              <w:rFonts w:cs="Arial"/>
              <w:color w:val="212121"/>
              <w:lang w:eastAsia="en-GB"/>
            </w:rPr>
            <w:fldChar w:fldCharType="separate"/>
          </w:r>
          <w:r w:rsidR="009C4F26" w:rsidRPr="009C4F26">
            <w:rPr>
              <w:rFonts w:cs="Arial"/>
              <w:noProof/>
              <w:color w:val="212121"/>
              <w:lang w:eastAsia="en-GB"/>
            </w:rPr>
            <w:t>[2]</w:t>
          </w:r>
          <w:r w:rsidR="003C25D4">
            <w:rPr>
              <w:rFonts w:cs="Arial"/>
              <w:color w:val="212121"/>
              <w:lang w:eastAsia="en-GB"/>
            </w:rPr>
            <w:fldChar w:fldCharType="end"/>
          </w:r>
        </w:sdtContent>
      </w:sdt>
      <w:r w:rsidR="00C36F72">
        <w:rPr>
          <w:rFonts w:cs="Arial"/>
          <w:color w:val="212121"/>
          <w:lang w:eastAsia="en-GB"/>
        </w:rPr>
        <w:t xml:space="preserve"> DSA03. OME Part 1.</w:t>
      </w:r>
    </w:p>
    <w:p w14:paraId="0504BDF7" w14:textId="77777777" w:rsidR="008F6185" w:rsidRPr="006063BC" w:rsidRDefault="008F6185" w:rsidP="006063BC">
      <w:pPr>
        <w:pStyle w:val="Heading2"/>
        <w:rPr>
          <w:lang w:eastAsia="en-GB"/>
        </w:rPr>
      </w:pPr>
      <w:bookmarkStart w:id="4" w:name="_Toc203740390"/>
      <w:r w:rsidRPr="006063BC">
        <w:rPr>
          <w:lang w:eastAsia="en-GB"/>
        </w:rPr>
        <w:t>Risk Reduction Measures</w:t>
      </w:r>
      <w:bookmarkEnd w:id="4"/>
    </w:p>
    <w:p w14:paraId="0DB8D10F" w14:textId="761FC4B4" w:rsidR="008F6185" w:rsidRPr="00F1552B" w:rsidRDefault="008F6185" w:rsidP="008F6185">
      <w:pPr>
        <w:rPr>
          <w:rFonts w:cs="Arial"/>
          <w:color w:val="212121"/>
          <w:lang w:eastAsia="en-GB"/>
        </w:rPr>
      </w:pPr>
      <w:r w:rsidRPr="00F1552B">
        <w:rPr>
          <w:rFonts w:cs="Arial"/>
          <w:color w:val="212121"/>
          <w:lang w:eastAsia="en-GB"/>
        </w:rPr>
        <w:t>Many risk reduction measures have been identified which could reduce the likelihood of an accident.</w:t>
      </w:r>
      <w:r w:rsidR="0028570D" w:rsidRPr="00F1552B">
        <w:rPr>
          <w:rFonts w:cs="Arial"/>
          <w:color w:val="212121"/>
          <w:lang w:eastAsia="en-GB"/>
        </w:rPr>
        <w:t xml:space="preserve"> The</w:t>
      </w:r>
      <w:r w:rsidR="00491994" w:rsidRPr="00F1552B">
        <w:rPr>
          <w:rFonts w:cs="Arial"/>
          <w:color w:val="212121"/>
          <w:lang w:eastAsia="en-GB"/>
        </w:rPr>
        <w:t>y have been listed below with justification of what makes them suitable to reduce the risk of the hazard to an ALARP state.</w:t>
      </w:r>
    </w:p>
    <w:p w14:paraId="3B1658DF" w14:textId="73EC391C" w:rsidR="00F63271" w:rsidRPr="00F1552B" w:rsidRDefault="00046F4A" w:rsidP="003E2E7B">
      <w:pPr>
        <w:jc w:val="left"/>
        <w:rPr>
          <w:rFonts w:cs="Arial"/>
          <w:color w:val="212121"/>
          <w:lang w:eastAsia="en-GB"/>
        </w:rPr>
      </w:pPr>
      <w:r w:rsidRPr="00F1552B">
        <w:rPr>
          <w:rFonts w:cs="Arial"/>
          <w:color w:val="212121"/>
          <w:lang w:eastAsia="en-GB"/>
        </w:rPr>
        <w:t>Training is a</w:t>
      </w:r>
      <w:r w:rsidR="006C1C36" w:rsidRPr="00F1552B">
        <w:rPr>
          <w:rFonts w:cs="Arial"/>
          <w:color w:val="212121"/>
          <w:lang w:eastAsia="en-GB"/>
        </w:rPr>
        <w:t xml:space="preserve"> fundamental control measure mandated for any hazardous MoD activities. </w:t>
      </w:r>
      <w:r w:rsidR="00D251D3" w:rsidRPr="00F1552B">
        <w:rPr>
          <w:rFonts w:cs="Arial"/>
          <w:color w:val="212121"/>
          <w:lang w:eastAsia="en-GB"/>
        </w:rPr>
        <w:t xml:space="preserve">Sufficient training </w:t>
      </w:r>
      <w:r w:rsidR="00D55010" w:rsidRPr="00F1552B">
        <w:rPr>
          <w:rFonts w:cs="Arial"/>
          <w:color w:val="212121"/>
          <w:lang w:eastAsia="en-GB"/>
        </w:rPr>
        <w:t>should</w:t>
      </w:r>
      <w:r w:rsidR="00D251D3" w:rsidRPr="00F1552B">
        <w:rPr>
          <w:rFonts w:cs="Arial"/>
          <w:color w:val="212121"/>
          <w:lang w:eastAsia="en-GB"/>
        </w:rPr>
        <w:t xml:space="preserve"> be complete</w:t>
      </w:r>
      <w:r w:rsidR="003328D2" w:rsidRPr="00F1552B">
        <w:rPr>
          <w:rFonts w:cs="Arial"/>
          <w:color w:val="212121"/>
          <w:lang w:eastAsia="en-GB"/>
        </w:rPr>
        <w:t xml:space="preserve">d </w:t>
      </w:r>
      <w:r w:rsidR="003E2E7B" w:rsidRPr="00F1552B">
        <w:rPr>
          <w:rFonts w:cs="Arial"/>
          <w:color w:val="212121"/>
          <w:lang w:eastAsia="en-GB"/>
        </w:rPr>
        <w:t>by any personnel before using the weapon system.</w:t>
      </w:r>
      <w:r w:rsidR="00220476" w:rsidRPr="00F1552B">
        <w:rPr>
          <w:rFonts w:cs="Arial"/>
          <w:color w:val="212121"/>
          <w:lang w:eastAsia="en-GB"/>
        </w:rPr>
        <w:t xml:space="preserve"> </w:t>
      </w:r>
      <w:sdt>
        <w:sdtPr>
          <w:rPr>
            <w:rFonts w:cs="Arial"/>
            <w:color w:val="212121"/>
            <w:lang w:eastAsia="en-GB"/>
          </w:rPr>
          <w:id w:val="774526024"/>
          <w:citation/>
        </w:sdtPr>
        <w:sdtContent>
          <w:r w:rsidR="00220476" w:rsidRPr="00F1552B">
            <w:rPr>
              <w:rFonts w:cs="Arial"/>
              <w:color w:val="212121"/>
              <w:lang w:eastAsia="en-GB"/>
            </w:rPr>
            <w:fldChar w:fldCharType="begin"/>
          </w:r>
          <w:r w:rsidR="009C4F26">
            <w:rPr>
              <w:rFonts w:cs="Arial"/>
              <w:color w:val="212121"/>
              <w:lang w:eastAsia="en-GB"/>
            </w:rPr>
            <w:instrText xml:space="preserve">CITATION Min24 \l 2057 </w:instrText>
          </w:r>
          <w:r w:rsidR="00220476" w:rsidRPr="00F1552B">
            <w:rPr>
              <w:rFonts w:cs="Arial"/>
              <w:color w:val="212121"/>
              <w:lang w:eastAsia="en-GB"/>
            </w:rPr>
            <w:fldChar w:fldCharType="separate"/>
          </w:r>
          <w:r w:rsidR="009C4F26" w:rsidRPr="009C4F26">
            <w:rPr>
              <w:rFonts w:cs="Arial"/>
              <w:noProof/>
              <w:color w:val="212121"/>
              <w:lang w:eastAsia="en-GB"/>
            </w:rPr>
            <w:t>[3]</w:t>
          </w:r>
          <w:r w:rsidR="00220476" w:rsidRPr="00F1552B">
            <w:rPr>
              <w:rFonts w:cs="Arial"/>
              <w:color w:val="212121"/>
              <w:lang w:eastAsia="en-GB"/>
            </w:rPr>
            <w:fldChar w:fldCharType="end"/>
          </w:r>
        </w:sdtContent>
      </w:sdt>
      <w:r w:rsidR="00DA5419" w:rsidRPr="00F1552B">
        <w:rPr>
          <w:rFonts w:cs="Arial"/>
          <w:color w:val="212121"/>
          <w:lang w:eastAsia="en-GB"/>
        </w:rPr>
        <w:t xml:space="preserve"> </w:t>
      </w:r>
      <w:r w:rsidR="00F10C41" w:rsidRPr="00F1552B">
        <w:rPr>
          <w:rFonts w:cs="Arial"/>
          <w:color w:val="212121"/>
          <w:lang w:eastAsia="en-GB"/>
        </w:rPr>
        <w:t>JSP 822</w:t>
      </w:r>
      <w:r w:rsidR="00FB1DDF" w:rsidRPr="00F1552B">
        <w:rPr>
          <w:rFonts w:cs="Arial"/>
          <w:color w:val="212121"/>
          <w:lang w:eastAsia="en-GB"/>
        </w:rPr>
        <w:t xml:space="preserve"> Defence System Approach to Training (DSAT)</w:t>
      </w:r>
      <w:r w:rsidR="00F10C41" w:rsidRPr="00F1552B">
        <w:rPr>
          <w:rFonts w:cs="Arial"/>
          <w:color w:val="212121"/>
          <w:lang w:eastAsia="en-GB"/>
        </w:rPr>
        <w:t xml:space="preserve"> should be followed </w:t>
      </w:r>
      <w:r w:rsidR="00870F3E" w:rsidRPr="00F1552B">
        <w:rPr>
          <w:rFonts w:cs="Arial"/>
          <w:color w:val="212121"/>
          <w:lang w:eastAsia="en-GB"/>
        </w:rPr>
        <w:t>when writing this training to ensure it is standardised</w:t>
      </w:r>
      <w:r w:rsidR="00855D55" w:rsidRPr="00F1552B">
        <w:rPr>
          <w:rFonts w:cs="Arial"/>
          <w:color w:val="212121"/>
          <w:lang w:eastAsia="en-GB"/>
        </w:rPr>
        <w:t xml:space="preserve">. Personnel </w:t>
      </w:r>
      <w:r w:rsidR="00EA53E3" w:rsidRPr="00F1552B">
        <w:rPr>
          <w:rFonts w:cs="Arial"/>
          <w:color w:val="212121"/>
          <w:lang w:eastAsia="en-GB"/>
        </w:rPr>
        <w:t>will be trained in safe weapon handling, the operating procedures, weapon danger areas and hazard awareness.</w:t>
      </w:r>
    </w:p>
    <w:p w14:paraId="75A70CB8" w14:textId="54A82617" w:rsidR="00CC1FE3" w:rsidRPr="00F1552B" w:rsidRDefault="00CC1FE3" w:rsidP="003E2E7B">
      <w:pPr>
        <w:jc w:val="left"/>
        <w:rPr>
          <w:rFonts w:cs="Arial"/>
          <w:color w:val="212121"/>
          <w:lang w:eastAsia="en-GB"/>
        </w:rPr>
      </w:pPr>
      <w:r w:rsidRPr="00F1552B">
        <w:rPr>
          <w:rFonts w:cs="Arial"/>
          <w:color w:val="212121"/>
          <w:lang w:eastAsia="en-GB"/>
        </w:rPr>
        <w:t>Training is low cost and highly</w:t>
      </w:r>
      <w:r w:rsidR="005452D1" w:rsidRPr="00F1552B">
        <w:rPr>
          <w:rFonts w:cs="Arial"/>
          <w:color w:val="212121"/>
          <w:lang w:eastAsia="en-GB"/>
        </w:rPr>
        <w:t xml:space="preserve"> efficient at reducing </w:t>
      </w:r>
      <w:r w:rsidR="0006449D" w:rsidRPr="00F1552B">
        <w:rPr>
          <w:rFonts w:cs="Arial"/>
          <w:color w:val="212121"/>
          <w:lang w:eastAsia="en-GB"/>
        </w:rPr>
        <w:t xml:space="preserve">human errors, which is a </w:t>
      </w:r>
      <w:r w:rsidR="00FD2258" w:rsidRPr="00F1552B">
        <w:rPr>
          <w:rFonts w:cs="Arial"/>
          <w:color w:val="212121"/>
          <w:lang w:eastAsia="en-GB"/>
        </w:rPr>
        <w:t>primary contributor to this hazard.</w:t>
      </w:r>
    </w:p>
    <w:p w14:paraId="35036175" w14:textId="63691158" w:rsidR="00AB1520" w:rsidRPr="00F1552B" w:rsidRDefault="00E72AF3" w:rsidP="00D9380E">
      <w:pPr>
        <w:jc w:val="left"/>
        <w:rPr>
          <w:rFonts w:cs="Arial"/>
          <w:color w:val="212121"/>
          <w:lang w:eastAsia="en-GB"/>
        </w:rPr>
      </w:pPr>
      <w:r w:rsidRPr="00F1552B">
        <w:rPr>
          <w:rFonts w:cs="Arial"/>
          <w:color w:val="212121"/>
          <w:lang w:eastAsia="en-GB"/>
        </w:rPr>
        <w:t xml:space="preserve">PPE </w:t>
      </w:r>
      <w:r w:rsidR="00D9380E" w:rsidRPr="00F1552B">
        <w:rPr>
          <w:rFonts w:cs="Arial"/>
          <w:color w:val="212121"/>
          <w:lang w:eastAsia="en-GB"/>
        </w:rPr>
        <w:t>must</w:t>
      </w:r>
      <w:r w:rsidRPr="00F1552B">
        <w:rPr>
          <w:rFonts w:cs="Arial"/>
          <w:color w:val="212121"/>
          <w:lang w:eastAsia="en-GB"/>
        </w:rPr>
        <w:t xml:space="preserve"> be provided and its use enforced. </w:t>
      </w:r>
      <w:r w:rsidR="00713F18" w:rsidRPr="00F1552B">
        <w:rPr>
          <w:rFonts w:cs="Arial"/>
          <w:color w:val="212121"/>
          <w:lang w:eastAsia="en-GB"/>
        </w:rPr>
        <w:t xml:space="preserve">The </w:t>
      </w:r>
      <w:sdt>
        <w:sdtPr>
          <w:rPr>
            <w:rFonts w:cs="Arial"/>
            <w:color w:val="212121"/>
            <w:lang w:eastAsia="en-GB"/>
          </w:rPr>
          <w:id w:val="-1072124894"/>
          <w:citation/>
        </w:sdtPr>
        <w:sdtContent>
          <w:r w:rsidR="00713F18" w:rsidRPr="00F1552B">
            <w:rPr>
              <w:rFonts w:cs="Arial"/>
              <w:color w:val="212121"/>
              <w:lang w:eastAsia="en-GB"/>
            </w:rPr>
            <w:fldChar w:fldCharType="begin"/>
          </w:r>
          <w:r w:rsidR="00713F18" w:rsidRPr="00F1552B">
            <w:rPr>
              <w:rFonts w:cs="Arial"/>
              <w:color w:val="212121"/>
              <w:lang w:eastAsia="en-GB"/>
            </w:rPr>
            <w:instrText xml:space="preserve"> CITATION Hea22 \l 2057 </w:instrText>
          </w:r>
          <w:r w:rsidR="00713F18" w:rsidRPr="00F1552B">
            <w:rPr>
              <w:rFonts w:cs="Arial"/>
              <w:color w:val="212121"/>
              <w:lang w:eastAsia="en-GB"/>
            </w:rPr>
            <w:fldChar w:fldCharType="separate"/>
          </w:r>
          <w:r w:rsidR="00713F18" w:rsidRPr="00F1552B">
            <w:rPr>
              <w:rFonts w:cs="Arial"/>
              <w:noProof/>
              <w:color w:val="212121"/>
              <w:lang w:eastAsia="en-GB"/>
            </w:rPr>
            <w:t>[2]</w:t>
          </w:r>
          <w:r w:rsidR="00713F18" w:rsidRPr="00F1552B">
            <w:rPr>
              <w:rFonts w:cs="Arial"/>
              <w:color w:val="212121"/>
              <w:lang w:eastAsia="en-GB"/>
            </w:rPr>
            <w:fldChar w:fldCharType="end"/>
          </w:r>
        </w:sdtContent>
      </w:sdt>
      <w:r w:rsidR="00713F18" w:rsidRPr="00F1552B">
        <w:rPr>
          <w:rFonts w:cs="Arial"/>
          <w:color w:val="212121"/>
          <w:lang w:eastAsia="en-GB"/>
        </w:rPr>
        <w:t xml:space="preserve"> PPE at work regulations 2022 </w:t>
      </w:r>
      <w:r w:rsidR="00E7482A" w:rsidRPr="00F1552B">
        <w:rPr>
          <w:rFonts w:cs="Arial"/>
          <w:color w:val="212121"/>
          <w:lang w:eastAsia="en-GB"/>
        </w:rPr>
        <w:t xml:space="preserve">requires employers </w:t>
      </w:r>
      <w:r w:rsidR="00D634A8" w:rsidRPr="00F1552B">
        <w:rPr>
          <w:rFonts w:cs="Arial"/>
          <w:color w:val="212121"/>
          <w:lang w:eastAsia="en-GB"/>
        </w:rPr>
        <w:t xml:space="preserve">to provide suitable PPE free of charge </w:t>
      </w:r>
      <w:r w:rsidR="001354BA" w:rsidRPr="00F1552B">
        <w:rPr>
          <w:rFonts w:cs="Arial"/>
          <w:color w:val="212121"/>
          <w:lang w:eastAsia="en-GB"/>
        </w:rPr>
        <w:t xml:space="preserve">to workers if a risk assessment </w:t>
      </w:r>
      <w:r w:rsidR="00D02A11" w:rsidRPr="00F1552B">
        <w:rPr>
          <w:rFonts w:cs="Arial"/>
          <w:color w:val="212121"/>
          <w:lang w:eastAsia="en-GB"/>
        </w:rPr>
        <w:t>indicates its necessary.</w:t>
      </w:r>
      <w:r w:rsidR="00B254BF" w:rsidRPr="00F1552B">
        <w:rPr>
          <w:rFonts w:cs="Arial"/>
          <w:color w:val="212121"/>
          <w:lang w:eastAsia="en-GB"/>
        </w:rPr>
        <w:t xml:space="preserve"> It is recommended that ballistic helmets, hearing protection, temperature protection gloves, </w:t>
      </w:r>
      <w:r w:rsidR="006B25D7" w:rsidRPr="00F1552B">
        <w:rPr>
          <w:rFonts w:cs="Arial"/>
          <w:color w:val="212121"/>
          <w:lang w:eastAsia="en-GB"/>
        </w:rPr>
        <w:t>body armour and boots are worn.</w:t>
      </w:r>
    </w:p>
    <w:p w14:paraId="1BA7BE93" w14:textId="37BC7FE3" w:rsidR="009450D1" w:rsidRPr="00F1552B" w:rsidRDefault="00960CC4" w:rsidP="00D9380E">
      <w:pPr>
        <w:jc w:val="left"/>
        <w:rPr>
          <w:rFonts w:cs="Arial"/>
          <w:color w:val="212121"/>
          <w:lang w:eastAsia="en-GB"/>
        </w:rPr>
      </w:pPr>
      <w:r w:rsidRPr="00F1552B">
        <w:rPr>
          <w:rFonts w:cs="Arial"/>
          <w:color w:val="212121"/>
          <w:lang w:eastAsia="en-GB"/>
        </w:rPr>
        <w:t xml:space="preserve">The use of PPE will </w:t>
      </w:r>
      <w:r w:rsidR="00140D48" w:rsidRPr="00F1552B">
        <w:rPr>
          <w:rFonts w:cs="Arial"/>
          <w:color w:val="212121"/>
          <w:lang w:eastAsia="en-GB"/>
        </w:rPr>
        <w:t>reduce the severity of any incidents that happen.</w:t>
      </w:r>
    </w:p>
    <w:p w14:paraId="35E3EC1A" w14:textId="27237E0B" w:rsidR="008F237F" w:rsidRPr="00F1552B" w:rsidRDefault="00170B87" w:rsidP="00D90D60">
      <w:pPr>
        <w:jc w:val="left"/>
        <w:rPr>
          <w:rFonts w:cs="Arial"/>
          <w:color w:val="212121"/>
          <w:lang w:eastAsia="en-GB"/>
        </w:rPr>
      </w:pPr>
      <w:r w:rsidRPr="00F1552B">
        <w:rPr>
          <w:rFonts w:cs="Arial"/>
          <w:color w:val="212121"/>
          <w:lang w:eastAsia="en-GB"/>
        </w:rPr>
        <w:t xml:space="preserve">Manual handling </w:t>
      </w:r>
      <w:r w:rsidR="001008EC" w:rsidRPr="00F1552B">
        <w:rPr>
          <w:rFonts w:cs="Arial"/>
          <w:color w:val="212121"/>
          <w:lang w:eastAsia="en-GB"/>
        </w:rPr>
        <w:t xml:space="preserve">protocols and mechanical aids such as cranes or lifting platforms </w:t>
      </w:r>
      <w:r w:rsidR="00D9380E" w:rsidRPr="00F1552B">
        <w:rPr>
          <w:rFonts w:cs="Arial"/>
          <w:color w:val="212121"/>
          <w:lang w:eastAsia="en-GB"/>
        </w:rPr>
        <w:t>should be used</w:t>
      </w:r>
      <w:r w:rsidR="00ED7318" w:rsidRPr="00F1552B">
        <w:rPr>
          <w:rFonts w:cs="Arial"/>
          <w:color w:val="212121"/>
          <w:lang w:eastAsia="en-GB"/>
        </w:rPr>
        <w:t xml:space="preserve"> to prevent </w:t>
      </w:r>
      <w:r w:rsidR="00D9183E" w:rsidRPr="00F1552B">
        <w:rPr>
          <w:rFonts w:cs="Arial"/>
          <w:color w:val="212121"/>
          <w:lang w:eastAsia="en-GB"/>
        </w:rPr>
        <w:t>musculoskeletal injuries</w:t>
      </w:r>
      <w:r w:rsidR="00760E27" w:rsidRPr="00F1552B">
        <w:rPr>
          <w:rFonts w:cs="Arial"/>
          <w:color w:val="212121"/>
          <w:lang w:eastAsia="en-GB"/>
        </w:rPr>
        <w:t xml:space="preserve"> </w:t>
      </w:r>
      <w:r w:rsidR="0006521B" w:rsidRPr="00F1552B">
        <w:rPr>
          <w:rFonts w:cs="Arial"/>
          <w:color w:val="212121"/>
          <w:lang w:eastAsia="en-GB"/>
        </w:rPr>
        <w:t xml:space="preserve">whilst performing lifts. </w:t>
      </w:r>
      <w:sdt>
        <w:sdtPr>
          <w:rPr>
            <w:rFonts w:cs="Arial"/>
            <w:color w:val="212121"/>
            <w:lang w:eastAsia="en-GB"/>
          </w:rPr>
          <w:id w:val="-349487225"/>
          <w:citation/>
        </w:sdtPr>
        <w:sdtContent>
          <w:r w:rsidR="003A5A4A" w:rsidRPr="00F1552B">
            <w:rPr>
              <w:rFonts w:cs="Arial"/>
              <w:color w:val="212121"/>
              <w:lang w:eastAsia="en-GB"/>
            </w:rPr>
            <w:fldChar w:fldCharType="begin"/>
          </w:r>
          <w:r w:rsidR="003A5A4A" w:rsidRPr="00F1552B">
            <w:rPr>
              <w:rFonts w:cs="Arial"/>
              <w:color w:val="212121"/>
              <w:lang w:eastAsia="en-GB"/>
            </w:rPr>
            <w:instrText xml:space="preserve"> CITATION Cos24 \l 2057 </w:instrText>
          </w:r>
          <w:r w:rsidR="003A5A4A" w:rsidRPr="00F1552B">
            <w:rPr>
              <w:rFonts w:cs="Arial"/>
              <w:color w:val="212121"/>
              <w:lang w:eastAsia="en-GB"/>
            </w:rPr>
            <w:fldChar w:fldCharType="separate"/>
          </w:r>
          <w:r w:rsidR="003A5A4A" w:rsidRPr="00F1552B">
            <w:rPr>
              <w:rFonts w:cs="Arial"/>
              <w:noProof/>
              <w:color w:val="212121"/>
              <w:lang w:eastAsia="en-GB"/>
            </w:rPr>
            <w:t>[3]</w:t>
          </w:r>
          <w:r w:rsidR="003A5A4A" w:rsidRPr="00F1552B">
            <w:rPr>
              <w:rFonts w:cs="Arial"/>
              <w:color w:val="212121"/>
              <w:lang w:eastAsia="en-GB"/>
            </w:rPr>
            <w:fldChar w:fldCharType="end"/>
          </w:r>
        </w:sdtContent>
      </w:sdt>
      <w:r w:rsidR="003A5A4A" w:rsidRPr="00F1552B">
        <w:rPr>
          <w:rFonts w:cs="Arial"/>
          <w:color w:val="212121"/>
          <w:lang w:eastAsia="en-GB"/>
        </w:rPr>
        <w:t xml:space="preserve"> LOLER </w:t>
      </w:r>
      <w:r w:rsidR="008F237F" w:rsidRPr="00F1552B">
        <w:rPr>
          <w:rFonts w:cs="Arial"/>
          <w:color w:val="212121"/>
          <w:lang w:eastAsia="en-GB"/>
        </w:rPr>
        <w:lastRenderedPageBreak/>
        <w:t>(Lifting Operations and Lifting Equipment R</w:t>
      </w:r>
      <w:r w:rsidR="003A5A4A" w:rsidRPr="00F1552B">
        <w:rPr>
          <w:rFonts w:cs="Arial"/>
          <w:color w:val="212121"/>
          <w:lang w:eastAsia="en-GB"/>
        </w:rPr>
        <w:t>egulations</w:t>
      </w:r>
      <w:r w:rsidR="00E123A8" w:rsidRPr="00F1552B">
        <w:rPr>
          <w:rFonts w:cs="Arial"/>
          <w:color w:val="212121"/>
          <w:lang w:eastAsia="en-GB"/>
        </w:rPr>
        <w:t>)</w:t>
      </w:r>
      <w:r w:rsidR="003A5A4A" w:rsidRPr="00F1552B">
        <w:rPr>
          <w:rFonts w:cs="Arial"/>
          <w:color w:val="212121"/>
          <w:lang w:eastAsia="en-GB"/>
        </w:rPr>
        <w:t xml:space="preserve"> </w:t>
      </w:r>
      <w:r w:rsidR="008F237F" w:rsidRPr="00F1552B">
        <w:rPr>
          <w:rFonts w:cs="Arial"/>
          <w:color w:val="212121"/>
          <w:lang w:eastAsia="en-GB"/>
        </w:rPr>
        <w:t xml:space="preserve">must be </w:t>
      </w:r>
      <w:r w:rsidR="00E123A8" w:rsidRPr="00F1552B">
        <w:rPr>
          <w:rFonts w:cs="Arial"/>
          <w:color w:val="212121"/>
          <w:lang w:eastAsia="en-GB"/>
        </w:rPr>
        <w:t>followed</w:t>
      </w:r>
      <w:r w:rsidR="00465CA7" w:rsidRPr="00F1552B">
        <w:rPr>
          <w:rFonts w:cs="Arial"/>
          <w:color w:val="212121"/>
          <w:lang w:eastAsia="en-GB"/>
        </w:rPr>
        <w:t xml:space="preserve"> and failure to do so could lead </w:t>
      </w:r>
      <w:r w:rsidR="00897C9E" w:rsidRPr="00F1552B">
        <w:rPr>
          <w:rFonts w:cs="Arial"/>
          <w:color w:val="212121"/>
          <w:lang w:eastAsia="en-GB"/>
        </w:rPr>
        <w:t xml:space="preserve">to </w:t>
      </w:r>
      <w:r w:rsidR="00465CA7" w:rsidRPr="00F1552B">
        <w:rPr>
          <w:rFonts w:cs="Arial"/>
          <w:color w:val="212121"/>
          <w:lang w:eastAsia="en-GB"/>
        </w:rPr>
        <w:t>fines or legal action.</w:t>
      </w:r>
      <w:r w:rsidR="006C574E" w:rsidRPr="00F1552B">
        <w:rPr>
          <w:rFonts w:cs="Arial"/>
          <w:color w:val="212121"/>
          <w:lang w:eastAsia="en-GB"/>
        </w:rPr>
        <w:t xml:space="preserve"> </w:t>
      </w:r>
      <w:sdt>
        <w:sdtPr>
          <w:rPr>
            <w:rFonts w:cs="Arial"/>
            <w:color w:val="212121"/>
            <w:lang w:eastAsia="en-GB"/>
          </w:rPr>
          <w:id w:val="1592817750"/>
          <w:citation/>
        </w:sdtPr>
        <w:sdtContent>
          <w:r w:rsidR="001B4268" w:rsidRPr="00F1552B">
            <w:rPr>
              <w:rFonts w:cs="Arial"/>
              <w:color w:val="212121"/>
              <w:lang w:eastAsia="en-GB"/>
            </w:rPr>
            <w:fldChar w:fldCharType="begin"/>
          </w:r>
          <w:r w:rsidR="009C4F26">
            <w:rPr>
              <w:rFonts w:cs="Arial"/>
              <w:color w:val="212121"/>
              <w:lang w:eastAsia="en-GB"/>
            </w:rPr>
            <w:instrText xml:space="preserve">CITATION Min241 \l 2057 </w:instrText>
          </w:r>
          <w:r w:rsidR="001B4268" w:rsidRPr="00F1552B">
            <w:rPr>
              <w:rFonts w:cs="Arial"/>
              <w:color w:val="212121"/>
              <w:lang w:eastAsia="en-GB"/>
            </w:rPr>
            <w:fldChar w:fldCharType="separate"/>
          </w:r>
          <w:r w:rsidR="009C4F26" w:rsidRPr="009C4F26">
            <w:rPr>
              <w:rFonts w:cs="Arial"/>
              <w:noProof/>
              <w:color w:val="212121"/>
              <w:lang w:eastAsia="en-GB"/>
            </w:rPr>
            <w:t>[6]</w:t>
          </w:r>
          <w:r w:rsidR="001B4268" w:rsidRPr="00F1552B">
            <w:rPr>
              <w:rFonts w:cs="Arial"/>
              <w:color w:val="212121"/>
              <w:lang w:eastAsia="en-GB"/>
            </w:rPr>
            <w:fldChar w:fldCharType="end"/>
          </w:r>
        </w:sdtContent>
      </w:sdt>
      <w:r w:rsidR="001B4268" w:rsidRPr="00F1552B">
        <w:rPr>
          <w:rFonts w:cs="Arial"/>
          <w:color w:val="212121"/>
          <w:lang w:eastAsia="en-GB"/>
        </w:rPr>
        <w:t xml:space="preserve"> JSP 975</w:t>
      </w:r>
      <w:r w:rsidR="00071049" w:rsidRPr="00F1552B">
        <w:rPr>
          <w:rFonts w:cs="Arial"/>
          <w:color w:val="212121"/>
          <w:lang w:eastAsia="en-GB"/>
        </w:rPr>
        <w:t xml:space="preserve"> provides further guidance on safe lifting</w:t>
      </w:r>
      <w:r w:rsidR="008E2828" w:rsidRPr="00F1552B">
        <w:rPr>
          <w:rFonts w:cs="Arial"/>
          <w:color w:val="212121"/>
          <w:lang w:eastAsia="en-GB"/>
        </w:rPr>
        <w:t>, including principles of safe lifting, use of mechanical aids</w:t>
      </w:r>
      <w:r w:rsidR="000D05B9" w:rsidRPr="00F1552B">
        <w:rPr>
          <w:rFonts w:cs="Arial"/>
          <w:color w:val="212121"/>
          <w:lang w:eastAsia="en-GB"/>
        </w:rPr>
        <w:t xml:space="preserve"> and more.</w:t>
      </w:r>
    </w:p>
    <w:p w14:paraId="5AAD11FD" w14:textId="63D1A635" w:rsidR="00331DCE" w:rsidRPr="00F1552B" w:rsidRDefault="00D01362" w:rsidP="00D90D60">
      <w:pPr>
        <w:jc w:val="left"/>
        <w:rPr>
          <w:rFonts w:cs="Arial"/>
          <w:color w:val="212121"/>
          <w:lang w:eastAsia="en-GB"/>
        </w:rPr>
      </w:pPr>
      <w:r w:rsidRPr="00F1552B">
        <w:rPr>
          <w:rFonts w:cs="Arial"/>
          <w:color w:val="212121"/>
          <w:lang w:eastAsia="en-GB"/>
        </w:rPr>
        <w:t>LOLER is a regulation which must be followed</w:t>
      </w:r>
      <w:r w:rsidR="00CB5D1D" w:rsidRPr="00F1552B">
        <w:rPr>
          <w:rFonts w:cs="Arial"/>
          <w:color w:val="212121"/>
          <w:lang w:eastAsia="en-GB"/>
        </w:rPr>
        <w:t xml:space="preserve">. Safe lifting procedures </w:t>
      </w:r>
      <w:r w:rsidR="00602326" w:rsidRPr="00F1552B">
        <w:rPr>
          <w:rFonts w:cs="Arial"/>
          <w:color w:val="212121"/>
          <w:lang w:eastAsia="en-GB"/>
        </w:rPr>
        <w:t>will significantly reduce the risk of health issues and are considered best working practice.</w:t>
      </w:r>
    </w:p>
    <w:p w14:paraId="3B4A67B8" w14:textId="57E5E03C" w:rsidR="008306E3" w:rsidRPr="00F1552B" w:rsidRDefault="004D0D07" w:rsidP="00D90D60">
      <w:pPr>
        <w:jc w:val="left"/>
        <w:rPr>
          <w:rFonts w:cs="Arial"/>
          <w:color w:val="212121"/>
          <w:lang w:eastAsia="en-GB"/>
        </w:rPr>
      </w:pPr>
      <w:r w:rsidRPr="00F1552B">
        <w:rPr>
          <w:rFonts w:cs="Arial"/>
          <w:color w:val="212121"/>
          <w:lang w:eastAsia="en-GB"/>
        </w:rPr>
        <w:t>Regular maintenance sho</w:t>
      </w:r>
      <w:r w:rsidR="00665193" w:rsidRPr="00F1552B">
        <w:rPr>
          <w:rFonts w:cs="Arial"/>
          <w:color w:val="212121"/>
          <w:lang w:eastAsia="en-GB"/>
        </w:rPr>
        <w:t xml:space="preserve">uld be conducted to ensure that the weapon system works as expected and </w:t>
      </w:r>
      <w:r w:rsidR="0052368D" w:rsidRPr="00F1552B">
        <w:rPr>
          <w:rFonts w:cs="Arial"/>
          <w:color w:val="212121"/>
          <w:lang w:eastAsia="en-GB"/>
        </w:rPr>
        <w:t xml:space="preserve">is predictable. Components should be checked to ensure they are still secure and haven’t worked themselves loose through </w:t>
      </w:r>
      <w:r w:rsidR="008F707D" w:rsidRPr="00F1552B">
        <w:rPr>
          <w:rFonts w:cs="Arial"/>
          <w:color w:val="212121"/>
          <w:lang w:eastAsia="en-GB"/>
        </w:rPr>
        <w:t>repetitive firing.</w:t>
      </w:r>
      <w:r w:rsidR="001F694C" w:rsidRPr="00F1552B">
        <w:rPr>
          <w:rFonts w:cs="Arial"/>
          <w:color w:val="212121"/>
          <w:lang w:eastAsia="en-GB"/>
        </w:rPr>
        <w:t xml:space="preserve"> Moving parts like gears should be r</w:t>
      </w:r>
      <w:r w:rsidR="00FB1860" w:rsidRPr="00F1552B">
        <w:rPr>
          <w:rFonts w:cs="Arial"/>
          <w:color w:val="212121"/>
          <w:lang w:eastAsia="en-GB"/>
        </w:rPr>
        <w:t>egularly serviced to ensure movement is free</w:t>
      </w:r>
      <w:r w:rsidR="0074690E" w:rsidRPr="00F1552B">
        <w:rPr>
          <w:rFonts w:cs="Arial"/>
          <w:color w:val="212121"/>
          <w:lang w:eastAsia="en-GB"/>
        </w:rPr>
        <w:t>. Any locking mechanisms should be checked before use</w:t>
      </w:r>
      <w:r w:rsidR="00FA72C4" w:rsidRPr="00F1552B">
        <w:rPr>
          <w:rFonts w:cs="Arial"/>
          <w:color w:val="212121"/>
          <w:lang w:eastAsia="en-GB"/>
        </w:rPr>
        <w:t xml:space="preserve"> to prevent trapping.</w:t>
      </w:r>
      <w:r w:rsidR="00D90D60" w:rsidRPr="00F1552B">
        <w:rPr>
          <w:rFonts w:cs="Arial"/>
          <w:color w:val="212121"/>
          <w:lang w:eastAsia="en-GB"/>
        </w:rPr>
        <w:t xml:space="preserve"> </w:t>
      </w:r>
      <w:sdt>
        <w:sdtPr>
          <w:rPr>
            <w:rFonts w:cs="Arial"/>
            <w:color w:val="212121"/>
            <w:lang w:eastAsia="en-GB"/>
          </w:rPr>
          <w:id w:val="694504994"/>
          <w:citation/>
        </w:sdtPr>
        <w:sdtContent>
          <w:r w:rsidR="008306E3" w:rsidRPr="00F1552B">
            <w:rPr>
              <w:rFonts w:cs="Arial"/>
              <w:color w:val="212121"/>
              <w:lang w:eastAsia="en-GB"/>
            </w:rPr>
            <w:fldChar w:fldCharType="begin"/>
          </w:r>
          <w:r w:rsidR="008306E3" w:rsidRPr="00F1552B">
            <w:rPr>
              <w:rFonts w:cs="Arial"/>
              <w:color w:val="212121"/>
              <w:lang w:eastAsia="en-GB"/>
            </w:rPr>
            <w:instrText xml:space="preserve"> CITATION Heawn \l 2057 </w:instrText>
          </w:r>
          <w:r w:rsidR="008306E3" w:rsidRPr="00F1552B">
            <w:rPr>
              <w:rFonts w:cs="Arial"/>
              <w:color w:val="212121"/>
              <w:lang w:eastAsia="en-GB"/>
            </w:rPr>
            <w:fldChar w:fldCharType="separate"/>
          </w:r>
          <w:r w:rsidR="008306E3" w:rsidRPr="00F1552B">
            <w:rPr>
              <w:rFonts w:cs="Arial"/>
              <w:noProof/>
              <w:color w:val="212121"/>
              <w:lang w:eastAsia="en-GB"/>
            </w:rPr>
            <w:t>[4]</w:t>
          </w:r>
          <w:r w:rsidR="008306E3" w:rsidRPr="00F1552B">
            <w:rPr>
              <w:rFonts w:cs="Arial"/>
              <w:color w:val="212121"/>
              <w:lang w:eastAsia="en-GB"/>
            </w:rPr>
            <w:fldChar w:fldCharType="end"/>
          </w:r>
        </w:sdtContent>
      </w:sdt>
      <w:r w:rsidR="008306E3" w:rsidRPr="00F1552B">
        <w:rPr>
          <w:rFonts w:cs="Arial"/>
          <w:color w:val="212121"/>
          <w:lang w:eastAsia="en-GB"/>
        </w:rPr>
        <w:t xml:space="preserve"> </w:t>
      </w:r>
      <w:r w:rsidR="00D50DD4" w:rsidRPr="00F1552B">
        <w:rPr>
          <w:rFonts w:cs="Arial"/>
          <w:color w:val="212121"/>
          <w:lang w:eastAsia="en-GB"/>
        </w:rPr>
        <w:t xml:space="preserve">PUWER regulation must be followed to ensure </w:t>
      </w:r>
      <w:r w:rsidR="00D90D60" w:rsidRPr="00F1552B">
        <w:rPr>
          <w:rFonts w:cs="Arial"/>
          <w:color w:val="212121"/>
          <w:lang w:eastAsia="en-GB"/>
        </w:rPr>
        <w:t>the safe use of work equipment.</w:t>
      </w:r>
    </w:p>
    <w:p w14:paraId="58216CF8" w14:textId="69FD5990" w:rsidR="00FF7993" w:rsidRPr="00F1552B" w:rsidRDefault="00FF7993" w:rsidP="00882284">
      <w:pPr>
        <w:jc w:val="left"/>
        <w:rPr>
          <w:rFonts w:cs="Arial"/>
          <w:color w:val="212121"/>
          <w:lang w:eastAsia="en-GB"/>
        </w:rPr>
      </w:pPr>
      <w:r w:rsidRPr="00F1552B">
        <w:rPr>
          <w:rFonts w:cs="Arial"/>
          <w:color w:val="212121"/>
          <w:lang w:eastAsia="en-GB"/>
        </w:rPr>
        <w:t xml:space="preserve">Standard operating procedures should be written and followed to </w:t>
      </w:r>
      <w:r w:rsidR="00A126FD" w:rsidRPr="00F1552B">
        <w:rPr>
          <w:rFonts w:cs="Arial"/>
          <w:color w:val="212121"/>
          <w:lang w:eastAsia="en-GB"/>
        </w:rPr>
        <w:t>enforce safe behaviours around the weapon system.</w:t>
      </w:r>
      <w:r w:rsidR="00882284" w:rsidRPr="00F1552B">
        <w:rPr>
          <w:rFonts w:cs="Arial"/>
          <w:color w:val="212121"/>
          <w:lang w:eastAsia="en-GB"/>
        </w:rPr>
        <w:t xml:space="preserve"> The operating procedures </w:t>
      </w:r>
      <w:r w:rsidR="000B0160" w:rsidRPr="00F1552B">
        <w:rPr>
          <w:rFonts w:cs="Arial"/>
          <w:color w:val="212121"/>
          <w:lang w:eastAsia="en-GB"/>
        </w:rPr>
        <w:t>should include exclusion zones and weapon danger areas</w:t>
      </w:r>
      <w:r w:rsidR="000C0AF2" w:rsidRPr="00F1552B">
        <w:rPr>
          <w:rFonts w:cs="Arial"/>
          <w:color w:val="212121"/>
          <w:lang w:eastAsia="en-GB"/>
        </w:rPr>
        <w:t xml:space="preserve">, keeping </w:t>
      </w:r>
      <w:r w:rsidR="001D6246" w:rsidRPr="00F1552B">
        <w:rPr>
          <w:rFonts w:cs="Arial"/>
          <w:color w:val="212121"/>
          <w:lang w:eastAsia="en-GB"/>
        </w:rPr>
        <w:t xml:space="preserve">unnecessary personnel a safe distance from </w:t>
      </w:r>
      <w:r w:rsidR="003D6C4D" w:rsidRPr="00F1552B">
        <w:rPr>
          <w:rFonts w:cs="Arial"/>
          <w:color w:val="212121"/>
          <w:lang w:eastAsia="en-GB"/>
        </w:rPr>
        <w:t>the weapon system in use.</w:t>
      </w:r>
      <w:r w:rsidR="008F1DB2" w:rsidRPr="00F1552B">
        <w:rPr>
          <w:rFonts w:cs="Arial"/>
          <w:color w:val="212121"/>
          <w:lang w:eastAsia="en-GB"/>
        </w:rPr>
        <w:t xml:space="preserve"> Checklists </w:t>
      </w:r>
      <w:r w:rsidR="00927E85" w:rsidRPr="00F1552B">
        <w:rPr>
          <w:rFonts w:cs="Arial"/>
          <w:color w:val="212121"/>
          <w:lang w:eastAsia="en-GB"/>
        </w:rPr>
        <w:t xml:space="preserve">of required </w:t>
      </w:r>
      <w:r w:rsidR="0075639A" w:rsidRPr="00F1552B">
        <w:rPr>
          <w:rFonts w:cs="Arial"/>
          <w:color w:val="212121"/>
          <w:lang w:eastAsia="en-GB"/>
        </w:rPr>
        <w:t xml:space="preserve">important tasks to ensure steps aren’t missed and records are kept. </w:t>
      </w:r>
      <w:r w:rsidR="00E76DB8" w:rsidRPr="00F1552B">
        <w:rPr>
          <w:rFonts w:cs="Arial"/>
          <w:color w:val="212121"/>
          <w:lang w:eastAsia="en-GB"/>
        </w:rPr>
        <w:t xml:space="preserve">Protocols </w:t>
      </w:r>
      <w:r w:rsidR="0086100C" w:rsidRPr="00F1552B">
        <w:rPr>
          <w:rFonts w:cs="Arial"/>
          <w:color w:val="212121"/>
          <w:lang w:eastAsia="en-GB"/>
        </w:rPr>
        <w:t>ensuring personnel know what is expected of them in different situations.</w:t>
      </w:r>
    </w:p>
    <w:p w14:paraId="671F76D5" w14:textId="4DBCF15C" w:rsidR="008C2B10" w:rsidRPr="00F1552B" w:rsidRDefault="008C2B10" w:rsidP="00882284">
      <w:pPr>
        <w:jc w:val="left"/>
        <w:rPr>
          <w:rFonts w:cs="Arial"/>
          <w:color w:val="212121"/>
          <w:lang w:eastAsia="en-GB"/>
        </w:rPr>
      </w:pPr>
      <w:r w:rsidRPr="00F1552B">
        <w:rPr>
          <w:rFonts w:cs="Arial"/>
          <w:color w:val="212121"/>
          <w:lang w:eastAsia="en-GB"/>
        </w:rPr>
        <w:t xml:space="preserve">Operating procedures are </w:t>
      </w:r>
      <w:r w:rsidR="00F847AF" w:rsidRPr="00F1552B">
        <w:rPr>
          <w:rFonts w:cs="Arial"/>
          <w:color w:val="212121"/>
          <w:lang w:eastAsia="en-GB"/>
        </w:rPr>
        <w:t xml:space="preserve">a </w:t>
      </w:r>
      <w:r w:rsidR="00907032" w:rsidRPr="00F1552B">
        <w:rPr>
          <w:rFonts w:cs="Arial"/>
          <w:color w:val="212121"/>
          <w:lang w:eastAsia="en-GB"/>
        </w:rPr>
        <w:t>cost-effective</w:t>
      </w:r>
      <w:r w:rsidR="00F847AF" w:rsidRPr="00F1552B">
        <w:rPr>
          <w:rFonts w:cs="Arial"/>
          <w:color w:val="212121"/>
          <w:lang w:eastAsia="en-GB"/>
        </w:rPr>
        <w:t xml:space="preserve"> way of ensuring consistency and compliance, reducing variability of personnel behaviour</w:t>
      </w:r>
      <w:r w:rsidR="00907032" w:rsidRPr="00F1552B">
        <w:rPr>
          <w:rFonts w:cs="Arial"/>
          <w:color w:val="212121"/>
          <w:lang w:eastAsia="en-GB"/>
        </w:rPr>
        <w:t>.</w:t>
      </w:r>
    </w:p>
    <w:p w14:paraId="4BDC718C" w14:textId="1564AC68" w:rsidR="008C2B10" w:rsidRPr="00F1552B" w:rsidRDefault="008C2B10" w:rsidP="00882284">
      <w:pPr>
        <w:jc w:val="left"/>
        <w:rPr>
          <w:rFonts w:cs="Arial"/>
          <w:color w:val="212121"/>
          <w:lang w:eastAsia="en-GB"/>
        </w:rPr>
      </w:pPr>
      <w:r w:rsidRPr="00F1552B">
        <w:rPr>
          <w:rFonts w:cs="Arial"/>
          <w:color w:val="212121"/>
          <w:lang w:eastAsia="en-GB"/>
        </w:rPr>
        <w:t>Warning notices should be</w:t>
      </w:r>
      <w:r w:rsidR="00907032" w:rsidRPr="00F1552B">
        <w:rPr>
          <w:rFonts w:cs="Arial"/>
          <w:color w:val="212121"/>
          <w:lang w:eastAsia="en-GB"/>
        </w:rPr>
        <w:t xml:space="preserve"> placed around moving parts and hazard comp</w:t>
      </w:r>
      <w:r w:rsidR="00FD437F" w:rsidRPr="00F1552B">
        <w:rPr>
          <w:rFonts w:cs="Arial"/>
          <w:color w:val="212121"/>
          <w:lang w:eastAsia="en-GB"/>
        </w:rPr>
        <w:t>onents warning personnel of the risks involved. This may be near moving parts, protrusions and sharp edges.</w:t>
      </w:r>
    </w:p>
    <w:p w14:paraId="4F7A267F" w14:textId="6F02D530" w:rsidR="00FE3D97" w:rsidRPr="00F1552B" w:rsidRDefault="00FE3D97" w:rsidP="00882284">
      <w:pPr>
        <w:jc w:val="left"/>
        <w:rPr>
          <w:rFonts w:cs="Arial"/>
          <w:color w:val="212121"/>
          <w:lang w:eastAsia="en-GB"/>
        </w:rPr>
      </w:pPr>
      <w:r w:rsidRPr="00F1552B">
        <w:rPr>
          <w:rFonts w:cs="Arial"/>
          <w:color w:val="212121"/>
          <w:lang w:eastAsia="en-GB"/>
        </w:rPr>
        <w:t>They are a cheap, passive control with long term benefits of raising hazard awareness and avoidance.</w:t>
      </w:r>
    </w:p>
    <w:p w14:paraId="091D2173" w14:textId="43CC5C76" w:rsidR="00FE3D97" w:rsidRPr="00F1552B" w:rsidRDefault="00D0017C" w:rsidP="00882284">
      <w:pPr>
        <w:jc w:val="left"/>
        <w:rPr>
          <w:rFonts w:cs="Arial"/>
          <w:color w:val="212121"/>
          <w:lang w:eastAsia="en-GB"/>
        </w:rPr>
      </w:pPr>
      <w:r w:rsidRPr="00F1552B">
        <w:rPr>
          <w:rFonts w:cs="Arial"/>
          <w:color w:val="212121"/>
          <w:lang w:eastAsia="en-GB"/>
        </w:rPr>
        <w:t xml:space="preserve">Working areas should be kept clean and clear </w:t>
      </w:r>
      <w:r w:rsidR="00A82E08" w:rsidRPr="00F1552B">
        <w:rPr>
          <w:rFonts w:cs="Arial"/>
          <w:color w:val="212121"/>
          <w:lang w:eastAsia="en-GB"/>
        </w:rPr>
        <w:t xml:space="preserve">to avoid slip, trips and falls. </w:t>
      </w:r>
      <w:r w:rsidR="004E4853" w:rsidRPr="00F1552B">
        <w:rPr>
          <w:rFonts w:cs="Arial"/>
          <w:color w:val="212121"/>
          <w:lang w:eastAsia="en-GB"/>
        </w:rPr>
        <w:t>Housekeeping</w:t>
      </w:r>
      <w:r w:rsidR="00A82E08" w:rsidRPr="00F1552B">
        <w:rPr>
          <w:rFonts w:cs="Arial"/>
          <w:color w:val="212121"/>
          <w:lang w:eastAsia="en-GB"/>
        </w:rPr>
        <w:t xml:space="preserve"> should be conducted regularly as well as inspections and </w:t>
      </w:r>
      <w:r w:rsidR="004E4853" w:rsidRPr="00F1552B">
        <w:rPr>
          <w:rFonts w:cs="Arial"/>
          <w:color w:val="212121"/>
          <w:lang w:eastAsia="en-GB"/>
        </w:rPr>
        <w:t xml:space="preserve">the </w:t>
      </w:r>
      <w:r w:rsidR="004E4853" w:rsidRPr="00F1552B">
        <w:rPr>
          <w:rFonts w:cs="Arial"/>
          <w:color w:val="212121"/>
          <w:lang w:eastAsia="en-GB"/>
        </w:rPr>
        <w:lastRenderedPageBreak/>
        <w:t>documentation proving so.</w:t>
      </w:r>
      <w:r w:rsidR="00376422" w:rsidRPr="00F1552B">
        <w:rPr>
          <w:rFonts w:cs="Arial"/>
          <w:color w:val="212121"/>
          <w:lang w:eastAsia="en-GB"/>
        </w:rPr>
        <w:t xml:space="preserve"> </w:t>
      </w:r>
      <w:r w:rsidR="003F0B46" w:rsidRPr="00F1552B">
        <w:rPr>
          <w:rFonts w:cs="Arial"/>
          <w:color w:val="212121"/>
          <w:lang w:eastAsia="en-GB"/>
        </w:rPr>
        <w:t xml:space="preserve">Tools and equipment should be tidied away immediately after use, </w:t>
      </w:r>
      <w:r w:rsidR="00A867C5" w:rsidRPr="00F1552B">
        <w:rPr>
          <w:rFonts w:cs="Arial"/>
          <w:color w:val="212121"/>
          <w:lang w:eastAsia="en-GB"/>
        </w:rPr>
        <w:t xml:space="preserve">parts should be </w:t>
      </w:r>
      <w:r w:rsidR="00053405" w:rsidRPr="00F1552B">
        <w:rPr>
          <w:rFonts w:cs="Arial"/>
          <w:color w:val="212121"/>
          <w:lang w:eastAsia="en-GB"/>
        </w:rPr>
        <w:t>kept in organised stor</w:t>
      </w:r>
      <w:r w:rsidR="002A5438" w:rsidRPr="00F1552B">
        <w:rPr>
          <w:rFonts w:cs="Arial"/>
          <w:color w:val="212121"/>
          <w:lang w:eastAsia="en-GB"/>
        </w:rPr>
        <w:t xml:space="preserve">age, </w:t>
      </w:r>
      <w:r w:rsidR="00FE3E87" w:rsidRPr="00F1552B">
        <w:rPr>
          <w:rFonts w:cs="Arial"/>
          <w:color w:val="212121"/>
          <w:lang w:eastAsia="en-GB"/>
        </w:rPr>
        <w:t>and any</w:t>
      </w:r>
      <w:r w:rsidR="006D72A6" w:rsidRPr="00F1552B">
        <w:rPr>
          <w:rFonts w:cs="Arial"/>
          <w:color w:val="212121"/>
          <w:lang w:eastAsia="en-GB"/>
        </w:rPr>
        <w:t xml:space="preserve">thing dropped should be immediately removed from the floor. </w:t>
      </w:r>
      <w:r w:rsidR="005432F1" w:rsidRPr="00F1552B">
        <w:rPr>
          <w:rFonts w:cs="Arial"/>
          <w:color w:val="212121"/>
          <w:lang w:eastAsia="en-GB"/>
        </w:rPr>
        <w:t>It is especially important that no foreign objects enter the weapon system.</w:t>
      </w:r>
    </w:p>
    <w:p w14:paraId="3F78D6C7" w14:textId="073FBF20" w:rsidR="005432F1" w:rsidRPr="00F1552B" w:rsidRDefault="005432F1" w:rsidP="00882284">
      <w:pPr>
        <w:jc w:val="left"/>
        <w:rPr>
          <w:rFonts w:cs="Arial"/>
          <w:color w:val="212121"/>
          <w:lang w:eastAsia="en-GB"/>
        </w:rPr>
      </w:pPr>
      <w:r w:rsidRPr="00F1552B">
        <w:rPr>
          <w:rFonts w:cs="Arial"/>
          <w:color w:val="212121"/>
          <w:lang w:eastAsia="en-GB"/>
        </w:rPr>
        <w:t xml:space="preserve">Good housekeeping </w:t>
      </w:r>
      <w:r w:rsidR="00483FAD" w:rsidRPr="00F1552B">
        <w:rPr>
          <w:rFonts w:cs="Arial"/>
          <w:color w:val="212121"/>
          <w:lang w:eastAsia="en-GB"/>
        </w:rPr>
        <w:t xml:space="preserve">is a preventative measure of minimal cost, other that of training to ensure good behaviours are learnt and used. </w:t>
      </w:r>
      <w:r w:rsidR="003C2006" w:rsidRPr="00F1552B">
        <w:rPr>
          <w:rFonts w:cs="Arial"/>
          <w:color w:val="212121"/>
          <w:lang w:eastAsia="en-GB"/>
        </w:rPr>
        <w:t>It’s also a part of MoD safety management systems.</w:t>
      </w:r>
    </w:p>
    <w:p w14:paraId="2CFF02E8" w14:textId="41D186C1" w:rsidR="005D618F" w:rsidRPr="00F1552B" w:rsidRDefault="000E0E3F" w:rsidP="00882284">
      <w:pPr>
        <w:jc w:val="left"/>
        <w:rPr>
          <w:rFonts w:cs="Arial"/>
          <w:color w:val="212121"/>
          <w:lang w:eastAsia="en-GB"/>
        </w:rPr>
      </w:pPr>
      <w:r w:rsidRPr="00F1552B">
        <w:rPr>
          <w:rFonts w:cs="Arial"/>
          <w:color w:val="212121"/>
          <w:lang w:eastAsia="en-GB"/>
        </w:rPr>
        <w:t>Qualit</w:t>
      </w:r>
      <w:r w:rsidR="00297B4F" w:rsidRPr="00F1552B">
        <w:rPr>
          <w:rFonts w:cs="Arial"/>
          <w:color w:val="212121"/>
          <w:lang w:eastAsia="en-GB"/>
        </w:rPr>
        <w:t xml:space="preserve">y assurance should be maintained </w:t>
      </w:r>
      <w:r w:rsidR="00B005EB" w:rsidRPr="00F1552B">
        <w:rPr>
          <w:rFonts w:cs="Arial"/>
          <w:color w:val="212121"/>
          <w:lang w:eastAsia="en-GB"/>
        </w:rPr>
        <w:t xml:space="preserve">to ensure that the weapon system is manufactured to a high standard. This will </w:t>
      </w:r>
      <w:r w:rsidR="00B064F0" w:rsidRPr="00F1552B">
        <w:rPr>
          <w:rFonts w:cs="Arial"/>
          <w:color w:val="212121"/>
          <w:lang w:eastAsia="en-GB"/>
        </w:rPr>
        <w:t xml:space="preserve">reduce the risk of unexpected failure </w:t>
      </w:r>
      <w:r w:rsidR="00507AAD" w:rsidRPr="00F1552B">
        <w:rPr>
          <w:rFonts w:cs="Arial"/>
          <w:color w:val="212121"/>
          <w:lang w:eastAsia="en-GB"/>
        </w:rPr>
        <w:t>or</w:t>
      </w:r>
      <w:r w:rsidR="00B064F0" w:rsidRPr="00F1552B">
        <w:rPr>
          <w:rFonts w:cs="Arial"/>
          <w:color w:val="212121"/>
          <w:lang w:eastAsia="en-GB"/>
        </w:rPr>
        <w:t xml:space="preserve"> movement</w:t>
      </w:r>
      <w:r w:rsidR="00D11937" w:rsidRPr="00F1552B">
        <w:rPr>
          <w:rFonts w:cs="Arial"/>
          <w:color w:val="212121"/>
          <w:lang w:eastAsia="en-GB"/>
        </w:rPr>
        <w:t xml:space="preserve"> of the weapon system</w:t>
      </w:r>
      <w:r w:rsidR="00507AAD" w:rsidRPr="00F1552B">
        <w:rPr>
          <w:rFonts w:cs="Arial"/>
          <w:color w:val="212121"/>
          <w:lang w:eastAsia="en-GB"/>
        </w:rPr>
        <w:t>, or sharp edges which could endanger personnel.</w:t>
      </w:r>
      <w:r w:rsidR="0032407E" w:rsidRPr="00F1552B">
        <w:rPr>
          <w:rFonts w:cs="Arial"/>
          <w:color w:val="212121"/>
          <w:lang w:eastAsia="en-GB"/>
        </w:rPr>
        <w:t xml:space="preserve"> The weapon system should comply with the design specifications as to ensure that its behaviour </w:t>
      </w:r>
      <w:r w:rsidR="00664209" w:rsidRPr="00F1552B">
        <w:rPr>
          <w:rFonts w:cs="Arial"/>
          <w:color w:val="212121"/>
          <w:lang w:eastAsia="en-GB"/>
        </w:rPr>
        <w:t xml:space="preserve">is expected/ predictable. </w:t>
      </w:r>
      <w:r w:rsidR="00B31ADD" w:rsidRPr="00F1552B">
        <w:rPr>
          <w:rFonts w:cs="Arial"/>
          <w:color w:val="212121"/>
          <w:lang w:eastAsia="en-GB"/>
        </w:rPr>
        <w:t xml:space="preserve">Environmental </w:t>
      </w:r>
      <w:r w:rsidR="00054FA2" w:rsidRPr="00F1552B">
        <w:rPr>
          <w:rFonts w:cs="Arial"/>
          <w:color w:val="212121"/>
          <w:lang w:eastAsia="en-GB"/>
        </w:rPr>
        <w:t>concerns should also be considered. Where</w:t>
      </w:r>
      <w:r w:rsidR="00632979" w:rsidRPr="00F1552B">
        <w:rPr>
          <w:rFonts w:cs="Arial"/>
          <w:color w:val="212121"/>
          <w:lang w:eastAsia="en-GB"/>
        </w:rPr>
        <w:t xml:space="preserve"> </w:t>
      </w:r>
      <w:r w:rsidR="00054FA2" w:rsidRPr="00F1552B">
        <w:rPr>
          <w:rFonts w:cs="Arial"/>
          <w:color w:val="212121"/>
          <w:lang w:eastAsia="en-GB"/>
        </w:rPr>
        <w:t xml:space="preserve">possible, </w:t>
      </w:r>
      <w:r w:rsidR="00EE12DF" w:rsidRPr="00F1552B">
        <w:rPr>
          <w:rFonts w:cs="Arial"/>
          <w:color w:val="212121"/>
          <w:lang w:eastAsia="en-GB"/>
        </w:rPr>
        <w:t xml:space="preserve">materials which are harmful to the environment should be replaced as per </w:t>
      </w:r>
      <w:sdt>
        <w:sdtPr>
          <w:rPr>
            <w:rFonts w:cs="Arial"/>
            <w:color w:val="212121"/>
            <w:lang w:eastAsia="en-GB"/>
          </w:rPr>
          <w:id w:val="684800496"/>
          <w:citation/>
        </w:sdtPr>
        <w:sdtContent>
          <w:r w:rsidR="00697626" w:rsidRPr="00F1552B">
            <w:rPr>
              <w:rFonts w:cs="Arial"/>
              <w:color w:val="212121"/>
              <w:lang w:eastAsia="en-GB"/>
            </w:rPr>
            <w:fldChar w:fldCharType="begin"/>
          </w:r>
          <w:r w:rsidR="00697626" w:rsidRPr="00F1552B">
            <w:rPr>
              <w:rFonts w:cs="Arial"/>
              <w:color w:val="212121"/>
              <w:lang w:eastAsia="en-GB"/>
            </w:rPr>
            <w:instrText xml:space="preserve"> CITATION ISO15 \l 2057 </w:instrText>
          </w:r>
          <w:r w:rsidR="00697626" w:rsidRPr="00F1552B">
            <w:rPr>
              <w:rFonts w:cs="Arial"/>
              <w:color w:val="212121"/>
              <w:lang w:eastAsia="en-GB"/>
            </w:rPr>
            <w:fldChar w:fldCharType="separate"/>
          </w:r>
          <w:r w:rsidR="00697626" w:rsidRPr="00F1552B">
            <w:rPr>
              <w:rFonts w:cs="Arial"/>
              <w:noProof/>
              <w:color w:val="212121"/>
              <w:lang w:eastAsia="en-GB"/>
            </w:rPr>
            <w:t>[8]</w:t>
          </w:r>
          <w:r w:rsidR="00697626" w:rsidRPr="00F1552B">
            <w:rPr>
              <w:rFonts w:cs="Arial"/>
              <w:color w:val="212121"/>
              <w:lang w:eastAsia="en-GB"/>
            </w:rPr>
            <w:fldChar w:fldCharType="end"/>
          </w:r>
        </w:sdtContent>
      </w:sdt>
      <w:r w:rsidR="00697626" w:rsidRPr="00F1552B">
        <w:rPr>
          <w:rFonts w:cs="Arial"/>
          <w:color w:val="212121"/>
          <w:lang w:eastAsia="en-GB"/>
        </w:rPr>
        <w:t xml:space="preserve"> </w:t>
      </w:r>
      <w:r w:rsidR="00EE12DF" w:rsidRPr="00F1552B">
        <w:rPr>
          <w:rFonts w:cs="Arial"/>
          <w:color w:val="212121"/>
          <w:lang w:eastAsia="en-GB"/>
        </w:rPr>
        <w:t>ISO 14001</w:t>
      </w:r>
      <w:r w:rsidR="00632979" w:rsidRPr="00F1552B">
        <w:rPr>
          <w:rFonts w:cs="Arial"/>
          <w:color w:val="212121"/>
          <w:lang w:eastAsia="en-GB"/>
        </w:rPr>
        <w:t xml:space="preserve">. </w:t>
      </w:r>
      <w:r w:rsidR="00664209" w:rsidRPr="00F1552B">
        <w:rPr>
          <w:rFonts w:cs="Arial"/>
          <w:color w:val="212121"/>
          <w:lang w:eastAsia="en-GB"/>
        </w:rPr>
        <w:t xml:space="preserve">Checks should be done </w:t>
      </w:r>
      <w:r w:rsidR="000A101D" w:rsidRPr="00F1552B">
        <w:rPr>
          <w:rFonts w:cs="Arial"/>
          <w:color w:val="212121"/>
          <w:lang w:eastAsia="en-GB"/>
        </w:rPr>
        <w:t>during the manufacturing phase, upon delivery and before use to ensure the equipment is in good working condition.</w:t>
      </w:r>
    </w:p>
    <w:p w14:paraId="1FCFD99D" w14:textId="72615151" w:rsidR="005D618F" w:rsidRPr="00CC67DF" w:rsidRDefault="001B638E" w:rsidP="00882284">
      <w:pPr>
        <w:jc w:val="left"/>
        <w:rPr>
          <w:rFonts w:cs="Arial"/>
          <w:color w:val="212121"/>
          <w:lang w:eastAsia="en-GB"/>
        </w:rPr>
      </w:pPr>
      <w:r w:rsidRPr="00F1552B">
        <w:rPr>
          <w:rFonts w:cs="Arial"/>
          <w:color w:val="212121"/>
          <w:lang w:eastAsia="en-GB"/>
        </w:rPr>
        <w:t>Qu</w:t>
      </w:r>
      <w:r w:rsidR="00CA59C9" w:rsidRPr="00F1552B">
        <w:rPr>
          <w:rFonts w:cs="Arial"/>
          <w:color w:val="212121"/>
          <w:lang w:eastAsia="en-GB"/>
        </w:rPr>
        <w:t xml:space="preserve">ality assurance should have little additional cost or time </w:t>
      </w:r>
      <w:r w:rsidR="00A34113" w:rsidRPr="00F1552B">
        <w:rPr>
          <w:rFonts w:cs="Arial"/>
          <w:color w:val="212121"/>
          <w:lang w:eastAsia="en-GB"/>
        </w:rPr>
        <w:t>expenditure but</w:t>
      </w:r>
      <w:r w:rsidR="00CA59C9" w:rsidRPr="00F1552B">
        <w:rPr>
          <w:rFonts w:cs="Arial"/>
          <w:color w:val="212121"/>
          <w:lang w:eastAsia="en-GB"/>
        </w:rPr>
        <w:t xml:space="preserve"> should significantly reduce errors which could lead to harm.</w:t>
      </w:r>
    </w:p>
    <w:p w14:paraId="155425BA" w14:textId="26262920" w:rsidR="00F030DC" w:rsidRDefault="00F030DC" w:rsidP="00F030DC">
      <w:pPr>
        <w:pStyle w:val="Heading2"/>
        <w:rPr>
          <w:lang w:eastAsia="en-GB"/>
        </w:rPr>
      </w:pPr>
      <w:bookmarkStart w:id="5" w:name="_Toc203740391"/>
      <w:r>
        <w:rPr>
          <w:lang w:eastAsia="en-GB"/>
        </w:rPr>
        <w:t>ALARP</w:t>
      </w:r>
      <w:r w:rsidR="007D7B63">
        <w:rPr>
          <w:lang w:eastAsia="en-GB"/>
        </w:rPr>
        <w:t xml:space="preserve"> Demonstration</w:t>
      </w:r>
      <w:bookmarkEnd w:id="5"/>
    </w:p>
    <w:p w14:paraId="30AAA99D" w14:textId="1D4EA39E" w:rsidR="003140F1" w:rsidRPr="00F1552B" w:rsidRDefault="00E0046D" w:rsidP="008D4B6B">
      <w:pPr>
        <w:rPr>
          <w:lang w:eastAsia="en-GB"/>
        </w:rPr>
      </w:pPr>
      <w:r w:rsidRPr="00F1552B">
        <w:rPr>
          <w:lang w:eastAsia="en-GB"/>
        </w:rPr>
        <w:t xml:space="preserve">Using the HSE’s </w:t>
      </w:r>
      <w:sdt>
        <w:sdtPr>
          <w:rPr>
            <w:lang w:eastAsia="en-GB"/>
          </w:rPr>
          <w:id w:val="329337895"/>
          <w:citation/>
        </w:sdtPr>
        <w:sdtContent>
          <w:r w:rsidR="00F43C44" w:rsidRPr="00F1552B">
            <w:rPr>
              <w:lang w:eastAsia="en-GB"/>
            </w:rPr>
            <w:fldChar w:fldCharType="begin"/>
          </w:r>
          <w:r w:rsidR="00DA5C28">
            <w:rPr>
              <w:lang w:eastAsia="en-GB"/>
            </w:rPr>
            <w:instrText xml:space="preserve">CITATION Guiwn \l 2057 </w:instrText>
          </w:r>
          <w:r w:rsidR="00F43C44" w:rsidRPr="00F1552B">
            <w:rPr>
              <w:lang w:eastAsia="en-GB"/>
            </w:rPr>
            <w:fldChar w:fldCharType="separate"/>
          </w:r>
          <w:r w:rsidR="00DA5C28">
            <w:rPr>
              <w:noProof/>
              <w:lang w:eastAsia="en-GB"/>
            </w:rPr>
            <w:t>[9]</w:t>
          </w:r>
          <w:r w:rsidR="00F43C44" w:rsidRPr="00F1552B">
            <w:rPr>
              <w:lang w:eastAsia="en-GB"/>
            </w:rPr>
            <w:fldChar w:fldCharType="end"/>
          </w:r>
        </w:sdtContent>
      </w:sdt>
      <w:r w:rsidR="00F43C44" w:rsidRPr="00F1552B">
        <w:rPr>
          <w:lang w:eastAsia="en-GB"/>
        </w:rPr>
        <w:t xml:space="preserve"> principle of gross disproportion</w:t>
      </w:r>
      <w:r w:rsidR="009762BF" w:rsidRPr="00F1552B">
        <w:rPr>
          <w:lang w:eastAsia="en-GB"/>
        </w:rPr>
        <w:t>, the above controls have been chosen due to their costs</w:t>
      </w:r>
      <w:r w:rsidR="0012162B" w:rsidRPr="00F1552B">
        <w:rPr>
          <w:lang w:eastAsia="en-GB"/>
        </w:rPr>
        <w:t xml:space="preserve"> (</w:t>
      </w:r>
      <w:r w:rsidR="009762BF" w:rsidRPr="00F1552B">
        <w:rPr>
          <w:lang w:eastAsia="en-GB"/>
        </w:rPr>
        <w:t>in terms of time, money and effort</w:t>
      </w:r>
      <w:r w:rsidR="0012162B" w:rsidRPr="00F1552B">
        <w:rPr>
          <w:lang w:eastAsia="en-GB"/>
        </w:rPr>
        <w:t xml:space="preserve">), </w:t>
      </w:r>
      <w:r w:rsidR="00A34113" w:rsidRPr="00F1552B">
        <w:rPr>
          <w:lang w:eastAsia="en-GB"/>
        </w:rPr>
        <w:t xml:space="preserve">being proportionate to the </w:t>
      </w:r>
      <w:r w:rsidR="007D55C9" w:rsidRPr="00F1552B">
        <w:rPr>
          <w:lang w:eastAsia="en-GB"/>
        </w:rPr>
        <w:t xml:space="preserve">severity of harm which doing so would prevent. </w:t>
      </w:r>
      <w:r w:rsidR="000B24F7" w:rsidRPr="00F1552B">
        <w:rPr>
          <w:lang w:eastAsia="en-GB"/>
        </w:rPr>
        <w:t xml:space="preserve">Some of the controls are required due to </w:t>
      </w:r>
      <w:r w:rsidR="001C7227" w:rsidRPr="00F1552B">
        <w:rPr>
          <w:lang w:eastAsia="en-GB"/>
        </w:rPr>
        <w:t xml:space="preserve">compliance with regulations, whilst others are recommended and may be accompanied by guidance. </w:t>
      </w:r>
      <w:r w:rsidR="00D045D4" w:rsidRPr="00F1552B">
        <w:rPr>
          <w:lang w:eastAsia="en-GB"/>
        </w:rPr>
        <w:t xml:space="preserve">Stakeholders should be engaged throughout the process to ensure that </w:t>
      </w:r>
      <w:r w:rsidR="00862E96" w:rsidRPr="00F1552B">
        <w:rPr>
          <w:lang w:eastAsia="en-GB"/>
        </w:rPr>
        <w:t>decisions which are made reflect how the weapon is used in real world situations.</w:t>
      </w:r>
      <w:r w:rsidR="00BB54DE" w:rsidRPr="00F1552B">
        <w:rPr>
          <w:lang w:eastAsia="en-GB"/>
        </w:rPr>
        <w:t xml:space="preserve"> </w:t>
      </w:r>
      <w:r w:rsidR="003140F1" w:rsidRPr="00F1552B">
        <w:rPr>
          <w:lang w:eastAsia="en-GB"/>
        </w:rPr>
        <w:t xml:space="preserve">Further controls were considered but have been </w:t>
      </w:r>
      <w:r w:rsidR="00BB54DE" w:rsidRPr="00F1552B">
        <w:rPr>
          <w:lang w:eastAsia="en-GB"/>
        </w:rPr>
        <w:t>ruled out for the reasons below.</w:t>
      </w:r>
    </w:p>
    <w:p w14:paraId="22F018C7" w14:textId="28F63F7E" w:rsidR="00617972" w:rsidRPr="00F1552B" w:rsidRDefault="00C23FD3" w:rsidP="008D4B6B">
      <w:pPr>
        <w:rPr>
          <w:lang w:eastAsia="en-GB"/>
        </w:rPr>
      </w:pPr>
      <w:r w:rsidRPr="00F1552B">
        <w:rPr>
          <w:lang w:eastAsia="en-GB"/>
        </w:rPr>
        <w:t xml:space="preserve">Remote firing could be used to </w:t>
      </w:r>
      <w:r w:rsidR="00EA7A45" w:rsidRPr="00F1552B">
        <w:rPr>
          <w:lang w:eastAsia="en-GB"/>
        </w:rPr>
        <w:t xml:space="preserve">keep all personnel a safe distance away from the weapon </w:t>
      </w:r>
      <w:r w:rsidR="004D1715" w:rsidRPr="00F1552B">
        <w:rPr>
          <w:lang w:eastAsia="en-GB"/>
        </w:rPr>
        <w:t xml:space="preserve">system during firing procedures. The majority of movement would happen during this phase and remote firing would dramatically reduce the risk of people </w:t>
      </w:r>
      <w:r w:rsidR="00324FAB" w:rsidRPr="00F1552B">
        <w:rPr>
          <w:lang w:eastAsia="en-GB"/>
        </w:rPr>
        <w:t xml:space="preserve">coming into ham from contact with the weapon system. </w:t>
      </w:r>
      <w:r w:rsidR="006C3D4A" w:rsidRPr="00F1552B">
        <w:rPr>
          <w:lang w:eastAsia="en-GB"/>
        </w:rPr>
        <w:t xml:space="preserve">However, </w:t>
      </w:r>
      <w:r w:rsidR="009F42D2">
        <w:rPr>
          <w:lang w:eastAsia="en-GB"/>
        </w:rPr>
        <w:t xml:space="preserve">a cost benefit analysis was conducted </w:t>
      </w:r>
      <w:r w:rsidR="002C00B4">
        <w:rPr>
          <w:lang w:eastAsia="en-GB"/>
        </w:rPr>
        <w:t>to assess the value added of remote firing.</w:t>
      </w:r>
      <w:r w:rsidR="009B2890">
        <w:rPr>
          <w:lang w:eastAsia="en-GB"/>
        </w:rPr>
        <w:t xml:space="preserve"> The cost of the integration was estimated to be </w:t>
      </w:r>
      <w:r w:rsidR="00A74E3C">
        <w:rPr>
          <w:lang w:eastAsia="en-GB"/>
        </w:rPr>
        <w:t xml:space="preserve">£500,000 per weapon system. Based injury records this may prevent </w:t>
      </w:r>
      <w:r w:rsidR="00F51577">
        <w:rPr>
          <w:lang w:eastAsia="en-GB"/>
        </w:rPr>
        <w:t xml:space="preserve">approximately one minor injury every year, </w:t>
      </w:r>
      <w:r w:rsidR="003862EE">
        <w:rPr>
          <w:lang w:eastAsia="en-GB"/>
        </w:rPr>
        <w:t xml:space="preserve">worth around £10,000 in costs per incident. This equates to </w:t>
      </w:r>
      <w:r w:rsidR="004026CA">
        <w:rPr>
          <w:lang w:eastAsia="en-GB"/>
        </w:rPr>
        <w:t>an expected payback</w:t>
      </w:r>
      <w:r w:rsidR="003862EE">
        <w:rPr>
          <w:lang w:eastAsia="en-GB"/>
        </w:rPr>
        <w:t xml:space="preserve"> </w:t>
      </w:r>
      <w:r w:rsidR="00994A89">
        <w:rPr>
          <w:lang w:eastAsia="en-GB"/>
        </w:rPr>
        <w:t xml:space="preserve">period of </w:t>
      </w:r>
      <w:r w:rsidR="004026CA">
        <w:rPr>
          <w:lang w:eastAsia="en-GB"/>
        </w:rPr>
        <w:t>50 years</w:t>
      </w:r>
      <w:r w:rsidR="006D7D2C">
        <w:rPr>
          <w:lang w:eastAsia="en-GB"/>
        </w:rPr>
        <w:t xml:space="preserve">, which is disproportionate considering the </w:t>
      </w:r>
      <w:r w:rsidR="00A52D36">
        <w:rPr>
          <w:lang w:eastAsia="en-GB"/>
        </w:rPr>
        <w:t>short lifespan of the weapon system.</w:t>
      </w:r>
      <w:r w:rsidR="00B14508">
        <w:rPr>
          <w:lang w:eastAsia="en-GB"/>
        </w:rPr>
        <w:t xml:space="preserve"> </w:t>
      </w:r>
      <w:r w:rsidR="00617972" w:rsidRPr="00F1552B">
        <w:rPr>
          <w:lang w:eastAsia="en-GB"/>
        </w:rPr>
        <w:t>Therefore,</w:t>
      </w:r>
      <w:r w:rsidR="002C7FAA" w:rsidRPr="00F1552B">
        <w:rPr>
          <w:lang w:eastAsia="en-GB"/>
        </w:rPr>
        <w:t xml:space="preserve"> </w:t>
      </w:r>
      <w:r w:rsidR="00617972" w:rsidRPr="00F1552B">
        <w:rPr>
          <w:lang w:eastAsia="en-GB"/>
        </w:rPr>
        <w:t xml:space="preserve">unfortunately </w:t>
      </w:r>
      <w:r w:rsidR="002C7FAA" w:rsidRPr="00F1552B">
        <w:rPr>
          <w:lang w:eastAsia="en-GB"/>
        </w:rPr>
        <w:t xml:space="preserve">it has been decided that the benefit of remote firing is not proportionately </w:t>
      </w:r>
      <w:r w:rsidR="00617972" w:rsidRPr="00F1552B">
        <w:rPr>
          <w:lang w:eastAsia="en-GB"/>
        </w:rPr>
        <w:t>worth the costs of doing so</w:t>
      </w:r>
      <w:r w:rsidR="00605474">
        <w:rPr>
          <w:lang w:eastAsia="en-GB"/>
        </w:rPr>
        <w:t>.</w:t>
      </w:r>
    </w:p>
    <w:p w14:paraId="6FFCC830" w14:textId="3B10AEEC" w:rsidR="00BB54DE" w:rsidRPr="00F1552B" w:rsidRDefault="00DB2CF4" w:rsidP="008D4B6B">
      <w:pPr>
        <w:rPr>
          <w:lang w:eastAsia="en-GB"/>
        </w:rPr>
      </w:pPr>
      <w:r w:rsidRPr="00F1552B">
        <w:rPr>
          <w:lang w:eastAsia="en-GB"/>
        </w:rPr>
        <w:t xml:space="preserve">Change to use of materials within the weapon system has been considered. Lighter less dense materials which we’re less conductive to thermal </w:t>
      </w:r>
      <w:r w:rsidR="00A66CA5" w:rsidRPr="00F1552B">
        <w:rPr>
          <w:lang w:eastAsia="en-GB"/>
        </w:rPr>
        <w:t xml:space="preserve">environments would offer significant protection to the </w:t>
      </w:r>
      <w:r w:rsidR="008E7453" w:rsidRPr="00F1552B">
        <w:rPr>
          <w:lang w:eastAsia="en-GB"/>
        </w:rPr>
        <w:t xml:space="preserve">users of the equipment. </w:t>
      </w:r>
      <w:r w:rsidR="00023D9B" w:rsidRPr="00F1552B">
        <w:rPr>
          <w:lang w:eastAsia="en-GB"/>
        </w:rPr>
        <w:t>Unfortunately,</w:t>
      </w:r>
      <w:r w:rsidR="008E7453" w:rsidRPr="00F1552B">
        <w:rPr>
          <w:lang w:eastAsia="en-GB"/>
        </w:rPr>
        <w:t xml:space="preserve"> there </w:t>
      </w:r>
      <w:r w:rsidR="00417D41" w:rsidRPr="00F1552B">
        <w:rPr>
          <w:lang w:eastAsia="en-GB"/>
        </w:rPr>
        <w:t xml:space="preserve">isn’t currently materials available which would be able to sustain the repetitive use of firing whilst providing the material benefits previously listed. </w:t>
      </w:r>
      <w:r w:rsidR="00613D80" w:rsidRPr="00F1552B">
        <w:rPr>
          <w:lang w:eastAsia="en-GB"/>
        </w:rPr>
        <w:t>Therefore,</w:t>
      </w:r>
      <w:r w:rsidR="00417D41" w:rsidRPr="00F1552B">
        <w:rPr>
          <w:lang w:eastAsia="en-GB"/>
        </w:rPr>
        <w:t xml:space="preserve"> it is suggested that whilst this isn’t </w:t>
      </w:r>
      <w:r w:rsidR="00FD088D" w:rsidRPr="00F1552B">
        <w:rPr>
          <w:lang w:eastAsia="en-GB"/>
        </w:rPr>
        <w:t xml:space="preserve">a </w:t>
      </w:r>
      <w:r w:rsidR="00417D41" w:rsidRPr="00F1552B">
        <w:rPr>
          <w:lang w:eastAsia="en-GB"/>
        </w:rPr>
        <w:t>present a</w:t>
      </w:r>
      <w:r w:rsidR="00FD088D" w:rsidRPr="00F1552B">
        <w:rPr>
          <w:lang w:eastAsia="en-GB"/>
        </w:rPr>
        <w:t xml:space="preserve"> control</w:t>
      </w:r>
      <w:r w:rsidR="00417D41" w:rsidRPr="00F1552B">
        <w:rPr>
          <w:lang w:eastAsia="en-GB"/>
        </w:rPr>
        <w:t xml:space="preserve"> option, it should be monitored going forward </w:t>
      </w:r>
      <w:r w:rsidR="00613D80" w:rsidRPr="00F1552B">
        <w:rPr>
          <w:lang w:eastAsia="en-GB"/>
        </w:rPr>
        <w:t>for if these types of material do become available.</w:t>
      </w:r>
    </w:p>
    <w:p w14:paraId="27A2B12C" w14:textId="354921A7" w:rsidR="00F41B6D" w:rsidRPr="00F1552B" w:rsidRDefault="004D1715" w:rsidP="008D4B6B">
      <w:pPr>
        <w:rPr>
          <w:lang w:eastAsia="en-GB"/>
        </w:rPr>
      </w:pPr>
      <w:r w:rsidRPr="00F1552B">
        <w:rPr>
          <w:lang w:eastAsia="en-GB"/>
        </w:rPr>
        <w:t>Automatic isolation zones</w:t>
      </w:r>
      <w:r w:rsidR="00613D80" w:rsidRPr="00F1552B">
        <w:rPr>
          <w:lang w:eastAsia="en-GB"/>
        </w:rPr>
        <w:t xml:space="preserve"> could be used to</w:t>
      </w:r>
      <w:r w:rsidR="00122281" w:rsidRPr="00F1552B">
        <w:rPr>
          <w:lang w:eastAsia="en-GB"/>
        </w:rPr>
        <w:t xml:space="preserve"> ensure that the weapon system could not be used if someone unintended enters the weapon danger zone. This would dramatically reduce the risk of human error. However, operational </w:t>
      </w:r>
      <w:r w:rsidR="00F60997" w:rsidRPr="00F1552B">
        <w:rPr>
          <w:lang w:eastAsia="en-GB"/>
        </w:rPr>
        <w:t xml:space="preserve">logistics </w:t>
      </w:r>
      <w:r w:rsidR="00263BB0" w:rsidRPr="00F1552B">
        <w:rPr>
          <w:lang w:eastAsia="en-GB"/>
        </w:rPr>
        <w:t>would make this unlikely to for anything other than training and there are alternative cheaper solutions</w:t>
      </w:r>
      <w:r w:rsidR="000A59AF" w:rsidRPr="00F1552B">
        <w:rPr>
          <w:lang w:eastAsia="en-GB"/>
        </w:rPr>
        <w:t>.</w:t>
      </w:r>
    </w:p>
    <w:p w14:paraId="0DFCCE51" w14:textId="353A8917" w:rsidR="00122281" w:rsidRPr="00F1552B" w:rsidRDefault="00B82C24" w:rsidP="008D4B6B">
      <w:pPr>
        <w:rPr>
          <w:lang w:eastAsia="en-GB"/>
        </w:rPr>
      </w:pPr>
      <w:r w:rsidRPr="00F1552B">
        <w:rPr>
          <w:lang w:eastAsia="en-GB"/>
        </w:rPr>
        <w:t>For the</w:t>
      </w:r>
      <w:r w:rsidR="00252122" w:rsidRPr="00F1552B">
        <w:rPr>
          <w:lang w:eastAsia="en-GB"/>
        </w:rPr>
        <w:t xml:space="preserve"> reasons mentioned these controls are deemed unnecessary</w:t>
      </w:r>
      <w:r w:rsidR="00A13ABF" w:rsidRPr="00F1552B">
        <w:rPr>
          <w:lang w:eastAsia="en-GB"/>
        </w:rPr>
        <w:t>, however the ALARP status should actively monitored over time</w:t>
      </w:r>
      <w:r w:rsidR="00622A0E" w:rsidRPr="00F1552B">
        <w:rPr>
          <w:lang w:eastAsia="en-GB"/>
        </w:rPr>
        <w:t xml:space="preserve">, as future improvements may </w:t>
      </w:r>
      <w:r w:rsidR="00386F87" w:rsidRPr="00F1552B">
        <w:rPr>
          <w:lang w:eastAsia="en-GB"/>
        </w:rPr>
        <w:t xml:space="preserve">allow additional controls, such as the ones mentioned, to be </w:t>
      </w:r>
      <w:r w:rsidR="00FB21D4" w:rsidRPr="00F1552B">
        <w:rPr>
          <w:lang w:eastAsia="en-GB"/>
        </w:rPr>
        <w:t>included later.</w:t>
      </w:r>
    </w:p>
    <w:p w14:paraId="1109E361" w14:textId="1CE32BD3" w:rsidR="00FB21D4" w:rsidRDefault="00FB21D4" w:rsidP="00FB21D4">
      <w:pPr>
        <w:pStyle w:val="Heading2"/>
        <w:rPr>
          <w:lang w:eastAsia="en-GB"/>
        </w:rPr>
      </w:pPr>
      <w:bookmarkStart w:id="6" w:name="_Toc203740392"/>
      <w:r>
        <w:rPr>
          <w:lang w:eastAsia="en-GB"/>
        </w:rPr>
        <w:t>Conclusion</w:t>
      </w:r>
      <w:r w:rsidR="00F1552B">
        <w:rPr>
          <w:lang w:eastAsia="en-GB"/>
        </w:rPr>
        <w:t xml:space="preserve"> and recommendations</w:t>
      </w:r>
      <w:bookmarkEnd w:id="6"/>
    </w:p>
    <w:p w14:paraId="3408C0BF" w14:textId="4F81B5B8" w:rsidR="00FB21D4" w:rsidRDefault="00E44696" w:rsidP="00FB21D4">
      <w:pPr>
        <w:rPr>
          <w:lang w:eastAsia="en-GB"/>
        </w:rPr>
      </w:pPr>
      <w:r>
        <w:rPr>
          <w:lang w:eastAsia="en-GB"/>
        </w:rPr>
        <w:t xml:space="preserve">The hazard of physical impact with the weapon system </w:t>
      </w:r>
      <w:r w:rsidR="001F2976">
        <w:rPr>
          <w:lang w:eastAsia="en-GB"/>
        </w:rPr>
        <w:t>of a 115mm large calibre weapon system is inherent, due to the size and function and the necessity of operators and maintainers to be within the vicinity</w:t>
      </w:r>
      <w:r w:rsidR="00F1552B">
        <w:rPr>
          <w:lang w:eastAsia="en-GB"/>
        </w:rPr>
        <w:t>. However</w:t>
      </w:r>
      <w:r w:rsidR="00D16B30">
        <w:rPr>
          <w:lang w:eastAsia="en-GB"/>
        </w:rPr>
        <w:t xml:space="preserve">, by implementing the control measures mentioned in </w:t>
      </w:r>
      <w:r w:rsidR="001E3B86">
        <w:rPr>
          <w:lang w:eastAsia="en-GB"/>
        </w:rPr>
        <w:t xml:space="preserve">section 1.4 of this document </w:t>
      </w:r>
      <w:r w:rsidR="00E420AB">
        <w:rPr>
          <w:lang w:eastAsia="en-GB"/>
        </w:rPr>
        <w:t>–</w:t>
      </w:r>
      <w:r w:rsidR="001E3B86">
        <w:rPr>
          <w:lang w:eastAsia="en-GB"/>
        </w:rPr>
        <w:t xml:space="preserve"> </w:t>
      </w:r>
      <w:r w:rsidR="00E420AB">
        <w:rPr>
          <w:lang w:eastAsia="en-GB"/>
        </w:rPr>
        <w:t>training, PPE, manual handling</w:t>
      </w:r>
      <w:r w:rsidR="00224E96">
        <w:rPr>
          <w:lang w:eastAsia="en-GB"/>
        </w:rPr>
        <w:t xml:space="preserve"> protocols, maintenance, operating procedures, warning notices and good housekeeping</w:t>
      </w:r>
      <w:r w:rsidR="00C1479F">
        <w:rPr>
          <w:lang w:eastAsia="en-GB"/>
        </w:rPr>
        <w:t>, the risk level can be reduced from High (A) to Tolerable</w:t>
      </w:r>
      <w:r w:rsidR="0041525E">
        <w:rPr>
          <w:lang w:eastAsia="en-GB"/>
        </w:rPr>
        <w:t xml:space="preserve"> (C) in</w:t>
      </w:r>
      <w:r w:rsidR="001C3F9E">
        <w:rPr>
          <w:lang w:eastAsia="en-GB"/>
        </w:rPr>
        <w:t xml:space="preserve"> line with </w:t>
      </w:r>
      <w:sdt>
        <w:sdtPr>
          <w:rPr>
            <w:lang w:eastAsia="en-GB"/>
          </w:rPr>
          <w:id w:val="-1088770773"/>
          <w:citation/>
        </w:sdtPr>
        <w:sdtContent>
          <w:r w:rsidR="001C3F9E">
            <w:rPr>
              <w:lang w:eastAsia="en-GB"/>
            </w:rPr>
            <w:fldChar w:fldCharType="begin"/>
          </w:r>
          <w:r w:rsidR="009C4F26">
            <w:rPr>
              <w:lang w:eastAsia="en-GB"/>
            </w:rPr>
            <w:instrText xml:space="preserve">CITATION Def24 \l 2057 </w:instrText>
          </w:r>
          <w:r w:rsidR="001C3F9E">
            <w:rPr>
              <w:lang w:eastAsia="en-GB"/>
            </w:rPr>
            <w:fldChar w:fldCharType="separate"/>
          </w:r>
          <w:r w:rsidR="009C4F26">
            <w:rPr>
              <w:noProof/>
              <w:lang w:eastAsia="en-GB"/>
            </w:rPr>
            <w:t>[2]</w:t>
          </w:r>
          <w:r w:rsidR="001C3F9E">
            <w:rPr>
              <w:lang w:eastAsia="en-GB"/>
            </w:rPr>
            <w:fldChar w:fldCharType="end"/>
          </w:r>
        </w:sdtContent>
      </w:sdt>
      <w:r w:rsidR="001C3F9E">
        <w:rPr>
          <w:lang w:eastAsia="en-GB"/>
        </w:rPr>
        <w:t xml:space="preserve"> </w:t>
      </w:r>
      <w:r w:rsidR="001C3F9E" w:rsidRPr="001C3F9E">
        <w:rPr>
          <w:lang w:eastAsia="en-GB"/>
        </w:rPr>
        <w:t>DSA03. OME Part 1</w:t>
      </w:r>
      <w:r w:rsidR="0041525E">
        <w:rPr>
          <w:lang w:eastAsia="en-GB"/>
        </w:rPr>
        <w:t xml:space="preserve">. The controls listed are consistent with best practice, legislation and NATO/ Defence standards. </w:t>
      </w:r>
    </w:p>
    <w:p w14:paraId="45C51F54" w14:textId="7E9DC0F2" w:rsidR="001C3F9E" w:rsidRDefault="001C3F9E" w:rsidP="00FB21D4">
      <w:pPr>
        <w:rPr>
          <w:lang w:eastAsia="en-GB"/>
        </w:rPr>
      </w:pPr>
      <w:r>
        <w:rPr>
          <w:lang w:eastAsia="en-GB"/>
        </w:rPr>
        <w:t xml:space="preserve">Additional controls were considered in section </w:t>
      </w:r>
      <w:r w:rsidR="00245858">
        <w:rPr>
          <w:lang w:eastAsia="en-GB"/>
        </w:rPr>
        <w:t xml:space="preserve">1.5 of this </w:t>
      </w:r>
      <w:r w:rsidR="008E1C0B">
        <w:rPr>
          <w:lang w:eastAsia="en-GB"/>
        </w:rPr>
        <w:t>document;</w:t>
      </w:r>
      <w:r w:rsidR="00245858">
        <w:rPr>
          <w:lang w:eastAsia="en-GB"/>
        </w:rPr>
        <w:t xml:space="preserve"> </w:t>
      </w:r>
      <w:r w:rsidR="00023D9B">
        <w:rPr>
          <w:lang w:eastAsia="en-GB"/>
        </w:rPr>
        <w:t>however,</w:t>
      </w:r>
      <w:r w:rsidR="00245858">
        <w:rPr>
          <w:lang w:eastAsia="en-GB"/>
        </w:rPr>
        <w:t xml:space="preserve"> they have been rejected </w:t>
      </w:r>
      <w:r w:rsidR="008E1C0B">
        <w:rPr>
          <w:lang w:eastAsia="en-GB"/>
        </w:rPr>
        <w:t>based on</w:t>
      </w:r>
      <w:r w:rsidR="00245858">
        <w:rPr>
          <w:lang w:eastAsia="en-GB"/>
        </w:rPr>
        <w:t xml:space="preserve"> gross disproportion relative to the risk level. The ALARP status however </w:t>
      </w:r>
      <w:r w:rsidR="008E1C0B">
        <w:rPr>
          <w:lang w:eastAsia="en-GB"/>
        </w:rPr>
        <w:t>should be reviewed and adapted on an</w:t>
      </w:r>
      <w:r w:rsidR="00C93374">
        <w:rPr>
          <w:lang w:eastAsia="en-GB"/>
        </w:rPr>
        <w:t xml:space="preserve"> ongoing basis. As new technology </w:t>
      </w:r>
      <w:r w:rsidR="00062B90">
        <w:rPr>
          <w:lang w:eastAsia="en-GB"/>
        </w:rPr>
        <w:t xml:space="preserve">and </w:t>
      </w:r>
      <w:r w:rsidR="00023D9B">
        <w:rPr>
          <w:lang w:eastAsia="en-GB"/>
        </w:rPr>
        <w:t>cost-effective</w:t>
      </w:r>
      <w:r w:rsidR="00062B90">
        <w:rPr>
          <w:lang w:eastAsia="en-GB"/>
        </w:rPr>
        <w:t xml:space="preserve"> solutions are development the requirement for different controls may change.</w:t>
      </w:r>
    </w:p>
    <w:p w14:paraId="565B1A3A" w14:textId="020CB139" w:rsidR="00D5011B" w:rsidRDefault="000D5505" w:rsidP="00FB21D4">
      <w:pPr>
        <w:rPr>
          <w:lang w:eastAsia="en-GB"/>
        </w:rPr>
      </w:pPr>
      <w:r>
        <w:rPr>
          <w:lang w:eastAsia="en-GB"/>
        </w:rPr>
        <w:t>Using the additional controls the risk level is currently ALARP</w:t>
      </w:r>
      <w:r w:rsidR="006330F6">
        <w:rPr>
          <w:lang w:eastAsia="en-GB"/>
        </w:rPr>
        <w:t xml:space="preserve">, and this status is justified and sustainable, ensuring operational safe use of the weapon system </w:t>
      </w:r>
      <w:r w:rsidR="00D5011B">
        <w:rPr>
          <w:lang w:eastAsia="en-GB"/>
        </w:rPr>
        <w:t>in controlled environments.</w:t>
      </w:r>
    </w:p>
    <w:p w14:paraId="02FA88DB" w14:textId="77777777" w:rsidR="009811A9" w:rsidRPr="00FB21D4" w:rsidRDefault="009811A9" w:rsidP="00FB21D4">
      <w:pPr>
        <w:rPr>
          <w:lang w:eastAsia="en-GB"/>
        </w:rPr>
      </w:pPr>
    </w:p>
    <w:p w14:paraId="28886671" w14:textId="77777777" w:rsidR="008F6185" w:rsidRPr="00447A70" w:rsidRDefault="008F6185" w:rsidP="00D5011B">
      <w:pPr>
        <w:rPr>
          <w:rFonts w:ascii="Aptos" w:hAnsi="Aptos"/>
          <w:color w:val="212121"/>
          <w:sz w:val="22"/>
          <w:szCs w:val="22"/>
          <w:lang w:eastAsia="en-GB"/>
        </w:rPr>
      </w:pPr>
      <w:r>
        <w:rPr>
          <w:rFonts w:ascii="Aptos" w:hAnsi="Aptos"/>
          <w:noProof/>
          <w:color w:val="212121"/>
          <w:sz w:val="22"/>
          <w:szCs w:val="22"/>
          <w:lang w:eastAsia="en-GB"/>
        </w:rPr>
      </w:r>
      <w:r w:rsidR="008F6185">
        <w:rPr>
          <w:rFonts w:ascii="Aptos" w:hAnsi="Aptos"/>
          <w:noProof/>
          <w:color w:val="212121"/>
          <w:sz w:val="22"/>
          <w:szCs w:val="22"/>
          <w:lang w:eastAsia="en-GB"/>
        </w:rPr>
        <w:pict w14:anchorId="32B3998A">
          <v:rect id="_x0000_i1033" alt="" style="width:425.1pt;height:.05pt;mso-width-percent:0;mso-height-percent:0;mso-width-percent:0;mso-height-percent:0" o:hrpct="942" o:hralign="center" o:hrstd="t" o:hrnoshade="t" o:hr="t" fillcolor="#323130" stroked="f"/>
        </w:pict>
      </w:r>
    </w:p>
    <w:p w14:paraId="200E397F" w14:textId="49BE7297" w:rsidR="008F6185" w:rsidRDefault="00D5011B" w:rsidP="00D5011B">
      <w:pPr>
        <w:spacing w:before="0" w:after="200" w:line="276" w:lineRule="auto"/>
        <w:jc w:val="left"/>
      </w:pPr>
      <w:r>
        <w:br w:type="page"/>
      </w:r>
    </w:p>
    <w:sdt>
      <w:sdtPr>
        <w:id w:val="-668337566"/>
        <w:docPartObj>
          <w:docPartGallery w:val="Bibliographies"/>
          <w:docPartUnique/>
        </w:docPartObj>
      </w:sdtPr>
      <w:sdtEndPr>
        <w:rPr>
          <w:b/>
          <w:bCs/>
        </w:rPr>
      </w:sdtEndPr>
      <w:sdtContent>
        <w:p w14:paraId="409B946D" w14:textId="77777777" w:rsidR="009C4F26" w:rsidRDefault="00FC4826">
          <w:pPr>
            <w:rPr>
              <w:rFonts w:asciiTheme="minorHAnsi" w:eastAsiaTheme="minorHAnsi" w:hAnsiTheme="minorHAnsi" w:cstheme="minorBidi"/>
              <w:noProof/>
              <w:sz w:val="22"/>
              <w:szCs w:val="22"/>
            </w:rPr>
          </w:pPr>
          <w:r w:rsidRPr="000D05B9">
            <w:rPr>
              <w:rStyle w:val="Heading1Char"/>
            </w:rPr>
            <w:t>Works Cited</w:t>
          </w:r>
          <w:r>
            <w:fldChar w:fldCharType="begin"/>
          </w:r>
          <w:r>
            <w:instrText xml:space="preserve"> BIBLIOGRAPHY </w:instrText>
          </w:r>
          <w:r>
            <w:fldChar w:fldCharType="separate"/>
          </w:r>
        </w:p>
        <w:tbl>
          <w:tblPr>
            <w:tblW w:w="5083" w:type="pct"/>
            <w:tblCellSpacing w:w="15" w:type="dxa"/>
            <w:tblInd w:w="-142" w:type="dxa"/>
            <w:tblLayout w:type="fixed"/>
            <w:tblCellMar>
              <w:top w:w="15" w:type="dxa"/>
              <w:left w:w="15" w:type="dxa"/>
              <w:bottom w:w="15" w:type="dxa"/>
              <w:right w:w="15" w:type="dxa"/>
            </w:tblCellMar>
            <w:tblLook w:val="04A0" w:firstRow="1" w:lastRow="0" w:firstColumn="1" w:lastColumn="0" w:noHBand="0" w:noVBand="1"/>
          </w:tblPr>
          <w:tblGrid>
            <w:gridCol w:w="425"/>
            <w:gridCol w:w="8220"/>
          </w:tblGrid>
          <w:tr w:rsidR="009C4F26" w14:paraId="67EDEDFE" w14:textId="77777777" w:rsidTr="009C4F26">
            <w:trPr>
              <w:divId w:val="1711150775"/>
              <w:tblCellSpacing w:w="15" w:type="dxa"/>
            </w:trPr>
            <w:tc>
              <w:tcPr>
                <w:tcW w:w="220" w:type="pct"/>
                <w:hideMark/>
              </w:tcPr>
              <w:p w14:paraId="091EE601" w14:textId="115D3A8B" w:rsidR="009C4F26" w:rsidRDefault="009C4F26">
                <w:pPr>
                  <w:pStyle w:val="Bibliography"/>
                  <w:rPr>
                    <w:noProof/>
                  </w:rPr>
                </w:pPr>
                <w:r>
                  <w:rPr>
                    <w:noProof/>
                  </w:rPr>
                  <w:t xml:space="preserve">[1] </w:t>
                </w:r>
              </w:p>
            </w:tc>
            <w:tc>
              <w:tcPr>
                <w:tcW w:w="4728" w:type="pct"/>
                <w:hideMark/>
              </w:tcPr>
              <w:p w14:paraId="016A593B" w14:textId="77777777" w:rsidR="009C4F26" w:rsidRDefault="009C4F26" w:rsidP="009C4F26">
                <w:pPr>
                  <w:pStyle w:val="Bibliography"/>
                  <w:jc w:val="left"/>
                  <w:rPr>
                    <w:noProof/>
                  </w:rPr>
                </w:pPr>
                <w:r>
                  <w:rPr>
                    <w:noProof/>
                  </w:rPr>
                  <w:t>E. Union, “Accidents at work - statistics on causes and circumstances,” eurostat, November 2024. [Online]. Available: https://ec.europa.eu/eurostat/statistics-explained/index.php?title=Accidents_at_work_-_statistics_on_causes_and_circumstances. [Accessed 17 July 2025].</w:t>
                </w:r>
              </w:p>
            </w:tc>
          </w:tr>
          <w:tr w:rsidR="009C4F26" w14:paraId="1B8E557D" w14:textId="77777777" w:rsidTr="009C4F26">
            <w:trPr>
              <w:divId w:val="1711150775"/>
              <w:tblCellSpacing w:w="15" w:type="dxa"/>
            </w:trPr>
            <w:tc>
              <w:tcPr>
                <w:tcW w:w="220" w:type="pct"/>
                <w:hideMark/>
              </w:tcPr>
              <w:p w14:paraId="2DD02701" w14:textId="77777777" w:rsidR="009C4F26" w:rsidRDefault="009C4F26">
                <w:pPr>
                  <w:pStyle w:val="Bibliography"/>
                  <w:rPr>
                    <w:noProof/>
                  </w:rPr>
                </w:pPr>
                <w:r>
                  <w:rPr>
                    <w:noProof/>
                  </w:rPr>
                  <w:t xml:space="preserve">[2] </w:t>
                </w:r>
              </w:p>
            </w:tc>
            <w:tc>
              <w:tcPr>
                <w:tcW w:w="4728" w:type="pct"/>
                <w:hideMark/>
              </w:tcPr>
              <w:p w14:paraId="25752EBA" w14:textId="77777777" w:rsidR="009C4F26" w:rsidRDefault="009C4F26" w:rsidP="009C4F26">
                <w:pPr>
                  <w:pStyle w:val="Bibliography"/>
                  <w:jc w:val="left"/>
                  <w:rPr>
                    <w:noProof/>
                  </w:rPr>
                </w:pPr>
                <w:r>
                  <w:rPr>
                    <w:noProof/>
                  </w:rPr>
                  <w:t>Defence Safety Authority, “DSA 03.OME Part 1: Defence Code of Practice (DCOP) 101,” November 2024. [Online]. Available: https://assets.publishing.service.gov.uk/media/674f32ea26364a399a991b02/DSA_03.OME_Part_1_DCOP_101_-_OME_Design_Requirements.pdf. [Accessed 17 July 2025].</w:t>
                </w:r>
              </w:p>
            </w:tc>
          </w:tr>
          <w:tr w:rsidR="009C4F26" w14:paraId="71660A7E" w14:textId="77777777" w:rsidTr="009C4F26">
            <w:trPr>
              <w:divId w:val="1711150775"/>
              <w:tblCellSpacing w:w="15" w:type="dxa"/>
            </w:trPr>
            <w:tc>
              <w:tcPr>
                <w:tcW w:w="220" w:type="pct"/>
                <w:hideMark/>
              </w:tcPr>
              <w:p w14:paraId="3E724D90" w14:textId="77777777" w:rsidR="009C4F26" w:rsidRDefault="009C4F26">
                <w:pPr>
                  <w:pStyle w:val="Bibliography"/>
                  <w:rPr>
                    <w:noProof/>
                  </w:rPr>
                </w:pPr>
                <w:r>
                  <w:rPr>
                    <w:noProof/>
                  </w:rPr>
                  <w:t xml:space="preserve">[3] </w:t>
                </w:r>
              </w:p>
            </w:tc>
            <w:tc>
              <w:tcPr>
                <w:tcW w:w="4728" w:type="pct"/>
                <w:hideMark/>
              </w:tcPr>
              <w:p w14:paraId="42166D25" w14:textId="77777777" w:rsidR="009C4F26" w:rsidRDefault="009C4F26" w:rsidP="009C4F26">
                <w:pPr>
                  <w:pStyle w:val="Bibliography"/>
                  <w:jc w:val="left"/>
                  <w:rPr>
                    <w:noProof/>
                  </w:rPr>
                </w:pPr>
                <w:r>
                  <w:rPr>
                    <w:noProof/>
                  </w:rPr>
                  <w:t>Ministry of Defence, “Defence Training &amp; Education Guides,” February 2024. [Online]. Available: https://modgovuk.sharepoint.com/sites/people-tesrr-policy. [Accessed 17 July 2025].</w:t>
                </w:r>
              </w:p>
            </w:tc>
          </w:tr>
          <w:tr w:rsidR="009C4F26" w14:paraId="4AC56401" w14:textId="77777777" w:rsidTr="009C4F26">
            <w:trPr>
              <w:divId w:val="1711150775"/>
              <w:tblCellSpacing w:w="15" w:type="dxa"/>
            </w:trPr>
            <w:tc>
              <w:tcPr>
                <w:tcW w:w="220" w:type="pct"/>
                <w:hideMark/>
              </w:tcPr>
              <w:p w14:paraId="72AD6CBF" w14:textId="77777777" w:rsidR="009C4F26" w:rsidRDefault="009C4F26">
                <w:pPr>
                  <w:pStyle w:val="Bibliography"/>
                  <w:rPr>
                    <w:noProof/>
                  </w:rPr>
                </w:pPr>
                <w:r>
                  <w:rPr>
                    <w:noProof/>
                  </w:rPr>
                  <w:t xml:space="preserve">[4] </w:t>
                </w:r>
              </w:p>
            </w:tc>
            <w:tc>
              <w:tcPr>
                <w:tcW w:w="4728" w:type="pct"/>
                <w:hideMark/>
              </w:tcPr>
              <w:p w14:paraId="0231C7AA" w14:textId="77777777" w:rsidR="009C4F26" w:rsidRDefault="009C4F26" w:rsidP="009C4F26">
                <w:pPr>
                  <w:pStyle w:val="Bibliography"/>
                  <w:jc w:val="left"/>
                  <w:rPr>
                    <w:noProof/>
                  </w:rPr>
                </w:pPr>
                <w:r>
                  <w:rPr>
                    <w:noProof/>
                  </w:rPr>
                  <w:t>Health and Safety Executive, “Personal protective equipment (PPE) at work regulations from 6 April 2022,” HSE, April 2022. [Online]. Available: https://www.hse.gov.uk/ppe/ppe-regulations-2022.htm. [Accessed 17 July 2025].</w:t>
                </w:r>
              </w:p>
            </w:tc>
          </w:tr>
          <w:tr w:rsidR="009C4F26" w14:paraId="04615653" w14:textId="77777777" w:rsidTr="009C4F26">
            <w:trPr>
              <w:divId w:val="1711150775"/>
              <w:tblCellSpacing w:w="15" w:type="dxa"/>
            </w:trPr>
            <w:tc>
              <w:tcPr>
                <w:tcW w:w="220" w:type="pct"/>
                <w:hideMark/>
              </w:tcPr>
              <w:p w14:paraId="119A4A64" w14:textId="77777777" w:rsidR="009C4F26" w:rsidRDefault="009C4F26">
                <w:pPr>
                  <w:pStyle w:val="Bibliography"/>
                  <w:rPr>
                    <w:noProof/>
                  </w:rPr>
                </w:pPr>
                <w:r>
                  <w:rPr>
                    <w:noProof/>
                  </w:rPr>
                  <w:t xml:space="preserve">[5] </w:t>
                </w:r>
              </w:p>
            </w:tc>
            <w:tc>
              <w:tcPr>
                <w:tcW w:w="4728" w:type="pct"/>
                <w:hideMark/>
              </w:tcPr>
              <w:p w14:paraId="6724A881" w14:textId="77777777" w:rsidR="009C4F26" w:rsidRDefault="009C4F26" w:rsidP="009C4F26">
                <w:pPr>
                  <w:pStyle w:val="Bibliography"/>
                  <w:jc w:val="left"/>
                  <w:rPr>
                    <w:noProof/>
                  </w:rPr>
                </w:pPr>
                <w:r>
                  <w:rPr>
                    <w:noProof/>
                  </w:rPr>
                  <w:t>P. Coster, “A guide to LOLER: Lifting Operations and Lifting Equipment Regulations,” WORKSAFE UK, 05 April 2024. [Online]. Available: https://www.worksafe.uk.com/manual-handling/a-guide-to-loler-lifting-operations-and-lifting-equipment-regulations/#:~:text=LOLER%20stands%20for%20Lifting%20Operations%20and%20Lifting%20Equipment,the%20Health%20and%20Safety%20at%20Work%20Act%20%28HSWA%29.. [Accessed 17 July 2025].</w:t>
                </w:r>
              </w:p>
            </w:tc>
          </w:tr>
          <w:tr w:rsidR="009C4F26" w14:paraId="54F822AF" w14:textId="77777777" w:rsidTr="009C4F26">
            <w:trPr>
              <w:divId w:val="1711150775"/>
              <w:tblCellSpacing w:w="15" w:type="dxa"/>
            </w:trPr>
            <w:tc>
              <w:tcPr>
                <w:tcW w:w="220" w:type="pct"/>
                <w:hideMark/>
              </w:tcPr>
              <w:p w14:paraId="2539727D" w14:textId="77777777" w:rsidR="009C4F26" w:rsidRDefault="009C4F26">
                <w:pPr>
                  <w:pStyle w:val="Bibliography"/>
                  <w:rPr>
                    <w:noProof/>
                  </w:rPr>
                </w:pPr>
                <w:r>
                  <w:rPr>
                    <w:noProof/>
                  </w:rPr>
                  <w:t xml:space="preserve">[6] </w:t>
                </w:r>
              </w:p>
            </w:tc>
            <w:tc>
              <w:tcPr>
                <w:tcW w:w="4728" w:type="pct"/>
                <w:hideMark/>
              </w:tcPr>
              <w:p w14:paraId="27E9F210" w14:textId="77777777" w:rsidR="009C4F26" w:rsidRDefault="009C4F26" w:rsidP="009C4F26">
                <w:pPr>
                  <w:pStyle w:val="Bibliography"/>
                  <w:jc w:val="left"/>
                  <w:rPr>
                    <w:noProof/>
                  </w:rPr>
                </w:pPr>
                <w:r>
                  <w:rPr>
                    <w:noProof/>
                  </w:rPr>
                  <w:t>Ministry of Defence, “JSP 975: MoD Lifting Policy,” March 2024. [Online]. Available: https://modgovuk.sharepoint.com/sites/IntranetHeadOffice/SitePages/JSP-975.aspx. [Accessed 17 July 2025].</w:t>
                </w:r>
              </w:p>
            </w:tc>
          </w:tr>
          <w:tr w:rsidR="009C4F26" w14:paraId="557C6101" w14:textId="77777777" w:rsidTr="009C4F26">
            <w:trPr>
              <w:divId w:val="1711150775"/>
              <w:tblCellSpacing w:w="15" w:type="dxa"/>
            </w:trPr>
            <w:tc>
              <w:tcPr>
                <w:tcW w:w="220" w:type="pct"/>
                <w:hideMark/>
              </w:tcPr>
              <w:p w14:paraId="4E57695E" w14:textId="77777777" w:rsidR="009C4F26" w:rsidRDefault="009C4F26">
                <w:pPr>
                  <w:pStyle w:val="Bibliography"/>
                  <w:rPr>
                    <w:noProof/>
                  </w:rPr>
                </w:pPr>
                <w:r>
                  <w:rPr>
                    <w:noProof/>
                  </w:rPr>
                  <w:t xml:space="preserve">[7] </w:t>
                </w:r>
              </w:p>
            </w:tc>
            <w:tc>
              <w:tcPr>
                <w:tcW w:w="4728" w:type="pct"/>
                <w:hideMark/>
              </w:tcPr>
              <w:p w14:paraId="0A72142B" w14:textId="77777777" w:rsidR="009C4F26" w:rsidRDefault="009C4F26" w:rsidP="009C4F26">
                <w:pPr>
                  <w:pStyle w:val="Bibliography"/>
                  <w:jc w:val="left"/>
                  <w:rPr>
                    <w:noProof/>
                  </w:rPr>
                </w:pPr>
                <w:r>
                  <w:rPr>
                    <w:noProof/>
                  </w:rPr>
                  <w:t>Health and Safety Executive, “Provision and Use of Work Equipment Regulations 1998 (PUWER),” HSE, Unknown. [Online]. Available: https://www.hse.gov.uk/work-equipment-machinery/puwer.htm. [Accessed 17 July 2025].</w:t>
                </w:r>
              </w:p>
            </w:tc>
          </w:tr>
          <w:tr w:rsidR="009C4F26" w14:paraId="1B1FFB31" w14:textId="77777777" w:rsidTr="009C4F26">
            <w:trPr>
              <w:divId w:val="1711150775"/>
              <w:tblCellSpacing w:w="15" w:type="dxa"/>
            </w:trPr>
            <w:tc>
              <w:tcPr>
                <w:tcW w:w="220" w:type="pct"/>
                <w:hideMark/>
              </w:tcPr>
              <w:p w14:paraId="1FA243B9" w14:textId="77777777" w:rsidR="009C4F26" w:rsidRDefault="009C4F26">
                <w:pPr>
                  <w:pStyle w:val="Bibliography"/>
                  <w:rPr>
                    <w:noProof/>
                  </w:rPr>
                </w:pPr>
                <w:r>
                  <w:rPr>
                    <w:noProof/>
                  </w:rPr>
                  <w:t xml:space="preserve">[8] </w:t>
                </w:r>
              </w:p>
            </w:tc>
            <w:tc>
              <w:tcPr>
                <w:tcW w:w="4728" w:type="pct"/>
                <w:hideMark/>
              </w:tcPr>
              <w:p w14:paraId="2F0CDA50" w14:textId="77777777" w:rsidR="009C4F26" w:rsidRDefault="009C4F26" w:rsidP="009C4F26">
                <w:pPr>
                  <w:pStyle w:val="Bibliography"/>
                  <w:jc w:val="left"/>
                  <w:rPr>
                    <w:noProof/>
                  </w:rPr>
                </w:pPr>
                <w:r>
                  <w:rPr>
                    <w:noProof/>
                  </w:rPr>
                  <w:t>“ISO 14001:2015,” ISO, 2015. [Online]. Available: https://www.iso.org/standard/60857.html#:~:text=What%20is%20ISO%2014001?,continually%20improve%20their%20environmental%20performance.. [Accessed 17 July 2025].</w:t>
                </w:r>
              </w:p>
            </w:tc>
          </w:tr>
          <w:tr w:rsidR="009C4F26" w14:paraId="33998B02" w14:textId="77777777" w:rsidTr="009C4F26">
            <w:trPr>
              <w:divId w:val="1711150775"/>
              <w:tblCellSpacing w:w="15" w:type="dxa"/>
            </w:trPr>
            <w:tc>
              <w:tcPr>
                <w:tcW w:w="220" w:type="pct"/>
                <w:hideMark/>
              </w:tcPr>
              <w:p w14:paraId="34F44F42" w14:textId="77777777" w:rsidR="009C4F26" w:rsidRDefault="009C4F26">
                <w:pPr>
                  <w:pStyle w:val="Bibliography"/>
                  <w:rPr>
                    <w:noProof/>
                  </w:rPr>
                </w:pPr>
                <w:r>
                  <w:rPr>
                    <w:noProof/>
                  </w:rPr>
                  <w:t xml:space="preserve">[9] </w:t>
                </w:r>
              </w:p>
            </w:tc>
            <w:tc>
              <w:tcPr>
                <w:tcW w:w="4728" w:type="pct"/>
                <w:hideMark/>
              </w:tcPr>
              <w:p w14:paraId="1B916342" w14:textId="77777777" w:rsidR="009C4F26" w:rsidRDefault="009C4F26" w:rsidP="009C4F26">
                <w:pPr>
                  <w:pStyle w:val="Bibliography"/>
                  <w:jc w:val="left"/>
                  <w:rPr>
                    <w:noProof/>
                  </w:rPr>
                </w:pPr>
                <w:r>
                  <w:rPr>
                    <w:noProof/>
                  </w:rPr>
                  <w:t>“Guidance on ALARP Decisions in COMAH,” Health and Saftey Executive, Unknown. [Online]. Available: https://www.hse.gov.uk/foi/internalops/hid_circs/permissioning/spc_perm_37/. [Accessed 17 July 2025].</w:t>
                </w:r>
              </w:p>
            </w:tc>
          </w:tr>
        </w:tbl>
        <w:p w14:paraId="24768FC3" w14:textId="77777777" w:rsidR="009C4F26" w:rsidRDefault="009C4F26">
          <w:pPr>
            <w:divId w:val="1711150775"/>
            <w:rPr>
              <w:noProof/>
            </w:rPr>
          </w:pPr>
        </w:p>
        <w:p w14:paraId="55E69201" w14:textId="1AACD480" w:rsidR="00FC4826" w:rsidRDefault="00FC4826">
          <w:r>
            <w:rPr>
              <w:b/>
              <w:bCs/>
            </w:rPr>
            <w:fldChar w:fldCharType="end"/>
          </w:r>
        </w:p>
      </w:sdtContent>
    </w:sdt>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default" r:id="rId13"/>
          <w:pgSz w:w="11906" w:h="16838" w:code="9"/>
          <w:pgMar w:top="1701" w:right="1701" w:bottom="1701" w:left="1701" w:header="709" w:footer="851" w:gutter="0"/>
          <w:cols w:space="708"/>
          <w:docGrid w:linePitch="360"/>
        </w:sectPr>
      </w:pPr>
      <w:bookmarkStart w:id="7" w:name="_Toc51833420"/>
    </w:p>
    <w:p w14:paraId="40B688BF" w14:textId="12104B24" w:rsidR="00DA28B2" w:rsidRDefault="004C2C9C" w:rsidP="00DA28B2">
      <w:pPr>
        <w:pStyle w:val="Heading1nonumber"/>
      </w:pPr>
      <w:bookmarkStart w:id="8" w:name="_Toc290554258"/>
      <w:bookmarkStart w:id="9" w:name="_Toc299621223"/>
      <w:bookmarkStart w:id="10" w:name="_Toc299631448"/>
      <w:bookmarkStart w:id="11" w:name="_Toc299631510"/>
      <w:bookmarkStart w:id="12" w:name="_Toc299631600"/>
      <w:bookmarkStart w:id="13" w:name="_Toc299631676"/>
      <w:bookmarkStart w:id="14" w:name="_Toc203740393"/>
      <w:r>
        <w:lastRenderedPageBreak/>
        <w:t>Appendices</w:t>
      </w:r>
      <w:bookmarkEnd w:id="7"/>
      <w:bookmarkEnd w:id="8"/>
      <w:bookmarkEnd w:id="9"/>
      <w:bookmarkEnd w:id="10"/>
      <w:bookmarkEnd w:id="11"/>
      <w:bookmarkEnd w:id="12"/>
      <w:bookmarkEnd w:id="13"/>
      <w:bookmarkEnd w:id="14"/>
    </w:p>
    <w:p w14:paraId="6DBF3720" w14:textId="20E4312B" w:rsidR="000D3AB7" w:rsidRDefault="00541925" w:rsidP="00423DB3">
      <w:pPr>
        <w:pStyle w:val="Heading7"/>
      </w:pPr>
      <w:bookmarkStart w:id="15" w:name="_Toc203740394"/>
      <w:r>
        <w:t>Hazard Assessment</w:t>
      </w:r>
      <w:bookmarkEnd w:id="15"/>
    </w:p>
    <w:p w14:paraId="41784C51" w14:textId="484F6A92" w:rsidR="00E311B1" w:rsidRDefault="00E311B1" w:rsidP="00E311B1">
      <w:pPr>
        <w:pStyle w:val="Caption"/>
        <w:keepNext/>
      </w:pPr>
      <w:r>
        <w:t xml:space="preserve">Table </w:t>
      </w:r>
      <w:fldSimple w:instr=" SEQ Table \* ARABIC ">
        <w:r>
          <w:rPr>
            <w:noProof/>
          </w:rPr>
          <w:t>1</w:t>
        </w:r>
      </w:fldSimple>
      <w:r>
        <w:t xml:space="preserve"> - Hazard Assessment</w:t>
      </w:r>
    </w:p>
    <w:tbl>
      <w:tblPr>
        <w:tblStyle w:val="PlainTable1"/>
        <w:tblW w:w="14170" w:type="dxa"/>
        <w:tblLook w:val="04A0" w:firstRow="1" w:lastRow="0" w:firstColumn="1" w:lastColumn="0" w:noHBand="0" w:noVBand="1"/>
      </w:tblPr>
      <w:tblGrid>
        <w:gridCol w:w="657"/>
        <w:gridCol w:w="1755"/>
        <w:gridCol w:w="2567"/>
        <w:gridCol w:w="1751"/>
        <w:gridCol w:w="3046"/>
        <w:gridCol w:w="1115"/>
        <w:gridCol w:w="1862"/>
        <w:gridCol w:w="1417"/>
      </w:tblGrid>
      <w:tr w:rsidR="00E311B1" w14:paraId="28D76BD9" w14:textId="77777777" w:rsidTr="00E311B1">
        <w:trPr>
          <w:cnfStyle w:val="100000000000" w:firstRow="1" w:lastRow="0" w:firstColumn="0" w:lastColumn="0" w:oddVBand="0" w:evenVBand="0" w:oddHBand="0" w:evenHBand="0" w:firstRowFirstColumn="0" w:firstRowLastColumn="0" w:lastRowFirstColumn="0" w:lastRowLastColumn="0"/>
          <w:cantSplit/>
          <w:trHeight w:val="1266"/>
        </w:trPr>
        <w:tc>
          <w:tcPr>
            <w:cnfStyle w:val="001000000000" w:firstRow="0" w:lastRow="0" w:firstColumn="1" w:lastColumn="0" w:oddVBand="0" w:evenVBand="0" w:oddHBand="0" w:evenHBand="0" w:firstRowFirstColumn="0" w:firstRowLastColumn="0" w:lastRowFirstColumn="0" w:lastRowLastColumn="0"/>
            <w:tcW w:w="657" w:type="dxa"/>
          </w:tcPr>
          <w:p w14:paraId="662B3FD1" w14:textId="77777777" w:rsidR="00515F6D" w:rsidRPr="00981450" w:rsidRDefault="00515F6D" w:rsidP="00515F6D">
            <w:pPr>
              <w:jc w:val="left"/>
              <w:rPr>
                <w:u w:val="single"/>
              </w:rPr>
            </w:pPr>
            <w:r w:rsidRPr="00981450">
              <w:rPr>
                <w:u w:val="single"/>
              </w:rPr>
              <w:t>Haz ID</w:t>
            </w:r>
          </w:p>
        </w:tc>
        <w:tc>
          <w:tcPr>
            <w:tcW w:w="1755" w:type="dxa"/>
          </w:tcPr>
          <w:p w14:paraId="243C23BF" w14:textId="77777777" w:rsidR="00515F6D" w:rsidRPr="00981450" w:rsidRDefault="00515F6D" w:rsidP="00515F6D">
            <w:pPr>
              <w:jc w:val="left"/>
              <w:cnfStyle w:val="100000000000" w:firstRow="1" w:lastRow="0" w:firstColumn="0" w:lastColumn="0" w:oddVBand="0" w:evenVBand="0" w:oddHBand="0" w:evenHBand="0" w:firstRowFirstColumn="0" w:firstRowLastColumn="0" w:lastRowFirstColumn="0" w:lastRowLastColumn="0"/>
              <w:rPr>
                <w:u w:val="single"/>
              </w:rPr>
            </w:pPr>
            <w:r>
              <w:rPr>
                <w:u w:val="single"/>
              </w:rPr>
              <w:t>Task / System Description</w:t>
            </w:r>
          </w:p>
        </w:tc>
        <w:tc>
          <w:tcPr>
            <w:tcW w:w="2567" w:type="dxa"/>
          </w:tcPr>
          <w:p w14:paraId="323422AA" w14:textId="77777777" w:rsidR="00515F6D" w:rsidRPr="00981450" w:rsidRDefault="00515F6D" w:rsidP="00515F6D">
            <w:pPr>
              <w:jc w:val="left"/>
              <w:cnfStyle w:val="100000000000" w:firstRow="1" w:lastRow="0" w:firstColumn="0" w:lastColumn="0" w:oddVBand="0" w:evenVBand="0" w:oddHBand="0" w:evenHBand="0" w:firstRowFirstColumn="0" w:firstRowLastColumn="0" w:lastRowFirstColumn="0" w:lastRowLastColumn="0"/>
              <w:rPr>
                <w:u w:val="single"/>
              </w:rPr>
            </w:pPr>
            <w:r w:rsidRPr="00981450">
              <w:rPr>
                <w:u w:val="single"/>
              </w:rPr>
              <w:t>Hazard Description</w:t>
            </w:r>
          </w:p>
        </w:tc>
        <w:tc>
          <w:tcPr>
            <w:tcW w:w="1751" w:type="dxa"/>
          </w:tcPr>
          <w:p w14:paraId="1522AA27" w14:textId="77777777" w:rsidR="00515F6D" w:rsidRPr="00981450" w:rsidRDefault="00515F6D" w:rsidP="00515F6D">
            <w:pPr>
              <w:jc w:val="left"/>
              <w:cnfStyle w:val="100000000000" w:firstRow="1" w:lastRow="0" w:firstColumn="0" w:lastColumn="0" w:oddVBand="0" w:evenVBand="0" w:oddHBand="0" w:evenHBand="0" w:firstRowFirstColumn="0" w:firstRowLastColumn="0" w:lastRowFirstColumn="0" w:lastRowLastColumn="0"/>
              <w:rPr>
                <w:u w:val="single"/>
              </w:rPr>
            </w:pPr>
            <w:r w:rsidRPr="00981450">
              <w:rPr>
                <w:u w:val="single"/>
              </w:rPr>
              <w:t>Accident</w:t>
            </w:r>
          </w:p>
        </w:tc>
        <w:tc>
          <w:tcPr>
            <w:tcW w:w="3046" w:type="dxa"/>
          </w:tcPr>
          <w:p w14:paraId="6DE65E33" w14:textId="77777777" w:rsidR="00515F6D" w:rsidRPr="00981450" w:rsidRDefault="00515F6D" w:rsidP="00515F6D">
            <w:pPr>
              <w:jc w:val="left"/>
              <w:cnfStyle w:val="100000000000" w:firstRow="1" w:lastRow="0" w:firstColumn="0" w:lastColumn="0" w:oddVBand="0" w:evenVBand="0" w:oddHBand="0" w:evenHBand="0" w:firstRowFirstColumn="0" w:firstRowLastColumn="0" w:lastRowFirstColumn="0" w:lastRowLastColumn="0"/>
              <w:rPr>
                <w:u w:val="single"/>
              </w:rPr>
            </w:pPr>
            <w:r w:rsidRPr="00981450">
              <w:rPr>
                <w:u w:val="single"/>
              </w:rPr>
              <w:t>Cause</w:t>
            </w:r>
          </w:p>
        </w:tc>
        <w:tc>
          <w:tcPr>
            <w:tcW w:w="1115" w:type="dxa"/>
            <w:textDirection w:val="tbRl"/>
          </w:tcPr>
          <w:p w14:paraId="39B8C808" w14:textId="77777777" w:rsidR="00515F6D" w:rsidRPr="00981450" w:rsidRDefault="00515F6D" w:rsidP="00515F6D">
            <w:pPr>
              <w:ind w:left="113" w:right="113"/>
              <w:jc w:val="left"/>
              <w:cnfStyle w:val="100000000000" w:firstRow="1" w:lastRow="0" w:firstColumn="0" w:lastColumn="0" w:oddVBand="0" w:evenVBand="0" w:oddHBand="0" w:evenHBand="0" w:firstRowFirstColumn="0" w:firstRowLastColumn="0" w:lastRowFirstColumn="0" w:lastRowLastColumn="0"/>
              <w:rPr>
                <w:u w:val="single"/>
              </w:rPr>
            </w:pPr>
            <w:r w:rsidRPr="00981450">
              <w:rPr>
                <w:u w:val="single"/>
              </w:rPr>
              <w:t>Pre-control Risk Estimate</w:t>
            </w:r>
          </w:p>
        </w:tc>
        <w:tc>
          <w:tcPr>
            <w:tcW w:w="1862" w:type="dxa"/>
          </w:tcPr>
          <w:p w14:paraId="00DEBE57" w14:textId="77777777" w:rsidR="00515F6D" w:rsidRPr="00981450" w:rsidRDefault="00515F6D" w:rsidP="00515F6D">
            <w:pPr>
              <w:jc w:val="left"/>
              <w:cnfStyle w:val="100000000000" w:firstRow="1" w:lastRow="0" w:firstColumn="0" w:lastColumn="0" w:oddVBand="0" w:evenVBand="0" w:oddHBand="0" w:evenHBand="0" w:firstRowFirstColumn="0" w:firstRowLastColumn="0" w:lastRowFirstColumn="0" w:lastRowLastColumn="0"/>
              <w:rPr>
                <w:u w:val="single"/>
              </w:rPr>
            </w:pPr>
            <w:r w:rsidRPr="00981450">
              <w:rPr>
                <w:u w:val="single"/>
              </w:rPr>
              <w:t>Controls and Mitigations</w:t>
            </w:r>
          </w:p>
        </w:tc>
        <w:tc>
          <w:tcPr>
            <w:tcW w:w="1417" w:type="dxa"/>
            <w:textDirection w:val="tbRl"/>
          </w:tcPr>
          <w:p w14:paraId="7C38C480" w14:textId="77777777" w:rsidR="00515F6D" w:rsidRPr="00981450" w:rsidRDefault="00515F6D" w:rsidP="00515F6D">
            <w:pPr>
              <w:ind w:left="113" w:right="113"/>
              <w:jc w:val="left"/>
              <w:cnfStyle w:val="100000000000" w:firstRow="1" w:lastRow="0" w:firstColumn="0" w:lastColumn="0" w:oddVBand="0" w:evenVBand="0" w:oddHBand="0" w:evenHBand="0" w:firstRowFirstColumn="0" w:firstRowLastColumn="0" w:lastRowFirstColumn="0" w:lastRowLastColumn="0"/>
              <w:rPr>
                <w:u w:val="single"/>
              </w:rPr>
            </w:pPr>
            <w:r w:rsidRPr="00981450">
              <w:rPr>
                <w:u w:val="single"/>
              </w:rPr>
              <w:t>Post-control Risk Estimate</w:t>
            </w:r>
          </w:p>
        </w:tc>
      </w:tr>
      <w:tr w:rsidR="00E311B1" w14:paraId="6B4A28D5" w14:textId="77777777" w:rsidTr="00E311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7" w:type="dxa"/>
          </w:tcPr>
          <w:p w14:paraId="6B5120BF" w14:textId="77777777" w:rsidR="00515F6D" w:rsidRDefault="00515F6D" w:rsidP="00515F6D">
            <w:pPr>
              <w:jc w:val="left"/>
            </w:pPr>
            <w:r>
              <w:t>H1</w:t>
            </w:r>
          </w:p>
        </w:tc>
        <w:tc>
          <w:tcPr>
            <w:tcW w:w="1755" w:type="dxa"/>
          </w:tcPr>
          <w:p w14:paraId="22623314"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Operation of weapon system or handling / storing ammunition</w:t>
            </w:r>
          </w:p>
        </w:tc>
        <w:tc>
          <w:tcPr>
            <w:tcW w:w="2567" w:type="dxa"/>
          </w:tcPr>
          <w:p w14:paraId="2C4E4B20"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Unintended Initiation</w:t>
            </w:r>
          </w:p>
        </w:tc>
        <w:tc>
          <w:tcPr>
            <w:tcW w:w="1751" w:type="dxa"/>
          </w:tcPr>
          <w:p w14:paraId="52A4E1B1"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Personnel injury or fatality</w:t>
            </w:r>
          </w:p>
        </w:tc>
        <w:tc>
          <w:tcPr>
            <w:tcW w:w="3046" w:type="dxa"/>
          </w:tcPr>
          <w:p w14:paraId="1A731FB1"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Mechanical fault, human error, exposure to environmental effects</w:t>
            </w:r>
          </w:p>
        </w:tc>
        <w:tc>
          <w:tcPr>
            <w:tcW w:w="1115" w:type="dxa"/>
          </w:tcPr>
          <w:p w14:paraId="4D937B5A"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F</w:t>
            </w:r>
          </w:p>
          <w:p w14:paraId="2DF0126C"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Ca</w:t>
            </w:r>
          </w:p>
          <w:p w14:paraId="6DFF9432"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00E52FA3"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A</w:t>
            </w:r>
          </w:p>
        </w:tc>
        <w:tc>
          <w:tcPr>
            <w:tcW w:w="1862" w:type="dxa"/>
          </w:tcPr>
          <w:p w14:paraId="73614239" w14:textId="1BA463BB" w:rsidR="00515F6D" w:rsidRPr="005C5F8B" w:rsidRDefault="00515F6D" w:rsidP="00515F6D">
            <w:pPr>
              <w:jc w:val="left"/>
              <w:cnfStyle w:val="000000100000" w:firstRow="0" w:lastRow="0" w:firstColumn="0" w:lastColumn="0" w:oddVBand="0" w:evenVBand="0" w:oddHBand="1" w:evenHBand="0" w:firstRowFirstColumn="0" w:firstRowLastColumn="0" w:lastRowFirstColumn="0" w:lastRowLastColumn="0"/>
            </w:pPr>
            <w:r w:rsidRPr="005C5F8B">
              <w:t xml:space="preserve">Training, maintenance, use of training rounds, proper use of weapon danger areas, safety mechanisms, safe handling procedures </w:t>
            </w:r>
          </w:p>
        </w:tc>
        <w:tc>
          <w:tcPr>
            <w:tcW w:w="1417" w:type="dxa"/>
          </w:tcPr>
          <w:p w14:paraId="753685E2"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R</w:t>
            </w:r>
          </w:p>
          <w:p w14:paraId="47BB1A2D"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Ca</w:t>
            </w:r>
          </w:p>
          <w:p w14:paraId="6FE7F98D"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315D81D2"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B</w:t>
            </w:r>
          </w:p>
        </w:tc>
      </w:tr>
      <w:tr w:rsidR="00E311B1" w14:paraId="246CB69A" w14:textId="77777777" w:rsidTr="00E311B1">
        <w:tc>
          <w:tcPr>
            <w:cnfStyle w:val="001000000000" w:firstRow="0" w:lastRow="0" w:firstColumn="1" w:lastColumn="0" w:oddVBand="0" w:evenVBand="0" w:oddHBand="0" w:evenHBand="0" w:firstRowFirstColumn="0" w:firstRowLastColumn="0" w:lastRowFirstColumn="0" w:lastRowLastColumn="0"/>
            <w:tcW w:w="657" w:type="dxa"/>
          </w:tcPr>
          <w:p w14:paraId="170D6187" w14:textId="77777777" w:rsidR="00515F6D" w:rsidRDefault="00515F6D" w:rsidP="00515F6D">
            <w:pPr>
              <w:jc w:val="left"/>
            </w:pPr>
            <w:r>
              <w:lastRenderedPageBreak/>
              <w:t>H2</w:t>
            </w:r>
          </w:p>
        </w:tc>
        <w:tc>
          <w:tcPr>
            <w:tcW w:w="1755" w:type="dxa"/>
          </w:tcPr>
          <w:p w14:paraId="77632BF7"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Handling of ammunition, cleaning weapon system, firing weapon system</w:t>
            </w:r>
          </w:p>
        </w:tc>
        <w:tc>
          <w:tcPr>
            <w:tcW w:w="2567" w:type="dxa"/>
          </w:tcPr>
          <w:p w14:paraId="329A9E37"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Exposure to harmful substances</w:t>
            </w:r>
          </w:p>
        </w:tc>
        <w:tc>
          <w:tcPr>
            <w:tcW w:w="1751" w:type="dxa"/>
          </w:tcPr>
          <w:p w14:paraId="70B464A4"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Inhalation, ingestion or skin absorption of toxic substances</w:t>
            </w:r>
          </w:p>
          <w:p w14:paraId="5385DE6A"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tc>
        <w:tc>
          <w:tcPr>
            <w:tcW w:w="3046" w:type="dxa"/>
          </w:tcPr>
          <w:p w14:paraId="51B2657E"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Weather conditions, Normal operation of weapon, incorrect PPE, user error, maintenance, incomplete propellant combustion, use of strong solvents when cleaning, poor ventilation</w:t>
            </w:r>
          </w:p>
        </w:tc>
        <w:tc>
          <w:tcPr>
            <w:tcW w:w="1115" w:type="dxa"/>
          </w:tcPr>
          <w:p w14:paraId="43EC7C93"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L = F</w:t>
            </w:r>
          </w:p>
          <w:p w14:paraId="6273D929"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Cr</w:t>
            </w:r>
          </w:p>
          <w:p w14:paraId="115ED7DC"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7E8BBDDA"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R = A</w:t>
            </w:r>
          </w:p>
        </w:tc>
        <w:tc>
          <w:tcPr>
            <w:tcW w:w="1862" w:type="dxa"/>
          </w:tcPr>
          <w:p w14:paraId="51FF5778" w14:textId="47007A62" w:rsidR="00515F6D" w:rsidRPr="005C5F8B" w:rsidRDefault="00515F6D" w:rsidP="00515F6D">
            <w:pPr>
              <w:jc w:val="left"/>
              <w:cnfStyle w:val="000000000000" w:firstRow="0" w:lastRow="0" w:firstColumn="0" w:lastColumn="0" w:oddVBand="0" w:evenVBand="0" w:oddHBand="0" w:evenHBand="0" w:firstRowFirstColumn="0" w:firstRowLastColumn="0" w:lastRowFirstColumn="0" w:lastRowLastColumn="0"/>
            </w:pPr>
            <w:r w:rsidRPr="005C5F8B">
              <w:t>Training, PPE, ventilation, use of less toxic substances wherever possible (REACH)</w:t>
            </w:r>
          </w:p>
        </w:tc>
        <w:tc>
          <w:tcPr>
            <w:tcW w:w="1417" w:type="dxa"/>
          </w:tcPr>
          <w:p w14:paraId="4BCB796C"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L = Im</w:t>
            </w:r>
          </w:p>
          <w:p w14:paraId="57FE147A"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M</w:t>
            </w:r>
          </w:p>
          <w:p w14:paraId="496469E8"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2C3FBE1A"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R = D</w:t>
            </w:r>
          </w:p>
        </w:tc>
      </w:tr>
      <w:tr w:rsidR="00E311B1" w14:paraId="5710A1EF" w14:textId="77777777" w:rsidTr="00E311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7" w:type="dxa"/>
          </w:tcPr>
          <w:p w14:paraId="79A5EC89" w14:textId="77777777" w:rsidR="00515F6D" w:rsidRDefault="00515F6D" w:rsidP="00515F6D">
            <w:pPr>
              <w:jc w:val="left"/>
            </w:pPr>
            <w:r>
              <w:t>H3</w:t>
            </w:r>
          </w:p>
        </w:tc>
        <w:tc>
          <w:tcPr>
            <w:tcW w:w="1755" w:type="dxa"/>
          </w:tcPr>
          <w:p w14:paraId="6D70459E"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Firing weapon system</w:t>
            </w:r>
          </w:p>
        </w:tc>
        <w:tc>
          <w:tcPr>
            <w:tcW w:w="2567" w:type="dxa"/>
          </w:tcPr>
          <w:p w14:paraId="072BB65D"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Noise exposure</w:t>
            </w:r>
          </w:p>
        </w:tc>
        <w:tc>
          <w:tcPr>
            <w:tcW w:w="1751" w:type="dxa"/>
          </w:tcPr>
          <w:p w14:paraId="32FFB9EB"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Hearing damage</w:t>
            </w:r>
          </w:p>
        </w:tc>
        <w:tc>
          <w:tcPr>
            <w:tcW w:w="3046" w:type="dxa"/>
          </w:tcPr>
          <w:p w14:paraId="178C45B0"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Extreme and repeated noise levels, incorrect PPE, personnel within WDA</w:t>
            </w:r>
          </w:p>
          <w:p w14:paraId="7B5A3831"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tc>
        <w:tc>
          <w:tcPr>
            <w:tcW w:w="1115" w:type="dxa"/>
          </w:tcPr>
          <w:p w14:paraId="4F2AA609"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F</w:t>
            </w:r>
          </w:p>
          <w:p w14:paraId="3230993D"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Cr</w:t>
            </w:r>
          </w:p>
          <w:p w14:paraId="0D737734"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21B0C8A7"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A</w:t>
            </w:r>
          </w:p>
        </w:tc>
        <w:tc>
          <w:tcPr>
            <w:tcW w:w="1862" w:type="dxa"/>
          </w:tcPr>
          <w:p w14:paraId="160E8271" w14:textId="595C1368" w:rsidR="00515F6D" w:rsidRPr="005C5F8B" w:rsidRDefault="00515F6D" w:rsidP="00515F6D">
            <w:pPr>
              <w:jc w:val="left"/>
              <w:cnfStyle w:val="000000100000" w:firstRow="0" w:lastRow="0" w:firstColumn="0" w:lastColumn="0" w:oddVBand="0" w:evenVBand="0" w:oddHBand="1" w:evenHBand="0" w:firstRowFirstColumn="0" w:firstRowLastColumn="0" w:lastRowFirstColumn="0" w:lastRowLastColumn="0"/>
            </w:pPr>
            <w:r w:rsidRPr="005C5F8B">
              <w:t>Training, PPE, Exclusion zones, Health Checks</w:t>
            </w:r>
          </w:p>
        </w:tc>
        <w:tc>
          <w:tcPr>
            <w:tcW w:w="1417" w:type="dxa"/>
          </w:tcPr>
          <w:p w14:paraId="45AEDF60"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R</w:t>
            </w:r>
          </w:p>
          <w:p w14:paraId="60BC33CC"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Cr</w:t>
            </w:r>
          </w:p>
          <w:p w14:paraId="2F1C15B7"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6379E9F1"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C</w:t>
            </w:r>
          </w:p>
        </w:tc>
      </w:tr>
      <w:tr w:rsidR="00E311B1" w14:paraId="7ABF19F6" w14:textId="77777777" w:rsidTr="00E311B1">
        <w:tc>
          <w:tcPr>
            <w:cnfStyle w:val="001000000000" w:firstRow="0" w:lastRow="0" w:firstColumn="1" w:lastColumn="0" w:oddVBand="0" w:evenVBand="0" w:oddHBand="0" w:evenHBand="0" w:firstRowFirstColumn="0" w:firstRowLastColumn="0" w:lastRowFirstColumn="0" w:lastRowLastColumn="0"/>
            <w:tcW w:w="657" w:type="dxa"/>
          </w:tcPr>
          <w:p w14:paraId="3421306E" w14:textId="77777777" w:rsidR="00515F6D" w:rsidRDefault="00515F6D" w:rsidP="00515F6D">
            <w:pPr>
              <w:jc w:val="left"/>
            </w:pPr>
            <w:r>
              <w:t>H4</w:t>
            </w:r>
          </w:p>
        </w:tc>
        <w:tc>
          <w:tcPr>
            <w:tcW w:w="1755" w:type="dxa"/>
          </w:tcPr>
          <w:p w14:paraId="784BC74C"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Operation / movement of weapon system</w:t>
            </w:r>
          </w:p>
        </w:tc>
        <w:tc>
          <w:tcPr>
            <w:tcW w:w="2567" w:type="dxa"/>
          </w:tcPr>
          <w:p w14:paraId="0E299890"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Physical impact with weapon system</w:t>
            </w:r>
          </w:p>
        </w:tc>
        <w:tc>
          <w:tcPr>
            <w:tcW w:w="1751" w:type="dxa"/>
          </w:tcPr>
          <w:p w14:paraId="6CCE79A4"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Personnel injury</w:t>
            </w:r>
          </w:p>
        </w:tc>
        <w:tc>
          <w:tcPr>
            <w:tcW w:w="3046" w:type="dxa"/>
          </w:tcPr>
          <w:p w14:paraId="481D84A9"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 xml:space="preserve">Personnel within weapon danger area, incorrect use of PPE, failure to follow procedure, movement of weapon system, slips trips </w:t>
            </w:r>
            <w:r>
              <w:lastRenderedPageBreak/>
              <w:t>and falls, incorrect use of weapon, sharp edges, protruding parts, incorrect loading/ storage of weapon system</w:t>
            </w:r>
          </w:p>
        </w:tc>
        <w:tc>
          <w:tcPr>
            <w:tcW w:w="1115" w:type="dxa"/>
          </w:tcPr>
          <w:p w14:paraId="2F771971"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lastRenderedPageBreak/>
              <w:t>L = F</w:t>
            </w:r>
          </w:p>
          <w:p w14:paraId="0717D9EC"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M</w:t>
            </w:r>
          </w:p>
          <w:p w14:paraId="390FEC5B"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32EB2CAF"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R = A</w:t>
            </w:r>
          </w:p>
        </w:tc>
        <w:tc>
          <w:tcPr>
            <w:tcW w:w="1862" w:type="dxa"/>
          </w:tcPr>
          <w:p w14:paraId="031E1650" w14:textId="152F9EB9" w:rsidR="00515F6D" w:rsidRPr="005C5F8B" w:rsidRDefault="00515F6D" w:rsidP="00515F6D">
            <w:pPr>
              <w:jc w:val="left"/>
              <w:cnfStyle w:val="000000000000" w:firstRow="0" w:lastRow="0" w:firstColumn="0" w:lastColumn="0" w:oddVBand="0" w:evenVBand="0" w:oddHBand="0" w:evenHBand="0" w:firstRowFirstColumn="0" w:firstRowLastColumn="0" w:lastRowFirstColumn="0" w:lastRowLastColumn="0"/>
            </w:pPr>
            <w:r w:rsidRPr="005C5F8B">
              <w:t>Training, PPE, lifting techniques, maintenance</w:t>
            </w:r>
            <w:r w:rsidR="002417C1" w:rsidRPr="005C5F8B">
              <w:t xml:space="preserve">, </w:t>
            </w:r>
            <w:r w:rsidR="005D618F">
              <w:t xml:space="preserve">operating </w:t>
            </w:r>
            <w:r w:rsidRPr="005C5F8B">
              <w:lastRenderedPageBreak/>
              <w:t>procedures</w:t>
            </w:r>
            <w:r w:rsidR="002417C1" w:rsidRPr="005C5F8B">
              <w:t xml:space="preserve">, </w:t>
            </w:r>
            <w:r w:rsidRPr="005C5F8B">
              <w:t>health checks, warning notices, housekeeping</w:t>
            </w:r>
          </w:p>
        </w:tc>
        <w:tc>
          <w:tcPr>
            <w:tcW w:w="1417" w:type="dxa"/>
          </w:tcPr>
          <w:p w14:paraId="344A9B48"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lastRenderedPageBreak/>
              <w:t>L = R</w:t>
            </w:r>
          </w:p>
          <w:p w14:paraId="2D33F70C"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M</w:t>
            </w:r>
          </w:p>
          <w:p w14:paraId="3D994254"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3B92687B"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 xml:space="preserve">R = C </w:t>
            </w:r>
          </w:p>
        </w:tc>
      </w:tr>
      <w:tr w:rsidR="00E311B1" w14:paraId="752446CD" w14:textId="77777777" w:rsidTr="00E311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7" w:type="dxa"/>
          </w:tcPr>
          <w:p w14:paraId="1053E60F" w14:textId="77777777" w:rsidR="00515F6D" w:rsidRDefault="00515F6D" w:rsidP="00515F6D">
            <w:pPr>
              <w:jc w:val="left"/>
            </w:pPr>
            <w:r>
              <w:t>H5</w:t>
            </w:r>
          </w:p>
        </w:tc>
        <w:tc>
          <w:tcPr>
            <w:tcW w:w="1755" w:type="dxa"/>
          </w:tcPr>
          <w:p w14:paraId="7DAD924E"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Firing weapon system</w:t>
            </w:r>
          </w:p>
        </w:tc>
        <w:tc>
          <w:tcPr>
            <w:tcW w:w="2567" w:type="dxa"/>
          </w:tcPr>
          <w:p w14:paraId="06D2B7C5"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Misfire</w:t>
            </w:r>
          </w:p>
        </w:tc>
        <w:tc>
          <w:tcPr>
            <w:tcW w:w="1751" w:type="dxa"/>
          </w:tcPr>
          <w:p w14:paraId="5CE0B697"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Personnel injury/ fatality, Weapon / capability damage</w:t>
            </w:r>
          </w:p>
        </w:tc>
        <w:tc>
          <w:tcPr>
            <w:tcW w:w="3046" w:type="dxa"/>
          </w:tcPr>
          <w:p w14:paraId="33C99746"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Faulty ammunition, incorrect loading, incorrect storage, weapon system fault, incorrect maintenance, incorrect charge, incorrectly primed</w:t>
            </w:r>
          </w:p>
        </w:tc>
        <w:tc>
          <w:tcPr>
            <w:tcW w:w="1115" w:type="dxa"/>
          </w:tcPr>
          <w:p w14:paraId="57BD18CB"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P</w:t>
            </w:r>
          </w:p>
          <w:p w14:paraId="0C6CFEB6"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Ca</w:t>
            </w:r>
          </w:p>
          <w:p w14:paraId="4C745339"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25A99A02"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A</w:t>
            </w:r>
          </w:p>
        </w:tc>
        <w:tc>
          <w:tcPr>
            <w:tcW w:w="1862" w:type="dxa"/>
          </w:tcPr>
          <w:p w14:paraId="76861291" w14:textId="7F114B18" w:rsidR="00515F6D" w:rsidRPr="005C5F8B" w:rsidRDefault="00515F6D" w:rsidP="00515F6D">
            <w:pPr>
              <w:jc w:val="left"/>
              <w:cnfStyle w:val="000000100000" w:firstRow="0" w:lastRow="0" w:firstColumn="0" w:lastColumn="0" w:oddVBand="0" w:evenVBand="0" w:oddHBand="1" w:evenHBand="0" w:firstRowFirstColumn="0" w:firstRowLastColumn="0" w:lastRowFirstColumn="0" w:lastRowLastColumn="0"/>
            </w:pPr>
            <w:r w:rsidRPr="005C5F8B">
              <w:t>Manufacturing checks, batch acceptance testing, firing procedures, training</w:t>
            </w:r>
          </w:p>
        </w:tc>
        <w:tc>
          <w:tcPr>
            <w:tcW w:w="1417" w:type="dxa"/>
          </w:tcPr>
          <w:p w14:paraId="10834EB2"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R</w:t>
            </w:r>
          </w:p>
          <w:p w14:paraId="186ECC79"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Ca</w:t>
            </w:r>
          </w:p>
          <w:p w14:paraId="6DA6EE35"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380D668F"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B</w:t>
            </w:r>
          </w:p>
        </w:tc>
      </w:tr>
      <w:tr w:rsidR="00E311B1" w14:paraId="27F7A08E" w14:textId="77777777" w:rsidTr="00E311B1">
        <w:tc>
          <w:tcPr>
            <w:cnfStyle w:val="001000000000" w:firstRow="0" w:lastRow="0" w:firstColumn="1" w:lastColumn="0" w:oddVBand="0" w:evenVBand="0" w:oddHBand="0" w:evenHBand="0" w:firstRowFirstColumn="0" w:firstRowLastColumn="0" w:lastRowFirstColumn="0" w:lastRowLastColumn="0"/>
            <w:tcW w:w="657" w:type="dxa"/>
          </w:tcPr>
          <w:p w14:paraId="0BBD11EC" w14:textId="77777777" w:rsidR="00515F6D" w:rsidRDefault="00515F6D" w:rsidP="00515F6D">
            <w:pPr>
              <w:jc w:val="left"/>
            </w:pPr>
            <w:r>
              <w:t>H6</w:t>
            </w:r>
          </w:p>
        </w:tc>
        <w:tc>
          <w:tcPr>
            <w:tcW w:w="1755" w:type="dxa"/>
          </w:tcPr>
          <w:p w14:paraId="6F655057"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Operating weapon system, deployment to extreme environments</w:t>
            </w:r>
          </w:p>
        </w:tc>
        <w:tc>
          <w:tcPr>
            <w:tcW w:w="2567" w:type="dxa"/>
          </w:tcPr>
          <w:p w14:paraId="1CC80FFF"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Exposure to extreme temperatures</w:t>
            </w:r>
          </w:p>
        </w:tc>
        <w:tc>
          <w:tcPr>
            <w:tcW w:w="1751" w:type="dxa"/>
          </w:tcPr>
          <w:p w14:paraId="421A5CD0"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Injury to personnel due to hot/cold temperatures</w:t>
            </w:r>
          </w:p>
        </w:tc>
        <w:tc>
          <w:tcPr>
            <w:tcW w:w="3046" w:type="dxa"/>
          </w:tcPr>
          <w:p w14:paraId="086773BA"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Weather conditions, General use of weapon, inadequate training, not observing standard operating procedures</w:t>
            </w:r>
          </w:p>
        </w:tc>
        <w:tc>
          <w:tcPr>
            <w:tcW w:w="1115" w:type="dxa"/>
          </w:tcPr>
          <w:p w14:paraId="03CF6A16"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L = F</w:t>
            </w:r>
          </w:p>
          <w:p w14:paraId="4725745B"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M</w:t>
            </w:r>
          </w:p>
          <w:p w14:paraId="02EDA0E7"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71426939"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R = A</w:t>
            </w:r>
          </w:p>
        </w:tc>
        <w:tc>
          <w:tcPr>
            <w:tcW w:w="1862" w:type="dxa"/>
          </w:tcPr>
          <w:p w14:paraId="1BCBAF77" w14:textId="280C8353" w:rsidR="00515F6D" w:rsidRPr="005C5F8B" w:rsidRDefault="00515F6D" w:rsidP="00515F6D">
            <w:pPr>
              <w:jc w:val="left"/>
              <w:cnfStyle w:val="000000000000" w:firstRow="0" w:lastRow="0" w:firstColumn="0" w:lastColumn="0" w:oddVBand="0" w:evenVBand="0" w:oddHBand="0" w:evenHBand="0" w:firstRowFirstColumn="0" w:firstRowLastColumn="0" w:lastRowFirstColumn="0" w:lastRowLastColumn="0"/>
            </w:pPr>
            <w:r w:rsidRPr="005C5F8B">
              <w:t>Training, PPE, operating procedures, design considerations</w:t>
            </w:r>
          </w:p>
        </w:tc>
        <w:tc>
          <w:tcPr>
            <w:tcW w:w="1417" w:type="dxa"/>
          </w:tcPr>
          <w:p w14:paraId="70172718"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L = Im</w:t>
            </w:r>
          </w:p>
          <w:p w14:paraId="4343ACC5"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M</w:t>
            </w:r>
          </w:p>
          <w:p w14:paraId="1647CE5F"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5BC4CCF4"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R = D</w:t>
            </w:r>
          </w:p>
        </w:tc>
      </w:tr>
      <w:tr w:rsidR="005D618F" w14:paraId="1D6C1DD3" w14:textId="77777777" w:rsidTr="00E311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7" w:type="dxa"/>
          </w:tcPr>
          <w:p w14:paraId="61D74159" w14:textId="77777777" w:rsidR="00515F6D" w:rsidRDefault="00515F6D" w:rsidP="00515F6D">
            <w:pPr>
              <w:jc w:val="left"/>
            </w:pPr>
            <w:r>
              <w:lastRenderedPageBreak/>
              <w:t>H7</w:t>
            </w:r>
          </w:p>
        </w:tc>
        <w:tc>
          <w:tcPr>
            <w:tcW w:w="1755" w:type="dxa"/>
          </w:tcPr>
          <w:p w14:paraId="19F2E467"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Weapon operation and maintenance</w:t>
            </w:r>
          </w:p>
        </w:tc>
        <w:tc>
          <w:tcPr>
            <w:tcW w:w="2567" w:type="dxa"/>
          </w:tcPr>
          <w:p w14:paraId="1630FA91"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Mechanical failure / breech malfunction</w:t>
            </w:r>
          </w:p>
        </w:tc>
        <w:tc>
          <w:tcPr>
            <w:tcW w:w="1751" w:type="dxa"/>
          </w:tcPr>
          <w:p w14:paraId="70095A86"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Fatality or Injury due to incorrect function of weapon system</w:t>
            </w:r>
          </w:p>
        </w:tc>
        <w:tc>
          <w:tcPr>
            <w:tcW w:w="3046" w:type="dxa"/>
          </w:tcPr>
          <w:p w14:paraId="31E2BC51"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Poor maintenance, worn parts, improper assembly, foreign object damage, ammunition compatibility issues, improper operating procedures, non-adherence to operating procedures, human error, manufacturing defects or design flaws.</w:t>
            </w:r>
          </w:p>
        </w:tc>
        <w:tc>
          <w:tcPr>
            <w:tcW w:w="1115" w:type="dxa"/>
          </w:tcPr>
          <w:p w14:paraId="625F5002"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F</w:t>
            </w:r>
          </w:p>
          <w:p w14:paraId="7D8D3BBB"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Ca</w:t>
            </w:r>
          </w:p>
          <w:p w14:paraId="2E39816D"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6F26FC40"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A</w:t>
            </w:r>
          </w:p>
        </w:tc>
        <w:tc>
          <w:tcPr>
            <w:tcW w:w="1862" w:type="dxa"/>
          </w:tcPr>
          <w:p w14:paraId="45A8124B" w14:textId="0FAE58BA" w:rsidR="00515F6D" w:rsidRPr="005C5F8B" w:rsidRDefault="00515F6D" w:rsidP="00515F6D">
            <w:pPr>
              <w:jc w:val="left"/>
              <w:cnfStyle w:val="000000100000" w:firstRow="0" w:lastRow="0" w:firstColumn="0" w:lastColumn="0" w:oddVBand="0" w:evenVBand="0" w:oddHBand="1" w:evenHBand="0" w:firstRowFirstColumn="0" w:firstRowLastColumn="0" w:lastRowFirstColumn="0" w:lastRowLastColumn="0"/>
            </w:pPr>
            <w:r w:rsidRPr="005C5F8B">
              <w:t>Maintenance, pre-usage inspections, operating procedures, design standards</w:t>
            </w:r>
          </w:p>
        </w:tc>
        <w:tc>
          <w:tcPr>
            <w:tcW w:w="1417" w:type="dxa"/>
          </w:tcPr>
          <w:p w14:paraId="5BD2A86D"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R</w:t>
            </w:r>
          </w:p>
          <w:p w14:paraId="3B944DFE"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Ca</w:t>
            </w:r>
          </w:p>
          <w:p w14:paraId="4380CE6F"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3F7C44E7"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B</w:t>
            </w:r>
          </w:p>
        </w:tc>
      </w:tr>
      <w:tr w:rsidR="00E311B1" w14:paraId="02DABB00" w14:textId="77777777" w:rsidTr="00E311B1">
        <w:tc>
          <w:tcPr>
            <w:cnfStyle w:val="001000000000" w:firstRow="0" w:lastRow="0" w:firstColumn="1" w:lastColumn="0" w:oddVBand="0" w:evenVBand="0" w:oddHBand="0" w:evenHBand="0" w:firstRowFirstColumn="0" w:firstRowLastColumn="0" w:lastRowFirstColumn="0" w:lastRowLastColumn="0"/>
            <w:tcW w:w="657" w:type="dxa"/>
          </w:tcPr>
          <w:p w14:paraId="57C0DB34" w14:textId="77777777" w:rsidR="00515F6D" w:rsidRDefault="00515F6D" w:rsidP="00515F6D">
            <w:pPr>
              <w:jc w:val="left"/>
            </w:pPr>
            <w:r>
              <w:t>H8</w:t>
            </w:r>
          </w:p>
        </w:tc>
        <w:tc>
          <w:tcPr>
            <w:tcW w:w="1755" w:type="dxa"/>
          </w:tcPr>
          <w:p w14:paraId="1CA63289"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Firing weapon system</w:t>
            </w:r>
          </w:p>
        </w:tc>
        <w:tc>
          <w:tcPr>
            <w:tcW w:w="2567" w:type="dxa"/>
          </w:tcPr>
          <w:p w14:paraId="2EED60AD"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Overpressure</w:t>
            </w:r>
          </w:p>
        </w:tc>
        <w:tc>
          <w:tcPr>
            <w:tcW w:w="1751" w:type="dxa"/>
          </w:tcPr>
          <w:p w14:paraId="63A29B72"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Fatality or injury from exposure to dangerous levels of air pressure</w:t>
            </w:r>
          </w:p>
        </w:tc>
        <w:tc>
          <w:tcPr>
            <w:tcW w:w="3046" w:type="dxa"/>
          </w:tcPr>
          <w:p w14:paraId="70325301"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Confined spaces, incorrect gun positioning, personnel in unsafe zones, failure to use blast shields / deflectors, multiple simultaneous firings, weapon degradation, environmental factors</w:t>
            </w:r>
          </w:p>
        </w:tc>
        <w:tc>
          <w:tcPr>
            <w:tcW w:w="1115" w:type="dxa"/>
          </w:tcPr>
          <w:p w14:paraId="55A75176"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L = F</w:t>
            </w:r>
          </w:p>
          <w:p w14:paraId="0EECFEB3"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Ca</w:t>
            </w:r>
          </w:p>
          <w:p w14:paraId="34F3E2E8"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0B54BBDF"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R = A</w:t>
            </w:r>
          </w:p>
        </w:tc>
        <w:tc>
          <w:tcPr>
            <w:tcW w:w="1862" w:type="dxa"/>
          </w:tcPr>
          <w:p w14:paraId="4CB80878" w14:textId="3D1A3289" w:rsidR="00515F6D" w:rsidRPr="005C5F8B" w:rsidRDefault="00515F6D" w:rsidP="00515F6D">
            <w:pPr>
              <w:jc w:val="left"/>
              <w:cnfStyle w:val="000000000000" w:firstRow="0" w:lastRow="0" w:firstColumn="0" w:lastColumn="0" w:oddVBand="0" w:evenVBand="0" w:oddHBand="0" w:evenHBand="0" w:firstRowFirstColumn="0" w:firstRowLastColumn="0" w:lastRowFirstColumn="0" w:lastRowLastColumn="0"/>
            </w:pPr>
            <w:r w:rsidRPr="005C5F8B">
              <w:t>Maintenance, pre-use inspections, manufacturing checks</w:t>
            </w:r>
            <w:r w:rsidR="005C5F8B" w:rsidRPr="005C5F8B">
              <w:t xml:space="preserve">, </w:t>
            </w:r>
            <w:r w:rsidRPr="005C5F8B">
              <w:t xml:space="preserve">operating procedures </w:t>
            </w:r>
          </w:p>
        </w:tc>
        <w:tc>
          <w:tcPr>
            <w:tcW w:w="1417" w:type="dxa"/>
          </w:tcPr>
          <w:p w14:paraId="4B29AEBF"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L = R</w:t>
            </w:r>
          </w:p>
          <w:p w14:paraId="1921B659"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Ca</w:t>
            </w:r>
          </w:p>
          <w:p w14:paraId="3D5D2975"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3A0C3F07"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R = B</w:t>
            </w:r>
          </w:p>
        </w:tc>
      </w:tr>
      <w:tr w:rsidR="00E311B1" w14:paraId="691E9B54" w14:textId="77777777" w:rsidTr="00E311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7" w:type="dxa"/>
          </w:tcPr>
          <w:p w14:paraId="1C449F1B" w14:textId="77777777" w:rsidR="00515F6D" w:rsidRDefault="00515F6D" w:rsidP="00515F6D">
            <w:pPr>
              <w:jc w:val="left"/>
            </w:pPr>
            <w:r>
              <w:lastRenderedPageBreak/>
              <w:t>H9</w:t>
            </w:r>
          </w:p>
        </w:tc>
        <w:tc>
          <w:tcPr>
            <w:tcW w:w="1755" w:type="dxa"/>
          </w:tcPr>
          <w:p w14:paraId="0F9899D1"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Firing weapon system</w:t>
            </w:r>
          </w:p>
        </w:tc>
        <w:tc>
          <w:tcPr>
            <w:tcW w:w="2567" w:type="dxa"/>
          </w:tcPr>
          <w:p w14:paraId="6C51AA95"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Exposure to fragments</w:t>
            </w:r>
          </w:p>
        </w:tc>
        <w:tc>
          <w:tcPr>
            <w:tcW w:w="1751" w:type="dxa"/>
          </w:tcPr>
          <w:p w14:paraId="140A1729"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Injury or fatality from flying fragments</w:t>
            </w:r>
          </w:p>
        </w:tc>
        <w:tc>
          <w:tcPr>
            <w:tcW w:w="3046" w:type="dxa"/>
          </w:tcPr>
          <w:p w14:paraId="62272B20" w14:textId="3C69314E"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 xml:space="preserve">Fragmentation of </w:t>
            </w:r>
            <w:r w:rsidR="00023D9B">
              <w:t>munition</w:t>
            </w:r>
            <w:r>
              <w:t xml:space="preserve"> or target, ammunition defects, incorrect charge use</w:t>
            </w:r>
          </w:p>
        </w:tc>
        <w:tc>
          <w:tcPr>
            <w:tcW w:w="1115" w:type="dxa"/>
          </w:tcPr>
          <w:p w14:paraId="13AE636A"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F</w:t>
            </w:r>
          </w:p>
          <w:p w14:paraId="2428857E"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Ca</w:t>
            </w:r>
          </w:p>
          <w:p w14:paraId="4195FE27"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3243EDAB"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A</w:t>
            </w:r>
          </w:p>
        </w:tc>
        <w:tc>
          <w:tcPr>
            <w:tcW w:w="1862" w:type="dxa"/>
          </w:tcPr>
          <w:p w14:paraId="7301883E" w14:textId="771E2089" w:rsidR="00515F6D" w:rsidRPr="005C5F8B" w:rsidRDefault="00515F6D" w:rsidP="00515F6D">
            <w:pPr>
              <w:jc w:val="left"/>
              <w:cnfStyle w:val="000000100000" w:firstRow="0" w:lastRow="0" w:firstColumn="0" w:lastColumn="0" w:oddVBand="0" w:evenVBand="0" w:oddHBand="1" w:evenHBand="0" w:firstRowFirstColumn="0" w:firstRowLastColumn="0" w:lastRowFirstColumn="0" w:lastRowLastColumn="0"/>
            </w:pPr>
            <w:r w:rsidRPr="005C5F8B">
              <w:t>PPE, weapon danger areas, manufacturing inspections, range procedures</w:t>
            </w:r>
          </w:p>
        </w:tc>
        <w:tc>
          <w:tcPr>
            <w:tcW w:w="1417" w:type="dxa"/>
          </w:tcPr>
          <w:p w14:paraId="1CD4AB89"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R</w:t>
            </w:r>
          </w:p>
          <w:p w14:paraId="25C567BC"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Ca</w:t>
            </w:r>
          </w:p>
          <w:p w14:paraId="21295D48"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4AEC5FA8"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B</w:t>
            </w:r>
          </w:p>
        </w:tc>
      </w:tr>
      <w:tr w:rsidR="00E311B1" w14:paraId="22DE3B89" w14:textId="77777777" w:rsidTr="00E311B1">
        <w:tc>
          <w:tcPr>
            <w:cnfStyle w:val="001000000000" w:firstRow="0" w:lastRow="0" w:firstColumn="1" w:lastColumn="0" w:oddVBand="0" w:evenVBand="0" w:oddHBand="0" w:evenHBand="0" w:firstRowFirstColumn="0" w:firstRowLastColumn="0" w:lastRowFirstColumn="0" w:lastRowLastColumn="0"/>
            <w:tcW w:w="657" w:type="dxa"/>
          </w:tcPr>
          <w:p w14:paraId="5639C38D" w14:textId="77777777" w:rsidR="00515F6D" w:rsidRDefault="00515F6D" w:rsidP="00515F6D">
            <w:pPr>
              <w:jc w:val="left"/>
            </w:pPr>
            <w:r>
              <w:t>H10</w:t>
            </w:r>
          </w:p>
        </w:tc>
        <w:tc>
          <w:tcPr>
            <w:tcW w:w="1755" w:type="dxa"/>
          </w:tcPr>
          <w:p w14:paraId="010FD07E"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Disposal of ammunition</w:t>
            </w:r>
          </w:p>
        </w:tc>
        <w:tc>
          <w:tcPr>
            <w:tcW w:w="2567" w:type="dxa"/>
          </w:tcPr>
          <w:p w14:paraId="56BE2433"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Improper disposal or ammunition or weapon system</w:t>
            </w:r>
          </w:p>
        </w:tc>
        <w:tc>
          <w:tcPr>
            <w:tcW w:w="1751" w:type="dxa"/>
          </w:tcPr>
          <w:p w14:paraId="577F9BBC"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Environmental damage, unexpected initiation of ammunition</w:t>
            </w:r>
          </w:p>
        </w:tc>
        <w:tc>
          <w:tcPr>
            <w:tcW w:w="3046" w:type="dxa"/>
          </w:tcPr>
          <w:p w14:paraId="55864D1E"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Incorrect or missing labelling, incorrect disposal controls</w:t>
            </w:r>
          </w:p>
        </w:tc>
        <w:tc>
          <w:tcPr>
            <w:tcW w:w="1115" w:type="dxa"/>
          </w:tcPr>
          <w:p w14:paraId="1C495F3A"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L = O</w:t>
            </w:r>
          </w:p>
          <w:p w14:paraId="45D6FA0E"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Ca</w:t>
            </w:r>
          </w:p>
          <w:p w14:paraId="6343B796"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37E6E0CA"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R = A</w:t>
            </w:r>
          </w:p>
        </w:tc>
        <w:tc>
          <w:tcPr>
            <w:tcW w:w="1862" w:type="dxa"/>
          </w:tcPr>
          <w:p w14:paraId="2F4A836B" w14:textId="1A543D88" w:rsidR="00515F6D" w:rsidRPr="005C5F8B" w:rsidRDefault="00515F6D" w:rsidP="00515F6D">
            <w:pPr>
              <w:jc w:val="left"/>
              <w:cnfStyle w:val="000000000000" w:firstRow="0" w:lastRow="0" w:firstColumn="0" w:lastColumn="0" w:oddVBand="0" w:evenVBand="0" w:oddHBand="0" w:evenHBand="0" w:firstRowFirstColumn="0" w:firstRowLastColumn="0" w:lastRowFirstColumn="0" w:lastRowLastColumn="0"/>
            </w:pPr>
            <w:r w:rsidRPr="005C5F8B">
              <w:t>Disposal procedures, PPE, training</w:t>
            </w:r>
            <w:r w:rsidR="005C5F8B" w:rsidRPr="005C5F8B">
              <w:t xml:space="preserve">, </w:t>
            </w:r>
            <w:r w:rsidRPr="005C5F8B">
              <w:t>documentation and labelling</w:t>
            </w:r>
          </w:p>
        </w:tc>
        <w:tc>
          <w:tcPr>
            <w:tcW w:w="1417" w:type="dxa"/>
          </w:tcPr>
          <w:p w14:paraId="58A07823"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L = R</w:t>
            </w:r>
          </w:p>
          <w:p w14:paraId="1F2DAF82"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S = M</w:t>
            </w:r>
          </w:p>
          <w:p w14:paraId="36B2CB12"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p>
          <w:p w14:paraId="042537E7" w14:textId="77777777" w:rsidR="00515F6D" w:rsidRDefault="00515F6D" w:rsidP="00515F6D">
            <w:pPr>
              <w:jc w:val="left"/>
              <w:cnfStyle w:val="000000000000" w:firstRow="0" w:lastRow="0" w:firstColumn="0" w:lastColumn="0" w:oddVBand="0" w:evenVBand="0" w:oddHBand="0" w:evenHBand="0" w:firstRowFirstColumn="0" w:firstRowLastColumn="0" w:lastRowFirstColumn="0" w:lastRowLastColumn="0"/>
            </w:pPr>
            <w:r>
              <w:t>R = C</w:t>
            </w:r>
          </w:p>
        </w:tc>
      </w:tr>
      <w:tr w:rsidR="00E311B1" w14:paraId="1CEDB6CE" w14:textId="77777777" w:rsidTr="00E311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7" w:type="dxa"/>
          </w:tcPr>
          <w:p w14:paraId="429ECD76" w14:textId="77777777" w:rsidR="00515F6D" w:rsidRDefault="00515F6D" w:rsidP="00515F6D">
            <w:pPr>
              <w:jc w:val="left"/>
            </w:pPr>
            <w:r>
              <w:t>H11</w:t>
            </w:r>
          </w:p>
        </w:tc>
        <w:tc>
          <w:tcPr>
            <w:tcW w:w="1755" w:type="dxa"/>
          </w:tcPr>
          <w:p w14:paraId="613D07C6"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Transportation of ammunition and weapon system</w:t>
            </w:r>
          </w:p>
        </w:tc>
        <w:tc>
          <w:tcPr>
            <w:tcW w:w="2567" w:type="dxa"/>
          </w:tcPr>
          <w:p w14:paraId="7D6023F2"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Damage caused by handling and transporting weapon system</w:t>
            </w:r>
          </w:p>
        </w:tc>
        <w:tc>
          <w:tcPr>
            <w:tcW w:w="1751" w:type="dxa"/>
          </w:tcPr>
          <w:p w14:paraId="6C500621"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Injury to personnel or damage to equipment</w:t>
            </w:r>
          </w:p>
        </w:tc>
        <w:tc>
          <w:tcPr>
            <w:tcW w:w="3046" w:type="dxa"/>
          </w:tcPr>
          <w:p w14:paraId="55080C8F"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Incorrect warning labels, incorrect handling, failure to follow loading procedures</w:t>
            </w:r>
          </w:p>
        </w:tc>
        <w:tc>
          <w:tcPr>
            <w:tcW w:w="1115" w:type="dxa"/>
          </w:tcPr>
          <w:p w14:paraId="30D6AB6F"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P</w:t>
            </w:r>
          </w:p>
          <w:p w14:paraId="367B80DD"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Cr</w:t>
            </w:r>
          </w:p>
          <w:p w14:paraId="3B0B7953"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423A333A"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A</w:t>
            </w:r>
          </w:p>
        </w:tc>
        <w:tc>
          <w:tcPr>
            <w:tcW w:w="1862" w:type="dxa"/>
          </w:tcPr>
          <w:p w14:paraId="4DCC1C40" w14:textId="428DC22B" w:rsidR="00515F6D" w:rsidRPr="005C5F8B" w:rsidRDefault="00515F6D" w:rsidP="00515F6D">
            <w:pPr>
              <w:jc w:val="left"/>
              <w:cnfStyle w:val="000000100000" w:firstRow="0" w:lastRow="0" w:firstColumn="0" w:lastColumn="0" w:oddVBand="0" w:evenVBand="0" w:oddHBand="1" w:evenHBand="0" w:firstRowFirstColumn="0" w:firstRowLastColumn="0" w:lastRowFirstColumn="0" w:lastRowLastColumn="0"/>
            </w:pPr>
            <w:r w:rsidRPr="005C5F8B">
              <w:t>Training, hazard warning labels, safety procedures</w:t>
            </w:r>
          </w:p>
        </w:tc>
        <w:tc>
          <w:tcPr>
            <w:tcW w:w="1417" w:type="dxa"/>
          </w:tcPr>
          <w:p w14:paraId="2A649779"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L = Im</w:t>
            </w:r>
          </w:p>
          <w:p w14:paraId="7013B6B9"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S = Cr</w:t>
            </w:r>
          </w:p>
          <w:p w14:paraId="3F55D922"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p>
          <w:p w14:paraId="5B77C5D7" w14:textId="77777777" w:rsidR="00515F6D" w:rsidRDefault="00515F6D" w:rsidP="00515F6D">
            <w:pPr>
              <w:jc w:val="left"/>
              <w:cnfStyle w:val="000000100000" w:firstRow="0" w:lastRow="0" w:firstColumn="0" w:lastColumn="0" w:oddVBand="0" w:evenVBand="0" w:oddHBand="1" w:evenHBand="0" w:firstRowFirstColumn="0" w:firstRowLastColumn="0" w:lastRowFirstColumn="0" w:lastRowLastColumn="0"/>
            </w:pPr>
            <w:r>
              <w:t>R = C</w:t>
            </w:r>
          </w:p>
        </w:tc>
      </w:tr>
    </w:tbl>
    <w:p w14:paraId="783B2B82" w14:textId="209EFFDA" w:rsidR="00265B2F" w:rsidRDefault="00A86182" w:rsidP="00A86182">
      <w:pPr>
        <w:pStyle w:val="BodyText"/>
        <w:tabs>
          <w:tab w:val="left" w:pos="4285"/>
        </w:tabs>
      </w:pPr>
      <w:r>
        <w:tab/>
      </w:r>
    </w:p>
    <w:tbl>
      <w:tblPr>
        <w:tblStyle w:val="PlainTable4"/>
        <w:tblW w:w="0" w:type="auto"/>
        <w:tblLook w:val="04A0" w:firstRow="1" w:lastRow="0" w:firstColumn="1" w:lastColumn="0" w:noHBand="0" w:noVBand="1"/>
      </w:tblPr>
      <w:tblGrid>
        <w:gridCol w:w="1843"/>
        <w:gridCol w:w="992"/>
        <w:gridCol w:w="1417"/>
        <w:gridCol w:w="1702"/>
        <w:gridCol w:w="987"/>
        <w:gridCol w:w="1564"/>
        <w:gridCol w:w="3119"/>
      </w:tblGrid>
      <w:tr w:rsidR="00815E13" w14:paraId="75A36854" w14:textId="6CBF55F9" w:rsidTr="00815E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05264DA2" w14:textId="64ED8E29" w:rsidR="007920A4" w:rsidRPr="007920A4" w:rsidRDefault="007920A4" w:rsidP="00A86182">
            <w:pPr>
              <w:pStyle w:val="BodyText"/>
              <w:tabs>
                <w:tab w:val="left" w:pos="4285"/>
              </w:tabs>
              <w:rPr>
                <w:u w:val="single"/>
              </w:rPr>
            </w:pPr>
            <w:r w:rsidRPr="007920A4">
              <w:rPr>
                <w:u w:val="single"/>
              </w:rPr>
              <w:t>L = Likelihood</w:t>
            </w:r>
          </w:p>
        </w:tc>
        <w:tc>
          <w:tcPr>
            <w:tcW w:w="992" w:type="dxa"/>
          </w:tcPr>
          <w:p w14:paraId="36AFD04C" w14:textId="6370FD4D" w:rsidR="007920A4" w:rsidRPr="007920A4" w:rsidRDefault="007920A4" w:rsidP="00A86182">
            <w:pPr>
              <w:pStyle w:val="BodyText"/>
              <w:tabs>
                <w:tab w:val="left" w:pos="4285"/>
              </w:tabs>
              <w:cnfStyle w:val="100000000000" w:firstRow="1" w:lastRow="0" w:firstColumn="0" w:lastColumn="0" w:oddVBand="0" w:evenVBand="0" w:oddHBand="0" w:evenHBand="0" w:firstRowFirstColumn="0" w:firstRowLastColumn="0" w:lastRowFirstColumn="0" w:lastRowLastColumn="0"/>
              <w:rPr>
                <w:b w:val="0"/>
                <w:bCs w:val="0"/>
              </w:rPr>
            </w:pPr>
            <w:r w:rsidRPr="007920A4">
              <w:rPr>
                <w:b w:val="0"/>
                <w:bCs w:val="0"/>
              </w:rPr>
              <w:t>F =</w:t>
            </w:r>
          </w:p>
        </w:tc>
        <w:tc>
          <w:tcPr>
            <w:tcW w:w="1417" w:type="dxa"/>
            <w:tcBorders>
              <w:right w:val="single" w:sz="4" w:space="0" w:color="auto"/>
            </w:tcBorders>
          </w:tcPr>
          <w:p w14:paraId="11D6B9D2" w14:textId="34860487" w:rsidR="007920A4" w:rsidRPr="007920A4" w:rsidRDefault="007920A4" w:rsidP="00A86182">
            <w:pPr>
              <w:pStyle w:val="BodyText"/>
              <w:tabs>
                <w:tab w:val="left" w:pos="4285"/>
              </w:tabs>
              <w:cnfStyle w:val="100000000000" w:firstRow="1" w:lastRow="0" w:firstColumn="0" w:lastColumn="0" w:oddVBand="0" w:evenVBand="0" w:oddHBand="0" w:evenHBand="0" w:firstRowFirstColumn="0" w:firstRowLastColumn="0" w:lastRowFirstColumn="0" w:lastRowLastColumn="0"/>
              <w:rPr>
                <w:b w:val="0"/>
                <w:bCs w:val="0"/>
              </w:rPr>
            </w:pPr>
            <w:r w:rsidRPr="007920A4">
              <w:rPr>
                <w:b w:val="0"/>
                <w:bCs w:val="0"/>
              </w:rPr>
              <w:t>Frequent</w:t>
            </w:r>
          </w:p>
        </w:tc>
        <w:tc>
          <w:tcPr>
            <w:tcW w:w="1702" w:type="dxa"/>
            <w:tcBorders>
              <w:left w:val="single" w:sz="4" w:space="0" w:color="auto"/>
            </w:tcBorders>
          </w:tcPr>
          <w:p w14:paraId="3A322EAD" w14:textId="7F89857F" w:rsidR="007920A4" w:rsidRPr="007920A4" w:rsidRDefault="007920A4" w:rsidP="00A86182">
            <w:pPr>
              <w:pStyle w:val="BodyText"/>
              <w:tabs>
                <w:tab w:val="left" w:pos="4285"/>
              </w:tabs>
              <w:cnfStyle w:val="100000000000" w:firstRow="1" w:lastRow="0" w:firstColumn="0" w:lastColumn="0" w:oddVBand="0" w:evenVBand="0" w:oddHBand="0" w:evenHBand="0" w:firstRowFirstColumn="0" w:firstRowLastColumn="0" w:lastRowFirstColumn="0" w:lastRowLastColumn="0"/>
              <w:rPr>
                <w:u w:val="single"/>
              </w:rPr>
            </w:pPr>
            <w:r w:rsidRPr="007920A4">
              <w:rPr>
                <w:u w:val="single"/>
              </w:rPr>
              <w:t>S</w:t>
            </w:r>
            <w:r w:rsidRPr="007920A4">
              <w:rPr>
                <w:u w:val="single"/>
              </w:rPr>
              <w:t xml:space="preserve"> </w:t>
            </w:r>
            <w:r w:rsidRPr="007920A4">
              <w:rPr>
                <w:u w:val="single"/>
              </w:rPr>
              <w:t>= Severity</w:t>
            </w:r>
          </w:p>
        </w:tc>
        <w:tc>
          <w:tcPr>
            <w:tcW w:w="987" w:type="dxa"/>
          </w:tcPr>
          <w:p w14:paraId="3235889A" w14:textId="56671742" w:rsidR="007920A4" w:rsidRPr="007920A4" w:rsidRDefault="007920A4" w:rsidP="00A86182">
            <w:pPr>
              <w:pStyle w:val="BodyText"/>
              <w:tabs>
                <w:tab w:val="left" w:pos="4285"/>
              </w:tabs>
              <w:cnfStyle w:val="100000000000" w:firstRow="1" w:lastRow="0" w:firstColumn="0" w:lastColumn="0" w:oddVBand="0" w:evenVBand="0" w:oddHBand="0" w:evenHBand="0" w:firstRowFirstColumn="0" w:firstRowLastColumn="0" w:lastRowFirstColumn="0" w:lastRowLastColumn="0"/>
              <w:rPr>
                <w:b w:val="0"/>
                <w:bCs w:val="0"/>
              </w:rPr>
            </w:pPr>
            <w:r w:rsidRPr="007920A4">
              <w:rPr>
                <w:b w:val="0"/>
                <w:bCs w:val="0"/>
              </w:rPr>
              <w:t>Ca =</w:t>
            </w:r>
          </w:p>
        </w:tc>
        <w:tc>
          <w:tcPr>
            <w:tcW w:w="1564" w:type="dxa"/>
            <w:tcBorders>
              <w:right w:val="single" w:sz="4" w:space="0" w:color="auto"/>
            </w:tcBorders>
          </w:tcPr>
          <w:p w14:paraId="4AC6490C" w14:textId="619C581C" w:rsidR="007920A4" w:rsidRPr="007920A4" w:rsidRDefault="007920A4" w:rsidP="00A86182">
            <w:pPr>
              <w:pStyle w:val="BodyText"/>
              <w:tabs>
                <w:tab w:val="left" w:pos="4285"/>
              </w:tabs>
              <w:cnfStyle w:val="100000000000" w:firstRow="1" w:lastRow="0" w:firstColumn="0" w:lastColumn="0" w:oddVBand="0" w:evenVBand="0" w:oddHBand="0" w:evenHBand="0" w:firstRowFirstColumn="0" w:firstRowLastColumn="0" w:lastRowFirstColumn="0" w:lastRowLastColumn="0"/>
              <w:rPr>
                <w:b w:val="0"/>
                <w:bCs w:val="0"/>
              </w:rPr>
            </w:pPr>
            <w:r w:rsidRPr="007920A4">
              <w:rPr>
                <w:b w:val="0"/>
                <w:bCs w:val="0"/>
              </w:rPr>
              <w:t>Catastrophic</w:t>
            </w:r>
          </w:p>
        </w:tc>
        <w:tc>
          <w:tcPr>
            <w:tcW w:w="3119" w:type="dxa"/>
            <w:tcBorders>
              <w:left w:val="single" w:sz="4" w:space="0" w:color="auto"/>
            </w:tcBorders>
          </w:tcPr>
          <w:p w14:paraId="33ED27AE" w14:textId="4888BA17" w:rsidR="007920A4" w:rsidRPr="007920A4" w:rsidRDefault="007920A4" w:rsidP="00A86182">
            <w:pPr>
              <w:pStyle w:val="BodyText"/>
              <w:tabs>
                <w:tab w:val="left" w:pos="4285"/>
              </w:tabs>
              <w:cnfStyle w:val="100000000000" w:firstRow="1" w:lastRow="0" w:firstColumn="0" w:lastColumn="0" w:oddVBand="0" w:evenVBand="0" w:oddHBand="0" w:evenHBand="0" w:firstRowFirstColumn="0" w:firstRowLastColumn="0" w:lastRowFirstColumn="0" w:lastRowLastColumn="0"/>
              <w:rPr>
                <w:u w:val="single"/>
              </w:rPr>
            </w:pPr>
            <w:r w:rsidRPr="007920A4">
              <w:rPr>
                <w:u w:val="single"/>
              </w:rPr>
              <w:t>R = Risk Class</w:t>
            </w:r>
          </w:p>
        </w:tc>
      </w:tr>
      <w:tr w:rsidR="007920A4" w14:paraId="5D893036" w14:textId="78DA66DA" w:rsidTr="00815E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8E663D1" w14:textId="77777777" w:rsidR="007920A4" w:rsidRDefault="007920A4" w:rsidP="00A86182">
            <w:pPr>
              <w:pStyle w:val="BodyText"/>
              <w:tabs>
                <w:tab w:val="left" w:pos="4285"/>
              </w:tabs>
            </w:pPr>
          </w:p>
        </w:tc>
        <w:tc>
          <w:tcPr>
            <w:tcW w:w="992" w:type="dxa"/>
          </w:tcPr>
          <w:p w14:paraId="04A1C3C8" w14:textId="37BE8535"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P =</w:t>
            </w:r>
          </w:p>
        </w:tc>
        <w:tc>
          <w:tcPr>
            <w:tcW w:w="1417" w:type="dxa"/>
            <w:tcBorders>
              <w:right w:val="single" w:sz="4" w:space="0" w:color="auto"/>
            </w:tcBorders>
          </w:tcPr>
          <w:p w14:paraId="4CE08CDF" w14:textId="03D77D23"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Probable</w:t>
            </w:r>
          </w:p>
        </w:tc>
        <w:tc>
          <w:tcPr>
            <w:tcW w:w="1702" w:type="dxa"/>
            <w:tcBorders>
              <w:left w:val="single" w:sz="4" w:space="0" w:color="auto"/>
            </w:tcBorders>
          </w:tcPr>
          <w:p w14:paraId="01AE8DFF" w14:textId="77777777"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p>
        </w:tc>
        <w:tc>
          <w:tcPr>
            <w:tcW w:w="987" w:type="dxa"/>
          </w:tcPr>
          <w:p w14:paraId="208A1E9E" w14:textId="741A38BE"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Cr =</w:t>
            </w:r>
          </w:p>
        </w:tc>
        <w:tc>
          <w:tcPr>
            <w:tcW w:w="1564" w:type="dxa"/>
            <w:tcBorders>
              <w:right w:val="single" w:sz="4" w:space="0" w:color="auto"/>
            </w:tcBorders>
          </w:tcPr>
          <w:p w14:paraId="6DC568F7" w14:textId="4FB1A7A0"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Critical</w:t>
            </w:r>
          </w:p>
        </w:tc>
        <w:tc>
          <w:tcPr>
            <w:tcW w:w="3119" w:type="dxa"/>
            <w:tcBorders>
              <w:left w:val="single" w:sz="4" w:space="0" w:color="auto"/>
            </w:tcBorders>
          </w:tcPr>
          <w:p w14:paraId="4958CD35" w14:textId="79A46619" w:rsidR="007920A4" w:rsidRDefault="00023D9B"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 xml:space="preserve">(Definitions </w:t>
            </w:r>
            <w:r w:rsidR="00815E13">
              <w:t>in Appendix B Figure 1.4</w:t>
            </w:r>
            <w:r>
              <w:t>)</w:t>
            </w:r>
          </w:p>
        </w:tc>
      </w:tr>
      <w:tr w:rsidR="00815E13" w14:paraId="517F0AA5" w14:textId="6DE13C49" w:rsidTr="00815E13">
        <w:tc>
          <w:tcPr>
            <w:cnfStyle w:val="001000000000" w:firstRow="0" w:lastRow="0" w:firstColumn="1" w:lastColumn="0" w:oddVBand="0" w:evenVBand="0" w:oddHBand="0" w:evenHBand="0" w:firstRowFirstColumn="0" w:firstRowLastColumn="0" w:lastRowFirstColumn="0" w:lastRowLastColumn="0"/>
            <w:tcW w:w="1843" w:type="dxa"/>
          </w:tcPr>
          <w:p w14:paraId="730B625A" w14:textId="77777777" w:rsidR="007920A4" w:rsidRDefault="007920A4" w:rsidP="00A86182">
            <w:pPr>
              <w:pStyle w:val="BodyText"/>
              <w:tabs>
                <w:tab w:val="left" w:pos="4285"/>
              </w:tabs>
            </w:pPr>
          </w:p>
        </w:tc>
        <w:tc>
          <w:tcPr>
            <w:tcW w:w="992" w:type="dxa"/>
          </w:tcPr>
          <w:p w14:paraId="3B4F696D" w14:textId="7BF2A8B2"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r>
              <w:t>O =</w:t>
            </w:r>
          </w:p>
        </w:tc>
        <w:tc>
          <w:tcPr>
            <w:tcW w:w="1417" w:type="dxa"/>
            <w:tcBorders>
              <w:right w:val="single" w:sz="4" w:space="0" w:color="auto"/>
            </w:tcBorders>
          </w:tcPr>
          <w:p w14:paraId="708C4D51" w14:textId="73BA45B9"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r>
              <w:t>Occasional</w:t>
            </w:r>
          </w:p>
        </w:tc>
        <w:tc>
          <w:tcPr>
            <w:tcW w:w="1702" w:type="dxa"/>
            <w:tcBorders>
              <w:left w:val="single" w:sz="4" w:space="0" w:color="auto"/>
            </w:tcBorders>
          </w:tcPr>
          <w:p w14:paraId="09EE4318"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c>
          <w:tcPr>
            <w:tcW w:w="987" w:type="dxa"/>
          </w:tcPr>
          <w:p w14:paraId="1490B6AE" w14:textId="59A6B739"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r>
              <w:t>M =</w:t>
            </w:r>
          </w:p>
        </w:tc>
        <w:tc>
          <w:tcPr>
            <w:tcW w:w="1564" w:type="dxa"/>
            <w:tcBorders>
              <w:right w:val="single" w:sz="4" w:space="0" w:color="auto"/>
            </w:tcBorders>
          </w:tcPr>
          <w:p w14:paraId="0EBCE537" w14:textId="70DA9CAF"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r>
              <w:t>Marginal</w:t>
            </w:r>
          </w:p>
        </w:tc>
        <w:tc>
          <w:tcPr>
            <w:tcW w:w="3119" w:type="dxa"/>
            <w:tcBorders>
              <w:left w:val="single" w:sz="4" w:space="0" w:color="auto"/>
            </w:tcBorders>
          </w:tcPr>
          <w:p w14:paraId="7FB224B3"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r>
      <w:tr w:rsidR="007920A4" w14:paraId="263FCFE1" w14:textId="3E3B7787" w:rsidTr="00815E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1C83D47" w14:textId="77777777" w:rsidR="007920A4" w:rsidRDefault="007920A4" w:rsidP="00A86182">
            <w:pPr>
              <w:pStyle w:val="BodyText"/>
              <w:tabs>
                <w:tab w:val="left" w:pos="4285"/>
              </w:tabs>
            </w:pPr>
          </w:p>
        </w:tc>
        <w:tc>
          <w:tcPr>
            <w:tcW w:w="992" w:type="dxa"/>
          </w:tcPr>
          <w:p w14:paraId="3774CBF9" w14:textId="61DF8441"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R =</w:t>
            </w:r>
          </w:p>
        </w:tc>
        <w:tc>
          <w:tcPr>
            <w:tcW w:w="1417" w:type="dxa"/>
            <w:tcBorders>
              <w:right w:val="single" w:sz="4" w:space="0" w:color="auto"/>
            </w:tcBorders>
          </w:tcPr>
          <w:p w14:paraId="16C1DCC9" w14:textId="7DF65CE8"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Remote</w:t>
            </w:r>
          </w:p>
        </w:tc>
        <w:tc>
          <w:tcPr>
            <w:tcW w:w="1702" w:type="dxa"/>
            <w:tcBorders>
              <w:left w:val="single" w:sz="4" w:space="0" w:color="auto"/>
            </w:tcBorders>
          </w:tcPr>
          <w:p w14:paraId="549BA028" w14:textId="77777777"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p>
        </w:tc>
        <w:tc>
          <w:tcPr>
            <w:tcW w:w="987" w:type="dxa"/>
          </w:tcPr>
          <w:p w14:paraId="715C0867" w14:textId="185F82E3"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N =</w:t>
            </w:r>
          </w:p>
        </w:tc>
        <w:tc>
          <w:tcPr>
            <w:tcW w:w="1564" w:type="dxa"/>
            <w:tcBorders>
              <w:right w:val="single" w:sz="4" w:space="0" w:color="auto"/>
            </w:tcBorders>
          </w:tcPr>
          <w:p w14:paraId="72BB4A81" w14:textId="1726C1A7"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Negligible</w:t>
            </w:r>
          </w:p>
        </w:tc>
        <w:tc>
          <w:tcPr>
            <w:tcW w:w="3119" w:type="dxa"/>
            <w:tcBorders>
              <w:left w:val="single" w:sz="4" w:space="0" w:color="auto"/>
            </w:tcBorders>
          </w:tcPr>
          <w:p w14:paraId="16263712" w14:textId="77777777"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p>
        </w:tc>
      </w:tr>
      <w:tr w:rsidR="00815E13" w14:paraId="5A8C80A2" w14:textId="45507E4E" w:rsidTr="00815E13">
        <w:tc>
          <w:tcPr>
            <w:cnfStyle w:val="001000000000" w:firstRow="0" w:lastRow="0" w:firstColumn="1" w:lastColumn="0" w:oddVBand="0" w:evenVBand="0" w:oddHBand="0" w:evenHBand="0" w:firstRowFirstColumn="0" w:firstRowLastColumn="0" w:lastRowFirstColumn="0" w:lastRowLastColumn="0"/>
            <w:tcW w:w="1843" w:type="dxa"/>
          </w:tcPr>
          <w:p w14:paraId="7916C1CD" w14:textId="77777777" w:rsidR="007920A4" w:rsidRDefault="007920A4" w:rsidP="00A86182">
            <w:pPr>
              <w:pStyle w:val="BodyText"/>
              <w:tabs>
                <w:tab w:val="left" w:pos="4285"/>
              </w:tabs>
            </w:pPr>
          </w:p>
        </w:tc>
        <w:tc>
          <w:tcPr>
            <w:tcW w:w="992" w:type="dxa"/>
          </w:tcPr>
          <w:p w14:paraId="5614DB32" w14:textId="0C15EB5C"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r>
              <w:t>Im =</w:t>
            </w:r>
          </w:p>
        </w:tc>
        <w:tc>
          <w:tcPr>
            <w:tcW w:w="1417" w:type="dxa"/>
            <w:tcBorders>
              <w:right w:val="single" w:sz="4" w:space="0" w:color="auto"/>
            </w:tcBorders>
          </w:tcPr>
          <w:p w14:paraId="7929FAEE" w14:textId="78E4AB59"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r>
              <w:t>Improbable</w:t>
            </w:r>
          </w:p>
        </w:tc>
        <w:tc>
          <w:tcPr>
            <w:tcW w:w="1702" w:type="dxa"/>
            <w:tcBorders>
              <w:left w:val="single" w:sz="4" w:space="0" w:color="auto"/>
            </w:tcBorders>
          </w:tcPr>
          <w:p w14:paraId="1B9B6AC8"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c>
          <w:tcPr>
            <w:tcW w:w="987" w:type="dxa"/>
          </w:tcPr>
          <w:p w14:paraId="345C431D"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c>
          <w:tcPr>
            <w:tcW w:w="1564" w:type="dxa"/>
            <w:tcBorders>
              <w:right w:val="single" w:sz="4" w:space="0" w:color="auto"/>
            </w:tcBorders>
          </w:tcPr>
          <w:p w14:paraId="52877BD0"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c>
          <w:tcPr>
            <w:tcW w:w="3119" w:type="dxa"/>
            <w:tcBorders>
              <w:left w:val="single" w:sz="4" w:space="0" w:color="auto"/>
            </w:tcBorders>
          </w:tcPr>
          <w:p w14:paraId="32A5B0F5"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r>
      <w:tr w:rsidR="007920A4" w14:paraId="3FB0106E" w14:textId="593125E6" w:rsidTr="00815E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5B2FB093" w14:textId="77777777" w:rsidR="007920A4" w:rsidRDefault="007920A4" w:rsidP="00A86182">
            <w:pPr>
              <w:pStyle w:val="BodyText"/>
              <w:tabs>
                <w:tab w:val="left" w:pos="4285"/>
              </w:tabs>
            </w:pPr>
          </w:p>
        </w:tc>
        <w:tc>
          <w:tcPr>
            <w:tcW w:w="992" w:type="dxa"/>
          </w:tcPr>
          <w:p w14:paraId="433B15AB" w14:textId="05994EC6"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In =</w:t>
            </w:r>
          </w:p>
        </w:tc>
        <w:tc>
          <w:tcPr>
            <w:tcW w:w="1417" w:type="dxa"/>
            <w:tcBorders>
              <w:right w:val="single" w:sz="4" w:space="0" w:color="auto"/>
            </w:tcBorders>
          </w:tcPr>
          <w:p w14:paraId="4CBB120B" w14:textId="0C33C3EA"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r>
              <w:t>Incredible</w:t>
            </w:r>
          </w:p>
        </w:tc>
        <w:tc>
          <w:tcPr>
            <w:tcW w:w="1702" w:type="dxa"/>
            <w:tcBorders>
              <w:left w:val="single" w:sz="4" w:space="0" w:color="auto"/>
            </w:tcBorders>
          </w:tcPr>
          <w:p w14:paraId="5CAB54D0" w14:textId="77777777"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p>
        </w:tc>
        <w:tc>
          <w:tcPr>
            <w:tcW w:w="987" w:type="dxa"/>
          </w:tcPr>
          <w:p w14:paraId="33E196AA" w14:textId="77777777"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p>
        </w:tc>
        <w:tc>
          <w:tcPr>
            <w:tcW w:w="1564" w:type="dxa"/>
            <w:tcBorders>
              <w:right w:val="single" w:sz="4" w:space="0" w:color="auto"/>
            </w:tcBorders>
          </w:tcPr>
          <w:p w14:paraId="705DCF32" w14:textId="77777777"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p>
        </w:tc>
        <w:tc>
          <w:tcPr>
            <w:tcW w:w="3119" w:type="dxa"/>
            <w:tcBorders>
              <w:left w:val="single" w:sz="4" w:space="0" w:color="auto"/>
            </w:tcBorders>
          </w:tcPr>
          <w:p w14:paraId="59E2B064" w14:textId="77777777" w:rsidR="007920A4" w:rsidRDefault="007920A4" w:rsidP="00A86182">
            <w:pPr>
              <w:pStyle w:val="BodyText"/>
              <w:tabs>
                <w:tab w:val="left" w:pos="4285"/>
              </w:tabs>
              <w:cnfStyle w:val="000000100000" w:firstRow="0" w:lastRow="0" w:firstColumn="0" w:lastColumn="0" w:oddVBand="0" w:evenVBand="0" w:oddHBand="1" w:evenHBand="0" w:firstRowFirstColumn="0" w:firstRowLastColumn="0" w:lastRowFirstColumn="0" w:lastRowLastColumn="0"/>
            </w:pPr>
          </w:p>
        </w:tc>
      </w:tr>
      <w:tr w:rsidR="007920A4" w14:paraId="032937E5" w14:textId="4E745E8F" w:rsidTr="00815E13">
        <w:tc>
          <w:tcPr>
            <w:cnfStyle w:val="001000000000" w:firstRow="0" w:lastRow="0" w:firstColumn="1" w:lastColumn="0" w:oddVBand="0" w:evenVBand="0" w:oddHBand="0" w:evenHBand="0" w:firstRowFirstColumn="0" w:firstRowLastColumn="0" w:lastRowFirstColumn="0" w:lastRowLastColumn="0"/>
            <w:tcW w:w="1843" w:type="dxa"/>
          </w:tcPr>
          <w:p w14:paraId="60731D08" w14:textId="77777777" w:rsidR="007920A4" w:rsidRDefault="007920A4" w:rsidP="00A86182">
            <w:pPr>
              <w:pStyle w:val="BodyText"/>
              <w:tabs>
                <w:tab w:val="left" w:pos="4285"/>
              </w:tabs>
            </w:pPr>
          </w:p>
        </w:tc>
        <w:tc>
          <w:tcPr>
            <w:tcW w:w="992" w:type="dxa"/>
          </w:tcPr>
          <w:p w14:paraId="61EA2E9F"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c>
          <w:tcPr>
            <w:tcW w:w="1417" w:type="dxa"/>
          </w:tcPr>
          <w:p w14:paraId="700B78E1"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c>
          <w:tcPr>
            <w:tcW w:w="1702" w:type="dxa"/>
          </w:tcPr>
          <w:p w14:paraId="0C58FEA6"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c>
          <w:tcPr>
            <w:tcW w:w="987" w:type="dxa"/>
          </w:tcPr>
          <w:p w14:paraId="4D2DCB3E"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c>
          <w:tcPr>
            <w:tcW w:w="1564" w:type="dxa"/>
          </w:tcPr>
          <w:p w14:paraId="70DAF86A"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c>
          <w:tcPr>
            <w:tcW w:w="3119" w:type="dxa"/>
          </w:tcPr>
          <w:p w14:paraId="1B78F41E" w14:textId="77777777" w:rsidR="007920A4" w:rsidRDefault="007920A4" w:rsidP="00A86182">
            <w:pPr>
              <w:pStyle w:val="BodyText"/>
              <w:tabs>
                <w:tab w:val="left" w:pos="4285"/>
              </w:tabs>
              <w:cnfStyle w:val="000000000000" w:firstRow="0" w:lastRow="0" w:firstColumn="0" w:lastColumn="0" w:oddVBand="0" w:evenVBand="0" w:oddHBand="0" w:evenHBand="0" w:firstRowFirstColumn="0" w:firstRowLastColumn="0" w:lastRowFirstColumn="0" w:lastRowLastColumn="0"/>
            </w:pPr>
          </w:p>
        </w:tc>
      </w:tr>
    </w:tbl>
    <w:p w14:paraId="1CE8359E" w14:textId="5688F46E" w:rsidR="00A86182" w:rsidRPr="00A86182" w:rsidRDefault="00A86182" w:rsidP="00A86182">
      <w:pPr>
        <w:tabs>
          <w:tab w:val="left" w:pos="4285"/>
        </w:tabs>
        <w:sectPr w:rsidR="00A86182" w:rsidRPr="00A86182" w:rsidSect="00515F6D">
          <w:headerReference w:type="default" r:id="rId14"/>
          <w:pgSz w:w="16838" w:h="11906" w:orient="landscape" w:code="9"/>
          <w:pgMar w:top="1701" w:right="1701" w:bottom="1701" w:left="1701" w:header="709" w:footer="851" w:gutter="0"/>
          <w:cols w:space="708"/>
          <w:docGrid w:linePitch="360"/>
        </w:sectPr>
      </w:pPr>
    </w:p>
    <w:p w14:paraId="10813E52" w14:textId="48E78ED0" w:rsidR="00720589" w:rsidRPr="009B7734" w:rsidRDefault="001A498A" w:rsidP="007A5657">
      <w:pPr>
        <w:pStyle w:val="Heading7"/>
      </w:pPr>
      <w:bookmarkStart w:id="16" w:name="_Toc203740395"/>
      <w:r>
        <w:t>Definitions</w:t>
      </w:r>
      <w:bookmarkEnd w:id="16"/>
    </w:p>
    <w:p w14:paraId="4B91CB4C" w14:textId="77777777" w:rsidR="00992DAF" w:rsidRDefault="00C04035" w:rsidP="00992DAF">
      <w:pPr>
        <w:keepNext/>
      </w:pPr>
      <w:r w:rsidRPr="00CA1E5B">
        <w:drawing>
          <wp:inline distT="0" distB="0" distL="0" distR="0" wp14:anchorId="03E68266" wp14:editId="46B0BE97">
            <wp:extent cx="5400040" cy="2450276"/>
            <wp:effectExtent l="0" t="0" r="0" b="1270"/>
            <wp:docPr id="340727405"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727405" name="Picture 1" descr="A table with text on it&#10;&#10;AI-generated content may be incorrect."/>
                    <pic:cNvPicPr/>
                  </pic:nvPicPr>
                  <pic:blipFill>
                    <a:blip r:embed="rId15"/>
                    <a:stretch>
                      <a:fillRect/>
                    </a:stretch>
                  </pic:blipFill>
                  <pic:spPr>
                    <a:xfrm>
                      <a:off x="0" y="0"/>
                      <a:ext cx="5400040" cy="2450276"/>
                    </a:xfrm>
                    <a:prstGeom prst="rect">
                      <a:avLst/>
                    </a:prstGeom>
                  </pic:spPr>
                </pic:pic>
              </a:graphicData>
            </a:graphic>
          </wp:inline>
        </w:drawing>
      </w:r>
    </w:p>
    <w:p w14:paraId="29082E95" w14:textId="3C607861" w:rsidR="004B0DD8" w:rsidRPr="004B0DD8" w:rsidRDefault="00992DAF" w:rsidP="00992DAF">
      <w:pPr>
        <w:pStyle w:val="Caption"/>
      </w:pPr>
      <w:bookmarkStart w:id="17" w:name="_Toc203725422"/>
      <w:bookmarkStart w:id="18" w:name="_Toc203740396"/>
      <w:r>
        <w:t xml:space="preserve">Figure </w:t>
      </w:r>
      <w:fldSimple w:instr=" STYLEREF 1 \s ">
        <w:r w:rsidR="00815E13">
          <w:rPr>
            <w:noProof/>
          </w:rPr>
          <w:t>1</w:t>
        </w:r>
      </w:fldSimple>
      <w:r w:rsidR="00815E13">
        <w:noBreakHyphen/>
      </w:r>
      <w:fldSimple w:instr=" SEQ Figure \* ARABIC \s 1 ">
        <w:r w:rsidR="00815E13">
          <w:rPr>
            <w:noProof/>
          </w:rPr>
          <w:t>1</w:t>
        </w:r>
      </w:fldSimple>
      <w:r>
        <w:t xml:space="preserve"> </w:t>
      </w:r>
      <w:r w:rsidRPr="00CC5523">
        <w:t>Qualitative and Quantitative Frequency Categories</w:t>
      </w:r>
      <w:bookmarkEnd w:id="17"/>
      <w:bookmarkEnd w:id="18"/>
    </w:p>
    <w:p w14:paraId="4909919E" w14:textId="77777777" w:rsidR="00992DAF" w:rsidRDefault="009F3F22" w:rsidP="00992DAF">
      <w:pPr>
        <w:keepNext/>
      </w:pPr>
      <w:r w:rsidRPr="003059D9">
        <w:drawing>
          <wp:inline distT="0" distB="0" distL="0" distR="0" wp14:anchorId="5B2A377D" wp14:editId="4ED82294">
            <wp:extent cx="5400040" cy="3739083"/>
            <wp:effectExtent l="0" t="0" r="0" b="0"/>
            <wp:docPr id="362696075"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696075" name="Picture 1" descr="A table with text on it&#10;&#10;AI-generated content may be incorrect."/>
                    <pic:cNvPicPr/>
                  </pic:nvPicPr>
                  <pic:blipFill>
                    <a:blip r:embed="rId16"/>
                    <a:stretch>
                      <a:fillRect/>
                    </a:stretch>
                  </pic:blipFill>
                  <pic:spPr>
                    <a:xfrm>
                      <a:off x="0" y="0"/>
                      <a:ext cx="5400040" cy="3739083"/>
                    </a:xfrm>
                    <a:prstGeom prst="rect">
                      <a:avLst/>
                    </a:prstGeom>
                  </pic:spPr>
                </pic:pic>
              </a:graphicData>
            </a:graphic>
          </wp:inline>
        </w:drawing>
      </w:r>
    </w:p>
    <w:p w14:paraId="26DDB0E9" w14:textId="63538C63" w:rsidR="001E30D3" w:rsidRDefault="00992DAF" w:rsidP="00992DAF">
      <w:pPr>
        <w:pStyle w:val="Caption"/>
      </w:pPr>
      <w:bookmarkStart w:id="19" w:name="_Toc203725423"/>
      <w:bookmarkStart w:id="20" w:name="_Toc203740397"/>
      <w:r>
        <w:t xml:space="preserve">Figure </w:t>
      </w:r>
      <w:fldSimple w:instr=" STYLEREF 1 \s ">
        <w:r w:rsidR="00815E13">
          <w:rPr>
            <w:noProof/>
          </w:rPr>
          <w:t>1</w:t>
        </w:r>
      </w:fldSimple>
      <w:r w:rsidR="00815E13">
        <w:noBreakHyphen/>
      </w:r>
      <w:fldSimple w:instr=" SEQ Figure \* ARABIC \s 1 ">
        <w:r w:rsidR="00815E13">
          <w:rPr>
            <w:noProof/>
          </w:rPr>
          <w:t>2</w:t>
        </w:r>
      </w:fldSimple>
      <w:r>
        <w:t xml:space="preserve"> </w:t>
      </w:r>
      <w:r w:rsidRPr="00F92CD8">
        <w:t>Severity Category Definitions</w:t>
      </w:r>
      <w:bookmarkEnd w:id="19"/>
      <w:bookmarkEnd w:id="20"/>
    </w:p>
    <w:p w14:paraId="0E9F3DA6" w14:textId="41A7610E" w:rsidR="001E30D3" w:rsidRPr="001E30D3" w:rsidRDefault="001E30D3" w:rsidP="00961F17">
      <w:pPr>
        <w:spacing w:before="0" w:after="200" w:line="276" w:lineRule="auto"/>
        <w:jc w:val="left"/>
      </w:pPr>
      <w:r>
        <w:br w:type="page"/>
      </w:r>
    </w:p>
    <w:p w14:paraId="41FE9568" w14:textId="77777777" w:rsidR="00992DAF" w:rsidRDefault="00973CEF" w:rsidP="00992DAF">
      <w:pPr>
        <w:keepNext/>
      </w:pPr>
      <w:r w:rsidRPr="002049BA">
        <w:lastRenderedPageBreak/>
        <w:drawing>
          <wp:inline distT="0" distB="0" distL="0" distR="0" wp14:anchorId="4CB446D1" wp14:editId="2AAC0E25">
            <wp:extent cx="5400040" cy="2569539"/>
            <wp:effectExtent l="0" t="0" r="0" b="0"/>
            <wp:docPr id="556067243" name="Picture 1" descr="A chart of a variety of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067243" name="Picture 1" descr="A chart of a variety of colors&#10;&#10;AI-generated content may be incorrect."/>
                    <pic:cNvPicPr/>
                  </pic:nvPicPr>
                  <pic:blipFill>
                    <a:blip r:embed="rId17"/>
                    <a:stretch>
                      <a:fillRect/>
                    </a:stretch>
                  </pic:blipFill>
                  <pic:spPr>
                    <a:xfrm>
                      <a:off x="0" y="0"/>
                      <a:ext cx="5400040" cy="2569539"/>
                    </a:xfrm>
                    <a:prstGeom prst="rect">
                      <a:avLst/>
                    </a:prstGeom>
                  </pic:spPr>
                </pic:pic>
              </a:graphicData>
            </a:graphic>
          </wp:inline>
        </w:drawing>
      </w:r>
    </w:p>
    <w:p w14:paraId="3BF1455A" w14:textId="0AC6CC43" w:rsidR="00992DAF" w:rsidRDefault="00992DAF" w:rsidP="00992DAF">
      <w:pPr>
        <w:pStyle w:val="Caption"/>
      </w:pPr>
      <w:bookmarkStart w:id="21" w:name="_Toc203725424"/>
      <w:bookmarkStart w:id="22" w:name="_Toc203740398"/>
      <w:r>
        <w:t xml:space="preserve">Figure </w:t>
      </w:r>
      <w:fldSimple w:instr=" STYLEREF 1 \s ">
        <w:r w:rsidR="00815E13">
          <w:rPr>
            <w:noProof/>
          </w:rPr>
          <w:t>1</w:t>
        </w:r>
      </w:fldSimple>
      <w:r w:rsidR="00815E13">
        <w:noBreakHyphen/>
      </w:r>
      <w:fldSimple w:instr=" SEQ Figure \* ARABIC \s 1 ">
        <w:r w:rsidR="00815E13">
          <w:rPr>
            <w:noProof/>
          </w:rPr>
          <w:t>3</w:t>
        </w:r>
      </w:fldSimple>
      <w:r>
        <w:t xml:space="preserve"> </w:t>
      </w:r>
      <w:r w:rsidRPr="00B007B7">
        <w:t>Risk Classification Matrix</w:t>
      </w:r>
      <w:bookmarkEnd w:id="21"/>
      <w:bookmarkEnd w:id="22"/>
    </w:p>
    <w:p w14:paraId="35A2D2E5" w14:textId="77777777" w:rsidR="00815E13" w:rsidRDefault="001E30D3" w:rsidP="00815E13">
      <w:pPr>
        <w:pStyle w:val="BodyText"/>
        <w:keepNext/>
      </w:pPr>
      <w:r w:rsidRPr="00CF2569">
        <w:drawing>
          <wp:inline distT="0" distB="0" distL="0" distR="0" wp14:anchorId="721A2CAF" wp14:editId="2E9A1E2E">
            <wp:extent cx="5400040" cy="1653668"/>
            <wp:effectExtent l="0" t="0" r="0" b="0"/>
            <wp:docPr id="329776223"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776223" name="Picture 1" descr="A white rectangular object with black text&#10;&#10;AI-generated content may be incorrect."/>
                    <pic:cNvPicPr/>
                  </pic:nvPicPr>
                  <pic:blipFill>
                    <a:blip r:embed="rId18"/>
                    <a:stretch>
                      <a:fillRect/>
                    </a:stretch>
                  </pic:blipFill>
                  <pic:spPr>
                    <a:xfrm>
                      <a:off x="0" y="0"/>
                      <a:ext cx="5400040" cy="1653668"/>
                    </a:xfrm>
                    <a:prstGeom prst="rect">
                      <a:avLst/>
                    </a:prstGeom>
                  </pic:spPr>
                </pic:pic>
              </a:graphicData>
            </a:graphic>
          </wp:inline>
        </w:drawing>
      </w:r>
    </w:p>
    <w:p w14:paraId="3DA60B44" w14:textId="5BCBAA1A" w:rsidR="00992DAF" w:rsidRDefault="00815E13" w:rsidP="00815E13">
      <w:pPr>
        <w:pStyle w:val="Caption"/>
      </w:pPr>
      <w:bookmarkStart w:id="23" w:name="_Toc203740399"/>
      <w:r>
        <w:t xml:space="preserve">Figure </w:t>
      </w:r>
      <w:fldSimple w:instr=" STYLEREF 1 \s ">
        <w:r>
          <w:rPr>
            <w:noProof/>
          </w:rPr>
          <w:t>1</w:t>
        </w:r>
      </w:fldSimple>
      <w:r>
        <w:noBreakHyphen/>
      </w:r>
      <w:fldSimple w:instr=" SEQ Figure \* ARABIC \s 1 ">
        <w:r>
          <w:rPr>
            <w:noProof/>
          </w:rPr>
          <w:t>4</w:t>
        </w:r>
      </w:fldSimple>
      <w:r>
        <w:t xml:space="preserve"> Risk Class Definitions</w:t>
      </w:r>
      <w:bookmarkEnd w:id="23"/>
    </w:p>
    <w:p w14:paraId="6131CB69" w14:textId="77777777" w:rsidR="004747AF" w:rsidRDefault="004747AF" w:rsidP="004D3807">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2BE01" w14:textId="77777777" w:rsidR="006F4D12" w:rsidRDefault="006F4D12">
      <w:r>
        <w:separator/>
      </w:r>
    </w:p>
  </w:endnote>
  <w:endnote w:type="continuationSeparator" w:id="0">
    <w:p w14:paraId="0EE7F519" w14:textId="77777777" w:rsidR="006F4D12" w:rsidRDefault="006F4D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notTrueType/>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6406F" w14:textId="77777777" w:rsidR="006F4D12" w:rsidRDefault="006F4D12">
      <w:r>
        <w:separator/>
      </w:r>
    </w:p>
  </w:footnote>
  <w:footnote w:type="continuationSeparator" w:id="0">
    <w:p w14:paraId="72BA7864" w14:textId="77777777" w:rsidR="006F4D12" w:rsidRDefault="006F4D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6EB2144"/>
    <w:multiLevelType w:val="multilevel"/>
    <w:tmpl w:val="B21086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DE422AC"/>
    <w:multiLevelType w:val="multilevel"/>
    <w:tmpl w:val="BE16D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8"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271765"/>
    <w:multiLevelType w:val="multilevel"/>
    <w:tmpl w:val="64C20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07A571D"/>
    <w:multiLevelType w:val="multilevel"/>
    <w:tmpl w:val="98F09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6"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DBC63E8"/>
    <w:multiLevelType w:val="multilevel"/>
    <w:tmpl w:val="082A9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E5C5792"/>
    <w:multiLevelType w:val="multilevel"/>
    <w:tmpl w:val="79204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2"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E84544"/>
    <w:multiLevelType w:val="multilevel"/>
    <w:tmpl w:val="040E0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6801413B"/>
    <w:multiLevelType w:val="multilevel"/>
    <w:tmpl w:val="6B5E7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D5115C4"/>
    <w:multiLevelType w:val="multilevel"/>
    <w:tmpl w:val="69B609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0"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1"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40"/>
  </w:num>
  <w:num w:numId="2" w16cid:durableId="1489785511">
    <w:abstractNumId w:val="21"/>
  </w:num>
  <w:num w:numId="3" w16cid:durableId="905871091">
    <w:abstractNumId w:val="16"/>
  </w:num>
  <w:num w:numId="4" w16cid:durableId="534970395">
    <w:abstractNumId w:val="10"/>
  </w:num>
  <w:num w:numId="5" w16cid:durableId="38435229">
    <w:abstractNumId w:val="39"/>
  </w:num>
  <w:num w:numId="6" w16cid:durableId="2057730824">
    <w:abstractNumId w:val="23"/>
  </w:num>
  <w:num w:numId="7" w16cid:durableId="1675720074">
    <w:abstractNumId w:val="26"/>
  </w:num>
  <w:num w:numId="8" w16cid:durableId="1014383751">
    <w:abstractNumId w:val="18"/>
  </w:num>
  <w:num w:numId="9" w16cid:durableId="201672474">
    <w:abstractNumId w:val="34"/>
  </w:num>
  <w:num w:numId="10" w16cid:durableId="256066161">
    <w:abstractNumId w:val="41"/>
  </w:num>
  <w:num w:numId="11" w16cid:durableId="2087680663">
    <w:abstractNumId w:val="15"/>
  </w:num>
  <w:num w:numId="12" w16cid:durableId="2044011657">
    <w:abstractNumId w:val="25"/>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8"/>
  </w:num>
  <w:num w:numId="24" w16cid:durableId="657152095">
    <w:abstractNumId w:val="11"/>
  </w:num>
  <w:num w:numId="25" w16cid:durableId="649095097">
    <w:abstractNumId w:val="27"/>
  </w:num>
  <w:num w:numId="26" w16cid:durableId="2025472307">
    <w:abstractNumId w:val="14"/>
  </w:num>
  <w:num w:numId="27" w16cid:durableId="732191785">
    <w:abstractNumId w:val="31"/>
  </w:num>
  <w:num w:numId="28" w16cid:durableId="1293512764">
    <w:abstractNumId w:val="17"/>
  </w:num>
  <w:num w:numId="29" w16cid:durableId="1552501508">
    <w:abstractNumId w:val="37"/>
  </w:num>
  <w:num w:numId="30" w16cid:durableId="1990475844">
    <w:abstractNumId w:val="32"/>
  </w:num>
  <w:num w:numId="31" w16cid:durableId="1087464949">
    <w:abstractNumId w:val="19"/>
  </w:num>
  <w:num w:numId="32" w16cid:durableId="516886674">
    <w:abstractNumId w:val="28"/>
  </w:num>
  <w:num w:numId="33" w16cid:durableId="1720863631">
    <w:abstractNumId w:val="22"/>
  </w:num>
  <w:num w:numId="34" w16cid:durableId="1198154865">
    <w:abstractNumId w:val="30"/>
  </w:num>
  <w:num w:numId="35" w16cid:durableId="1302493464">
    <w:abstractNumId w:val="13"/>
  </w:num>
  <w:num w:numId="36" w16cid:durableId="1578057356">
    <w:abstractNumId w:val="33"/>
  </w:num>
  <w:num w:numId="37" w16cid:durableId="331881700">
    <w:abstractNumId w:val="29"/>
  </w:num>
  <w:num w:numId="38" w16cid:durableId="956642088">
    <w:abstractNumId w:val="12"/>
  </w:num>
  <w:num w:numId="39" w16cid:durableId="2141338168">
    <w:abstractNumId w:val="20"/>
  </w:num>
  <w:num w:numId="40" w16cid:durableId="273288725">
    <w:abstractNumId w:val="24"/>
  </w:num>
  <w:num w:numId="41" w16cid:durableId="1068728194">
    <w:abstractNumId w:val="36"/>
  </w:num>
  <w:num w:numId="42" w16cid:durableId="187985252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2F38"/>
    <w:rsid w:val="000131B3"/>
    <w:rsid w:val="000146A5"/>
    <w:rsid w:val="00015A13"/>
    <w:rsid w:val="00016BC8"/>
    <w:rsid w:val="00023D9B"/>
    <w:rsid w:val="00025F25"/>
    <w:rsid w:val="0003099F"/>
    <w:rsid w:val="0003188E"/>
    <w:rsid w:val="00045D6F"/>
    <w:rsid w:val="00046F4A"/>
    <w:rsid w:val="00053405"/>
    <w:rsid w:val="00054FA2"/>
    <w:rsid w:val="00062B90"/>
    <w:rsid w:val="00063CEE"/>
    <w:rsid w:val="0006449D"/>
    <w:rsid w:val="0006521B"/>
    <w:rsid w:val="00065259"/>
    <w:rsid w:val="00065A60"/>
    <w:rsid w:val="00067512"/>
    <w:rsid w:val="00071049"/>
    <w:rsid w:val="00071CD5"/>
    <w:rsid w:val="00072978"/>
    <w:rsid w:val="00086305"/>
    <w:rsid w:val="00091EA0"/>
    <w:rsid w:val="00097727"/>
    <w:rsid w:val="000A101D"/>
    <w:rsid w:val="000A4407"/>
    <w:rsid w:val="000A59AF"/>
    <w:rsid w:val="000B0160"/>
    <w:rsid w:val="000B24F7"/>
    <w:rsid w:val="000B6677"/>
    <w:rsid w:val="000C0AF2"/>
    <w:rsid w:val="000C6559"/>
    <w:rsid w:val="000D05B9"/>
    <w:rsid w:val="000D3236"/>
    <w:rsid w:val="000D3AB7"/>
    <w:rsid w:val="000D5505"/>
    <w:rsid w:val="000D6AAF"/>
    <w:rsid w:val="000E0E3F"/>
    <w:rsid w:val="000E1BC4"/>
    <w:rsid w:val="000E1E14"/>
    <w:rsid w:val="000E5531"/>
    <w:rsid w:val="000F3FC7"/>
    <w:rsid w:val="000F5578"/>
    <w:rsid w:val="000F6302"/>
    <w:rsid w:val="001008EC"/>
    <w:rsid w:val="0012162B"/>
    <w:rsid w:val="00122281"/>
    <w:rsid w:val="0012368A"/>
    <w:rsid w:val="00125CDC"/>
    <w:rsid w:val="00126903"/>
    <w:rsid w:val="00130109"/>
    <w:rsid w:val="00132B6A"/>
    <w:rsid w:val="001354BA"/>
    <w:rsid w:val="00140D48"/>
    <w:rsid w:val="00145332"/>
    <w:rsid w:val="001507DE"/>
    <w:rsid w:val="00160CA7"/>
    <w:rsid w:val="00162C52"/>
    <w:rsid w:val="00170B87"/>
    <w:rsid w:val="00171953"/>
    <w:rsid w:val="00175FFF"/>
    <w:rsid w:val="001850E2"/>
    <w:rsid w:val="00187AAB"/>
    <w:rsid w:val="00196CAA"/>
    <w:rsid w:val="001A498A"/>
    <w:rsid w:val="001A7820"/>
    <w:rsid w:val="001B0633"/>
    <w:rsid w:val="001B4268"/>
    <w:rsid w:val="001B638E"/>
    <w:rsid w:val="001B63F7"/>
    <w:rsid w:val="001C1A69"/>
    <w:rsid w:val="001C2208"/>
    <w:rsid w:val="001C23E5"/>
    <w:rsid w:val="001C3F9E"/>
    <w:rsid w:val="001C7227"/>
    <w:rsid w:val="001D1974"/>
    <w:rsid w:val="001D2FAF"/>
    <w:rsid w:val="001D6246"/>
    <w:rsid w:val="001D636A"/>
    <w:rsid w:val="001D7982"/>
    <w:rsid w:val="001D7ED1"/>
    <w:rsid w:val="001E00D5"/>
    <w:rsid w:val="001E30D3"/>
    <w:rsid w:val="001E388D"/>
    <w:rsid w:val="001E3B86"/>
    <w:rsid w:val="001E7302"/>
    <w:rsid w:val="001F1539"/>
    <w:rsid w:val="001F2976"/>
    <w:rsid w:val="001F3055"/>
    <w:rsid w:val="001F41DE"/>
    <w:rsid w:val="001F449D"/>
    <w:rsid w:val="001F694C"/>
    <w:rsid w:val="001F7EBB"/>
    <w:rsid w:val="00204473"/>
    <w:rsid w:val="002121F3"/>
    <w:rsid w:val="00216501"/>
    <w:rsid w:val="00220476"/>
    <w:rsid w:val="00224C6D"/>
    <w:rsid w:val="00224E7F"/>
    <w:rsid w:val="00224E96"/>
    <w:rsid w:val="00230B99"/>
    <w:rsid w:val="00232B80"/>
    <w:rsid w:val="002417C1"/>
    <w:rsid w:val="00242861"/>
    <w:rsid w:val="00243313"/>
    <w:rsid w:val="00245858"/>
    <w:rsid w:val="00245DA7"/>
    <w:rsid w:val="00246995"/>
    <w:rsid w:val="0025099B"/>
    <w:rsid w:val="00252122"/>
    <w:rsid w:val="00263BB0"/>
    <w:rsid w:val="00263DA2"/>
    <w:rsid w:val="00265B2F"/>
    <w:rsid w:val="00267F4D"/>
    <w:rsid w:val="002717FC"/>
    <w:rsid w:val="0028327F"/>
    <w:rsid w:val="00285034"/>
    <w:rsid w:val="0028570D"/>
    <w:rsid w:val="00296CEF"/>
    <w:rsid w:val="00297B4F"/>
    <w:rsid w:val="002A5438"/>
    <w:rsid w:val="002A5491"/>
    <w:rsid w:val="002A7DD0"/>
    <w:rsid w:val="002B0693"/>
    <w:rsid w:val="002B133F"/>
    <w:rsid w:val="002B7456"/>
    <w:rsid w:val="002B7B28"/>
    <w:rsid w:val="002C00B4"/>
    <w:rsid w:val="002C06AC"/>
    <w:rsid w:val="002C7FAA"/>
    <w:rsid w:val="002D05CE"/>
    <w:rsid w:val="002D4A7B"/>
    <w:rsid w:val="002F7211"/>
    <w:rsid w:val="00304798"/>
    <w:rsid w:val="003140F1"/>
    <w:rsid w:val="0032407E"/>
    <w:rsid w:val="00324FAB"/>
    <w:rsid w:val="00331DCE"/>
    <w:rsid w:val="003328D2"/>
    <w:rsid w:val="003453E5"/>
    <w:rsid w:val="003500A4"/>
    <w:rsid w:val="00350D4D"/>
    <w:rsid w:val="00351E83"/>
    <w:rsid w:val="003550A0"/>
    <w:rsid w:val="0035720C"/>
    <w:rsid w:val="00361EFD"/>
    <w:rsid w:val="0037068D"/>
    <w:rsid w:val="00372935"/>
    <w:rsid w:val="00374596"/>
    <w:rsid w:val="00376422"/>
    <w:rsid w:val="003862EE"/>
    <w:rsid w:val="00386F87"/>
    <w:rsid w:val="00387643"/>
    <w:rsid w:val="00393F05"/>
    <w:rsid w:val="003A03FA"/>
    <w:rsid w:val="003A4B79"/>
    <w:rsid w:val="003A5815"/>
    <w:rsid w:val="003A5A4A"/>
    <w:rsid w:val="003B075E"/>
    <w:rsid w:val="003B1C9F"/>
    <w:rsid w:val="003B2155"/>
    <w:rsid w:val="003C2006"/>
    <w:rsid w:val="003C25D4"/>
    <w:rsid w:val="003C3E9F"/>
    <w:rsid w:val="003D6C4D"/>
    <w:rsid w:val="003E2E7B"/>
    <w:rsid w:val="003F0B46"/>
    <w:rsid w:val="003F67A2"/>
    <w:rsid w:val="004015E2"/>
    <w:rsid w:val="004026CA"/>
    <w:rsid w:val="00404309"/>
    <w:rsid w:val="0041525E"/>
    <w:rsid w:val="0041685B"/>
    <w:rsid w:val="00417D41"/>
    <w:rsid w:val="00422FFF"/>
    <w:rsid w:val="00423DB3"/>
    <w:rsid w:val="00445061"/>
    <w:rsid w:val="00445556"/>
    <w:rsid w:val="004525AD"/>
    <w:rsid w:val="004534AC"/>
    <w:rsid w:val="00460314"/>
    <w:rsid w:val="0046152D"/>
    <w:rsid w:val="00465CA7"/>
    <w:rsid w:val="004679A1"/>
    <w:rsid w:val="00472993"/>
    <w:rsid w:val="004747AF"/>
    <w:rsid w:val="00483FAD"/>
    <w:rsid w:val="00487C6D"/>
    <w:rsid w:val="0049076B"/>
    <w:rsid w:val="0049107F"/>
    <w:rsid w:val="00491994"/>
    <w:rsid w:val="004A1164"/>
    <w:rsid w:val="004A133A"/>
    <w:rsid w:val="004B0DD8"/>
    <w:rsid w:val="004B5597"/>
    <w:rsid w:val="004B5D2E"/>
    <w:rsid w:val="004C03F0"/>
    <w:rsid w:val="004C2C9C"/>
    <w:rsid w:val="004D0D07"/>
    <w:rsid w:val="004D1715"/>
    <w:rsid w:val="004D265B"/>
    <w:rsid w:val="004D3807"/>
    <w:rsid w:val="004D5EBD"/>
    <w:rsid w:val="004E4853"/>
    <w:rsid w:val="004E6816"/>
    <w:rsid w:val="004E7AF1"/>
    <w:rsid w:val="004F3471"/>
    <w:rsid w:val="005064F6"/>
    <w:rsid w:val="00507AAD"/>
    <w:rsid w:val="005125CD"/>
    <w:rsid w:val="005134B3"/>
    <w:rsid w:val="00515F6D"/>
    <w:rsid w:val="0052247A"/>
    <w:rsid w:val="0052368D"/>
    <w:rsid w:val="005244BB"/>
    <w:rsid w:val="00524E57"/>
    <w:rsid w:val="005304A9"/>
    <w:rsid w:val="00541925"/>
    <w:rsid w:val="00541950"/>
    <w:rsid w:val="005427C5"/>
    <w:rsid w:val="00543179"/>
    <w:rsid w:val="005432F1"/>
    <w:rsid w:val="005452D1"/>
    <w:rsid w:val="00547EA4"/>
    <w:rsid w:val="005528A4"/>
    <w:rsid w:val="00571D27"/>
    <w:rsid w:val="005800F4"/>
    <w:rsid w:val="00582DFD"/>
    <w:rsid w:val="005A29B0"/>
    <w:rsid w:val="005C0AF1"/>
    <w:rsid w:val="005C5F8B"/>
    <w:rsid w:val="005C6FA2"/>
    <w:rsid w:val="005D330C"/>
    <w:rsid w:val="005D4968"/>
    <w:rsid w:val="005D618F"/>
    <w:rsid w:val="005D68D1"/>
    <w:rsid w:val="005E3ACA"/>
    <w:rsid w:val="005E4B39"/>
    <w:rsid w:val="00600F1E"/>
    <w:rsid w:val="00602326"/>
    <w:rsid w:val="00605474"/>
    <w:rsid w:val="006063BC"/>
    <w:rsid w:val="00613D80"/>
    <w:rsid w:val="0061451F"/>
    <w:rsid w:val="006159AA"/>
    <w:rsid w:val="00617972"/>
    <w:rsid w:val="00617E4C"/>
    <w:rsid w:val="00620197"/>
    <w:rsid w:val="00622A0E"/>
    <w:rsid w:val="00623A81"/>
    <w:rsid w:val="00626744"/>
    <w:rsid w:val="0062728E"/>
    <w:rsid w:val="00632979"/>
    <w:rsid w:val="006330F6"/>
    <w:rsid w:val="006342AB"/>
    <w:rsid w:val="006454D8"/>
    <w:rsid w:val="00655FD9"/>
    <w:rsid w:val="0065601E"/>
    <w:rsid w:val="006573D9"/>
    <w:rsid w:val="006575E8"/>
    <w:rsid w:val="00664209"/>
    <w:rsid w:val="00665193"/>
    <w:rsid w:val="00667DDE"/>
    <w:rsid w:val="00671FA2"/>
    <w:rsid w:val="00684F95"/>
    <w:rsid w:val="00685088"/>
    <w:rsid w:val="00685C49"/>
    <w:rsid w:val="00693975"/>
    <w:rsid w:val="00697626"/>
    <w:rsid w:val="006A19EC"/>
    <w:rsid w:val="006A3182"/>
    <w:rsid w:val="006A797F"/>
    <w:rsid w:val="006B25D7"/>
    <w:rsid w:val="006C1C36"/>
    <w:rsid w:val="006C3D4A"/>
    <w:rsid w:val="006C574E"/>
    <w:rsid w:val="006C6C98"/>
    <w:rsid w:val="006D680A"/>
    <w:rsid w:val="006D72A6"/>
    <w:rsid w:val="006D7D2C"/>
    <w:rsid w:val="006E7473"/>
    <w:rsid w:val="006F48A8"/>
    <w:rsid w:val="006F4D12"/>
    <w:rsid w:val="006F6F09"/>
    <w:rsid w:val="00700D30"/>
    <w:rsid w:val="0070144B"/>
    <w:rsid w:val="007043E4"/>
    <w:rsid w:val="0070544E"/>
    <w:rsid w:val="00706FC0"/>
    <w:rsid w:val="00713F18"/>
    <w:rsid w:val="00720589"/>
    <w:rsid w:val="007240B6"/>
    <w:rsid w:val="007276AC"/>
    <w:rsid w:val="00735256"/>
    <w:rsid w:val="0074690E"/>
    <w:rsid w:val="00747900"/>
    <w:rsid w:val="0075020C"/>
    <w:rsid w:val="00750599"/>
    <w:rsid w:val="00751BC0"/>
    <w:rsid w:val="00753C30"/>
    <w:rsid w:val="0075639A"/>
    <w:rsid w:val="00760E27"/>
    <w:rsid w:val="00786F04"/>
    <w:rsid w:val="007920A4"/>
    <w:rsid w:val="00792965"/>
    <w:rsid w:val="00792A54"/>
    <w:rsid w:val="00795AC0"/>
    <w:rsid w:val="007A5657"/>
    <w:rsid w:val="007A56BB"/>
    <w:rsid w:val="007B0CD5"/>
    <w:rsid w:val="007B7D72"/>
    <w:rsid w:val="007C52F7"/>
    <w:rsid w:val="007D48F0"/>
    <w:rsid w:val="007D55C9"/>
    <w:rsid w:val="007D7B63"/>
    <w:rsid w:val="007F0255"/>
    <w:rsid w:val="007F186D"/>
    <w:rsid w:val="007F5C55"/>
    <w:rsid w:val="00801843"/>
    <w:rsid w:val="008035D7"/>
    <w:rsid w:val="00806B8E"/>
    <w:rsid w:val="00807610"/>
    <w:rsid w:val="00807CDF"/>
    <w:rsid w:val="00815E13"/>
    <w:rsid w:val="00830238"/>
    <w:rsid w:val="008306E3"/>
    <w:rsid w:val="00830F2C"/>
    <w:rsid w:val="00833618"/>
    <w:rsid w:val="00835E1B"/>
    <w:rsid w:val="00837448"/>
    <w:rsid w:val="008428F4"/>
    <w:rsid w:val="008462C0"/>
    <w:rsid w:val="00851ADB"/>
    <w:rsid w:val="0085376C"/>
    <w:rsid w:val="00855D55"/>
    <w:rsid w:val="00860130"/>
    <w:rsid w:val="0086100C"/>
    <w:rsid w:val="00861D90"/>
    <w:rsid w:val="00862E96"/>
    <w:rsid w:val="0086463C"/>
    <w:rsid w:val="00870F3E"/>
    <w:rsid w:val="00875B58"/>
    <w:rsid w:val="00876ECB"/>
    <w:rsid w:val="0088087A"/>
    <w:rsid w:val="00882284"/>
    <w:rsid w:val="00884ECE"/>
    <w:rsid w:val="008906BD"/>
    <w:rsid w:val="00892376"/>
    <w:rsid w:val="00893417"/>
    <w:rsid w:val="00897C9E"/>
    <w:rsid w:val="008B72AE"/>
    <w:rsid w:val="008B731F"/>
    <w:rsid w:val="008C2B10"/>
    <w:rsid w:val="008C56B9"/>
    <w:rsid w:val="008D00C5"/>
    <w:rsid w:val="008D0F71"/>
    <w:rsid w:val="008D171E"/>
    <w:rsid w:val="008D1F23"/>
    <w:rsid w:val="008D4B6B"/>
    <w:rsid w:val="008D5D60"/>
    <w:rsid w:val="008D5DD7"/>
    <w:rsid w:val="008D5E4C"/>
    <w:rsid w:val="008E1C0B"/>
    <w:rsid w:val="008E2828"/>
    <w:rsid w:val="008E5A35"/>
    <w:rsid w:val="008E7453"/>
    <w:rsid w:val="008E7822"/>
    <w:rsid w:val="008F0A2B"/>
    <w:rsid w:val="008F1DB2"/>
    <w:rsid w:val="008F237F"/>
    <w:rsid w:val="008F2598"/>
    <w:rsid w:val="008F6185"/>
    <w:rsid w:val="008F707D"/>
    <w:rsid w:val="00907032"/>
    <w:rsid w:val="00907B5E"/>
    <w:rsid w:val="00917E33"/>
    <w:rsid w:val="00922BCA"/>
    <w:rsid w:val="00923CA3"/>
    <w:rsid w:val="00925B40"/>
    <w:rsid w:val="00927E85"/>
    <w:rsid w:val="0093381A"/>
    <w:rsid w:val="009404A4"/>
    <w:rsid w:val="0094060A"/>
    <w:rsid w:val="00941D35"/>
    <w:rsid w:val="00942D0A"/>
    <w:rsid w:val="009450D1"/>
    <w:rsid w:val="009504C2"/>
    <w:rsid w:val="00960CC4"/>
    <w:rsid w:val="009616E1"/>
    <w:rsid w:val="00961D44"/>
    <w:rsid w:val="00961F17"/>
    <w:rsid w:val="00973CEF"/>
    <w:rsid w:val="00974BD2"/>
    <w:rsid w:val="009762BF"/>
    <w:rsid w:val="009811A9"/>
    <w:rsid w:val="00992DAF"/>
    <w:rsid w:val="00994A89"/>
    <w:rsid w:val="00995B4F"/>
    <w:rsid w:val="00996FFA"/>
    <w:rsid w:val="009B2890"/>
    <w:rsid w:val="009B52E2"/>
    <w:rsid w:val="009B68EF"/>
    <w:rsid w:val="009B7734"/>
    <w:rsid w:val="009C4F26"/>
    <w:rsid w:val="009F3F22"/>
    <w:rsid w:val="009F42D2"/>
    <w:rsid w:val="009F42D6"/>
    <w:rsid w:val="009F4F9E"/>
    <w:rsid w:val="00A0329E"/>
    <w:rsid w:val="00A126FD"/>
    <w:rsid w:val="00A128AB"/>
    <w:rsid w:val="00A13ABF"/>
    <w:rsid w:val="00A226AF"/>
    <w:rsid w:val="00A259D4"/>
    <w:rsid w:val="00A25E3F"/>
    <w:rsid w:val="00A33D5D"/>
    <w:rsid w:val="00A33F69"/>
    <w:rsid w:val="00A34113"/>
    <w:rsid w:val="00A36F61"/>
    <w:rsid w:val="00A52D36"/>
    <w:rsid w:val="00A633BD"/>
    <w:rsid w:val="00A651C5"/>
    <w:rsid w:val="00A66351"/>
    <w:rsid w:val="00A66CA5"/>
    <w:rsid w:val="00A7199B"/>
    <w:rsid w:val="00A74E3C"/>
    <w:rsid w:val="00A82E08"/>
    <w:rsid w:val="00A86182"/>
    <w:rsid w:val="00A867C5"/>
    <w:rsid w:val="00A916EE"/>
    <w:rsid w:val="00A95671"/>
    <w:rsid w:val="00AA1E42"/>
    <w:rsid w:val="00AA2009"/>
    <w:rsid w:val="00AA4D83"/>
    <w:rsid w:val="00AA61F1"/>
    <w:rsid w:val="00AA6342"/>
    <w:rsid w:val="00AA7404"/>
    <w:rsid w:val="00AB0D69"/>
    <w:rsid w:val="00AB1520"/>
    <w:rsid w:val="00AC03EA"/>
    <w:rsid w:val="00AC39DF"/>
    <w:rsid w:val="00AD1A00"/>
    <w:rsid w:val="00AD6D75"/>
    <w:rsid w:val="00AE480E"/>
    <w:rsid w:val="00AF41D8"/>
    <w:rsid w:val="00B005EB"/>
    <w:rsid w:val="00B03D9F"/>
    <w:rsid w:val="00B064F0"/>
    <w:rsid w:val="00B14508"/>
    <w:rsid w:val="00B1530F"/>
    <w:rsid w:val="00B17824"/>
    <w:rsid w:val="00B20072"/>
    <w:rsid w:val="00B20B2C"/>
    <w:rsid w:val="00B2492B"/>
    <w:rsid w:val="00B254BF"/>
    <w:rsid w:val="00B30745"/>
    <w:rsid w:val="00B31ADD"/>
    <w:rsid w:val="00B40908"/>
    <w:rsid w:val="00B516D8"/>
    <w:rsid w:val="00B53E08"/>
    <w:rsid w:val="00B62048"/>
    <w:rsid w:val="00B765F2"/>
    <w:rsid w:val="00B77263"/>
    <w:rsid w:val="00B82C12"/>
    <w:rsid w:val="00B82C24"/>
    <w:rsid w:val="00B8752D"/>
    <w:rsid w:val="00B96699"/>
    <w:rsid w:val="00B9798F"/>
    <w:rsid w:val="00BA0D4C"/>
    <w:rsid w:val="00BA279E"/>
    <w:rsid w:val="00BA5321"/>
    <w:rsid w:val="00BB54DE"/>
    <w:rsid w:val="00BC00B2"/>
    <w:rsid w:val="00BC433A"/>
    <w:rsid w:val="00BC4978"/>
    <w:rsid w:val="00BC58AC"/>
    <w:rsid w:val="00BD2A70"/>
    <w:rsid w:val="00BE1C94"/>
    <w:rsid w:val="00BE30BF"/>
    <w:rsid w:val="00BE77DE"/>
    <w:rsid w:val="00BF4B1B"/>
    <w:rsid w:val="00BF5778"/>
    <w:rsid w:val="00C04035"/>
    <w:rsid w:val="00C04DD4"/>
    <w:rsid w:val="00C10332"/>
    <w:rsid w:val="00C146FE"/>
    <w:rsid w:val="00C1479F"/>
    <w:rsid w:val="00C23009"/>
    <w:rsid w:val="00C23FD3"/>
    <w:rsid w:val="00C27103"/>
    <w:rsid w:val="00C36F72"/>
    <w:rsid w:val="00C4482E"/>
    <w:rsid w:val="00C44DF7"/>
    <w:rsid w:val="00C473DF"/>
    <w:rsid w:val="00C52F9C"/>
    <w:rsid w:val="00C53236"/>
    <w:rsid w:val="00C626AF"/>
    <w:rsid w:val="00C62DD8"/>
    <w:rsid w:val="00C658CA"/>
    <w:rsid w:val="00C71D1F"/>
    <w:rsid w:val="00C82E8D"/>
    <w:rsid w:val="00C90A14"/>
    <w:rsid w:val="00C93374"/>
    <w:rsid w:val="00C96E75"/>
    <w:rsid w:val="00CA3D48"/>
    <w:rsid w:val="00CA4757"/>
    <w:rsid w:val="00CA59C9"/>
    <w:rsid w:val="00CA7AF4"/>
    <w:rsid w:val="00CB5D1D"/>
    <w:rsid w:val="00CC1FE3"/>
    <w:rsid w:val="00CC21F1"/>
    <w:rsid w:val="00CC67DF"/>
    <w:rsid w:val="00CD6BE3"/>
    <w:rsid w:val="00CD7166"/>
    <w:rsid w:val="00CE3F44"/>
    <w:rsid w:val="00CF66E5"/>
    <w:rsid w:val="00CF6AA9"/>
    <w:rsid w:val="00D0017C"/>
    <w:rsid w:val="00D00922"/>
    <w:rsid w:val="00D01362"/>
    <w:rsid w:val="00D02A11"/>
    <w:rsid w:val="00D03E8E"/>
    <w:rsid w:val="00D045D4"/>
    <w:rsid w:val="00D04795"/>
    <w:rsid w:val="00D07B2D"/>
    <w:rsid w:val="00D11937"/>
    <w:rsid w:val="00D135C3"/>
    <w:rsid w:val="00D16B30"/>
    <w:rsid w:val="00D233FE"/>
    <w:rsid w:val="00D234C6"/>
    <w:rsid w:val="00D23D5B"/>
    <w:rsid w:val="00D251D3"/>
    <w:rsid w:val="00D25B82"/>
    <w:rsid w:val="00D333B2"/>
    <w:rsid w:val="00D34064"/>
    <w:rsid w:val="00D351A6"/>
    <w:rsid w:val="00D3724C"/>
    <w:rsid w:val="00D5011B"/>
    <w:rsid w:val="00D507DF"/>
    <w:rsid w:val="00D50DD4"/>
    <w:rsid w:val="00D52AC3"/>
    <w:rsid w:val="00D54B4D"/>
    <w:rsid w:val="00D55010"/>
    <w:rsid w:val="00D634A8"/>
    <w:rsid w:val="00D90D60"/>
    <w:rsid w:val="00D9183E"/>
    <w:rsid w:val="00D9380E"/>
    <w:rsid w:val="00DA28B2"/>
    <w:rsid w:val="00DA5419"/>
    <w:rsid w:val="00DA5C28"/>
    <w:rsid w:val="00DA7B8C"/>
    <w:rsid w:val="00DB0932"/>
    <w:rsid w:val="00DB2CF4"/>
    <w:rsid w:val="00DB5A18"/>
    <w:rsid w:val="00DC6E45"/>
    <w:rsid w:val="00DD3DA3"/>
    <w:rsid w:val="00DE4B07"/>
    <w:rsid w:val="00DF6781"/>
    <w:rsid w:val="00E0046D"/>
    <w:rsid w:val="00E025DC"/>
    <w:rsid w:val="00E06505"/>
    <w:rsid w:val="00E123A8"/>
    <w:rsid w:val="00E17857"/>
    <w:rsid w:val="00E27131"/>
    <w:rsid w:val="00E27644"/>
    <w:rsid w:val="00E311B1"/>
    <w:rsid w:val="00E367E5"/>
    <w:rsid w:val="00E37F83"/>
    <w:rsid w:val="00E420AB"/>
    <w:rsid w:val="00E44696"/>
    <w:rsid w:val="00E46225"/>
    <w:rsid w:val="00E53D4B"/>
    <w:rsid w:val="00E60686"/>
    <w:rsid w:val="00E60A96"/>
    <w:rsid w:val="00E66614"/>
    <w:rsid w:val="00E71C90"/>
    <w:rsid w:val="00E72780"/>
    <w:rsid w:val="00E72AF3"/>
    <w:rsid w:val="00E7482A"/>
    <w:rsid w:val="00E75826"/>
    <w:rsid w:val="00E76DB8"/>
    <w:rsid w:val="00E8030E"/>
    <w:rsid w:val="00E81DD4"/>
    <w:rsid w:val="00E94F51"/>
    <w:rsid w:val="00E94FC1"/>
    <w:rsid w:val="00EA3654"/>
    <w:rsid w:val="00EA53E3"/>
    <w:rsid w:val="00EA7A45"/>
    <w:rsid w:val="00EB311A"/>
    <w:rsid w:val="00EB47D6"/>
    <w:rsid w:val="00EC42E2"/>
    <w:rsid w:val="00EC4663"/>
    <w:rsid w:val="00EC473B"/>
    <w:rsid w:val="00EC746C"/>
    <w:rsid w:val="00ED7318"/>
    <w:rsid w:val="00EE07F2"/>
    <w:rsid w:val="00EE12DF"/>
    <w:rsid w:val="00EF21A6"/>
    <w:rsid w:val="00EF35D7"/>
    <w:rsid w:val="00EF5C69"/>
    <w:rsid w:val="00F0175B"/>
    <w:rsid w:val="00F030DC"/>
    <w:rsid w:val="00F10C41"/>
    <w:rsid w:val="00F15523"/>
    <w:rsid w:val="00F1552B"/>
    <w:rsid w:val="00F16E24"/>
    <w:rsid w:val="00F2159F"/>
    <w:rsid w:val="00F32ADB"/>
    <w:rsid w:val="00F33B50"/>
    <w:rsid w:val="00F355BD"/>
    <w:rsid w:val="00F4072F"/>
    <w:rsid w:val="00F41B6D"/>
    <w:rsid w:val="00F43C44"/>
    <w:rsid w:val="00F44E18"/>
    <w:rsid w:val="00F4729A"/>
    <w:rsid w:val="00F509C2"/>
    <w:rsid w:val="00F51577"/>
    <w:rsid w:val="00F551D0"/>
    <w:rsid w:val="00F60997"/>
    <w:rsid w:val="00F63271"/>
    <w:rsid w:val="00F65825"/>
    <w:rsid w:val="00F70D29"/>
    <w:rsid w:val="00F718E3"/>
    <w:rsid w:val="00F72FA5"/>
    <w:rsid w:val="00F73103"/>
    <w:rsid w:val="00F73DA6"/>
    <w:rsid w:val="00F76048"/>
    <w:rsid w:val="00F847AF"/>
    <w:rsid w:val="00F84DA7"/>
    <w:rsid w:val="00F86DFA"/>
    <w:rsid w:val="00F9632B"/>
    <w:rsid w:val="00FA46DB"/>
    <w:rsid w:val="00FA55B5"/>
    <w:rsid w:val="00FA72C4"/>
    <w:rsid w:val="00FA7F7D"/>
    <w:rsid w:val="00FB1860"/>
    <w:rsid w:val="00FB1DDF"/>
    <w:rsid w:val="00FB21D4"/>
    <w:rsid w:val="00FB6B73"/>
    <w:rsid w:val="00FB6BE4"/>
    <w:rsid w:val="00FC4826"/>
    <w:rsid w:val="00FD088D"/>
    <w:rsid w:val="00FD2258"/>
    <w:rsid w:val="00FD437F"/>
    <w:rsid w:val="00FE3D97"/>
    <w:rsid w:val="00FE3E87"/>
    <w:rsid w:val="00FE7279"/>
    <w:rsid w:val="00FE7B73"/>
    <w:rsid w:val="00FF2483"/>
    <w:rsid w:val="00FF2553"/>
    <w:rsid w:val="00FF3216"/>
    <w:rsid w:val="00FF4352"/>
    <w:rsid w:val="00FF5E5A"/>
    <w:rsid w:val="00FF7844"/>
    <w:rsid w:val="00FF7993"/>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E60A96"/>
    <w:rPr>
      <w:b/>
      <w:bCs/>
    </w:rPr>
  </w:style>
  <w:style w:type="paragraph" w:styleId="Bibliography">
    <w:name w:val="Bibliography"/>
    <w:basedOn w:val="Normal"/>
    <w:next w:val="Normal"/>
    <w:uiPriority w:val="37"/>
    <w:unhideWhenUsed/>
    <w:rsid w:val="00FC4826"/>
  </w:style>
  <w:style w:type="table" w:styleId="PlainTable1">
    <w:name w:val="Plain Table 1"/>
    <w:basedOn w:val="TableNormal"/>
    <w:uiPriority w:val="41"/>
    <w:rsid w:val="00515F6D"/>
    <w:pPr>
      <w:spacing w:after="0" w:line="240" w:lineRule="auto"/>
    </w:pPr>
    <w:rPr>
      <w:kern w:val="2"/>
      <w:sz w:val="24"/>
      <w:szCs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F10C41"/>
    <w:rPr>
      <w:color w:val="800080" w:themeColor="followedHyperlink"/>
      <w:u w:val="single"/>
    </w:rPr>
  </w:style>
  <w:style w:type="character" w:customStyle="1" w:styleId="apple-converted-space">
    <w:name w:val="apple-converted-space"/>
    <w:basedOn w:val="DefaultParagraphFont"/>
    <w:rsid w:val="008F237F"/>
  </w:style>
  <w:style w:type="table" w:styleId="PlainTable4">
    <w:name w:val="Plain Table 4"/>
    <w:basedOn w:val="TableNormal"/>
    <w:uiPriority w:val="44"/>
    <w:rsid w:val="007920A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691023">
      <w:bodyDiv w:val="1"/>
      <w:marLeft w:val="0"/>
      <w:marRight w:val="0"/>
      <w:marTop w:val="0"/>
      <w:marBottom w:val="0"/>
      <w:divBdr>
        <w:top w:val="none" w:sz="0" w:space="0" w:color="auto"/>
        <w:left w:val="none" w:sz="0" w:space="0" w:color="auto"/>
        <w:bottom w:val="none" w:sz="0" w:space="0" w:color="auto"/>
        <w:right w:val="none" w:sz="0" w:space="0" w:color="auto"/>
      </w:divBdr>
    </w:div>
    <w:div w:id="305162061">
      <w:bodyDiv w:val="1"/>
      <w:marLeft w:val="0"/>
      <w:marRight w:val="0"/>
      <w:marTop w:val="0"/>
      <w:marBottom w:val="0"/>
      <w:divBdr>
        <w:top w:val="none" w:sz="0" w:space="0" w:color="auto"/>
        <w:left w:val="none" w:sz="0" w:space="0" w:color="auto"/>
        <w:bottom w:val="none" w:sz="0" w:space="0" w:color="auto"/>
        <w:right w:val="none" w:sz="0" w:space="0" w:color="auto"/>
      </w:divBdr>
    </w:div>
    <w:div w:id="320894550">
      <w:bodyDiv w:val="1"/>
      <w:marLeft w:val="0"/>
      <w:marRight w:val="0"/>
      <w:marTop w:val="0"/>
      <w:marBottom w:val="0"/>
      <w:divBdr>
        <w:top w:val="none" w:sz="0" w:space="0" w:color="auto"/>
        <w:left w:val="none" w:sz="0" w:space="0" w:color="auto"/>
        <w:bottom w:val="none" w:sz="0" w:space="0" w:color="auto"/>
        <w:right w:val="none" w:sz="0" w:space="0" w:color="auto"/>
      </w:divBdr>
    </w:div>
    <w:div w:id="367533420">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6973312">
      <w:bodyDiv w:val="1"/>
      <w:marLeft w:val="0"/>
      <w:marRight w:val="0"/>
      <w:marTop w:val="0"/>
      <w:marBottom w:val="0"/>
      <w:divBdr>
        <w:top w:val="none" w:sz="0" w:space="0" w:color="auto"/>
        <w:left w:val="none" w:sz="0" w:space="0" w:color="auto"/>
        <w:bottom w:val="none" w:sz="0" w:space="0" w:color="auto"/>
        <w:right w:val="none" w:sz="0" w:space="0" w:color="auto"/>
      </w:divBdr>
    </w:div>
    <w:div w:id="504437571">
      <w:bodyDiv w:val="1"/>
      <w:marLeft w:val="0"/>
      <w:marRight w:val="0"/>
      <w:marTop w:val="0"/>
      <w:marBottom w:val="0"/>
      <w:divBdr>
        <w:top w:val="none" w:sz="0" w:space="0" w:color="auto"/>
        <w:left w:val="none" w:sz="0" w:space="0" w:color="auto"/>
        <w:bottom w:val="none" w:sz="0" w:space="0" w:color="auto"/>
        <w:right w:val="none" w:sz="0" w:space="0" w:color="auto"/>
      </w:divBdr>
    </w:div>
    <w:div w:id="582567710">
      <w:bodyDiv w:val="1"/>
      <w:marLeft w:val="0"/>
      <w:marRight w:val="0"/>
      <w:marTop w:val="0"/>
      <w:marBottom w:val="0"/>
      <w:divBdr>
        <w:top w:val="none" w:sz="0" w:space="0" w:color="auto"/>
        <w:left w:val="none" w:sz="0" w:space="0" w:color="auto"/>
        <w:bottom w:val="none" w:sz="0" w:space="0" w:color="auto"/>
        <w:right w:val="none" w:sz="0" w:space="0" w:color="auto"/>
      </w:divBdr>
    </w:div>
    <w:div w:id="656808365">
      <w:bodyDiv w:val="1"/>
      <w:marLeft w:val="0"/>
      <w:marRight w:val="0"/>
      <w:marTop w:val="0"/>
      <w:marBottom w:val="0"/>
      <w:divBdr>
        <w:top w:val="none" w:sz="0" w:space="0" w:color="auto"/>
        <w:left w:val="none" w:sz="0" w:space="0" w:color="auto"/>
        <w:bottom w:val="none" w:sz="0" w:space="0" w:color="auto"/>
        <w:right w:val="none" w:sz="0" w:space="0" w:color="auto"/>
      </w:divBdr>
    </w:div>
    <w:div w:id="658656251">
      <w:bodyDiv w:val="1"/>
      <w:marLeft w:val="0"/>
      <w:marRight w:val="0"/>
      <w:marTop w:val="0"/>
      <w:marBottom w:val="0"/>
      <w:divBdr>
        <w:top w:val="none" w:sz="0" w:space="0" w:color="auto"/>
        <w:left w:val="none" w:sz="0" w:space="0" w:color="auto"/>
        <w:bottom w:val="none" w:sz="0" w:space="0" w:color="auto"/>
        <w:right w:val="none" w:sz="0" w:space="0" w:color="auto"/>
      </w:divBdr>
    </w:div>
    <w:div w:id="67445357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13114768">
      <w:bodyDiv w:val="1"/>
      <w:marLeft w:val="0"/>
      <w:marRight w:val="0"/>
      <w:marTop w:val="0"/>
      <w:marBottom w:val="0"/>
      <w:divBdr>
        <w:top w:val="none" w:sz="0" w:space="0" w:color="auto"/>
        <w:left w:val="none" w:sz="0" w:space="0" w:color="auto"/>
        <w:bottom w:val="none" w:sz="0" w:space="0" w:color="auto"/>
        <w:right w:val="none" w:sz="0" w:space="0" w:color="auto"/>
      </w:divBdr>
    </w:div>
    <w:div w:id="797573953">
      <w:bodyDiv w:val="1"/>
      <w:marLeft w:val="0"/>
      <w:marRight w:val="0"/>
      <w:marTop w:val="0"/>
      <w:marBottom w:val="0"/>
      <w:divBdr>
        <w:top w:val="none" w:sz="0" w:space="0" w:color="auto"/>
        <w:left w:val="none" w:sz="0" w:space="0" w:color="auto"/>
        <w:bottom w:val="none" w:sz="0" w:space="0" w:color="auto"/>
        <w:right w:val="none" w:sz="0" w:space="0" w:color="auto"/>
      </w:divBdr>
    </w:div>
    <w:div w:id="941380869">
      <w:bodyDiv w:val="1"/>
      <w:marLeft w:val="0"/>
      <w:marRight w:val="0"/>
      <w:marTop w:val="0"/>
      <w:marBottom w:val="0"/>
      <w:divBdr>
        <w:top w:val="none" w:sz="0" w:space="0" w:color="auto"/>
        <w:left w:val="none" w:sz="0" w:space="0" w:color="auto"/>
        <w:bottom w:val="none" w:sz="0" w:space="0" w:color="auto"/>
        <w:right w:val="none" w:sz="0" w:space="0" w:color="auto"/>
      </w:divBdr>
    </w:div>
    <w:div w:id="1327902165">
      <w:bodyDiv w:val="1"/>
      <w:marLeft w:val="0"/>
      <w:marRight w:val="0"/>
      <w:marTop w:val="0"/>
      <w:marBottom w:val="0"/>
      <w:divBdr>
        <w:top w:val="none" w:sz="0" w:space="0" w:color="auto"/>
        <w:left w:val="none" w:sz="0" w:space="0" w:color="auto"/>
        <w:bottom w:val="none" w:sz="0" w:space="0" w:color="auto"/>
        <w:right w:val="none" w:sz="0" w:space="0" w:color="auto"/>
      </w:divBdr>
    </w:div>
    <w:div w:id="1614480854">
      <w:bodyDiv w:val="1"/>
      <w:marLeft w:val="0"/>
      <w:marRight w:val="0"/>
      <w:marTop w:val="0"/>
      <w:marBottom w:val="0"/>
      <w:divBdr>
        <w:top w:val="none" w:sz="0" w:space="0" w:color="auto"/>
        <w:left w:val="none" w:sz="0" w:space="0" w:color="auto"/>
        <w:bottom w:val="none" w:sz="0" w:space="0" w:color="auto"/>
        <w:right w:val="none" w:sz="0" w:space="0" w:color="auto"/>
      </w:divBdr>
    </w:div>
    <w:div w:id="161540515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67434824">
      <w:bodyDiv w:val="1"/>
      <w:marLeft w:val="0"/>
      <w:marRight w:val="0"/>
      <w:marTop w:val="0"/>
      <w:marBottom w:val="0"/>
      <w:divBdr>
        <w:top w:val="none" w:sz="0" w:space="0" w:color="auto"/>
        <w:left w:val="none" w:sz="0" w:space="0" w:color="auto"/>
        <w:bottom w:val="none" w:sz="0" w:space="0" w:color="auto"/>
        <w:right w:val="none" w:sz="0" w:space="0" w:color="auto"/>
      </w:divBdr>
    </w:div>
    <w:div w:id="1702778824">
      <w:bodyDiv w:val="1"/>
      <w:marLeft w:val="0"/>
      <w:marRight w:val="0"/>
      <w:marTop w:val="0"/>
      <w:marBottom w:val="0"/>
      <w:divBdr>
        <w:top w:val="none" w:sz="0" w:space="0" w:color="auto"/>
        <w:left w:val="none" w:sz="0" w:space="0" w:color="auto"/>
        <w:bottom w:val="none" w:sz="0" w:space="0" w:color="auto"/>
        <w:right w:val="none" w:sz="0" w:space="0" w:color="auto"/>
      </w:divBdr>
    </w:div>
    <w:div w:id="1711150775">
      <w:bodyDiv w:val="1"/>
      <w:marLeft w:val="0"/>
      <w:marRight w:val="0"/>
      <w:marTop w:val="0"/>
      <w:marBottom w:val="0"/>
      <w:divBdr>
        <w:top w:val="none" w:sz="0" w:space="0" w:color="auto"/>
        <w:left w:val="none" w:sz="0" w:space="0" w:color="auto"/>
        <w:bottom w:val="none" w:sz="0" w:space="0" w:color="auto"/>
        <w:right w:val="none" w:sz="0" w:space="0" w:color="auto"/>
      </w:divBdr>
    </w:div>
    <w:div w:id="1712919560">
      <w:bodyDiv w:val="1"/>
      <w:marLeft w:val="0"/>
      <w:marRight w:val="0"/>
      <w:marTop w:val="0"/>
      <w:marBottom w:val="0"/>
      <w:divBdr>
        <w:top w:val="none" w:sz="0" w:space="0" w:color="auto"/>
        <w:left w:val="none" w:sz="0" w:space="0" w:color="auto"/>
        <w:bottom w:val="none" w:sz="0" w:space="0" w:color="auto"/>
        <w:right w:val="none" w:sz="0" w:space="0" w:color="auto"/>
      </w:divBdr>
    </w:div>
    <w:div w:id="1722053332">
      <w:bodyDiv w:val="1"/>
      <w:marLeft w:val="0"/>
      <w:marRight w:val="0"/>
      <w:marTop w:val="0"/>
      <w:marBottom w:val="0"/>
      <w:divBdr>
        <w:top w:val="none" w:sz="0" w:space="0" w:color="auto"/>
        <w:left w:val="none" w:sz="0" w:space="0" w:color="auto"/>
        <w:bottom w:val="none" w:sz="0" w:space="0" w:color="auto"/>
        <w:right w:val="none" w:sz="0" w:space="0" w:color="auto"/>
      </w:divBdr>
    </w:div>
    <w:div w:id="1732196491">
      <w:bodyDiv w:val="1"/>
      <w:marLeft w:val="0"/>
      <w:marRight w:val="0"/>
      <w:marTop w:val="0"/>
      <w:marBottom w:val="0"/>
      <w:divBdr>
        <w:top w:val="none" w:sz="0" w:space="0" w:color="auto"/>
        <w:left w:val="none" w:sz="0" w:space="0" w:color="auto"/>
        <w:bottom w:val="none" w:sz="0" w:space="0" w:color="auto"/>
        <w:right w:val="none" w:sz="0" w:space="0" w:color="auto"/>
      </w:divBdr>
    </w:div>
    <w:div w:id="1827472093">
      <w:bodyDiv w:val="1"/>
      <w:marLeft w:val="0"/>
      <w:marRight w:val="0"/>
      <w:marTop w:val="0"/>
      <w:marBottom w:val="0"/>
      <w:divBdr>
        <w:top w:val="none" w:sz="0" w:space="0" w:color="auto"/>
        <w:left w:val="none" w:sz="0" w:space="0" w:color="auto"/>
        <w:bottom w:val="none" w:sz="0" w:space="0" w:color="auto"/>
        <w:right w:val="none" w:sz="0" w:space="0" w:color="auto"/>
      </w:divBdr>
    </w:div>
    <w:div w:id="1992438853">
      <w:bodyDiv w:val="1"/>
      <w:marLeft w:val="0"/>
      <w:marRight w:val="0"/>
      <w:marTop w:val="0"/>
      <w:marBottom w:val="0"/>
      <w:divBdr>
        <w:top w:val="none" w:sz="0" w:space="0" w:color="auto"/>
        <w:left w:val="none" w:sz="0" w:space="0" w:color="auto"/>
        <w:bottom w:val="none" w:sz="0" w:space="0" w:color="auto"/>
        <w:right w:val="none" w:sz="0" w:space="0" w:color="auto"/>
      </w:divBdr>
    </w:div>
    <w:div w:id="2013873495">
      <w:bodyDiv w:val="1"/>
      <w:marLeft w:val="0"/>
      <w:marRight w:val="0"/>
      <w:marTop w:val="0"/>
      <w:marBottom w:val="0"/>
      <w:divBdr>
        <w:top w:val="none" w:sz="0" w:space="0" w:color="auto"/>
        <w:left w:val="none" w:sz="0" w:space="0" w:color="auto"/>
        <w:bottom w:val="none" w:sz="0" w:space="0" w:color="auto"/>
        <w:right w:val="none" w:sz="0" w:space="0" w:color="auto"/>
      </w:divBdr>
    </w:div>
    <w:div w:id="2060400230">
      <w:bodyDiv w:val="1"/>
      <w:marLeft w:val="0"/>
      <w:marRight w:val="0"/>
      <w:marTop w:val="0"/>
      <w:marBottom w:val="0"/>
      <w:divBdr>
        <w:top w:val="none" w:sz="0" w:space="0" w:color="auto"/>
        <w:left w:val="none" w:sz="0" w:space="0" w:color="auto"/>
        <w:bottom w:val="none" w:sz="0" w:space="0" w:color="auto"/>
        <w:right w:val="none" w:sz="0" w:space="0" w:color="auto"/>
      </w:divBdr>
    </w:div>
    <w:div w:id="2090930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Eur24</b:Tag>
    <b:SourceType>InternetSite</b:SourceType>
    <b:Guid>{6C0A7D34-33A3-EB4F-AAB7-D7608DD1967A}</b:Guid>
    <b:Author>
      <b:Author>
        <b:NameList>
          <b:Person>
            <b:Last>Union</b:Last>
            <b:First>European</b:First>
          </b:Person>
        </b:NameList>
      </b:Author>
    </b:Author>
    <b:Title>Accidents at work - statistics on causes and circumstances</b:Title>
    <b:URL>https://ec.europa.eu/eurostat/statistics-explained/index.php?title=Accidents_at_work_-_statistics_on_causes_and_circumstances</b:URL>
    <b:ProductionCompany>eurostat</b:ProductionCompany>
    <b:Year>2024</b:Year>
    <b:Month>November</b:Month>
    <b:YearAccessed>2025</b:YearAccessed>
    <b:MonthAccessed>July</b:MonthAccessed>
    <b:DayAccessed>17</b:DayAccessed>
    <b:RefOrder>1</b:RefOrder>
  </b:Source>
  <b:Source>
    <b:Tag>Hea22</b:Tag>
    <b:SourceType>InternetSite</b:SourceType>
    <b:Guid>{10F2CFF9-8665-2342-97DD-15F0FFB4C522}</b:Guid>
    <b:Author>
      <b:Author>
        <b:Corporate>Health and Safety Executive</b:Corporate>
      </b:Author>
    </b:Author>
    <b:Title>Personal protective equipment (PPE) at work regulations from 6 April 2022</b:Title>
    <b:URL>https://www.hse.gov.uk/ppe/ppe-regulations-2022.htm</b:URL>
    <b:ProductionCompany>HSE</b:ProductionCompany>
    <b:Year>2022</b:Year>
    <b:Month>April</b:Month>
    <b:YearAccessed>2025</b:YearAccessed>
    <b:MonthAccessed>July</b:MonthAccessed>
    <b:DayAccessed>17</b:DayAccessed>
    <b:RefOrder>4</b:RefOrder>
  </b:Source>
  <b:Source>
    <b:Tag>Cos24</b:Tag>
    <b:SourceType>InternetSite</b:SourceType>
    <b:Guid>{57AD57AF-39FA-A846-B3B9-40A363FA3A60}</b:Guid>
    <b:Title>A guide to LOLER: Lifting Operations and Lifting Equipment Regulations</b:Title>
    <b:URL>https://www.worksafe.uk.com/manual-handling/a-guide-to-loler-lifting-operations-and-lifting-equipment-regulations/#:~:text=LOLER%20stands%20for%20Lifting%20Operations%20and%20Lifting%20Equipment,the%20Health%20and%20Safety%20at%20Work%20Act%20%28HSWA%29.</b:URL>
    <b:ProductionCompany>WORKSAFE UK</b:ProductionCompany>
    <b:Year>2024</b:Year>
    <b:Month>April</b:Month>
    <b:Day>05</b:Day>
    <b:YearAccessed>2025</b:YearAccessed>
    <b:MonthAccessed>July</b:MonthAccessed>
    <b:DayAccessed>17</b:DayAccessed>
    <b:Author>
      <b:Author>
        <b:NameList>
          <b:Person>
            <b:Last>Coster</b:Last>
            <b:First>P</b:First>
          </b:Person>
        </b:NameList>
      </b:Author>
    </b:Author>
    <b:RefOrder>5</b:RefOrder>
  </b:Source>
  <b:Source>
    <b:Tag>Heawn</b:Tag>
    <b:SourceType>InternetSite</b:SourceType>
    <b:Guid>{311CD298-2FD7-764D-A150-3D631D1DF537}</b:Guid>
    <b:Author>
      <b:Author>
        <b:Corporate>Health and Safety Executive</b:Corporate>
      </b:Author>
    </b:Author>
    <b:Title>Provision and Use of Work Equipment Regulations 1998 (PUWER)</b:Title>
    <b:URL>https://www.hse.gov.uk/work-equipment-machinery/puwer.htm</b:URL>
    <b:ProductionCompany>HSE</b:ProductionCompany>
    <b:Year>Unknown</b:Year>
    <b:YearAccessed>2025</b:YearAccessed>
    <b:MonthAccessed>July</b:MonthAccessed>
    <b:DayAccessed>17</b:DayAccessed>
    <b:RefOrder>7</b:RefOrder>
  </b:Source>
  <b:Source>
    <b:Tag>ISO15</b:Tag>
    <b:SourceType>InternetSite</b:SourceType>
    <b:Guid>{ACC88AC4-AC0B-E946-BC29-F55DB078AB4B}</b:Guid>
    <b:Title>ISO 14001:2015 </b:Title>
    <b:URL>https://www.iso.org/standard/60857.html#:~:text=What%20is%20ISO%2014001?,continually%20improve%20their%20environmental%20performance.</b:URL>
    <b:ProductionCompany>ISO</b:ProductionCompany>
    <b:Year>2015</b:Year>
    <b:YearAccessed>2025</b:YearAccessed>
    <b:MonthAccessed>July</b:MonthAccessed>
    <b:DayAccessed>17</b:DayAccessed>
    <b:RefOrder>8</b:RefOrder>
  </b:Source>
  <b:Source>
    <b:Tag>Guiwn</b:Tag>
    <b:SourceType>DocumentFromInternetSite</b:SourceType>
    <b:Guid>{3CD92285-5449-0B4F-90E3-8F6B7F32ED2F}</b:Guid>
    <b:Title>Guidance on ALARP Decisions in COMAH</b:Title>
    <b:URL>https://www.hse.gov.uk/foi/internalops/hid_circs/permissioning/spc_perm_37/</b:URL>
    <b:ProductionCompany>Health and Saftey Executive</b:ProductionCompany>
    <b:Year>Unknown</b:Year>
    <b:YearAccessed>2025</b:YearAccessed>
    <b:MonthAccessed>July</b:MonthAccessed>
    <b:DayAccessed>17</b:DayAccessed>
    <b:RefOrder>9</b:RefOrder>
  </b:Source>
  <b:Source>
    <b:Tag>Def24</b:Tag>
    <b:SourceType>DocumentFromInternetSite</b:SourceType>
    <b:Guid>{E854D505-7013-6342-A725-564619F3D14D}</b:Guid>
    <b:Author>
      <b:Author>
        <b:Corporate>Defence Safety Authority</b:Corporate>
      </b:Author>
    </b:Author>
    <b:Title>DSA 03.OME Part 1: Defence Code of Practice (DCOP) 101</b:Title>
    <b:URL>https://assets.publishing.service.gov.uk/media/674f32ea26364a399a991b02/DSA_03.OME_Part_1_DCOP_101_-_OME_Design_Requirements.pdf</b:URL>
    <b:Year>2024</b:Year>
    <b:Month>November</b:Month>
    <b:YearAccessed>2025</b:YearAccessed>
    <b:MonthAccessed>July</b:MonthAccessed>
    <b:DayAccessed>17</b:DayAccessed>
    <b:RefOrder>2</b:RefOrder>
  </b:Source>
  <b:Source>
    <b:Tag>Min241</b:Tag>
    <b:SourceType>DocumentFromInternetSite</b:SourceType>
    <b:Guid>{1EC36910-741B-BA40-99A7-18658CAF0047}</b:Guid>
    <b:Author>
      <b:Author>
        <b:Corporate>Ministry of Defence</b:Corporate>
      </b:Author>
    </b:Author>
    <b:Title>JSP 975: MoD Lifting Policy</b:Title>
    <b:URL>https://modgovuk.sharepoint.com/sites/IntranetHeadOffice/SitePages/JSP-975.aspx</b:URL>
    <b:Year>2024</b:Year>
    <b:Month>March</b:Month>
    <b:YearAccessed>2025</b:YearAccessed>
    <b:MonthAccessed>July</b:MonthAccessed>
    <b:DayAccessed>17</b:DayAccessed>
    <b:RefOrder>6</b:RefOrder>
  </b:Source>
  <b:Source>
    <b:Tag>Min24</b:Tag>
    <b:SourceType>DocumentFromInternetSite</b:SourceType>
    <b:Guid>{838146FF-B166-154C-99C7-62CFAF04C11B}</b:Guid>
    <b:Author>
      <b:Author>
        <b:Corporate>Ministry of Defence</b:Corporate>
      </b:Author>
    </b:Author>
    <b:Title>Defence Training &amp; Education Guides</b:Title>
    <b:URL>https://modgovuk.sharepoint.com/sites/people-tesrr-policy</b:URL>
    <b:Year>2024</b:Year>
    <b:Month>February</b:Month>
    <b:YearAccessed>2025</b:YearAccessed>
    <b:MonthAccessed>July</b:MonthAccessed>
    <b:DayAccessed>17</b:DayAccessed>
    <b:RefOrder>3</b:RefOrder>
  </b:Source>
</b:Sourc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CC167FFA-2A62-D44B-BB96-9AAFD5CC9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19</Pages>
  <Words>2934</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19619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Matt Claridge (2309516)</cp:lastModifiedBy>
  <cp:revision>271</cp:revision>
  <dcterms:created xsi:type="dcterms:W3CDTF">2025-07-17T20:26:00Z</dcterms:created>
  <dcterms:modified xsi:type="dcterms:W3CDTF">2025-07-18T13:13:00Z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