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D0E58C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001ED">
              <w:rPr>
                <w:rFonts w:ascii="Times New Roman" w:hAnsi="Times New Roman" w:cs="Times New Roman"/>
                <w:b/>
                <w:color w:val="auto"/>
                <w:sz w:val="48"/>
              </w:rPr>
              <w:t>Jason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4969AD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001ED">
              <w:rPr>
                <w:rFonts w:ascii="Times New Roman" w:hAnsi="Times New Roman" w:cs="Times New Roman"/>
                <w:b/>
                <w:color w:val="auto"/>
                <w:sz w:val="48"/>
              </w:rPr>
              <w:t xml:space="preserve"> Jason.evans@swansea.gov.uk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343048F" w:rsidR="00F927A1" w:rsidRPr="00196897" w:rsidRDefault="0085230E" w:rsidP="005D3F07">
            <w:pPr>
              <w:overflowPunct/>
              <w:autoSpaceDE/>
              <w:autoSpaceDN/>
              <w:adjustRightInd/>
              <w:ind w:right="-957"/>
              <w:textAlignment w:val="auto"/>
              <w:rPr>
                <w:rFonts w:ascii="Times New Roman" w:hAnsi="Times New Roman" w:cs="Times New Roman"/>
                <w:b/>
                <w:color w:val="auto"/>
                <w:sz w:val="28"/>
                <w:szCs w:val="10"/>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96897">
              <w:rPr>
                <w:rFonts w:ascii="Times New Roman" w:hAnsi="Times New Roman" w:cs="Times New Roman"/>
                <w:b/>
                <w:color w:val="auto"/>
                <w:sz w:val="48"/>
              </w:rPr>
              <w:t xml:space="preserve"> </w:t>
            </w:r>
            <w:r w:rsidR="00196897" w:rsidRPr="00196897">
              <w:rPr>
                <w:rFonts w:ascii="Times New Roman" w:hAnsi="Times New Roman" w:cs="Times New Roman"/>
                <w:b/>
                <w:color w:val="auto"/>
                <w:sz w:val="28"/>
                <w:szCs w:val="10"/>
              </w:rPr>
              <w:t>2417659</w:t>
            </w:r>
          </w:p>
          <w:p w14:paraId="622FD17A" w14:textId="77777777" w:rsidR="0085230E" w:rsidRPr="00196897" w:rsidRDefault="0085230E" w:rsidP="005D3F07">
            <w:pPr>
              <w:overflowPunct/>
              <w:autoSpaceDE/>
              <w:autoSpaceDN/>
              <w:adjustRightInd/>
              <w:ind w:right="-957"/>
              <w:textAlignment w:val="auto"/>
              <w:rPr>
                <w:rFonts w:ascii="Times New Roman" w:hAnsi="Times New Roman" w:cs="Times New Roman"/>
                <w:b/>
                <w:color w:val="auto"/>
                <w:sz w:val="28"/>
                <w:szCs w:val="10"/>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1A4E3C19" w14:textId="77777777" w:rsidR="00B01434" w:rsidRPr="00071F90" w:rsidRDefault="00B01434" w:rsidP="00B01434">
            <w:pPr>
              <w:spacing w:after="160" w:line="360" w:lineRule="auto"/>
              <w:rPr>
                <w:sz w:val="24"/>
                <w:szCs w:val="24"/>
              </w:rPr>
            </w:pPr>
            <w:r w:rsidRPr="00071F90">
              <w:rPr>
                <w:sz w:val="24"/>
                <w:szCs w:val="24"/>
              </w:rPr>
              <w:t>Safeguarding children is widely recognised as one of the most ethically challenging and emotionally demanding responsibilities within social work practice. It requires practitioners to make decisions that can significantly alter the lives of children and families, often under conditions of uncertainty and emotional distress. As a newly qualified social worker, I was allocated a case involving two male siblings, referred to  as Child 1 and Child 2, who were placed out of county under a full care order. The pair were residing with agency foster carers, referred to as Carers 3 and 4. This reflection explores the safeguarding concerns that emerged during this placement and examines the legislative, procedural, and theoretical frameworks that shaped and guided my practice throughout the intervention.</w:t>
            </w:r>
          </w:p>
          <w:p w14:paraId="4664460D" w14:textId="77777777" w:rsidR="00B01434" w:rsidRPr="00071F90" w:rsidRDefault="00B01434" w:rsidP="00B01434">
            <w:pPr>
              <w:spacing w:after="160" w:line="360" w:lineRule="auto"/>
              <w:rPr>
                <w:sz w:val="24"/>
                <w:szCs w:val="24"/>
              </w:rPr>
            </w:pPr>
            <w:r w:rsidRPr="00071F90">
              <w:rPr>
                <w:sz w:val="24"/>
                <w:szCs w:val="24"/>
              </w:rPr>
              <w:t xml:space="preserve">The safeguarding concerns in this case were triggered during transportation home from a supervised family time contact session. During the journey, Child 1 disclosed to a support worker that the foster carers had physically prevented him from accessing the stairs, including an incident where one carer sat on him. He also described the carers as being </w:t>
            </w:r>
            <w:r w:rsidRPr="00071F90">
              <w:rPr>
                <w:sz w:val="24"/>
                <w:szCs w:val="24"/>
              </w:rPr>
              <w:lastRenderedPageBreak/>
              <w:t>“mean” to his brother. This disclosure raised immediate concerns regarding the emotional and physical safety of both children within the placement.</w:t>
            </w:r>
          </w:p>
          <w:p w14:paraId="0FE038B1" w14:textId="77777777" w:rsidR="00B01434" w:rsidRPr="00071F90" w:rsidRDefault="00B01434" w:rsidP="00B01434">
            <w:pPr>
              <w:spacing w:after="160" w:line="360" w:lineRule="auto"/>
              <w:rPr>
                <w:sz w:val="24"/>
                <w:szCs w:val="24"/>
              </w:rPr>
            </w:pPr>
            <w:r w:rsidRPr="00071F90">
              <w:rPr>
                <w:sz w:val="24"/>
                <w:szCs w:val="24"/>
              </w:rPr>
              <w:t>Foster care plays a pivotal role in the child protection system, offering children who cannot safely remain with their birth families a temporary but nurturing environment. Under Section 22 of the Children Act 1989, local authorities assume overarching parental responsibility for children in care, with a statutory duty to safeguard and promote their welfare. This duty is further reinforced by the Social Services and Well-being (Wales) Act 2014, which places the well-being of children at the centre of all decision-making processes and promotes a rights-based, person-centred approach to care and support.</w:t>
            </w:r>
          </w:p>
          <w:p w14:paraId="27EB9B38" w14:textId="77777777" w:rsidR="00B01434" w:rsidRPr="00071F90" w:rsidRDefault="00B01434" w:rsidP="00B01434">
            <w:pPr>
              <w:spacing w:after="160" w:line="360" w:lineRule="auto"/>
              <w:rPr>
                <w:sz w:val="24"/>
                <w:szCs w:val="24"/>
              </w:rPr>
            </w:pPr>
            <w:r w:rsidRPr="00071F90">
              <w:rPr>
                <w:sz w:val="24"/>
                <w:szCs w:val="24"/>
              </w:rPr>
              <w:t>Together, the Children Acts 1989 and 2004, alongside the Social Services and Well-being (Wales) Act 2014, form the cornerstone of safeguarding legislation in Wales. These Acts enshrine the principle that the welfare of the child is paramount and that safeguarding is a shared responsibility across all agencies involved in a child’s life. This principle is operationalised through the All Wales Child Protection Procedures (2008), which provide clear and structured guidance on how professionals should identify, report, and respond to suspected abuse or neglect. These procedures emphasise that all practitioners have a duty to act when concerns arise and outline the processes for investigation, assessment, and decision-making.</w:t>
            </w:r>
          </w:p>
          <w:p w14:paraId="14AE80AC" w14:textId="77777777" w:rsidR="00B01434" w:rsidRPr="00071F90" w:rsidRDefault="00B01434" w:rsidP="00B01434">
            <w:pPr>
              <w:spacing w:after="160" w:line="360" w:lineRule="auto"/>
              <w:rPr>
                <w:sz w:val="24"/>
                <w:szCs w:val="24"/>
              </w:rPr>
            </w:pPr>
            <w:r w:rsidRPr="00071F90">
              <w:rPr>
                <w:sz w:val="24"/>
                <w:szCs w:val="24"/>
              </w:rPr>
              <w:t>Following the disclosure, I immediately sought guidance from my practice lead and raised the need for a strategy meeting. This meeting, convened under the principles of Working Together to Safeguard Children (2018), involved a multi-agency approach to share information, assess risk, and determine whether a Section 47 enquiry should be initiated. Strategy meetings are a critical decision-making forum in safeguarding practice, enabling professionals from different agencies to collaborate and ensure that decisions are informed, proportionate, and child-centred.</w:t>
            </w:r>
          </w:p>
          <w:p w14:paraId="058B0B59" w14:textId="77777777" w:rsidR="00B01434" w:rsidRPr="00071F90" w:rsidRDefault="00B01434" w:rsidP="00B01434">
            <w:pPr>
              <w:spacing w:after="160" w:line="360" w:lineRule="auto"/>
              <w:rPr>
                <w:sz w:val="24"/>
                <w:szCs w:val="24"/>
              </w:rPr>
            </w:pPr>
            <w:r w:rsidRPr="00071F90">
              <w:rPr>
                <w:sz w:val="24"/>
                <w:szCs w:val="24"/>
              </w:rPr>
              <w:t xml:space="preserve">The ethical complexity of this case lay in balancing the imperative to protect the children with the potential emotional impact of disrupting their placement. Bowlby’s Attachment Theory (1969) highlights the importance of consistent and secure relationships for children’s emotional development. Removing children from a placement even, when necessary, can </w:t>
            </w:r>
            <w:r w:rsidRPr="00071F90">
              <w:rPr>
                <w:sz w:val="24"/>
                <w:szCs w:val="24"/>
              </w:rPr>
              <w:lastRenderedPageBreak/>
              <w:t>have profound psychological consequences, including feelings of loss, instability, and mistrust. However, when safeguarding concerns are substantiated, the duty to protect must take precedence. In this instance, the disclosures indicated a pattern of behaviour that was emotionally and physically harmful, warranting immediate intervention.</w:t>
            </w:r>
          </w:p>
          <w:p w14:paraId="423F0609" w14:textId="77777777" w:rsidR="00B01434" w:rsidRPr="00071F90" w:rsidRDefault="00B01434" w:rsidP="00B01434">
            <w:pPr>
              <w:spacing w:after="160" w:line="360" w:lineRule="auto"/>
              <w:rPr>
                <w:sz w:val="24"/>
                <w:szCs w:val="24"/>
              </w:rPr>
            </w:pPr>
            <w:r w:rsidRPr="00071F90">
              <w:rPr>
                <w:sz w:val="24"/>
                <w:szCs w:val="24"/>
              </w:rPr>
              <w:t>Following the strategy meeting, and in accordance with safeguarding procedures, the decision was made to initiate a Section 47 enquiry under the Children Act 1989. This legal provision empowers local authorities to investigate if a child is suspected to be suffering, or likely to suffer, significant harm. It was agreed that the Section 47 visit would be conducted jointly with the police and a senior social worker from my team, both to ensure procedural compliance and to provide me with professional support as a newly qualified practitioner.</w:t>
            </w:r>
          </w:p>
          <w:p w14:paraId="06D763A9" w14:textId="77777777" w:rsidR="00B01434" w:rsidRPr="00071F90" w:rsidRDefault="00B01434" w:rsidP="00B01434">
            <w:pPr>
              <w:spacing w:after="160" w:line="360" w:lineRule="auto"/>
              <w:rPr>
                <w:sz w:val="24"/>
                <w:szCs w:val="24"/>
              </w:rPr>
            </w:pPr>
            <w:r w:rsidRPr="00071F90">
              <w:rPr>
                <w:sz w:val="24"/>
                <w:szCs w:val="24"/>
              </w:rPr>
              <w:t>This case presented significant challenges for me, both professionally and emotionally. It required me to navigate complex emotional, remain professionally curious, and critically reflect on my own assumptions and observations. Prior to the disclosure, my visits to the placement had not raised any concerns, with both children appeared settled and content. However, during a supervision session following the disclosure, I reflected on Goffman’s theory of impression management, which suggests that individuals may present themselves in ways that conceal distress, particularly in environments where power dynamics are present. This theory helped me understand how children might mask their discomfort or fear in order to maintain a sense of normalcy or avoid repercussions. It reinforced the importance of creating safe, trusting relationships where children feel empowered to disclose their experiences.</w:t>
            </w:r>
          </w:p>
          <w:p w14:paraId="1016FC73" w14:textId="77777777" w:rsidR="00B01434" w:rsidRPr="00071F90" w:rsidRDefault="00B01434" w:rsidP="00B01434">
            <w:pPr>
              <w:spacing w:after="160" w:line="360" w:lineRule="auto"/>
              <w:rPr>
                <w:sz w:val="24"/>
                <w:szCs w:val="24"/>
              </w:rPr>
            </w:pPr>
            <w:r w:rsidRPr="00071F90">
              <w:rPr>
                <w:sz w:val="24"/>
                <w:szCs w:val="24"/>
              </w:rPr>
              <w:t>The case also highlighted the importance of trauma-informed practice. The foster carers’ responses to the children’s dysregulation, such as physically restraining them or removing lightbulbs, suggested a lack of understanding of trauma and its behavioural indicators. Effective foster care requires carers to respond with empathy, patience, and therapeutic strategies that support emotional regulation and healing. The absence of such approaches in this case contributed to the children’s distress and ultimately undermined the suitability of the placement.</w:t>
            </w:r>
          </w:p>
          <w:p w14:paraId="5CDF8824" w14:textId="77777777" w:rsidR="00B01434" w:rsidRPr="00071F90" w:rsidRDefault="00B01434" w:rsidP="00B01434">
            <w:pPr>
              <w:spacing w:after="160" w:line="360" w:lineRule="auto"/>
              <w:rPr>
                <w:sz w:val="24"/>
                <w:szCs w:val="24"/>
              </w:rPr>
            </w:pPr>
            <w:r w:rsidRPr="00071F90">
              <w:rPr>
                <w:sz w:val="24"/>
                <w:szCs w:val="24"/>
              </w:rPr>
              <w:lastRenderedPageBreak/>
              <w:t>While the decision to initiate a Section 47 enquiry was procedurally correct, it was also personally significant for me. I felt a strong sense of responsibility to ensure that the process was handled with integrity and that the children’s voices were correctly represented. This aligns with Brammer (2010), who emphasises that social workers must have a sound understanding of legal frameworks, duties, and powers to guide ethical and effective practice. I was highly aware that the information I gathered and recorded would inform critical safeguarding decisions and influence future professional interventions. Ensuring that Child 1 and Child 2’s voices were heard through my documentation became a central focus of my practice.</w:t>
            </w:r>
          </w:p>
          <w:p w14:paraId="0676A80B" w14:textId="77777777" w:rsidR="00B01434" w:rsidRPr="00071F90" w:rsidRDefault="00B01434" w:rsidP="00B01434">
            <w:pPr>
              <w:spacing w:after="160" w:line="360" w:lineRule="auto"/>
              <w:rPr>
                <w:sz w:val="24"/>
                <w:szCs w:val="24"/>
              </w:rPr>
            </w:pPr>
            <w:r w:rsidRPr="00071F90">
              <w:rPr>
                <w:sz w:val="24"/>
                <w:szCs w:val="24"/>
              </w:rPr>
              <w:t>Undertaking this aspect of the invesitgation highlighted the importance of multi-agency communication and collaboration. Numerous Serious Case Reviews (Laming, 2009; Welsh Government, 2014; SCW, 2002, 2011) have demonstrated how failures in communication and coordination can lead to missed opportunities to protect children. In this instance, the strategy meeting facilitated timely and coordinated action, demonstrating the value of robust safeguarding procedures and the effectiveness of collaborative working in promoting child welfare.</w:t>
            </w:r>
          </w:p>
          <w:p w14:paraId="1119751B" w14:textId="77777777" w:rsidR="00B01434" w:rsidRPr="00071F90" w:rsidRDefault="00B01434" w:rsidP="00B01434">
            <w:pPr>
              <w:spacing w:after="160" w:line="360" w:lineRule="auto"/>
              <w:rPr>
                <w:sz w:val="24"/>
                <w:szCs w:val="24"/>
              </w:rPr>
            </w:pPr>
            <w:r w:rsidRPr="00071F90">
              <w:rPr>
                <w:sz w:val="24"/>
                <w:szCs w:val="24"/>
              </w:rPr>
              <w:t>Applying Rolfe et al.’s (2001) reflective model, I considered how best to support Child 1 and Child 2 during the Section 47 enquiry. I was mindful of the emotional impact of disclosing abuse, particularly as it involved their foster carer and had been residing there for a prolong period of time and before my involvement. I reflected on how to create a safe and trusting environment for them to speak openly, and how to minimise further trauma, especially given the likelihood of another placement move.</w:t>
            </w:r>
          </w:p>
          <w:p w14:paraId="18AE4EC0" w14:textId="77777777" w:rsidR="00B01434" w:rsidRPr="00071F90" w:rsidRDefault="00B01434" w:rsidP="00B01434">
            <w:pPr>
              <w:spacing w:after="160" w:line="360" w:lineRule="auto"/>
              <w:rPr>
                <w:sz w:val="24"/>
                <w:szCs w:val="24"/>
              </w:rPr>
            </w:pPr>
            <w:r w:rsidRPr="00071F90">
              <w:rPr>
                <w:sz w:val="24"/>
                <w:szCs w:val="24"/>
              </w:rPr>
              <w:t>Research by Rubin et al. (2007) indicates that children who experience multiple placement disruptions are at increased risk of emotional and behavioural difficulties. While I was aware of this, I also recognised that safeguarding must take precedence. The potential harm of remaining in an unsafe placement outweighed the risks associated with disruption. This tension between protection and stability is a recurring ethical dilemma in child protection practice.</w:t>
            </w:r>
          </w:p>
          <w:p w14:paraId="720FC93B" w14:textId="77777777" w:rsidR="00B01434" w:rsidRPr="00071F90" w:rsidRDefault="00B01434" w:rsidP="00B01434">
            <w:pPr>
              <w:spacing w:after="160" w:line="360" w:lineRule="auto"/>
              <w:rPr>
                <w:sz w:val="24"/>
                <w:szCs w:val="24"/>
              </w:rPr>
            </w:pPr>
            <w:r w:rsidRPr="00071F90">
              <w:rPr>
                <w:sz w:val="24"/>
                <w:szCs w:val="24"/>
              </w:rPr>
              <w:lastRenderedPageBreak/>
              <w:br/>
              <w:t>During conversations with 1 and 2, I focused on adopting a child-centred approach, ensuring that Child 1 and Child 2 felt heard, respected, and safe. I adhere to the Article 12 of the UN Conventions of Rights of the Child, which affirms that children have the right to express their views in all matters affecting them. During the Section 47 enquiry, I used active listening and paraphrasing techniques to ensure their disclosures were accurately recorded and validated. I was conscious that this information would inform the multi-agency strategy meeting and the formal Section 47 documentation.</w:t>
            </w:r>
          </w:p>
          <w:p w14:paraId="62A7C016" w14:textId="77777777" w:rsidR="00B01434" w:rsidRPr="00071F90" w:rsidRDefault="00B01434" w:rsidP="00B01434">
            <w:pPr>
              <w:spacing w:line="360" w:lineRule="auto"/>
              <w:rPr>
                <w:sz w:val="24"/>
                <w:szCs w:val="24"/>
              </w:rPr>
            </w:pPr>
            <w:r w:rsidRPr="00071F90">
              <w:rPr>
                <w:sz w:val="24"/>
                <w:szCs w:val="24"/>
              </w:rPr>
              <w:t>During the conversation 1 described the environment as highly controlled and likened it to “an Army Camp,” citing frequent shouting and rigid routines. 2 also disclosed that 3 had grabbed him by the arms and shaken him, and that 4 had physically restrained him by sitting on top of him. Furthermore, 2 also expressed that 3 had removed the lightbulb from 1 room during a period of dysregulation, to attempt him to calm down.</w:t>
            </w:r>
          </w:p>
          <w:p w14:paraId="5880FC4F" w14:textId="77777777" w:rsidR="00B01434" w:rsidRPr="00071F90" w:rsidRDefault="00B01434" w:rsidP="00B01434">
            <w:pPr>
              <w:spacing w:line="360" w:lineRule="auto"/>
              <w:rPr>
                <w:sz w:val="24"/>
                <w:szCs w:val="24"/>
              </w:rPr>
            </w:pPr>
            <w:r w:rsidRPr="00071F90">
              <w:rPr>
                <w:sz w:val="24"/>
                <w:szCs w:val="24"/>
              </w:rPr>
              <w:t>1 and 2 disclosures were identical, with both expressing that they felt they were treated differently compared to the carers’ own adult children. This perception of inequality and exclusion appeared to contribute to their overall sense of distress and lack of belonging in the placement.</w:t>
            </w:r>
          </w:p>
          <w:p w14:paraId="675C4740" w14:textId="77777777" w:rsidR="00B01434" w:rsidRPr="00071F90" w:rsidRDefault="00B01434" w:rsidP="00B01434">
            <w:pPr>
              <w:spacing w:after="160" w:line="360" w:lineRule="auto"/>
              <w:rPr>
                <w:sz w:val="24"/>
                <w:szCs w:val="24"/>
              </w:rPr>
            </w:pPr>
            <w:r w:rsidRPr="00071F90">
              <w:rPr>
                <w:sz w:val="24"/>
                <w:szCs w:val="24"/>
              </w:rPr>
              <w:t>These disclosures reinforced the importance of trauma-informed practice. The carers’ responses appeared to lack empathy and understanding of the children’s emotional needs, suggesting a failure to provide a nurturing and therapeutic environment. This aligns with the definition of neglect under the Wales Safeguarding Procedures (2019), which includes the failure to meet a child’s emotional and psychological needs.</w:t>
            </w:r>
          </w:p>
          <w:p w14:paraId="5A26594F" w14:textId="77777777" w:rsidR="00B01434" w:rsidRPr="00071F90" w:rsidRDefault="00B01434" w:rsidP="00B01434">
            <w:pPr>
              <w:spacing w:after="160" w:line="360" w:lineRule="auto"/>
              <w:rPr>
                <w:sz w:val="24"/>
                <w:szCs w:val="24"/>
              </w:rPr>
            </w:pPr>
            <w:r w:rsidRPr="00071F90">
              <w:rPr>
                <w:sz w:val="24"/>
                <w:szCs w:val="24"/>
              </w:rPr>
              <w:t>In reflecting on this experience, I recognise the importance of professional curiosity, emotional resilience, and reflective practice. I was challenged to confront my own assumptions, particularly as previous visits to the placement had not raised concerns. This highlights the need to remain vigilant and open to the possibility that children may not disclose abuse until they feel safe and ready.</w:t>
            </w:r>
          </w:p>
          <w:p w14:paraId="0C3D1D98" w14:textId="77777777" w:rsidR="00B01434" w:rsidRPr="00071F90" w:rsidRDefault="00B01434" w:rsidP="00B01434">
            <w:pPr>
              <w:spacing w:after="160" w:line="360" w:lineRule="auto"/>
              <w:rPr>
                <w:sz w:val="24"/>
                <w:szCs w:val="24"/>
              </w:rPr>
            </w:pPr>
            <w:r w:rsidRPr="00071F90">
              <w:rPr>
                <w:sz w:val="24"/>
                <w:szCs w:val="24"/>
              </w:rPr>
              <w:t xml:space="preserve">Receiving the disclosures from Child 1 and Child 2 was emotionally challenging. During previous visits to the placement, both children had appeared settled, cheerful, and engaged. There had been no visible signs of distress or concern. This difference prompted me to </w:t>
            </w:r>
            <w:r w:rsidRPr="00071F90">
              <w:rPr>
                <w:sz w:val="24"/>
                <w:szCs w:val="24"/>
              </w:rPr>
              <w:lastRenderedPageBreak/>
              <w:t>reflect on the psychological mechanisms children may use to mask distress, particularly in environments where they may not feel safe to disclose. Goffman’s theory of impression management offers insight here, suggesting that individuals often present themselves in ways that conform to expected norms, especially when under observation or in hierarchical relationships. It is possible that 1 and 2 had not felt emotionally safe enough to disclose their experiences until they were away from the placement and in the presence of a trusted adult.</w:t>
            </w:r>
          </w:p>
          <w:p w14:paraId="1FA5074B" w14:textId="77777777" w:rsidR="00B01434" w:rsidRPr="00071F90" w:rsidRDefault="00B01434" w:rsidP="00B01434">
            <w:pPr>
              <w:spacing w:after="160" w:line="360" w:lineRule="auto"/>
              <w:rPr>
                <w:sz w:val="24"/>
                <w:szCs w:val="24"/>
              </w:rPr>
            </w:pPr>
            <w:r w:rsidRPr="00071F90">
              <w:rPr>
                <w:sz w:val="24"/>
                <w:szCs w:val="24"/>
              </w:rPr>
              <w:t>Following the disclosures, and while the Section 47 enquiry was underway, a Multi-Agency Ref a Multi-Agency Referral Form (MARF) was completed. This form is used to provide information to children’s services for decisions regarding a child’s needs or protections. This MARF and the information provided by the section 47 investigation, resulted in a Professional Abuse Strategy Meeting (PASM) being convened to assess the allegations, coordinate the investigation and consider the carers’ s suitability to continue working with children.</w:t>
            </w:r>
          </w:p>
          <w:p w14:paraId="19158F22" w14:textId="77777777" w:rsidR="00B01434" w:rsidRPr="00071F90" w:rsidRDefault="00B01434" w:rsidP="00B01434">
            <w:pPr>
              <w:spacing w:after="160" w:line="360" w:lineRule="auto"/>
              <w:rPr>
                <w:sz w:val="24"/>
                <w:szCs w:val="24"/>
              </w:rPr>
            </w:pPr>
            <w:r w:rsidRPr="00071F90">
              <w:rPr>
                <w:sz w:val="24"/>
                <w:szCs w:val="24"/>
              </w:rPr>
              <w:t>However, following all the information provided, it was agreed that 1 and 2 should be removed from the placement with immediate effect. The decision was made in line with safeguarding legislation, including Section 47 of the Children Act 1989, Article 19 of the UNCRC, and the Wales Safeguarding Procedures (2019). These frameworks collectively emphasise the duty to protect children from all forms of abuse, neglect, and harm. However, the decision also required careful ethical consideration. Bowlby’s Attachment Theory (1969) highlights the importance of consistent and nurturing relationships for healthy emotional development. Disrupting a placement can have significant psychological consequences, including feelings of instability and loss. Therefore, the decision to remove the children had to balance the need for immediate protection with the potential emotional impact of placement disruption.</w:t>
            </w:r>
          </w:p>
          <w:p w14:paraId="6B20B862" w14:textId="77777777" w:rsidR="00B01434" w:rsidRPr="00071F90" w:rsidRDefault="00B01434" w:rsidP="00B01434">
            <w:pPr>
              <w:spacing w:after="160" w:line="360" w:lineRule="auto"/>
              <w:rPr>
                <w:sz w:val="24"/>
                <w:szCs w:val="24"/>
              </w:rPr>
            </w:pPr>
            <w:r w:rsidRPr="00071F90">
              <w:rPr>
                <w:sz w:val="24"/>
                <w:szCs w:val="24"/>
              </w:rPr>
              <w:t xml:space="preserve">Given that the foster carers were employed by an independent fostering agency, it was essential to maintain a multi-agency approach. The agency had a duty to identify a suitable alternative placement, while the local authority also conducted contingency searches to ensure the children would not be left without accommodation. I completed an All-Wales Single Referral Form, outlining the children’s needs and desired outcomes, in accordance </w:t>
            </w:r>
            <w:r w:rsidRPr="00071F90">
              <w:rPr>
                <w:sz w:val="24"/>
                <w:szCs w:val="24"/>
              </w:rPr>
              <w:lastRenderedPageBreak/>
              <w:t>with the Social Services and Well-being (Wales) Act 2014, which promotes a person-centred and outcomes-focused approach to care planning.</w:t>
            </w:r>
          </w:p>
          <w:p w14:paraId="614E67CF" w14:textId="77777777" w:rsidR="00B01434" w:rsidRPr="00071F90" w:rsidRDefault="00B01434" w:rsidP="00B01434">
            <w:pPr>
              <w:spacing w:after="160" w:line="360" w:lineRule="auto"/>
              <w:rPr>
                <w:sz w:val="24"/>
                <w:szCs w:val="24"/>
              </w:rPr>
            </w:pPr>
            <w:r w:rsidRPr="00071F90">
              <w:rPr>
                <w:sz w:val="24"/>
                <w:szCs w:val="24"/>
              </w:rPr>
              <w:t>Throughout the day, while professionals were engaged in meetings and planning, I remained aware that Child 1 and Child 2 were at school, unaware of the decisions being made about their living arrangements. I ensured that the school was kept informed at each stage, recognising the importance of their role in supporting the children emotionally and practically during this transition.</w:t>
            </w:r>
          </w:p>
          <w:p w14:paraId="17F152BC" w14:textId="77777777" w:rsidR="00B01434" w:rsidRPr="00071F90" w:rsidRDefault="00B01434" w:rsidP="00B01434">
            <w:pPr>
              <w:spacing w:after="160" w:line="360" w:lineRule="auto"/>
              <w:rPr>
                <w:sz w:val="24"/>
                <w:szCs w:val="24"/>
              </w:rPr>
            </w:pPr>
            <w:r w:rsidRPr="00071F90">
              <w:rPr>
                <w:sz w:val="24"/>
                <w:szCs w:val="24"/>
              </w:rPr>
              <w:t>The fostering agency successfully identified a placement where the children had previously stayed for respite, and where they had reported a positive experience. As this was my first experience of managing a placement breakdown and facilitating a move, I felt a sense of relief knowing that the children were familiar with the new carers and environment. This familiarity had the potential to reduce the emotional impact of the move and support a smoother transition.</w:t>
            </w:r>
          </w:p>
          <w:p w14:paraId="1FFFA44E" w14:textId="77777777" w:rsidR="00B01434" w:rsidRPr="00071F90" w:rsidRDefault="00B01434" w:rsidP="00B01434">
            <w:pPr>
              <w:spacing w:after="160" w:line="360" w:lineRule="auto"/>
              <w:rPr>
                <w:sz w:val="24"/>
                <w:szCs w:val="24"/>
              </w:rPr>
            </w:pPr>
            <w:r w:rsidRPr="00071F90">
              <w:rPr>
                <w:sz w:val="24"/>
                <w:szCs w:val="24"/>
              </w:rPr>
              <w:t>I travelled out of county to collect the children from school. I chose to collect Child 1 first, as the eldest, believing he could offer emotional support to his younger sibling during the journey. On arrival, Child 1 greeted me with a smile and immediately asked if he was being moved. I confirmed the move and reassured him that the new placement was one he had previously enjoyed. When we arrived to collect Child 2, he too smiled and appeared to understand the situation. In the car, I explained that their disclosures had been heard and acted upon, and that the move was to ensure their safety and well-being.</w:t>
            </w:r>
          </w:p>
          <w:p w14:paraId="2D4F0C0B" w14:textId="77777777" w:rsidR="00B01434" w:rsidRPr="00071F90" w:rsidRDefault="00B01434" w:rsidP="00B01434">
            <w:pPr>
              <w:spacing w:after="160" w:line="360" w:lineRule="auto"/>
              <w:rPr>
                <w:sz w:val="24"/>
                <w:szCs w:val="24"/>
              </w:rPr>
            </w:pPr>
            <w:r w:rsidRPr="00071F90">
              <w:rPr>
                <w:sz w:val="24"/>
                <w:szCs w:val="24"/>
              </w:rPr>
              <w:t>Both children responded positively, expressing excitement about the new placement. I informed them that their belongings would be brought by another social worker, which they appreciated. Reflecting on this moment, I recognised my own anxiety about how the children would react. I had mentally prepared for a range of emotional responses and was concerned that my own body language might inadvertently influence their feelings. In hindsight, I believe my visible concern may have helped them understand the seriousness of the situation and the care being taken to support them.</w:t>
            </w:r>
          </w:p>
          <w:p w14:paraId="4C8DD551" w14:textId="77777777" w:rsidR="00B01434" w:rsidRPr="00071F90" w:rsidRDefault="00B01434" w:rsidP="00B01434">
            <w:pPr>
              <w:spacing w:after="160" w:line="360" w:lineRule="auto"/>
              <w:rPr>
                <w:sz w:val="24"/>
                <w:szCs w:val="24"/>
              </w:rPr>
            </w:pPr>
            <w:r w:rsidRPr="00071F90">
              <w:rPr>
                <w:sz w:val="24"/>
                <w:szCs w:val="24"/>
              </w:rPr>
              <w:t xml:space="preserve">This experience reinforced the importance of emotional intelligence, reflective practice, and child-centred communication. It also highlighted the need for social workers to manage their </w:t>
            </w:r>
            <w:r w:rsidRPr="00071F90">
              <w:rPr>
                <w:sz w:val="24"/>
                <w:szCs w:val="24"/>
              </w:rPr>
              <w:lastRenderedPageBreak/>
              <w:t>own emotional responses while remaining attuned to the needs of the children. The positive reaction from Child 1 and Child 2 was reassuring, but I remain mindful that the long-term impact of placement disruption may still emerge over time.</w:t>
            </w:r>
          </w:p>
          <w:p w14:paraId="783D5DAA" w14:textId="77777777" w:rsidR="00B01434" w:rsidRPr="00071F90" w:rsidRDefault="00B01434" w:rsidP="00B01434">
            <w:pPr>
              <w:spacing w:after="160" w:line="360" w:lineRule="auto"/>
              <w:rPr>
                <w:sz w:val="24"/>
                <w:szCs w:val="24"/>
              </w:rPr>
            </w:pPr>
            <w:r w:rsidRPr="00071F90">
              <w:rPr>
                <w:sz w:val="24"/>
                <w:szCs w:val="24"/>
              </w:rPr>
              <w:t>Following my statutory duty to safeguard Child 1 and Child 2, I facilitated their transition to a new foster placement. This placement was not unfamiliar to them, as they had previously stayed there during respite weekends and had spoken positively about their experiences. Their prior connection to the carers and the environment offered a sense of familiarity and continuity, which was particularly important given the emotional disturbance they had just suffered. This familiarity helped to alleviate some of the distress associated with the removal from their previous placement.</w:t>
            </w:r>
          </w:p>
          <w:p w14:paraId="653F2968" w14:textId="77777777" w:rsidR="00B01434" w:rsidRPr="00071F90" w:rsidRDefault="00B01434" w:rsidP="00B01434">
            <w:pPr>
              <w:spacing w:after="160" w:line="360" w:lineRule="auto"/>
              <w:rPr>
                <w:sz w:val="24"/>
                <w:szCs w:val="24"/>
              </w:rPr>
            </w:pPr>
            <w:r w:rsidRPr="00071F90">
              <w:rPr>
                <w:sz w:val="24"/>
                <w:szCs w:val="24"/>
              </w:rPr>
              <w:t>As Munro (2011) notes, professionals often perceive that failing to act carries greater personal and organisational risk than acting prematurely. In this case, I did not feel that my actions were rushed or reactive. Instead, I experienced a sense of professional and personal reassurance, knowing that the children were now in a safe, nurturing environment, removed from further harm. This decision was guided not only by statutory obligations under Section 47 of the Children Act 1989 and Section 76 of the Social Services and Well-being (Wales) Act 2014, but also by a moral imperative to act in the best interests of the children, as enshrined in Article 3 of the UNCRC.</w:t>
            </w:r>
          </w:p>
          <w:p w14:paraId="4324754A" w14:textId="77777777" w:rsidR="00B01434" w:rsidRPr="00071F90" w:rsidRDefault="00B01434" w:rsidP="00B01434">
            <w:pPr>
              <w:spacing w:after="160" w:line="360" w:lineRule="auto"/>
              <w:rPr>
                <w:sz w:val="24"/>
                <w:szCs w:val="24"/>
              </w:rPr>
            </w:pPr>
            <w:r w:rsidRPr="00071F90">
              <w:rPr>
                <w:sz w:val="24"/>
                <w:szCs w:val="24"/>
              </w:rPr>
              <w:t>However, I was mindful that safeguarding does not end with physical relocation. The emotional impact of being mistreated by adults in positions of trust can be profound and long-lasting. Therefore, further intervention was necessary to support the children in processing their experiences. This aligns with the principles of trauma-informed practice, which emphasise the importance of understanding and responding to the psychological effects of trauma, particularly in children who have experienced abuse or neglect. Emotional safety, consistency, and therapeutic support are essential components of recovery.</w:t>
            </w:r>
          </w:p>
          <w:p w14:paraId="68B4710C" w14:textId="77777777" w:rsidR="00B01434" w:rsidRPr="00071F90" w:rsidRDefault="00B01434" w:rsidP="00B01434">
            <w:pPr>
              <w:spacing w:after="160" w:line="360" w:lineRule="auto"/>
              <w:rPr>
                <w:sz w:val="24"/>
                <w:szCs w:val="24"/>
              </w:rPr>
            </w:pPr>
            <w:r w:rsidRPr="00071F90">
              <w:rPr>
                <w:sz w:val="24"/>
                <w:szCs w:val="24"/>
              </w:rPr>
              <w:t xml:space="preserve">Although Child 1 and Child 2 were no longer considered at immediate risk of significant harm, the safeguarding process continued. Following the Professional Abuse Strategy Meeting (PASM), it was agreed that the allegations would be jointly investigated by relevant agencies. This included gathering further contextual information, such as timelines and </w:t>
            </w:r>
            <w:r w:rsidRPr="00071F90">
              <w:rPr>
                <w:sz w:val="24"/>
                <w:szCs w:val="24"/>
              </w:rPr>
              <w:lastRenderedPageBreak/>
              <w:t>behavioural patterns, to ensure a thorough and fair assessment. This step reflects the importance of procedural fairness in safeguarding investigations, not only to protect children but also to ensure that allegations are proved through robust and transparent evidence.</w:t>
            </w:r>
          </w:p>
          <w:p w14:paraId="6D61B90A" w14:textId="77777777" w:rsidR="00B01434" w:rsidRPr="00071F90" w:rsidRDefault="00B01434" w:rsidP="00B01434">
            <w:pPr>
              <w:spacing w:after="160" w:line="360" w:lineRule="auto"/>
              <w:rPr>
                <w:sz w:val="24"/>
                <w:szCs w:val="24"/>
              </w:rPr>
            </w:pPr>
            <w:r w:rsidRPr="00071F90">
              <w:rPr>
                <w:sz w:val="24"/>
                <w:szCs w:val="24"/>
              </w:rPr>
              <w:t xml:space="preserve">This phase of the case required me to balance multiple responsibilities, safeguarding the children’s emotional well-being, maintaining clear and consistent communication with partner agencies and contributing to the ongoing investigation. It also required me to reflect on the ethical dimensions of my role. </w:t>
            </w:r>
          </w:p>
          <w:p w14:paraId="5904B31C" w14:textId="77777777" w:rsidR="00B01434" w:rsidRPr="00071F90" w:rsidRDefault="00B01434" w:rsidP="00B01434">
            <w:pPr>
              <w:spacing w:after="160" w:line="360" w:lineRule="auto"/>
              <w:rPr>
                <w:sz w:val="24"/>
                <w:szCs w:val="24"/>
              </w:rPr>
            </w:pPr>
            <w:r w:rsidRPr="00071F90">
              <w:rPr>
                <w:sz w:val="24"/>
                <w:szCs w:val="24"/>
              </w:rPr>
              <w:t>Emotionally, I felt anxious about how the children would respond to the move. I anticipated a range of reactions, including confusion, sadness, or anger. I was also conscious of how my own body language, tone, and emotional state might influence their perceptions of the situation. However, both children greeted me with smiles and appeared to understand the circumstances. Their positive response was unexpected but deeply reassuring. It reminded me of the importance of relational trust—the idea that children are more likely to respond positively when they feel safe, respected, and supported by the adults around them.</w:t>
            </w:r>
          </w:p>
          <w:p w14:paraId="24582A64" w14:textId="77777777" w:rsidR="00B01434" w:rsidRPr="00071F90" w:rsidRDefault="00B01434" w:rsidP="00B01434">
            <w:pPr>
              <w:spacing w:after="160" w:line="360" w:lineRule="auto"/>
              <w:rPr>
                <w:sz w:val="24"/>
                <w:szCs w:val="24"/>
              </w:rPr>
            </w:pPr>
            <w:r w:rsidRPr="00071F90">
              <w:rPr>
                <w:sz w:val="24"/>
                <w:szCs w:val="24"/>
              </w:rPr>
              <w:t>Reflecting on this experience, I recognise the importance of emotional preparedness in social work practice. Anticipating children’s reactions and preparing myself to respond with empathy, clarity, and calmness was essential. It also highlighted the value of reflective supervision, where I am able to explore their emotional responses, ethical dilemmas, and decision-making processes in a supportive environment, as well as develop my knowledge and skill. Supervision provided a space to critically evaluate my practice and consider how my actions aligned with both legal frameworks and professional values.</w:t>
            </w:r>
          </w:p>
          <w:p w14:paraId="655F0369" w14:textId="77777777" w:rsidR="00B01434" w:rsidRPr="00071F90" w:rsidRDefault="00B01434" w:rsidP="00B01434">
            <w:pPr>
              <w:spacing w:after="160" w:line="360" w:lineRule="auto"/>
              <w:rPr>
                <w:sz w:val="24"/>
                <w:szCs w:val="24"/>
              </w:rPr>
            </w:pPr>
            <w:r w:rsidRPr="00071F90">
              <w:rPr>
                <w:sz w:val="24"/>
                <w:szCs w:val="24"/>
              </w:rPr>
              <w:t xml:space="preserve">The move itself, while necessary, was not without consequence. The children had lived in their previous placement for two years and had developed a strong sense of belonging. They were settled in their schools and actively involved in community life, including participation in local football clubs. However, removing them from this familiar environment meant disrupting their routines, relationships, and emotional stability. Research consistently shows that children in care often experience multiple transitions, which can negatively impact their emotional well-being. The Good Practice Guide on Placement Stability (AFKA Cymru) highlights that placement breakdowns can lead to feelings of loss, identity </w:t>
            </w:r>
            <w:r w:rsidRPr="00071F90">
              <w:rPr>
                <w:sz w:val="24"/>
                <w:szCs w:val="24"/>
              </w:rPr>
              <w:lastRenderedPageBreak/>
              <w:t>confusion, and emotional distress. Stability is closely linked to improved outcomes in mental health, education, and social development.</w:t>
            </w:r>
          </w:p>
          <w:p w14:paraId="0912BF1F" w14:textId="77777777" w:rsidR="00B01434" w:rsidRPr="00071F90" w:rsidRDefault="00B01434" w:rsidP="00B01434">
            <w:pPr>
              <w:spacing w:after="160" w:line="360" w:lineRule="auto"/>
              <w:rPr>
                <w:sz w:val="24"/>
                <w:szCs w:val="24"/>
              </w:rPr>
            </w:pPr>
            <w:r w:rsidRPr="00071F90">
              <w:rPr>
                <w:sz w:val="24"/>
                <w:szCs w:val="24"/>
              </w:rPr>
              <w:t>Unfortunately, due to a lack of suitable placements within the local area, it was not possible to maintain the children’s school placements. This resulted in a school move, adding another layer of change. While I was confident in the boys’ ability to adapt, given their sociable and likeable personalities, I remained concerned about the increasing impact of these transitions. Each change, while necessary, carried emotional weight and potential consequences for their sense of identity and belonging.</w:t>
            </w:r>
          </w:p>
          <w:p w14:paraId="2F3AB1EC" w14:textId="77777777" w:rsidR="00B01434" w:rsidRPr="00071F90" w:rsidRDefault="00B01434" w:rsidP="00B01434">
            <w:pPr>
              <w:spacing w:after="160" w:line="360" w:lineRule="auto"/>
              <w:rPr>
                <w:sz w:val="24"/>
                <w:szCs w:val="24"/>
              </w:rPr>
            </w:pPr>
            <w:r w:rsidRPr="00071F90">
              <w:rPr>
                <w:sz w:val="24"/>
                <w:szCs w:val="24"/>
              </w:rPr>
              <w:t>The relocation also placed the children in a predominantly Welsh-speaking community, despite neither child speaking Welsh. This raised concerns about potential social isolation and barriers to integration. Language plays a crucial role in a child’s ability to form relationships, engage in education, and feel included. The Children’s Commissioner for Wales has emphasised the importance of inclusive practices and the right of all children to access services in their preferred language. Emotional support and culturally sensitive approaches within the school setting are essential to ensure the children feel safe, understood, and included.</w:t>
            </w:r>
          </w:p>
          <w:p w14:paraId="79C88445" w14:textId="77777777" w:rsidR="00B01434" w:rsidRPr="00071F90" w:rsidRDefault="00B01434" w:rsidP="00B01434">
            <w:pPr>
              <w:spacing w:after="160" w:line="360" w:lineRule="auto"/>
              <w:rPr>
                <w:sz w:val="24"/>
                <w:szCs w:val="24"/>
              </w:rPr>
            </w:pPr>
            <w:r w:rsidRPr="00071F90">
              <w:rPr>
                <w:sz w:val="24"/>
                <w:szCs w:val="24"/>
              </w:rPr>
              <w:t>The decision to remove the children was not taken lightly. It was informed by a Section 47 following their disclosures, behavioural indicators, contextual information and a multi-agency approach. The consistency of their disclosures, including descriptions of physical restraint and punitive control, such as removal of light bulb aligned with definitions of emotional abuse and neglect under the Wales Safeguarding Procedures (2019).</w:t>
            </w:r>
          </w:p>
          <w:p w14:paraId="1C874D98" w14:textId="77777777" w:rsidR="00B01434" w:rsidRPr="00071F90" w:rsidRDefault="00B01434" w:rsidP="00B01434">
            <w:pPr>
              <w:spacing w:line="360" w:lineRule="auto"/>
              <w:rPr>
                <w:sz w:val="24"/>
                <w:szCs w:val="24"/>
              </w:rPr>
            </w:pPr>
            <w:r w:rsidRPr="00071F90">
              <w:rPr>
                <w:sz w:val="24"/>
                <w:szCs w:val="24"/>
              </w:rPr>
              <w:t xml:space="preserve">The children were relocated to a foster placement they had previously experienced during respite care and had spoken positively about. Their familiarity with the carers and the environment provided a sense of emotional safety and continuity, which was essential given the trauma they had endured. </w:t>
            </w:r>
          </w:p>
          <w:p w14:paraId="0DB883E2" w14:textId="77777777" w:rsidR="00B01434" w:rsidRPr="00071F90" w:rsidRDefault="00B01434" w:rsidP="00B01434">
            <w:pPr>
              <w:spacing w:after="160" w:line="360" w:lineRule="auto"/>
              <w:rPr>
                <w:sz w:val="24"/>
                <w:szCs w:val="24"/>
              </w:rPr>
            </w:pPr>
            <w:r w:rsidRPr="00071F90">
              <w:rPr>
                <w:sz w:val="24"/>
                <w:szCs w:val="24"/>
              </w:rPr>
              <w:t xml:space="preserve">Throughout the safeguarding process, I worked collaboratively with a range of professionals, including police officers, education staff, fostering agency representatives, and senior social workers. The strategy meeting and Professional Abuse Strategy Meeting were key examples of multi-agency working, where information was shared, risks were assessed, and </w:t>
            </w:r>
            <w:r w:rsidRPr="00071F90">
              <w:rPr>
                <w:sz w:val="24"/>
                <w:szCs w:val="24"/>
              </w:rPr>
              <w:lastRenderedPageBreak/>
              <w:t>decisions were made collectively. I also liaised closely with the children’s school, recognising their role in supporting the children emotionally and practically during the transition.</w:t>
            </w:r>
          </w:p>
          <w:p w14:paraId="7AA82966" w14:textId="77777777" w:rsidR="00B01434" w:rsidRPr="00071F90" w:rsidRDefault="00B01434" w:rsidP="00B01434">
            <w:pPr>
              <w:spacing w:after="160" w:line="360" w:lineRule="auto"/>
              <w:rPr>
                <w:sz w:val="24"/>
                <w:szCs w:val="24"/>
              </w:rPr>
            </w:pPr>
            <w:r w:rsidRPr="00071F90">
              <w:rPr>
                <w:sz w:val="24"/>
                <w:szCs w:val="24"/>
              </w:rPr>
              <w:t>Equally important was my collaboration with the children themselves. I adopted a child-centred approach, guided by Article 12 of the UNCRC, which affirms the right of children to express their views in all matters affecting them. I used active listening and paraphrasing techniques to ensure their voices were heard and accurately recorded. Their disclosures were not only central to the safeguarding response but also shaped the planning of their future care.</w:t>
            </w:r>
          </w:p>
          <w:p w14:paraId="20492604" w14:textId="77777777" w:rsidR="00B01434" w:rsidRPr="00071F90" w:rsidRDefault="00B01434" w:rsidP="00B01434">
            <w:pPr>
              <w:spacing w:after="160" w:line="360" w:lineRule="auto"/>
              <w:rPr>
                <w:sz w:val="24"/>
                <w:szCs w:val="24"/>
              </w:rPr>
            </w:pPr>
            <w:r w:rsidRPr="00071F90">
              <w:rPr>
                <w:sz w:val="24"/>
                <w:szCs w:val="24"/>
              </w:rPr>
              <w:t>This case required me to exercise professional judgement in a highly complex and emotionally charged situation. The children had lived in the placement for two years, were settled in their schools, and actively involved in community life, including football clubs. Removing them meant disrupting their routines, relationships, and sense of stability. However, the risk of remaining in an unsafe environment outweighed the emotional cost of relocation.</w:t>
            </w:r>
          </w:p>
          <w:p w14:paraId="314439F3" w14:textId="77777777" w:rsidR="00B01434" w:rsidRPr="00071F90" w:rsidRDefault="00B01434" w:rsidP="00B01434">
            <w:pPr>
              <w:spacing w:after="160" w:line="360" w:lineRule="auto"/>
              <w:rPr>
                <w:sz w:val="24"/>
                <w:szCs w:val="24"/>
              </w:rPr>
            </w:pPr>
            <w:r w:rsidRPr="00071F90">
              <w:rPr>
                <w:sz w:val="24"/>
                <w:szCs w:val="24"/>
              </w:rPr>
              <w:t>The move also introduced a new challenge, as the children were placed in a predominantly Welsh-speaking area, despite being English speakers. This raised concerns about potential social isolation and barriers to integration. I worked with the school and foster carers to ensure inclusive practices were in place, recognising the importance of language in forming relationships and accessing education. The Children’s Commissioner for Wales has emphasised the need for culturally sensitive approaches, and I ensured these were embedded in the support plan.</w:t>
            </w:r>
          </w:p>
          <w:p w14:paraId="216FF898" w14:textId="77777777" w:rsidR="00B01434" w:rsidRPr="00071F90" w:rsidRDefault="00B01434" w:rsidP="00B01434">
            <w:pPr>
              <w:spacing w:after="160" w:line="360" w:lineRule="auto"/>
              <w:rPr>
                <w:sz w:val="24"/>
                <w:szCs w:val="24"/>
              </w:rPr>
            </w:pPr>
            <w:r w:rsidRPr="00071F90">
              <w:rPr>
                <w:sz w:val="24"/>
                <w:szCs w:val="24"/>
              </w:rPr>
              <w:t>Emotionally, I was anxious about how the children would respond to the move. I anticipated a range of reactions and was conscious of how my own demeanour might influence their feelings. However, both children responded positively, expressing familiarity and comfort with the new carers. This outcome reinforced the importance of relational trust and the value of placing children in environments where they feel safe and understood.</w:t>
            </w:r>
          </w:p>
          <w:p w14:paraId="5FA0A679" w14:textId="77777777" w:rsidR="00B01434" w:rsidRPr="00071F90" w:rsidRDefault="00B01434" w:rsidP="00B01434">
            <w:pPr>
              <w:spacing w:after="160" w:line="360" w:lineRule="auto"/>
              <w:rPr>
                <w:sz w:val="24"/>
                <w:szCs w:val="24"/>
              </w:rPr>
            </w:pPr>
            <w:r w:rsidRPr="00071F90">
              <w:rPr>
                <w:sz w:val="24"/>
                <w:szCs w:val="24"/>
              </w:rPr>
              <w:t xml:space="preserve">This experience highlighted the complexity of safeguarding practice and the importance of integrating assessment, collaboration, and professional judgement. It reinforced the need for </w:t>
            </w:r>
            <w:r w:rsidRPr="00071F90">
              <w:rPr>
                <w:sz w:val="24"/>
                <w:szCs w:val="24"/>
              </w:rPr>
              <w:lastRenderedPageBreak/>
              <w:t>trauma-informed, child-centred approaches and demonstrated the value of reflective supervision in navigating emotionally demanding cases. As a newly qualified social worker, I was challenged to apply legal frameworks, ethical reasoning, and emotional intelligence to protect and support two vulnerable children. The case has strengthened my confidence in managing complex safeguarding interventions and deepened my understanding of the importance of holistic, multi-agency practice.</w:t>
            </w:r>
          </w:p>
          <w:p w14:paraId="311F6632" w14:textId="77777777" w:rsidR="00B01434" w:rsidRPr="00071F90" w:rsidRDefault="00B01434" w:rsidP="00B01434">
            <w:pPr>
              <w:spacing w:line="360" w:lineRule="auto"/>
            </w:pPr>
          </w:p>
          <w:p w14:paraId="1CA057C5" w14:textId="77777777" w:rsidR="00B01434" w:rsidRPr="00071F90" w:rsidRDefault="00B01434" w:rsidP="00B01434">
            <w:pPr>
              <w:spacing w:line="360" w:lineRule="auto"/>
            </w:pPr>
            <w:r w:rsidRPr="00071F90">
              <w:t>Word count: 3755</w:t>
            </w: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2CA0A" w14:textId="77777777" w:rsidR="00C87F14" w:rsidRDefault="00C87F14">
      <w:r>
        <w:separator/>
      </w:r>
    </w:p>
  </w:endnote>
  <w:endnote w:type="continuationSeparator" w:id="0">
    <w:p w14:paraId="25DCDF78" w14:textId="77777777" w:rsidR="00C87F14" w:rsidRDefault="00C87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3F2B0" w14:textId="77777777" w:rsidR="00C87F14" w:rsidRDefault="00C87F14">
      <w:r>
        <w:separator/>
      </w:r>
    </w:p>
  </w:footnote>
  <w:footnote w:type="continuationSeparator" w:id="0">
    <w:p w14:paraId="5A900D71" w14:textId="77777777" w:rsidR="00C87F14" w:rsidRDefault="00C87F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96897"/>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0E1F"/>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A7694"/>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434"/>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01ED"/>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87F1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66656"/>
    <w:rsid w:val="00F709C0"/>
    <w:rsid w:val="00F81FEC"/>
    <w:rsid w:val="00F927A1"/>
    <w:rsid w:val="00F92E4D"/>
    <w:rsid w:val="00F95D08"/>
    <w:rsid w:val="00FA23BD"/>
    <w:rsid w:val="00FA3764"/>
    <w:rsid w:val="00FA41C7"/>
    <w:rsid w:val="00FA4A79"/>
    <w:rsid w:val="00FA56ED"/>
    <w:rsid w:val="00FB05DD"/>
    <w:rsid w:val="00FB0F7C"/>
    <w:rsid w:val="00FB24EA"/>
    <w:rsid w:val="00FB55D1"/>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3974</Words>
  <Characters>22935</Characters>
  <Application>Microsoft Office Word</Application>
  <DocSecurity>0</DocSecurity>
  <Lines>369</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Jason Evans</cp:lastModifiedBy>
  <cp:revision>5</cp:revision>
  <cp:lastPrinted>2020-02-11T19:20:00Z</cp:lastPrinted>
  <dcterms:created xsi:type="dcterms:W3CDTF">2025-10-03T14:13:00Z</dcterms:created>
  <dcterms:modified xsi:type="dcterms:W3CDTF">2025-10-07T08:30:00Z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