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79CC0" w14:textId="448CA94F" w:rsidR="00C33F2B" w:rsidRPr="00F02387" w:rsidRDefault="002E5E5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Caitlin Bayliss-Clark</w:t>
      </w:r>
      <w:r w:rsidRPr="00F02387">
        <w:rPr>
          <w:rFonts w:ascii="Calibri" w:hAnsi="Calibri" w:cs="Calibri"/>
          <w:b/>
          <w:bCs/>
          <w:color w:val="000000" w:themeColor="text1"/>
        </w:rPr>
        <w:tab/>
      </w:r>
      <w:r w:rsidRPr="00F02387">
        <w:rPr>
          <w:rFonts w:ascii="Calibri" w:hAnsi="Calibri" w:cs="Calibri"/>
          <w:b/>
          <w:bCs/>
          <w:color w:val="000000" w:themeColor="text1"/>
        </w:rPr>
        <w:tab/>
      </w:r>
      <w:r w:rsidRPr="00F02387">
        <w:rPr>
          <w:rFonts w:ascii="Calibri" w:hAnsi="Calibri" w:cs="Calibri"/>
          <w:b/>
          <w:bCs/>
          <w:color w:val="000000" w:themeColor="text1"/>
        </w:rPr>
        <w:tab/>
      </w:r>
      <w:r w:rsidRPr="00F02387">
        <w:rPr>
          <w:rFonts w:ascii="Calibri" w:hAnsi="Calibri" w:cs="Calibri"/>
          <w:b/>
          <w:bCs/>
          <w:color w:val="000000" w:themeColor="text1"/>
        </w:rPr>
        <w:tab/>
      </w:r>
      <w:r w:rsidRPr="00F02387">
        <w:rPr>
          <w:rFonts w:ascii="Calibri" w:hAnsi="Calibri" w:cs="Calibri"/>
          <w:b/>
          <w:bCs/>
          <w:color w:val="000000" w:themeColor="text1"/>
        </w:rPr>
        <w:tab/>
      </w:r>
      <w:r w:rsidRPr="00F02387">
        <w:rPr>
          <w:rFonts w:ascii="Calibri" w:hAnsi="Calibri" w:cs="Calibri"/>
          <w:b/>
          <w:bCs/>
          <w:color w:val="000000" w:themeColor="text1"/>
        </w:rPr>
        <w:tab/>
      </w:r>
      <w:r w:rsidRPr="00F02387">
        <w:rPr>
          <w:rFonts w:ascii="Calibri" w:hAnsi="Calibri" w:cs="Calibri"/>
          <w:b/>
          <w:bCs/>
          <w:color w:val="000000" w:themeColor="text1"/>
        </w:rPr>
        <w:tab/>
        <w:t>Student ID: 2200631</w:t>
      </w:r>
    </w:p>
    <w:p w14:paraId="1003557D" w14:textId="77777777" w:rsidR="00F02387" w:rsidRPr="00F02387" w:rsidRDefault="00F02387" w:rsidP="00F02387">
      <w:pPr>
        <w:spacing w:line="360" w:lineRule="auto"/>
        <w:rPr>
          <w:rFonts w:ascii="Calibri" w:hAnsi="Calibri" w:cs="Calibri"/>
          <w:b/>
          <w:bCs/>
          <w:color w:val="000000" w:themeColor="text1"/>
        </w:rPr>
      </w:pPr>
    </w:p>
    <w:p w14:paraId="555B447C" w14:textId="3234007C" w:rsidR="002E5E50" w:rsidRPr="00F02387" w:rsidRDefault="002E5E5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BA Primary ED with QTS</w:t>
      </w:r>
    </w:p>
    <w:p w14:paraId="00B64260" w14:textId="1C89ED9D" w:rsidR="002E5E50" w:rsidRPr="00F02387" w:rsidRDefault="002E5E5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Learning in the Digital Era</w:t>
      </w:r>
    </w:p>
    <w:p w14:paraId="726D4FC3" w14:textId="484F5DC3" w:rsidR="002E5E50" w:rsidRPr="00F02387" w:rsidRDefault="002E5E5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ECAD4005</w:t>
      </w:r>
    </w:p>
    <w:p w14:paraId="24D99DF1" w14:textId="25929572" w:rsidR="002E5E50" w:rsidRPr="00F02387" w:rsidRDefault="002E5E5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E-Portfolio</w:t>
      </w:r>
    </w:p>
    <w:p w14:paraId="037BF1B0" w14:textId="44F3940D" w:rsidR="00996425" w:rsidRPr="00F02387" w:rsidRDefault="00996425" w:rsidP="00F02387">
      <w:pPr>
        <w:spacing w:line="360" w:lineRule="auto"/>
        <w:rPr>
          <w:rFonts w:ascii="Calibri" w:hAnsi="Calibri" w:cs="Calibri"/>
          <w:color w:val="000000" w:themeColor="text1"/>
        </w:rPr>
      </w:pPr>
    </w:p>
    <w:p w14:paraId="4F838985" w14:textId="032CFD0B" w:rsidR="00996425" w:rsidRDefault="00996425"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Part 1-</w:t>
      </w:r>
    </w:p>
    <w:p w14:paraId="6FF437AE" w14:textId="146056B1" w:rsidR="00F02387" w:rsidRPr="00F02387" w:rsidRDefault="00F02387" w:rsidP="00F02387">
      <w:pPr>
        <w:spacing w:line="360" w:lineRule="auto"/>
        <w:rPr>
          <w:rFonts w:ascii="Calibri" w:hAnsi="Calibri" w:cs="Calibri"/>
          <w:b/>
          <w:bCs/>
          <w:color w:val="000000" w:themeColor="text1"/>
        </w:rPr>
      </w:pPr>
      <w:r>
        <w:rPr>
          <w:rFonts w:ascii="Calibri" w:hAnsi="Calibri" w:cs="Calibri"/>
          <w:b/>
          <w:bCs/>
          <w:color w:val="000000" w:themeColor="text1"/>
        </w:rPr>
        <w:t>Word count- 200</w:t>
      </w:r>
    </w:p>
    <w:p w14:paraId="26B2160B" w14:textId="19046B1B" w:rsidR="00996425" w:rsidRPr="00F02387" w:rsidRDefault="00996425" w:rsidP="00F02387">
      <w:pPr>
        <w:spacing w:line="360" w:lineRule="auto"/>
        <w:rPr>
          <w:rFonts w:ascii="Calibri" w:hAnsi="Calibri" w:cs="Calibri"/>
          <w:color w:val="000000" w:themeColor="text1"/>
        </w:rPr>
      </w:pPr>
    </w:p>
    <w:p w14:paraId="598DACBF" w14:textId="517C80AF" w:rsidR="00996425" w:rsidRPr="00F02387" w:rsidRDefault="00996425" w:rsidP="00F02387">
      <w:pPr>
        <w:spacing w:line="360" w:lineRule="auto"/>
        <w:ind w:firstLine="720"/>
        <w:rPr>
          <w:rFonts w:ascii="Calibri" w:hAnsi="Calibri" w:cs="Calibri"/>
          <w:color w:val="000000" w:themeColor="text1"/>
        </w:rPr>
      </w:pPr>
      <w:r w:rsidRPr="00F02387">
        <w:rPr>
          <w:rFonts w:ascii="Calibri" w:hAnsi="Calibri" w:cs="Calibri"/>
          <w:color w:val="000000" w:themeColor="text1"/>
        </w:rPr>
        <w:t>In many countries such as Iceland, they believe it is important for children to have outdoor experiences within their life. Many papers have been written about government advice stating that being outdoors is beneficial for children. Within the curriculum guidelines, a large emphasis is placed on developing outdoor learning environments</w:t>
      </w:r>
      <w:r w:rsidR="00A826D2" w:rsidRPr="00F02387">
        <w:rPr>
          <w:rFonts w:ascii="Calibri" w:hAnsi="Calibri" w:cs="Calibri"/>
          <w:color w:val="000000" w:themeColor="text1"/>
        </w:rPr>
        <w:t xml:space="preserve"> for children. This help</w:t>
      </w:r>
      <w:r w:rsidR="00B01760" w:rsidRPr="00F02387">
        <w:rPr>
          <w:rFonts w:ascii="Calibri" w:hAnsi="Calibri" w:cs="Calibri"/>
          <w:color w:val="000000" w:themeColor="text1"/>
        </w:rPr>
        <w:t>s</w:t>
      </w:r>
      <w:r w:rsidR="00A826D2" w:rsidRPr="00F02387">
        <w:rPr>
          <w:rFonts w:ascii="Calibri" w:hAnsi="Calibri" w:cs="Calibri"/>
          <w:color w:val="000000" w:themeColor="text1"/>
        </w:rPr>
        <w:t xml:space="preserve"> develop their understanding of nature and teach them about exercise and healthy living according to </w:t>
      </w:r>
      <w:proofErr w:type="spellStart"/>
      <w:r w:rsidR="00A826D2" w:rsidRPr="00F02387">
        <w:rPr>
          <w:rFonts w:ascii="Calibri" w:hAnsi="Calibri" w:cs="Calibri"/>
          <w:color w:val="000000" w:themeColor="text1"/>
        </w:rPr>
        <w:t>Norodahl</w:t>
      </w:r>
      <w:proofErr w:type="spellEnd"/>
      <w:r w:rsidR="00A826D2" w:rsidRPr="00F02387">
        <w:rPr>
          <w:rFonts w:ascii="Calibri" w:hAnsi="Calibri" w:cs="Calibri"/>
          <w:color w:val="000000" w:themeColor="text1"/>
        </w:rPr>
        <w:t xml:space="preserve"> and </w:t>
      </w:r>
      <w:proofErr w:type="spellStart"/>
      <w:r w:rsidR="00A826D2" w:rsidRPr="00F02387">
        <w:rPr>
          <w:rFonts w:ascii="Calibri" w:hAnsi="Calibri" w:cs="Calibri"/>
          <w:color w:val="000000" w:themeColor="text1"/>
        </w:rPr>
        <w:t>Johannesson</w:t>
      </w:r>
      <w:proofErr w:type="spellEnd"/>
      <w:r w:rsidR="00A826D2" w:rsidRPr="00F02387">
        <w:rPr>
          <w:rFonts w:ascii="Calibri" w:hAnsi="Calibri" w:cs="Calibri"/>
          <w:color w:val="000000" w:themeColor="text1"/>
        </w:rPr>
        <w:t xml:space="preserve"> (2013).</w:t>
      </w:r>
    </w:p>
    <w:p w14:paraId="179A532E" w14:textId="54C82E39" w:rsidR="00A826D2" w:rsidRPr="00F02387" w:rsidRDefault="00A826D2" w:rsidP="00F02387">
      <w:pPr>
        <w:spacing w:line="360" w:lineRule="auto"/>
        <w:ind w:firstLine="720"/>
        <w:rPr>
          <w:rFonts w:ascii="Calibri" w:hAnsi="Calibri" w:cs="Calibri"/>
          <w:color w:val="000000" w:themeColor="text1"/>
        </w:rPr>
      </w:pPr>
      <w:r w:rsidRPr="00F02387">
        <w:rPr>
          <w:rFonts w:ascii="Calibri" w:hAnsi="Calibri" w:cs="Calibri"/>
          <w:color w:val="000000" w:themeColor="text1"/>
        </w:rPr>
        <w:t>The emphasis put on outdoor learning is something that has been under development for many years in Iceland. Outdoor learning is focused strongly on children aged one to six. Children aged six to sixteen are encouraged to go outside during their breaktime but do not have hands on learning experiences outside like the younger children do. Whilst we are unaware of what type of approach the teachers take with the pupils, we can only assume</w:t>
      </w:r>
      <w:r w:rsidR="00B01760" w:rsidRPr="00F02387">
        <w:rPr>
          <w:rFonts w:ascii="Calibri" w:hAnsi="Calibri" w:cs="Calibri"/>
          <w:color w:val="000000" w:themeColor="text1"/>
        </w:rPr>
        <w:t xml:space="preserve"> that each teacher has a different style of teaching and ways of managing pupils outdoors. However, studies show that teachers are using outdoor learning experiences more so now than before. In </w:t>
      </w:r>
      <w:proofErr w:type="spellStart"/>
      <w:r w:rsidR="00B01760" w:rsidRPr="00F02387">
        <w:rPr>
          <w:rFonts w:ascii="Calibri" w:hAnsi="Calibri" w:cs="Calibri"/>
          <w:color w:val="000000" w:themeColor="text1"/>
        </w:rPr>
        <w:t>Reyjkavik</w:t>
      </w:r>
      <w:proofErr w:type="spellEnd"/>
      <w:r w:rsidR="00B01760" w:rsidRPr="00F02387">
        <w:rPr>
          <w:rFonts w:ascii="Calibri" w:hAnsi="Calibri" w:cs="Calibri"/>
          <w:color w:val="000000" w:themeColor="text1"/>
        </w:rPr>
        <w:t>, the capital of Iceland; 70% of schools have confirmed that they have increased their use of outdoor education (</w:t>
      </w:r>
      <w:proofErr w:type="spellStart"/>
      <w:r w:rsidR="00B01760" w:rsidRPr="00F02387">
        <w:rPr>
          <w:rFonts w:ascii="Calibri" w:hAnsi="Calibri" w:cs="Calibri"/>
          <w:color w:val="000000" w:themeColor="text1"/>
        </w:rPr>
        <w:t>Oladottir</w:t>
      </w:r>
      <w:proofErr w:type="spellEnd"/>
      <w:r w:rsidR="00B01760" w:rsidRPr="00F02387">
        <w:rPr>
          <w:rFonts w:ascii="Calibri" w:hAnsi="Calibri" w:cs="Calibri"/>
          <w:color w:val="000000" w:themeColor="text1"/>
        </w:rPr>
        <w:t>, 2008).</w:t>
      </w:r>
    </w:p>
    <w:p w14:paraId="2321A860" w14:textId="7DB2986E" w:rsidR="00B01760" w:rsidRPr="00F02387" w:rsidRDefault="00B01760" w:rsidP="00F02387">
      <w:pPr>
        <w:spacing w:line="360" w:lineRule="auto"/>
        <w:rPr>
          <w:rFonts w:ascii="Calibri" w:hAnsi="Calibri" w:cs="Calibri"/>
          <w:color w:val="000000" w:themeColor="text1"/>
        </w:rPr>
      </w:pPr>
    </w:p>
    <w:p w14:paraId="65251FD1" w14:textId="752FE26C" w:rsidR="00B01760" w:rsidRPr="00F02387" w:rsidRDefault="00B01760" w:rsidP="00F02387">
      <w:pPr>
        <w:spacing w:line="360" w:lineRule="auto"/>
        <w:rPr>
          <w:rFonts w:ascii="Calibri" w:hAnsi="Calibri" w:cs="Calibri"/>
          <w:color w:val="000000" w:themeColor="text1"/>
        </w:rPr>
      </w:pPr>
      <w:r w:rsidRPr="00F02387">
        <w:rPr>
          <w:rFonts w:ascii="Calibri" w:hAnsi="Calibri" w:cs="Calibri"/>
          <w:color w:val="000000" w:themeColor="text1"/>
        </w:rPr>
        <w:t>Reference</w:t>
      </w:r>
      <w:r w:rsidR="008429E8" w:rsidRPr="00F02387">
        <w:rPr>
          <w:rFonts w:ascii="Calibri" w:hAnsi="Calibri" w:cs="Calibri"/>
          <w:color w:val="000000" w:themeColor="text1"/>
        </w:rPr>
        <w:t xml:space="preserve"> list</w:t>
      </w:r>
      <w:r w:rsidRPr="00F02387">
        <w:rPr>
          <w:rFonts w:ascii="Calibri" w:hAnsi="Calibri" w:cs="Calibri"/>
          <w:color w:val="000000" w:themeColor="text1"/>
        </w:rPr>
        <w:t>:</w:t>
      </w:r>
    </w:p>
    <w:p w14:paraId="7DF6B6D1" w14:textId="6AC67C8F" w:rsidR="00B01760" w:rsidRPr="00F02387" w:rsidRDefault="00B01760" w:rsidP="00F02387">
      <w:pPr>
        <w:spacing w:line="360" w:lineRule="auto"/>
        <w:rPr>
          <w:rFonts w:ascii="Calibri" w:hAnsi="Calibri" w:cs="Calibri"/>
          <w:color w:val="000000" w:themeColor="text1"/>
        </w:rPr>
      </w:pPr>
      <w:proofErr w:type="spellStart"/>
      <w:r w:rsidRPr="00F02387">
        <w:rPr>
          <w:rFonts w:ascii="Calibri" w:hAnsi="Calibri" w:cs="Calibri"/>
          <w:color w:val="000000" w:themeColor="text1"/>
        </w:rPr>
        <w:t>Noradahl</w:t>
      </w:r>
      <w:proofErr w:type="spellEnd"/>
      <w:r w:rsidRPr="00F02387">
        <w:rPr>
          <w:rFonts w:ascii="Calibri" w:hAnsi="Calibri" w:cs="Calibri"/>
          <w:color w:val="000000" w:themeColor="text1"/>
        </w:rPr>
        <w:t xml:space="preserve">, K. and </w:t>
      </w:r>
      <w:proofErr w:type="spellStart"/>
      <w:r w:rsidRPr="00F02387">
        <w:rPr>
          <w:rFonts w:ascii="Calibri" w:hAnsi="Calibri" w:cs="Calibri"/>
          <w:color w:val="000000" w:themeColor="text1"/>
        </w:rPr>
        <w:t>Johannesson</w:t>
      </w:r>
      <w:proofErr w:type="spellEnd"/>
      <w:r w:rsidRPr="00F02387">
        <w:rPr>
          <w:rFonts w:ascii="Calibri" w:hAnsi="Calibri" w:cs="Calibri"/>
          <w:color w:val="000000" w:themeColor="text1"/>
        </w:rPr>
        <w:t xml:space="preserve">, I. (2014) ‘Icelandic teachers’ views of using the outdoors’ Education 3-13: International Journal of Primary, Elementary and Early Years Education. Vol 44, No. 4, September 2014, 391-406. </w:t>
      </w:r>
    </w:p>
    <w:p w14:paraId="5BA56312" w14:textId="72D6A3BF" w:rsidR="00B01760" w:rsidRPr="00F02387" w:rsidRDefault="00B01760" w:rsidP="00F02387">
      <w:pPr>
        <w:spacing w:line="360" w:lineRule="auto"/>
        <w:rPr>
          <w:rFonts w:ascii="Calibri" w:hAnsi="Calibri" w:cs="Calibri"/>
          <w:color w:val="000000" w:themeColor="text1"/>
        </w:rPr>
      </w:pPr>
    </w:p>
    <w:p w14:paraId="2DA7666D" w14:textId="77777777" w:rsidR="008429E8" w:rsidRPr="00F02387" w:rsidRDefault="008429E8" w:rsidP="00F02387">
      <w:pPr>
        <w:spacing w:line="360" w:lineRule="auto"/>
        <w:rPr>
          <w:rFonts w:ascii="Calibri" w:hAnsi="Calibri" w:cs="Calibri"/>
          <w:color w:val="000000" w:themeColor="text1"/>
        </w:rPr>
      </w:pPr>
    </w:p>
    <w:p w14:paraId="15696D30" w14:textId="77777777" w:rsidR="00F02387" w:rsidRDefault="00F02387" w:rsidP="00F02387">
      <w:pPr>
        <w:spacing w:line="360" w:lineRule="auto"/>
        <w:rPr>
          <w:rFonts w:ascii="Calibri" w:hAnsi="Calibri" w:cs="Calibri"/>
          <w:b/>
          <w:bCs/>
          <w:color w:val="000000" w:themeColor="text1"/>
        </w:rPr>
      </w:pPr>
    </w:p>
    <w:p w14:paraId="2F54BA0B" w14:textId="088E7DEB" w:rsidR="00B01760" w:rsidRDefault="00B01760"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Part 2a-</w:t>
      </w:r>
      <w:r w:rsidR="00F02387">
        <w:rPr>
          <w:rFonts w:ascii="Calibri" w:hAnsi="Calibri" w:cs="Calibri"/>
          <w:b/>
          <w:bCs/>
          <w:color w:val="000000" w:themeColor="text1"/>
        </w:rPr>
        <w:t xml:space="preserve"> </w:t>
      </w:r>
    </w:p>
    <w:p w14:paraId="5D814BAE" w14:textId="0F3BC624" w:rsidR="00F02387" w:rsidRPr="00F02387" w:rsidRDefault="00F02387" w:rsidP="00F02387">
      <w:pPr>
        <w:spacing w:line="360" w:lineRule="auto"/>
        <w:rPr>
          <w:rFonts w:ascii="Calibri" w:hAnsi="Calibri" w:cs="Calibri"/>
          <w:b/>
          <w:bCs/>
          <w:color w:val="000000" w:themeColor="text1"/>
        </w:rPr>
      </w:pPr>
      <w:r>
        <w:rPr>
          <w:rFonts w:ascii="Calibri" w:hAnsi="Calibri" w:cs="Calibri"/>
          <w:b/>
          <w:bCs/>
          <w:color w:val="000000" w:themeColor="text1"/>
        </w:rPr>
        <w:t>Word count- 167</w:t>
      </w:r>
    </w:p>
    <w:p w14:paraId="6A88B523" w14:textId="6E82EB88" w:rsidR="00D12422" w:rsidRPr="00F02387" w:rsidRDefault="00D12422" w:rsidP="00F02387">
      <w:pPr>
        <w:spacing w:line="360" w:lineRule="auto"/>
        <w:rPr>
          <w:rFonts w:ascii="Calibri" w:hAnsi="Calibri" w:cs="Calibri"/>
          <w:color w:val="000000" w:themeColor="text1"/>
        </w:rPr>
      </w:pPr>
      <w:r w:rsidRPr="00F02387">
        <w:rPr>
          <w:rFonts w:ascii="Calibri" w:hAnsi="Calibri" w:cs="Calibri"/>
          <w:color w:val="000000" w:themeColor="text1"/>
        </w:rPr>
        <w:t>The definition of a Forest school states that</w:t>
      </w:r>
      <w:r w:rsidR="008D5C0C" w:rsidRPr="00F02387">
        <w:rPr>
          <w:rFonts w:ascii="Calibri" w:hAnsi="Calibri" w:cs="Calibri"/>
          <w:color w:val="000000" w:themeColor="text1"/>
        </w:rPr>
        <w:t>:</w:t>
      </w:r>
    </w:p>
    <w:p w14:paraId="06FDDEBA" w14:textId="4F51C0FB" w:rsidR="00E26E2C" w:rsidRPr="00F02387" w:rsidRDefault="00D12422" w:rsidP="00F02387">
      <w:pPr>
        <w:spacing w:line="360" w:lineRule="auto"/>
        <w:ind w:firstLine="720"/>
        <w:rPr>
          <w:rFonts w:ascii="Calibri" w:hAnsi="Calibri" w:cs="Calibri"/>
          <w:color w:val="000000" w:themeColor="text1"/>
        </w:rPr>
      </w:pPr>
      <w:r w:rsidRPr="00F02387">
        <w:rPr>
          <w:rFonts w:ascii="Calibri" w:hAnsi="Calibri" w:cs="Calibri"/>
          <w:i/>
          <w:iCs/>
          <w:color w:val="000000" w:themeColor="text1"/>
        </w:rPr>
        <w:t xml:space="preserve">it is an inspirational process that offers children, young people and </w:t>
      </w:r>
      <w:proofErr w:type="gramStart"/>
      <w:r w:rsidRPr="00F02387">
        <w:rPr>
          <w:rFonts w:ascii="Calibri" w:hAnsi="Calibri" w:cs="Calibri"/>
          <w:i/>
          <w:iCs/>
          <w:color w:val="000000" w:themeColor="text1"/>
        </w:rPr>
        <w:t>adults</w:t>
      </w:r>
      <w:proofErr w:type="gramEnd"/>
      <w:r w:rsidRPr="00F02387">
        <w:rPr>
          <w:rFonts w:ascii="Calibri" w:hAnsi="Calibri" w:cs="Calibri"/>
          <w:i/>
          <w:iCs/>
          <w:color w:val="000000" w:themeColor="text1"/>
        </w:rPr>
        <w:t xml:space="preserve"> regular opportunities to achieve and develop confidence and </w:t>
      </w:r>
      <w:proofErr w:type="spellStart"/>
      <w:r w:rsidRPr="00F02387">
        <w:rPr>
          <w:rFonts w:ascii="Calibri" w:hAnsi="Calibri" w:cs="Calibri"/>
          <w:i/>
          <w:iCs/>
          <w:color w:val="000000" w:themeColor="text1"/>
        </w:rPr>
        <w:t>self esteem</w:t>
      </w:r>
      <w:proofErr w:type="spellEnd"/>
      <w:r w:rsidRPr="00F02387">
        <w:rPr>
          <w:rFonts w:ascii="Calibri" w:hAnsi="Calibri" w:cs="Calibri"/>
          <w:i/>
          <w:iCs/>
          <w:color w:val="000000" w:themeColor="text1"/>
        </w:rPr>
        <w:t xml:space="preserve"> though hands on learning experiences in a woodland environment</w:t>
      </w:r>
      <w:r w:rsidR="008D5C0C" w:rsidRPr="00F02387">
        <w:rPr>
          <w:rFonts w:ascii="Calibri" w:hAnsi="Calibri" w:cs="Calibri"/>
          <w:color w:val="000000" w:themeColor="text1"/>
        </w:rPr>
        <w:t>.</w:t>
      </w:r>
    </w:p>
    <w:p w14:paraId="0E652ABD" w14:textId="2F92C58E" w:rsidR="008D5C0C" w:rsidRPr="00F02387" w:rsidRDefault="008D5C0C" w:rsidP="00F02387">
      <w:pPr>
        <w:spacing w:line="360" w:lineRule="auto"/>
        <w:ind w:firstLine="720"/>
        <w:jc w:val="right"/>
        <w:rPr>
          <w:rFonts w:ascii="Calibri" w:hAnsi="Calibri" w:cs="Calibri"/>
          <w:color w:val="000000" w:themeColor="text1"/>
        </w:rPr>
      </w:pPr>
      <w:r w:rsidRPr="00F02387">
        <w:rPr>
          <w:rFonts w:ascii="Calibri" w:hAnsi="Calibri" w:cs="Calibri"/>
          <w:color w:val="000000" w:themeColor="text1"/>
        </w:rPr>
        <w:t>(O’Brien, Murray, 2006, p6)</w:t>
      </w:r>
    </w:p>
    <w:p w14:paraId="2CB1A9E2" w14:textId="6746A22B" w:rsidR="008D5C0C" w:rsidRPr="00F02387" w:rsidRDefault="001859E0" w:rsidP="00F02387">
      <w:pPr>
        <w:spacing w:line="360" w:lineRule="auto"/>
        <w:rPr>
          <w:rFonts w:ascii="Calibri" w:hAnsi="Calibri" w:cs="Calibri"/>
          <w:color w:val="000000" w:themeColor="text1"/>
        </w:rPr>
      </w:pPr>
      <w:r w:rsidRPr="00F02387">
        <w:rPr>
          <w:rFonts w:ascii="Calibri" w:hAnsi="Calibri" w:cs="Calibri"/>
          <w:color w:val="000000" w:themeColor="text1"/>
        </w:rPr>
        <w:t xml:space="preserve">There are growing concerns that the younger generation of children will not receive a full outdoor learning experience like their parents would have. </w:t>
      </w:r>
      <w:r w:rsidR="00516CDB" w:rsidRPr="00F02387">
        <w:rPr>
          <w:rFonts w:ascii="Calibri" w:hAnsi="Calibri" w:cs="Calibri"/>
          <w:color w:val="000000" w:themeColor="text1"/>
        </w:rPr>
        <w:t xml:space="preserve">Parents and staff are too worried about injuries occurring outdoors. </w:t>
      </w:r>
      <w:r w:rsidRPr="00F02387">
        <w:rPr>
          <w:rFonts w:ascii="Calibri" w:hAnsi="Calibri" w:cs="Calibri"/>
          <w:color w:val="000000" w:themeColor="text1"/>
        </w:rPr>
        <w:t>Indoor learning is so highly developed</w:t>
      </w:r>
      <w:r w:rsidR="00516CDB" w:rsidRPr="00F02387">
        <w:rPr>
          <w:rFonts w:ascii="Calibri" w:hAnsi="Calibri" w:cs="Calibri"/>
          <w:color w:val="000000" w:themeColor="text1"/>
        </w:rPr>
        <w:t xml:space="preserve"> that children can do outdoor activities inside (O’Brien and Murray, 2006). </w:t>
      </w:r>
    </w:p>
    <w:p w14:paraId="1BC82BAF" w14:textId="7CAF74AA" w:rsidR="00516CDB" w:rsidRPr="00F02387" w:rsidRDefault="00FA6BC5" w:rsidP="00F02387">
      <w:pPr>
        <w:spacing w:line="360" w:lineRule="auto"/>
        <w:rPr>
          <w:rFonts w:ascii="Calibri" w:hAnsi="Calibri" w:cs="Calibri"/>
          <w:color w:val="000000" w:themeColor="text1"/>
        </w:rPr>
      </w:pPr>
      <w:r w:rsidRPr="00F02387">
        <w:rPr>
          <w:rFonts w:ascii="Calibri" w:hAnsi="Calibri" w:cs="Calibri"/>
          <w:color w:val="000000" w:themeColor="text1"/>
        </w:rPr>
        <w:t xml:space="preserve">Ward </w:t>
      </w:r>
      <w:proofErr w:type="spellStart"/>
      <w:r w:rsidRPr="00F02387">
        <w:rPr>
          <w:rFonts w:ascii="Calibri" w:hAnsi="Calibri" w:cs="Calibri"/>
          <w:color w:val="000000" w:themeColor="text1"/>
        </w:rPr>
        <w:t>Thompsan</w:t>
      </w:r>
      <w:proofErr w:type="spellEnd"/>
      <w:r w:rsidRPr="00F02387">
        <w:rPr>
          <w:rFonts w:ascii="Calibri" w:hAnsi="Calibri" w:cs="Calibri"/>
          <w:color w:val="000000" w:themeColor="text1"/>
        </w:rPr>
        <w:t xml:space="preserve"> et </w:t>
      </w:r>
      <w:proofErr w:type="spellStart"/>
      <w:r w:rsidRPr="00F02387">
        <w:rPr>
          <w:rFonts w:ascii="Calibri" w:hAnsi="Calibri" w:cs="Calibri"/>
          <w:color w:val="000000" w:themeColor="text1"/>
        </w:rPr>
        <w:t>al’s</w:t>
      </w:r>
      <w:proofErr w:type="spellEnd"/>
      <w:r w:rsidRPr="00F02387">
        <w:rPr>
          <w:rFonts w:ascii="Calibri" w:hAnsi="Calibri" w:cs="Calibri"/>
          <w:color w:val="000000" w:themeColor="text1"/>
        </w:rPr>
        <w:t xml:space="preserve"> (2004) r</w:t>
      </w:r>
      <w:r w:rsidR="00516CDB" w:rsidRPr="00F02387">
        <w:rPr>
          <w:rFonts w:ascii="Calibri" w:hAnsi="Calibri" w:cs="Calibri"/>
          <w:color w:val="000000" w:themeColor="text1"/>
        </w:rPr>
        <w:t xml:space="preserve">esearch shows that if children don’t spend time outside whilst they are young, they </w:t>
      </w:r>
      <w:r w:rsidRPr="00F02387">
        <w:rPr>
          <w:rFonts w:ascii="Calibri" w:hAnsi="Calibri" w:cs="Calibri"/>
          <w:color w:val="000000" w:themeColor="text1"/>
        </w:rPr>
        <w:t>won’t</w:t>
      </w:r>
      <w:r w:rsidR="00516CDB" w:rsidRPr="00F02387">
        <w:rPr>
          <w:rFonts w:ascii="Calibri" w:hAnsi="Calibri" w:cs="Calibri"/>
          <w:color w:val="000000" w:themeColor="text1"/>
        </w:rPr>
        <w:t xml:space="preserve"> do it as often as adults and will therefore lack the physical and emotional benefits that nature has to offer.</w:t>
      </w:r>
      <w:r w:rsidRPr="00F02387">
        <w:rPr>
          <w:rFonts w:ascii="Calibri" w:hAnsi="Calibri" w:cs="Calibri"/>
          <w:color w:val="000000" w:themeColor="text1"/>
        </w:rPr>
        <w:t xml:space="preserve"> This is because an outdoor </w:t>
      </w:r>
      <w:r w:rsidR="00362C15" w:rsidRPr="00F02387">
        <w:rPr>
          <w:rFonts w:ascii="Calibri" w:hAnsi="Calibri" w:cs="Calibri"/>
          <w:color w:val="000000" w:themeColor="text1"/>
        </w:rPr>
        <w:t>learning</w:t>
      </w:r>
      <w:r w:rsidRPr="00F02387">
        <w:rPr>
          <w:rFonts w:ascii="Calibri" w:hAnsi="Calibri" w:cs="Calibri"/>
          <w:color w:val="000000" w:themeColor="text1"/>
        </w:rPr>
        <w:t xml:space="preserve"> experience differs greatly compared to learning in a classroom environment. The Welsh Government are encouraging schools to include Forest schools in their learning, particularly in the foundation phase.</w:t>
      </w:r>
    </w:p>
    <w:p w14:paraId="7044C344" w14:textId="1904000A" w:rsidR="00FA6BC5" w:rsidRPr="00F02387" w:rsidRDefault="00FA6BC5" w:rsidP="00F02387">
      <w:pPr>
        <w:spacing w:line="360" w:lineRule="auto"/>
        <w:rPr>
          <w:rFonts w:ascii="Calibri" w:hAnsi="Calibri" w:cs="Calibri"/>
          <w:color w:val="000000" w:themeColor="text1"/>
        </w:rPr>
      </w:pPr>
    </w:p>
    <w:p w14:paraId="49824EAF" w14:textId="69D0B105" w:rsidR="00FA6BC5" w:rsidRPr="00F02387" w:rsidRDefault="00FA6BC5" w:rsidP="00F02387">
      <w:pPr>
        <w:spacing w:line="360" w:lineRule="auto"/>
        <w:rPr>
          <w:rFonts w:ascii="Calibri" w:hAnsi="Calibri" w:cs="Calibri"/>
          <w:color w:val="000000" w:themeColor="text1"/>
        </w:rPr>
      </w:pPr>
      <w:r w:rsidRPr="00F02387">
        <w:rPr>
          <w:rFonts w:ascii="Calibri" w:hAnsi="Calibri" w:cs="Calibri"/>
          <w:color w:val="000000" w:themeColor="text1"/>
        </w:rPr>
        <w:t>Reference</w:t>
      </w:r>
      <w:r w:rsidR="008429E8" w:rsidRPr="00F02387">
        <w:rPr>
          <w:rFonts w:ascii="Calibri" w:hAnsi="Calibri" w:cs="Calibri"/>
          <w:color w:val="000000" w:themeColor="text1"/>
        </w:rPr>
        <w:t xml:space="preserve"> list</w:t>
      </w:r>
      <w:r w:rsidRPr="00F02387">
        <w:rPr>
          <w:rFonts w:ascii="Calibri" w:hAnsi="Calibri" w:cs="Calibri"/>
          <w:color w:val="000000" w:themeColor="text1"/>
        </w:rPr>
        <w:t>:</w:t>
      </w:r>
    </w:p>
    <w:p w14:paraId="43F62181" w14:textId="77777777" w:rsidR="008429E8" w:rsidRPr="00F02387" w:rsidRDefault="008429E8" w:rsidP="00F02387">
      <w:pPr>
        <w:spacing w:line="360" w:lineRule="auto"/>
        <w:rPr>
          <w:rFonts w:ascii="Calibri" w:hAnsi="Calibri" w:cs="Calibri"/>
          <w:color w:val="000000" w:themeColor="text1"/>
        </w:rPr>
      </w:pPr>
    </w:p>
    <w:p w14:paraId="2E409A35" w14:textId="490E483D" w:rsidR="00AB51E9" w:rsidRPr="00F02387" w:rsidRDefault="00AB51E9" w:rsidP="00F02387">
      <w:pPr>
        <w:spacing w:line="360" w:lineRule="auto"/>
        <w:rPr>
          <w:rFonts w:ascii="Calibri" w:hAnsi="Calibri" w:cs="Calibri"/>
          <w:color w:val="000000" w:themeColor="text1"/>
        </w:rPr>
      </w:pPr>
      <w:r w:rsidRPr="00F02387">
        <w:rPr>
          <w:rFonts w:ascii="Calibri" w:hAnsi="Calibri" w:cs="Calibri"/>
          <w:color w:val="000000" w:themeColor="text1"/>
        </w:rPr>
        <w:t>E. O’Brien and R. Murray (2006) A marvellous opportunity for children to learn: A participatory evaluation of Forest School in England and Wales, Farnham: Forest Research.</w:t>
      </w:r>
    </w:p>
    <w:p w14:paraId="7F68A869" w14:textId="77777777" w:rsidR="00AB51E9" w:rsidRPr="00F02387" w:rsidRDefault="00AB51E9" w:rsidP="00F02387">
      <w:pPr>
        <w:spacing w:line="360" w:lineRule="auto"/>
        <w:rPr>
          <w:rFonts w:ascii="Calibri" w:hAnsi="Calibri" w:cs="Calibri"/>
          <w:color w:val="000000" w:themeColor="text1"/>
        </w:rPr>
      </w:pPr>
      <w:r w:rsidRPr="00F02387">
        <w:rPr>
          <w:rFonts w:ascii="Calibri" w:hAnsi="Calibri" w:cs="Calibri"/>
          <w:color w:val="000000" w:themeColor="text1"/>
        </w:rPr>
        <w:t>Ward Thompson, C. et al (2004) Open space and social inclusion: Local woodland use in central Scotland. Report to the Forestry Commission, Edinburgh, 2004.</w:t>
      </w:r>
    </w:p>
    <w:p w14:paraId="3D724D42" w14:textId="650AAB6D" w:rsidR="008D3E85" w:rsidRPr="00F02387" w:rsidRDefault="008D3E85" w:rsidP="00F02387">
      <w:pPr>
        <w:spacing w:line="360" w:lineRule="auto"/>
        <w:rPr>
          <w:rFonts w:ascii="Calibri" w:hAnsi="Calibri" w:cs="Calibri"/>
          <w:color w:val="000000" w:themeColor="text1"/>
        </w:rPr>
      </w:pPr>
    </w:p>
    <w:p w14:paraId="655F5541" w14:textId="15568498" w:rsidR="008D3E85" w:rsidRPr="00F02387" w:rsidRDefault="008D3E85" w:rsidP="00F02387">
      <w:pPr>
        <w:spacing w:line="360" w:lineRule="auto"/>
        <w:rPr>
          <w:rFonts w:ascii="Calibri" w:hAnsi="Calibri" w:cs="Calibri"/>
          <w:color w:val="000000" w:themeColor="text1"/>
        </w:rPr>
      </w:pPr>
    </w:p>
    <w:p w14:paraId="332976DD" w14:textId="72A47B1D" w:rsidR="008D3E85" w:rsidRDefault="008D3E85"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Part 2b-</w:t>
      </w:r>
    </w:p>
    <w:p w14:paraId="2B13F3BC" w14:textId="77054062" w:rsidR="00F02387" w:rsidRPr="00F02387" w:rsidRDefault="00F02387" w:rsidP="00F02387">
      <w:pPr>
        <w:spacing w:line="360" w:lineRule="auto"/>
        <w:rPr>
          <w:rFonts w:ascii="Calibri" w:hAnsi="Calibri" w:cs="Calibri"/>
          <w:b/>
          <w:bCs/>
          <w:color w:val="000000" w:themeColor="text1"/>
        </w:rPr>
      </w:pPr>
      <w:r>
        <w:rPr>
          <w:rFonts w:ascii="Calibri" w:hAnsi="Calibri" w:cs="Calibri"/>
          <w:b/>
          <w:bCs/>
          <w:color w:val="000000" w:themeColor="text1"/>
        </w:rPr>
        <w:t>Word Count- 590</w:t>
      </w:r>
    </w:p>
    <w:p w14:paraId="6AC3FF79" w14:textId="4EE1A89B" w:rsidR="00B01760" w:rsidRPr="00F02387" w:rsidRDefault="00B01760" w:rsidP="00F02387">
      <w:pPr>
        <w:spacing w:line="360" w:lineRule="auto"/>
        <w:rPr>
          <w:rFonts w:ascii="Calibri" w:hAnsi="Calibri" w:cs="Calibri"/>
          <w:color w:val="000000" w:themeColor="text1"/>
        </w:rPr>
      </w:pPr>
    </w:p>
    <w:p w14:paraId="420E187A" w14:textId="6211F289" w:rsidR="008D3E85" w:rsidRPr="00F02387" w:rsidRDefault="00362C15" w:rsidP="00F02387">
      <w:pPr>
        <w:pStyle w:val="ListParagraph"/>
        <w:numPr>
          <w:ilvl w:val="0"/>
          <w:numId w:val="1"/>
        </w:numPr>
        <w:spacing w:line="360" w:lineRule="auto"/>
        <w:rPr>
          <w:rFonts w:ascii="Calibri" w:hAnsi="Calibri" w:cs="Calibri"/>
          <w:color w:val="000000" w:themeColor="text1"/>
        </w:rPr>
      </w:pPr>
      <w:r w:rsidRPr="00F02387">
        <w:rPr>
          <w:rFonts w:ascii="Calibri" w:hAnsi="Calibri" w:cs="Calibri"/>
          <w:color w:val="000000" w:themeColor="text1"/>
        </w:rPr>
        <w:t>Failing to acknowledge the source of information in academic writing can lead to being accused of plagiarism.</w:t>
      </w:r>
      <w:r w:rsidR="005849B9" w:rsidRPr="00F02387">
        <w:rPr>
          <w:rFonts w:ascii="Calibri" w:hAnsi="Calibri" w:cs="Calibri"/>
          <w:color w:val="000000" w:themeColor="text1"/>
        </w:rPr>
        <w:t xml:space="preserve"> Plagiarism is taking someone else’s work and claiming t to be </w:t>
      </w:r>
      <w:r w:rsidR="005849B9" w:rsidRPr="00F02387">
        <w:rPr>
          <w:rFonts w:ascii="Calibri" w:hAnsi="Calibri" w:cs="Calibri"/>
          <w:color w:val="000000" w:themeColor="text1"/>
        </w:rPr>
        <w:lastRenderedPageBreak/>
        <w:t>our own, this could be on purpose or accidental if referencing is not sued correctly.</w:t>
      </w:r>
      <w:r w:rsidRPr="00F02387">
        <w:rPr>
          <w:rFonts w:ascii="Calibri" w:hAnsi="Calibri" w:cs="Calibri"/>
          <w:color w:val="000000" w:themeColor="text1"/>
        </w:rPr>
        <w:t xml:space="preserve"> It is important as students that we avoid this so that our work is considered our own and not the work of someone else. Failing to acknowledge someone else’s work within our own can lead to an automatic zero on an assignment.</w:t>
      </w:r>
    </w:p>
    <w:p w14:paraId="78B0A58E" w14:textId="279356C2" w:rsidR="00362C15" w:rsidRPr="00F02387" w:rsidRDefault="005849B9" w:rsidP="00F02387">
      <w:pPr>
        <w:pStyle w:val="ListParagraph"/>
        <w:numPr>
          <w:ilvl w:val="0"/>
          <w:numId w:val="1"/>
        </w:numPr>
        <w:spacing w:line="360" w:lineRule="auto"/>
        <w:rPr>
          <w:rFonts w:ascii="Calibri" w:hAnsi="Calibri" w:cs="Calibri"/>
          <w:b/>
          <w:bCs/>
          <w:color w:val="000000" w:themeColor="text1"/>
        </w:rPr>
      </w:pPr>
      <w:r w:rsidRPr="00F02387">
        <w:rPr>
          <w:rFonts w:ascii="Calibri" w:hAnsi="Calibri" w:cs="Calibri"/>
          <w:b/>
          <w:bCs/>
          <w:color w:val="000000" w:themeColor="text1"/>
        </w:rPr>
        <w:t>“You only have to reference when you use a direct quotation”</w:t>
      </w:r>
    </w:p>
    <w:p w14:paraId="5A740A05" w14:textId="4E9658C3" w:rsidR="005849B9" w:rsidRPr="00F02387" w:rsidRDefault="005849B9" w:rsidP="00F02387">
      <w:pPr>
        <w:pStyle w:val="ListParagraph"/>
        <w:spacing w:line="360" w:lineRule="auto"/>
        <w:rPr>
          <w:rFonts w:ascii="Calibri" w:hAnsi="Calibri" w:cs="Calibri"/>
          <w:color w:val="000000" w:themeColor="text1"/>
        </w:rPr>
      </w:pPr>
      <w:r w:rsidRPr="00F02387">
        <w:rPr>
          <w:rFonts w:ascii="Calibri" w:hAnsi="Calibri" w:cs="Calibri"/>
          <w:color w:val="000000" w:themeColor="text1"/>
        </w:rPr>
        <w:t>This is false. Whether you use a direct quotation or paraphrase you need to cite and reference it. However, with a direct quote you must provide a page number. If you paraphrase without referencing, then it could be mistaken for taking someone else’s work.</w:t>
      </w:r>
    </w:p>
    <w:p w14:paraId="64417199" w14:textId="1D53B9ED" w:rsidR="0018411F" w:rsidRPr="00F02387" w:rsidRDefault="005849B9" w:rsidP="00F02387">
      <w:pPr>
        <w:pStyle w:val="ListParagraph"/>
        <w:numPr>
          <w:ilvl w:val="0"/>
          <w:numId w:val="1"/>
        </w:numPr>
        <w:spacing w:line="360" w:lineRule="auto"/>
        <w:rPr>
          <w:rFonts w:ascii="Calibri" w:hAnsi="Calibri" w:cs="Calibri"/>
          <w:b/>
          <w:bCs/>
          <w:color w:val="000000" w:themeColor="text1"/>
        </w:rPr>
      </w:pPr>
      <w:r w:rsidRPr="00F02387">
        <w:rPr>
          <w:rFonts w:ascii="Calibri" w:hAnsi="Calibri" w:cs="Calibri"/>
          <w:b/>
          <w:bCs/>
          <w:color w:val="000000" w:themeColor="text1"/>
        </w:rPr>
        <w:t>“Wikipedia is a good place to search for information for your academic assignment</w:t>
      </w:r>
      <w:r w:rsidR="0018411F" w:rsidRPr="00F02387">
        <w:rPr>
          <w:rFonts w:ascii="Calibri" w:hAnsi="Calibri" w:cs="Calibri"/>
          <w:b/>
          <w:bCs/>
          <w:color w:val="000000" w:themeColor="text1"/>
        </w:rPr>
        <w:t>.</w:t>
      </w:r>
      <w:r w:rsidRPr="00F02387">
        <w:rPr>
          <w:rFonts w:ascii="Calibri" w:hAnsi="Calibri" w:cs="Calibri"/>
          <w:b/>
          <w:bCs/>
          <w:color w:val="000000" w:themeColor="text1"/>
        </w:rPr>
        <w:t>”</w:t>
      </w:r>
    </w:p>
    <w:p w14:paraId="30107411" w14:textId="61E996B8" w:rsidR="008A2E76" w:rsidRPr="00F02387" w:rsidRDefault="008A2E76" w:rsidP="00F02387">
      <w:pPr>
        <w:spacing w:line="360" w:lineRule="auto"/>
        <w:ind w:left="360"/>
        <w:rPr>
          <w:rFonts w:ascii="Calibri" w:hAnsi="Calibri" w:cs="Calibri"/>
          <w:color w:val="000000" w:themeColor="text1"/>
        </w:rPr>
      </w:pPr>
      <w:r w:rsidRPr="00F02387">
        <w:rPr>
          <w:rFonts w:ascii="Calibri" w:hAnsi="Calibri" w:cs="Calibri"/>
          <w:color w:val="000000" w:themeColor="text1"/>
        </w:rPr>
        <w:t>I believe the statement above is false. I don’t think Wikipedia is a good place to get informa</w:t>
      </w:r>
      <w:r w:rsidR="006D491F" w:rsidRPr="00F02387">
        <w:rPr>
          <w:rFonts w:ascii="Calibri" w:hAnsi="Calibri" w:cs="Calibri"/>
          <w:color w:val="000000" w:themeColor="text1"/>
        </w:rPr>
        <w:t>tion for an academic assignment. My reasons for this being is th</w:t>
      </w:r>
      <w:r w:rsidR="00406EA4" w:rsidRPr="00F02387">
        <w:rPr>
          <w:rFonts w:ascii="Calibri" w:hAnsi="Calibri" w:cs="Calibri"/>
          <w:color w:val="000000" w:themeColor="text1"/>
        </w:rPr>
        <w:t>at Wikipedia allows users to edit and adapt information and it is unknown as to whether the edited information presented is credible (</w:t>
      </w:r>
      <w:proofErr w:type="spellStart"/>
      <w:r w:rsidR="00406EA4" w:rsidRPr="00F02387">
        <w:rPr>
          <w:rFonts w:ascii="Calibri" w:hAnsi="Calibri" w:cs="Calibri"/>
          <w:color w:val="000000" w:themeColor="text1"/>
        </w:rPr>
        <w:t>Paperpile</w:t>
      </w:r>
      <w:proofErr w:type="spellEnd"/>
      <w:r w:rsidR="00406EA4" w:rsidRPr="00F02387">
        <w:rPr>
          <w:rFonts w:ascii="Calibri" w:hAnsi="Calibri" w:cs="Calibri"/>
          <w:color w:val="000000" w:themeColor="text1"/>
        </w:rPr>
        <w:t>)</w:t>
      </w:r>
    </w:p>
    <w:p w14:paraId="5947F5FF" w14:textId="45D3B87A" w:rsidR="00406EA4" w:rsidRPr="00F02387" w:rsidRDefault="00406EA4" w:rsidP="00F02387">
      <w:pPr>
        <w:spacing w:line="360" w:lineRule="auto"/>
        <w:ind w:left="360"/>
        <w:rPr>
          <w:rFonts w:ascii="Calibri" w:hAnsi="Calibri" w:cs="Calibri"/>
          <w:color w:val="000000" w:themeColor="text1"/>
        </w:rPr>
      </w:pPr>
    </w:p>
    <w:p w14:paraId="6658FE94" w14:textId="263B8E6E" w:rsidR="008429E8" w:rsidRPr="00F02387" w:rsidRDefault="008429E8" w:rsidP="00F02387">
      <w:pPr>
        <w:spacing w:line="360" w:lineRule="auto"/>
        <w:ind w:left="360"/>
        <w:rPr>
          <w:rFonts w:ascii="Calibri" w:hAnsi="Calibri" w:cs="Calibri"/>
          <w:b/>
          <w:bCs/>
          <w:color w:val="000000" w:themeColor="text1"/>
        </w:rPr>
      </w:pPr>
      <w:r w:rsidRPr="00F02387">
        <w:rPr>
          <w:rFonts w:ascii="Calibri" w:hAnsi="Calibri" w:cs="Calibri"/>
          <w:b/>
          <w:bCs/>
          <w:color w:val="000000" w:themeColor="text1"/>
        </w:rPr>
        <w:t>Reference list:</w:t>
      </w:r>
    </w:p>
    <w:p w14:paraId="16A878C5" w14:textId="7E55DA8D" w:rsidR="00406EA4" w:rsidRPr="00F02387" w:rsidRDefault="00406EA4" w:rsidP="00F02387">
      <w:pPr>
        <w:spacing w:line="360" w:lineRule="auto"/>
        <w:ind w:left="360"/>
        <w:rPr>
          <w:rFonts w:ascii="Calibri" w:hAnsi="Calibri" w:cs="Calibri"/>
          <w:color w:val="000000" w:themeColor="text1"/>
        </w:rPr>
      </w:pPr>
      <w:proofErr w:type="spellStart"/>
      <w:r w:rsidRPr="00F02387">
        <w:rPr>
          <w:rFonts w:ascii="Calibri" w:hAnsi="Calibri" w:cs="Calibri"/>
          <w:color w:val="000000" w:themeColor="text1"/>
        </w:rPr>
        <w:t>Paperpile</w:t>
      </w:r>
      <w:proofErr w:type="spellEnd"/>
      <w:r w:rsidRPr="00F02387">
        <w:rPr>
          <w:rFonts w:ascii="Calibri" w:hAnsi="Calibri" w:cs="Calibri"/>
          <w:color w:val="000000" w:themeColor="text1"/>
        </w:rPr>
        <w:t>, research and writing guides (accessed 1</w:t>
      </w:r>
      <w:r w:rsidRPr="00F02387">
        <w:rPr>
          <w:rFonts w:ascii="Calibri" w:hAnsi="Calibri" w:cs="Calibri"/>
          <w:color w:val="000000" w:themeColor="text1"/>
          <w:vertAlign w:val="superscript"/>
        </w:rPr>
        <w:t>st</w:t>
      </w:r>
      <w:r w:rsidRPr="00F02387">
        <w:rPr>
          <w:rFonts w:ascii="Calibri" w:hAnsi="Calibri" w:cs="Calibri"/>
          <w:color w:val="000000" w:themeColor="text1"/>
        </w:rPr>
        <w:t xml:space="preserve"> </w:t>
      </w:r>
      <w:proofErr w:type="spellStart"/>
      <w:r w:rsidRPr="00F02387">
        <w:rPr>
          <w:rFonts w:ascii="Calibri" w:hAnsi="Calibri" w:cs="Calibri"/>
          <w:color w:val="000000" w:themeColor="text1"/>
        </w:rPr>
        <w:t>Decemeber</w:t>
      </w:r>
      <w:proofErr w:type="spellEnd"/>
      <w:r w:rsidRPr="00F02387">
        <w:rPr>
          <w:rFonts w:ascii="Calibri" w:hAnsi="Calibri" w:cs="Calibri"/>
          <w:color w:val="000000" w:themeColor="text1"/>
        </w:rPr>
        <w:t xml:space="preserve"> 2022) </w:t>
      </w:r>
      <w:hyperlink r:id="rId5" w:history="1">
        <w:r w:rsidRPr="00F02387">
          <w:rPr>
            <w:rStyle w:val="Hyperlink"/>
            <w:rFonts w:ascii="Calibri" w:hAnsi="Calibri" w:cs="Calibri"/>
            <w:color w:val="000000" w:themeColor="text1"/>
          </w:rPr>
          <w:t>https://paperpile.com/g/wikipedia-credible-source/</w:t>
        </w:r>
      </w:hyperlink>
    </w:p>
    <w:p w14:paraId="3E0EE5A6" w14:textId="77777777" w:rsidR="00406EA4" w:rsidRPr="00F02387" w:rsidRDefault="00406EA4" w:rsidP="00F02387">
      <w:pPr>
        <w:spacing w:line="360" w:lineRule="auto"/>
        <w:ind w:left="360"/>
        <w:rPr>
          <w:rFonts w:ascii="Calibri" w:hAnsi="Calibri" w:cs="Calibri"/>
          <w:color w:val="000000" w:themeColor="text1"/>
        </w:rPr>
      </w:pPr>
    </w:p>
    <w:p w14:paraId="22AB50D8" w14:textId="01B186B3" w:rsidR="0018411F" w:rsidRPr="00F02387" w:rsidRDefault="0018411F" w:rsidP="00F02387">
      <w:pPr>
        <w:pStyle w:val="ListParagraph"/>
        <w:numPr>
          <w:ilvl w:val="0"/>
          <w:numId w:val="1"/>
        </w:numPr>
        <w:spacing w:line="360" w:lineRule="auto"/>
        <w:rPr>
          <w:rFonts w:ascii="Calibri" w:hAnsi="Calibri" w:cs="Calibri"/>
          <w:color w:val="000000" w:themeColor="text1"/>
        </w:rPr>
      </w:pPr>
      <w:r w:rsidRPr="00F02387">
        <w:rPr>
          <w:rFonts w:ascii="Calibri" w:hAnsi="Calibri" w:cs="Calibri"/>
          <w:color w:val="000000" w:themeColor="text1"/>
        </w:rPr>
        <w:t>How to reference and present a quotation of more than 30 words</w:t>
      </w:r>
      <w:r w:rsidR="00E12150" w:rsidRPr="00F02387">
        <w:rPr>
          <w:rFonts w:ascii="Calibri" w:hAnsi="Calibri" w:cs="Calibri"/>
          <w:color w:val="000000" w:themeColor="text1"/>
        </w:rPr>
        <w:t>.</w:t>
      </w:r>
    </w:p>
    <w:p w14:paraId="71893652" w14:textId="77777777" w:rsidR="00E12150" w:rsidRPr="00F02387" w:rsidRDefault="00E12150" w:rsidP="00F02387">
      <w:pPr>
        <w:pStyle w:val="ListParagraph"/>
        <w:numPr>
          <w:ilvl w:val="0"/>
          <w:numId w:val="2"/>
        </w:numPr>
        <w:spacing w:line="360" w:lineRule="auto"/>
        <w:rPr>
          <w:rFonts w:ascii="Calibri" w:hAnsi="Calibri" w:cs="Calibri"/>
          <w:color w:val="000000" w:themeColor="text1"/>
        </w:rPr>
      </w:pPr>
      <w:proofErr w:type="gramStart"/>
      <w:r w:rsidRPr="00F02387">
        <w:rPr>
          <w:rFonts w:ascii="Calibri" w:hAnsi="Calibri" w:cs="Calibri"/>
          <w:color w:val="000000" w:themeColor="text1"/>
        </w:rPr>
        <w:t>In order to</w:t>
      </w:r>
      <w:proofErr w:type="gramEnd"/>
      <w:r w:rsidRPr="00F02387">
        <w:rPr>
          <w:rFonts w:ascii="Calibri" w:hAnsi="Calibri" w:cs="Calibri"/>
          <w:color w:val="000000" w:themeColor="text1"/>
        </w:rPr>
        <w:t xml:space="preserve"> reference and present a direct quote which consists of 30 or more words or the equivalent to two lines it must be placed in a new paragraph. This is to separate it from the rest of the text. </w:t>
      </w:r>
    </w:p>
    <w:p w14:paraId="1289272B" w14:textId="37F5CFB7" w:rsidR="00E12150" w:rsidRPr="00F02387" w:rsidRDefault="00E12150" w:rsidP="00F02387">
      <w:pPr>
        <w:pStyle w:val="ListParagraph"/>
        <w:numPr>
          <w:ilvl w:val="0"/>
          <w:numId w:val="2"/>
        </w:numPr>
        <w:spacing w:line="360" w:lineRule="auto"/>
        <w:rPr>
          <w:rFonts w:ascii="Calibri" w:hAnsi="Calibri" w:cs="Calibri"/>
          <w:color w:val="000000" w:themeColor="text1"/>
        </w:rPr>
      </w:pPr>
      <w:r w:rsidRPr="00F02387">
        <w:rPr>
          <w:rFonts w:ascii="Calibri" w:hAnsi="Calibri" w:cs="Calibri"/>
          <w:color w:val="000000" w:themeColor="text1"/>
        </w:rPr>
        <w:t xml:space="preserve">Quotations are not needed however it should be indented and put in italics. </w:t>
      </w:r>
    </w:p>
    <w:p w14:paraId="6C2E76EB" w14:textId="43287066" w:rsidR="00E12150" w:rsidRPr="00F02387" w:rsidRDefault="00E12150" w:rsidP="00F02387">
      <w:pPr>
        <w:pStyle w:val="ListParagraph"/>
        <w:numPr>
          <w:ilvl w:val="0"/>
          <w:numId w:val="2"/>
        </w:numPr>
        <w:spacing w:line="360" w:lineRule="auto"/>
        <w:rPr>
          <w:rFonts w:ascii="Calibri" w:hAnsi="Calibri" w:cs="Calibri"/>
          <w:color w:val="000000" w:themeColor="text1"/>
        </w:rPr>
      </w:pPr>
      <w:r w:rsidRPr="00F02387">
        <w:rPr>
          <w:rFonts w:ascii="Calibri" w:hAnsi="Calibri" w:cs="Calibri"/>
          <w:color w:val="000000" w:themeColor="text1"/>
        </w:rPr>
        <w:t xml:space="preserve">On the </w:t>
      </w:r>
      <w:r w:rsidR="008A2E76" w:rsidRPr="00F02387">
        <w:rPr>
          <w:rFonts w:ascii="Calibri" w:hAnsi="Calibri" w:cs="Calibri"/>
          <w:color w:val="000000" w:themeColor="text1"/>
        </w:rPr>
        <w:t>left-hand</w:t>
      </w:r>
      <w:r w:rsidRPr="00F02387">
        <w:rPr>
          <w:rFonts w:ascii="Calibri" w:hAnsi="Calibri" w:cs="Calibri"/>
          <w:color w:val="000000" w:themeColor="text1"/>
        </w:rPr>
        <w:t xml:space="preserve"> side of a new line; put the authors surname, the year it was published and the page number in enclosed brackets. </w:t>
      </w:r>
    </w:p>
    <w:p w14:paraId="69AD7FAE" w14:textId="67FF3B95" w:rsidR="00E12150" w:rsidRPr="00F02387" w:rsidRDefault="00E12150" w:rsidP="00F02387">
      <w:pPr>
        <w:pStyle w:val="ListParagraph"/>
        <w:numPr>
          <w:ilvl w:val="0"/>
          <w:numId w:val="2"/>
        </w:numPr>
        <w:spacing w:line="360" w:lineRule="auto"/>
        <w:rPr>
          <w:rFonts w:ascii="Calibri" w:hAnsi="Calibri" w:cs="Calibri"/>
          <w:color w:val="000000" w:themeColor="text1"/>
        </w:rPr>
      </w:pPr>
      <w:r w:rsidRPr="00F02387">
        <w:rPr>
          <w:rFonts w:ascii="Calibri" w:hAnsi="Calibri" w:cs="Calibri"/>
          <w:color w:val="000000" w:themeColor="text1"/>
        </w:rPr>
        <w:t>Direct quotations must only be used if paraphrasing is not possible and only when needed.</w:t>
      </w:r>
    </w:p>
    <w:p w14:paraId="459DA79C" w14:textId="645D34CA" w:rsidR="00E12150" w:rsidRPr="00F02387" w:rsidRDefault="008A2E76" w:rsidP="00F02387">
      <w:pPr>
        <w:pStyle w:val="ListParagraph"/>
        <w:numPr>
          <w:ilvl w:val="0"/>
          <w:numId w:val="2"/>
        </w:numPr>
        <w:spacing w:line="360" w:lineRule="auto"/>
        <w:rPr>
          <w:rFonts w:ascii="Calibri" w:hAnsi="Calibri" w:cs="Calibri"/>
          <w:color w:val="000000" w:themeColor="text1"/>
        </w:rPr>
      </w:pPr>
      <w:r w:rsidRPr="00F02387">
        <w:rPr>
          <w:rFonts w:ascii="Calibri" w:hAnsi="Calibri" w:cs="Calibri"/>
          <w:color w:val="000000" w:themeColor="text1"/>
        </w:rPr>
        <w:t xml:space="preserve">The way you reference your resource in your reference list depends on the type of resource you have used. If it is directly from a </w:t>
      </w:r>
      <w:proofErr w:type="gramStart"/>
      <w:r w:rsidRPr="00F02387">
        <w:rPr>
          <w:rFonts w:ascii="Calibri" w:hAnsi="Calibri" w:cs="Calibri"/>
          <w:color w:val="000000" w:themeColor="text1"/>
        </w:rPr>
        <w:t>book</w:t>
      </w:r>
      <w:proofErr w:type="gramEnd"/>
      <w:r w:rsidRPr="00F02387">
        <w:rPr>
          <w:rFonts w:ascii="Calibri" w:hAnsi="Calibri" w:cs="Calibri"/>
          <w:color w:val="000000" w:themeColor="text1"/>
        </w:rPr>
        <w:t xml:space="preserve"> it will typically be set out as the following:</w:t>
      </w:r>
    </w:p>
    <w:p w14:paraId="2FDC0514" w14:textId="67F4A3C0" w:rsidR="008A2E76" w:rsidRPr="00F02387" w:rsidRDefault="008A2E76" w:rsidP="00F02387">
      <w:pPr>
        <w:pStyle w:val="ListParagraph"/>
        <w:numPr>
          <w:ilvl w:val="0"/>
          <w:numId w:val="3"/>
        </w:numPr>
        <w:spacing w:line="360" w:lineRule="auto"/>
        <w:rPr>
          <w:rFonts w:ascii="Calibri" w:hAnsi="Calibri" w:cs="Calibri"/>
          <w:color w:val="000000" w:themeColor="text1"/>
        </w:rPr>
      </w:pPr>
      <w:r w:rsidRPr="00F02387">
        <w:rPr>
          <w:rFonts w:ascii="Calibri" w:hAnsi="Calibri" w:cs="Calibri"/>
          <w:color w:val="000000" w:themeColor="text1"/>
        </w:rPr>
        <w:t>Author</w:t>
      </w:r>
    </w:p>
    <w:p w14:paraId="2F3AF4A3" w14:textId="2B3B0B73" w:rsidR="008A2E76" w:rsidRPr="00F02387" w:rsidRDefault="008A2E76" w:rsidP="00F02387">
      <w:pPr>
        <w:pStyle w:val="ListParagraph"/>
        <w:numPr>
          <w:ilvl w:val="0"/>
          <w:numId w:val="3"/>
        </w:numPr>
        <w:spacing w:line="360" w:lineRule="auto"/>
        <w:rPr>
          <w:rFonts w:ascii="Calibri" w:hAnsi="Calibri" w:cs="Calibri"/>
          <w:color w:val="000000" w:themeColor="text1"/>
        </w:rPr>
      </w:pPr>
      <w:r w:rsidRPr="00F02387">
        <w:rPr>
          <w:rFonts w:ascii="Calibri" w:hAnsi="Calibri" w:cs="Calibri"/>
          <w:color w:val="000000" w:themeColor="text1"/>
        </w:rPr>
        <w:lastRenderedPageBreak/>
        <w:t>Year of publication in round brackets</w:t>
      </w:r>
    </w:p>
    <w:p w14:paraId="1332FA52" w14:textId="476F98B1" w:rsidR="008A2E76" w:rsidRPr="00F02387" w:rsidRDefault="008A2E76" w:rsidP="00F02387">
      <w:pPr>
        <w:pStyle w:val="ListParagraph"/>
        <w:numPr>
          <w:ilvl w:val="0"/>
          <w:numId w:val="3"/>
        </w:numPr>
        <w:spacing w:line="360" w:lineRule="auto"/>
        <w:rPr>
          <w:rFonts w:ascii="Calibri" w:hAnsi="Calibri" w:cs="Calibri"/>
          <w:color w:val="000000" w:themeColor="text1"/>
        </w:rPr>
      </w:pPr>
      <w:r w:rsidRPr="00F02387">
        <w:rPr>
          <w:rFonts w:ascii="Calibri" w:hAnsi="Calibri" w:cs="Calibri"/>
          <w:color w:val="000000" w:themeColor="text1"/>
        </w:rPr>
        <w:t>The title in italics</w:t>
      </w:r>
    </w:p>
    <w:p w14:paraId="1F41A87A" w14:textId="66BF2443" w:rsidR="008A2E76" w:rsidRPr="00F02387" w:rsidRDefault="008A2E76" w:rsidP="00F02387">
      <w:pPr>
        <w:pStyle w:val="ListParagraph"/>
        <w:numPr>
          <w:ilvl w:val="0"/>
          <w:numId w:val="3"/>
        </w:numPr>
        <w:spacing w:line="360" w:lineRule="auto"/>
        <w:rPr>
          <w:rFonts w:ascii="Calibri" w:hAnsi="Calibri" w:cs="Calibri"/>
          <w:color w:val="000000" w:themeColor="text1"/>
        </w:rPr>
      </w:pPr>
      <w:r w:rsidRPr="00F02387">
        <w:rPr>
          <w:rFonts w:ascii="Calibri" w:hAnsi="Calibri" w:cs="Calibri"/>
          <w:color w:val="000000" w:themeColor="text1"/>
        </w:rPr>
        <w:t>The publisher</w:t>
      </w:r>
    </w:p>
    <w:p w14:paraId="4DDF1A58" w14:textId="038BE79C" w:rsidR="008A2E76" w:rsidRPr="00F02387" w:rsidRDefault="008A2E76" w:rsidP="00F02387">
      <w:pPr>
        <w:spacing w:line="360" w:lineRule="auto"/>
        <w:rPr>
          <w:rFonts w:ascii="Calibri" w:hAnsi="Calibri" w:cs="Calibri"/>
          <w:color w:val="000000" w:themeColor="text1"/>
        </w:rPr>
      </w:pPr>
    </w:p>
    <w:p w14:paraId="2940EE5E" w14:textId="29A1A878" w:rsidR="008A2E76" w:rsidRPr="00F02387" w:rsidRDefault="00326B63" w:rsidP="00F02387">
      <w:pPr>
        <w:spacing w:line="360" w:lineRule="auto"/>
        <w:rPr>
          <w:rFonts w:ascii="Calibri" w:hAnsi="Calibri" w:cs="Calibri"/>
          <w:color w:val="000000" w:themeColor="text1"/>
        </w:rPr>
      </w:pPr>
      <w:r w:rsidRPr="00F02387">
        <w:rPr>
          <w:rFonts w:ascii="Calibri" w:hAnsi="Calibri" w:cs="Calibri"/>
          <w:b/>
          <w:bCs/>
          <w:color w:val="000000" w:themeColor="text1"/>
        </w:rPr>
        <w:t>5)</w:t>
      </w:r>
      <w:r w:rsidRPr="00F02387">
        <w:rPr>
          <w:rFonts w:ascii="Calibri" w:hAnsi="Calibri" w:cs="Calibri"/>
          <w:color w:val="000000" w:themeColor="text1"/>
        </w:rPr>
        <w:t xml:space="preserve">  To begin research for an academic assignment I would</w:t>
      </w:r>
      <w:r w:rsidR="000314FC" w:rsidRPr="00F02387">
        <w:rPr>
          <w:rFonts w:ascii="Calibri" w:hAnsi="Calibri" w:cs="Calibri"/>
          <w:color w:val="000000" w:themeColor="text1"/>
        </w:rPr>
        <w:t xml:space="preserve"> find a good starting base for the topic. I would start with using the library to develop my own knowledge on the topic and develop a greater understanding of what I’m writing about, allowing me write more in depth about it. If possible, I would go into the library however if not I can use the universities online library instead. I can use it to gather books and </w:t>
      </w:r>
      <w:r w:rsidR="00973A0E" w:rsidRPr="00F02387">
        <w:rPr>
          <w:rFonts w:ascii="Calibri" w:hAnsi="Calibri" w:cs="Calibri"/>
          <w:color w:val="000000" w:themeColor="text1"/>
        </w:rPr>
        <w:t>j</w:t>
      </w:r>
      <w:r w:rsidR="000314FC" w:rsidRPr="00F02387">
        <w:rPr>
          <w:rFonts w:ascii="Calibri" w:hAnsi="Calibri" w:cs="Calibri"/>
          <w:color w:val="000000" w:themeColor="text1"/>
        </w:rPr>
        <w:t xml:space="preserve">ournals on different aspects of my topic including theorists and case studies. Google scholar is also available at my convenience providing a broad range of worldwide studies, </w:t>
      </w:r>
      <w:r w:rsidR="00146514" w:rsidRPr="00F02387">
        <w:rPr>
          <w:rFonts w:ascii="Calibri" w:hAnsi="Calibri" w:cs="Calibri"/>
          <w:color w:val="000000" w:themeColor="text1"/>
        </w:rPr>
        <w:t>books,</w:t>
      </w:r>
      <w:r w:rsidR="000314FC" w:rsidRPr="00F02387">
        <w:rPr>
          <w:rFonts w:ascii="Calibri" w:hAnsi="Calibri" w:cs="Calibri"/>
          <w:color w:val="000000" w:themeColor="text1"/>
        </w:rPr>
        <w:t xml:space="preserve"> and papers.</w:t>
      </w:r>
      <w:r w:rsidR="00146514" w:rsidRPr="00F02387">
        <w:rPr>
          <w:rFonts w:ascii="Calibri" w:hAnsi="Calibri" w:cs="Calibri"/>
          <w:color w:val="000000" w:themeColor="text1"/>
        </w:rPr>
        <w:t xml:space="preserve"> These are both reliable and credible sources of information as they are typically written and produced by well known, credited authors and publishers. </w:t>
      </w:r>
      <w:r w:rsidR="00BB2390" w:rsidRPr="00F02387">
        <w:rPr>
          <w:rFonts w:ascii="Calibri" w:hAnsi="Calibri" w:cs="Calibri"/>
          <w:color w:val="000000" w:themeColor="text1"/>
        </w:rPr>
        <w:t xml:space="preserve">Book and Journals will allow me to read about case studies regarding my topic and will lead me to further information about it through their own reference list. </w:t>
      </w:r>
      <w:r w:rsidR="00146514" w:rsidRPr="00F02387">
        <w:rPr>
          <w:rFonts w:ascii="Calibri" w:hAnsi="Calibri" w:cs="Calibri"/>
          <w:color w:val="000000" w:themeColor="text1"/>
        </w:rPr>
        <w:t xml:space="preserve">Another source I may use would be government documents. These would provide accurate statistics when needed, would be updated regularly by professionals, and would also provide evidence regarding change in legislation. </w:t>
      </w:r>
      <w:r w:rsidR="00BB2390" w:rsidRPr="00F02387">
        <w:rPr>
          <w:rFonts w:ascii="Calibri" w:hAnsi="Calibri" w:cs="Calibri"/>
          <w:color w:val="000000" w:themeColor="text1"/>
        </w:rPr>
        <w:t>This would be vital for many academic assignments as everything needs to be backed up and evidence must be provided of everything.</w:t>
      </w:r>
    </w:p>
    <w:p w14:paraId="39C8DAD0" w14:textId="697F2185" w:rsidR="007C636A" w:rsidRPr="00F02387" w:rsidRDefault="007C636A" w:rsidP="00F02387">
      <w:pPr>
        <w:spacing w:line="360" w:lineRule="auto"/>
        <w:rPr>
          <w:rFonts w:ascii="Calibri" w:hAnsi="Calibri" w:cs="Calibri"/>
          <w:color w:val="000000" w:themeColor="text1"/>
        </w:rPr>
      </w:pPr>
    </w:p>
    <w:p w14:paraId="745F533F" w14:textId="77777777" w:rsidR="00025C37" w:rsidRPr="00F02387" w:rsidRDefault="00025C37" w:rsidP="00F02387">
      <w:pPr>
        <w:spacing w:line="360" w:lineRule="auto"/>
        <w:rPr>
          <w:rFonts w:ascii="Calibri" w:hAnsi="Calibri" w:cs="Calibri"/>
          <w:color w:val="000000" w:themeColor="text1"/>
        </w:rPr>
      </w:pPr>
    </w:p>
    <w:p w14:paraId="72FCDD72" w14:textId="77777777" w:rsidR="00025C37" w:rsidRPr="00F02387" w:rsidRDefault="00025C37" w:rsidP="00F02387">
      <w:pPr>
        <w:spacing w:line="360" w:lineRule="auto"/>
        <w:rPr>
          <w:rFonts w:ascii="Calibri" w:hAnsi="Calibri" w:cs="Calibri"/>
          <w:color w:val="000000" w:themeColor="text1"/>
        </w:rPr>
      </w:pPr>
    </w:p>
    <w:p w14:paraId="47DCB9F8" w14:textId="77777777" w:rsidR="00025C37" w:rsidRPr="00F02387" w:rsidRDefault="00025C37" w:rsidP="00F02387">
      <w:pPr>
        <w:spacing w:line="360" w:lineRule="auto"/>
        <w:rPr>
          <w:rFonts w:ascii="Calibri" w:hAnsi="Calibri" w:cs="Calibri"/>
          <w:color w:val="000000" w:themeColor="text1"/>
        </w:rPr>
      </w:pPr>
    </w:p>
    <w:p w14:paraId="50B89A1B" w14:textId="77777777" w:rsidR="00025C37" w:rsidRPr="00F02387" w:rsidRDefault="00025C37" w:rsidP="00F02387">
      <w:pPr>
        <w:spacing w:line="360" w:lineRule="auto"/>
        <w:rPr>
          <w:rFonts w:ascii="Calibri" w:hAnsi="Calibri" w:cs="Calibri"/>
          <w:color w:val="000000" w:themeColor="text1"/>
        </w:rPr>
      </w:pPr>
    </w:p>
    <w:p w14:paraId="06C0E0C0" w14:textId="77777777" w:rsidR="00025C37" w:rsidRPr="00F02387" w:rsidRDefault="00025C37" w:rsidP="00F02387">
      <w:pPr>
        <w:spacing w:line="360" w:lineRule="auto"/>
        <w:rPr>
          <w:rFonts w:ascii="Calibri" w:hAnsi="Calibri" w:cs="Calibri"/>
          <w:color w:val="000000" w:themeColor="text1"/>
        </w:rPr>
      </w:pPr>
    </w:p>
    <w:p w14:paraId="755C472F" w14:textId="77777777" w:rsidR="00025C37" w:rsidRPr="00F02387" w:rsidRDefault="00025C37" w:rsidP="00F02387">
      <w:pPr>
        <w:spacing w:line="360" w:lineRule="auto"/>
        <w:rPr>
          <w:rFonts w:ascii="Calibri" w:hAnsi="Calibri" w:cs="Calibri"/>
          <w:color w:val="000000" w:themeColor="text1"/>
        </w:rPr>
      </w:pPr>
    </w:p>
    <w:p w14:paraId="2B3EE3C3" w14:textId="77777777" w:rsidR="00025C37" w:rsidRPr="00F02387" w:rsidRDefault="00025C37" w:rsidP="00F02387">
      <w:pPr>
        <w:spacing w:line="360" w:lineRule="auto"/>
        <w:rPr>
          <w:rFonts w:ascii="Calibri" w:hAnsi="Calibri" w:cs="Calibri"/>
          <w:color w:val="000000" w:themeColor="text1"/>
        </w:rPr>
      </w:pPr>
    </w:p>
    <w:p w14:paraId="7774657C" w14:textId="77777777" w:rsidR="00025C37" w:rsidRPr="00F02387" w:rsidRDefault="00025C37" w:rsidP="00F02387">
      <w:pPr>
        <w:spacing w:line="360" w:lineRule="auto"/>
        <w:rPr>
          <w:rFonts w:ascii="Calibri" w:hAnsi="Calibri" w:cs="Calibri"/>
          <w:color w:val="000000" w:themeColor="text1"/>
        </w:rPr>
      </w:pPr>
    </w:p>
    <w:p w14:paraId="35D082F8" w14:textId="77777777" w:rsidR="00025C37" w:rsidRPr="00F02387" w:rsidRDefault="00025C37" w:rsidP="00F02387">
      <w:pPr>
        <w:spacing w:line="360" w:lineRule="auto"/>
        <w:rPr>
          <w:rFonts w:ascii="Calibri" w:hAnsi="Calibri" w:cs="Calibri"/>
          <w:color w:val="000000" w:themeColor="text1"/>
        </w:rPr>
      </w:pPr>
    </w:p>
    <w:p w14:paraId="15BA7FCE" w14:textId="77777777" w:rsidR="00025C37" w:rsidRPr="00F02387" w:rsidRDefault="00025C37" w:rsidP="00F02387">
      <w:pPr>
        <w:spacing w:line="360" w:lineRule="auto"/>
        <w:rPr>
          <w:rFonts w:ascii="Calibri" w:hAnsi="Calibri" w:cs="Calibri"/>
          <w:color w:val="000000" w:themeColor="text1"/>
        </w:rPr>
      </w:pPr>
    </w:p>
    <w:p w14:paraId="70F1F96E" w14:textId="77777777" w:rsidR="00025C37" w:rsidRPr="00F02387" w:rsidRDefault="00025C37" w:rsidP="00F02387">
      <w:pPr>
        <w:spacing w:line="360" w:lineRule="auto"/>
        <w:rPr>
          <w:rFonts w:ascii="Calibri" w:hAnsi="Calibri" w:cs="Calibri"/>
          <w:color w:val="000000" w:themeColor="text1"/>
        </w:rPr>
      </w:pPr>
    </w:p>
    <w:p w14:paraId="6F44C71A" w14:textId="77777777" w:rsidR="00025C37" w:rsidRPr="00F02387" w:rsidRDefault="00025C37" w:rsidP="00F02387">
      <w:pPr>
        <w:spacing w:line="360" w:lineRule="auto"/>
        <w:rPr>
          <w:rFonts w:ascii="Calibri" w:hAnsi="Calibri" w:cs="Calibri"/>
          <w:color w:val="000000" w:themeColor="text1"/>
        </w:rPr>
      </w:pPr>
    </w:p>
    <w:p w14:paraId="0E82CA05" w14:textId="77777777" w:rsidR="00025C37" w:rsidRPr="00F02387" w:rsidRDefault="00025C37" w:rsidP="00F02387">
      <w:pPr>
        <w:spacing w:line="360" w:lineRule="auto"/>
        <w:rPr>
          <w:rFonts w:ascii="Calibri" w:hAnsi="Calibri" w:cs="Calibri"/>
          <w:color w:val="000000" w:themeColor="text1"/>
        </w:rPr>
      </w:pPr>
    </w:p>
    <w:p w14:paraId="17529642" w14:textId="77777777" w:rsidR="00025C37" w:rsidRPr="00F02387" w:rsidRDefault="00025C37" w:rsidP="00F02387">
      <w:pPr>
        <w:spacing w:line="360" w:lineRule="auto"/>
        <w:rPr>
          <w:rFonts w:ascii="Calibri" w:hAnsi="Calibri" w:cs="Calibri"/>
          <w:color w:val="000000" w:themeColor="text1"/>
        </w:rPr>
      </w:pPr>
    </w:p>
    <w:p w14:paraId="4ADBF074" w14:textId="77777777" w:rsidR="00F02387" w:rsidRDefault="00F02387" w:rsidP="00F02387">
      <w:pPr>
        <w:spacing w:line="360" w:lineRule="auto"/>
        <w:rPr>
          <w:rFonts w:ascii="Calibri" w:hAnsi="Calibri" w:cs="Calibri"/>
          <w:b/>
          <w:bCs/>
          <w:color w:val="000000" w:themeColor="text1"/>
        </w:rPr>
      </w:pPr>
    </w:p>
    <w:p w14:paraId="4D35E1DA" w14:textId="06A6DF94" w:rsidR="007C636A" w:rsidRDefault="007C636A"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Part 3- Write a critical response to an academic article</w:t>
      </w:r>
    </w:p>
    <w:p w14:paraId="1482FB2C" w14:textId="4C26C6D6" w:rsidR="00F02387" w:rsidRPr="00F02387" w:rsidRDefault="00F02387" w:rsidP="00F02387">
      <w:pPr>
        <w:spacing w:line="360" w:lineRule="auto"/>
        <w:rPr>
          <w:rFonts w:ascii="Calibri" w:hAnsi="Calibri" w:cs="Calibri"/>
          <w:b/>
          <w:bCs/>
          <w:color w:val="000000" w:themeColor="text1"/>
        </w:rPr>
      </w:pPr>
      <w:r>
        <w:rPr>
          <w:rFonts w:ascii="Calibri" w:hAnsi="Calibri" w:cs="Calibri"/>
          <w:b/>
          <w:bCs/>
          <w:color w:val="000000" w:themeColor="text1"/>
        </w:rPr>
        <w:t>Word Count-949</w:t>
      </w:r>
    </w:p>
    <w:p w14:paraId="658989AB" w14:textId="687355E3" w:rsidR="00A25A38" w:rsidRPr="00F02387" w:rsidRDefault="00A25A38" w:rsidP="00F02387">
      <w:pPr>
        <w:spacing w:line="360" w:lineRule="auto"/>
        <w:rPr>
          <w:rFonts w:ascii="Calibri" w:hAnsi="Calibri" w:cs="Calibri"/>
          <w:color w:val="000000" w:themeColor="text1"/>
        </w:rPr>
      </w:pPr>
    </w:p>
    <w:p w14:paraId="2BB2CD78" w14:textId="1FAFC585" w:rsidR="00A25A38" w:rsidRPr="00F02387" w:rsidRDefault="00A25A38" w:rsidP="00F02387">
      <w:pPr>
        <w:spacing w:line="360" w:lineRule="auto"/>
        <w:rPr>
          <w:rFonts w:ascii="Calibri" w:hAnsi="Calibri" w:cs="Calibri"/>
          <w:color w:val="000000" w:themeColor="text1"/>
        </w:rPr>
      </w:pPr>
      <w:r w:rsidRPr="00F02387">
        <w:rPr>
          <w:rFonts w:ascii="Calibri" w:hAnsi="Calibri" w:cs="Calibri"/>
          <w:color w:val="000000" w:themeColor="text1"/>
        </w:rPr>
        <w:tab/>
        <w:t xml:space="preserve">In the article </w:t>
      </w:r>
      <w:r w:rsidRPr="00F02387">
        <w:rPr>
          <w:rFonts w:ascii="Calibri" w:hAnsi="Calibri" w:cs="Calibri"/>
          <w:i/>
          <w:iCs/>
          <w:color w:val="000000" w:themeColor="text1"/>
        </w:rPr>
        <w:t xml:space="preserve">‘Schooled to Fail? The Underachievement </w:t>
      </w:r>
      <w:r w:rsidR="009A74AE" w:rsidRPr="00F02387">
        <w:rPr>
          <w:rFonts w:ascii="Calibri" w:hAnsi="Calibri" w:cs="Calibri"/>
          <w:i/>
          <w:iCs/>
          <w:color w:val="000000" w:themeColor="text1"/>
        </w:rPr>
        <w:t>D</w:t>
      </w:r>
      <w:r w:rsidRPr="00F02387">
        <w:rPr>
          <w:rFonts w:ascii="Calibri" w:hAnsi="Calibri" w:cs="Calibri"/>
          <w:i/>
          <w:iCs/>
          <w:color w:val="000000" w:themeColor="text1"/>
        </w:rPr>
        <w:t xml:space="preserve">ebate in </w:t>
      </w:r>
      <w:proofErr w:type="gramStart"/>
      <w:r w:rsidRPr="00F02387">
        <w:rPr>
          <w:rFonts w:ascii="Calibri" w:hAnsi="Calibri" w:cs="Calibri"/>
          <w:i/>
          <w:iCs/>
          <w:color w:val="000000" w:themeColor="text1"/>
        </w:rPr>
        <w:t>Wales’</w:t>
      </w:r>
      <w:proofErr w:type="gramEnd"/>
      <w:r w:rsidRPr="00F02387">
        <w:rPr>
          <w:rFonts w:ascii="Calibri" w:hAnsi="Calibri" w:cs="Calibri"/>
          <w:color w:val="000000" w:themeColor="text1"/>
        </w:rPr>
        <w:t xml:space="preserve"> by Emma Smith</w:t>
      </w:r>
      <w:r w:rsidR="009A74AE" w:rsidRPr="00F02387">
        <w:rPr>
          <w:rFonts w:ascii="Calibri" w:hAnsi="Calibri" w:cs="Calibri"/>
          <w:color w:val="000000" w:themeColor="text1"/>
        </w:rPr>
        <w:t xml:space="preserve"> </w:t>
      </w:r>
      <w:r w:rsidRPr="00F02387">
        <w:rPr>
          <w:rFonts w:ascii="Calibri" w:hAnsi="Calibri" w:cs="Calibri"/>
          <w:color w:val="000000" w:themeColor="text1"/>
        </w:rPr>
        <w:t xml:space="preserve">(2005), we see that </w:t>
      </w:r>
      <w:r w:rsidR="009A74AE" w:rsidRPr="00F02387">
        <w:rPr>
          <w:rFonts w:ascii="Calibri" w:hAnsi="Calibri" w:cs="Calibri"/>
          <w:color w:val="000000" w:themeColor="text1"/>
        </w:rPr>
        <w:t>the text</w:t>
      </w:r>
      <w:r w:rsidRPr="00F02387">
        <w:rPr>
          <w:rFonts w:ascii="Calibri" w:hAnsi="Calibri" w:cs="Calibri"/>
          <w:color w:val="000000" w:themeColor="text1"/>
        </w:rPr>
        <w:t xml:space="preserve"> focuses on </w:t>
      </w:r>
      <w:r w:rsidR="009A74AE" w:rsidRPr="00F02387">
        <w:rPr>
          <w:rFonts w:ascii="Calibri" w:hAnsi="Calibri" w:cs="Calibri"/>
          <w:color w:val="000000" w:themeColor="text1"/>
        </w:rPr>
        <w:t xml:space="preserve">comparing levels of underachievement </w:t>
      </w:r>
      <w:r w:rsidRPr="00F02387">
        <w:rPr>
          <w:rFonts w:ascii="Calibri" w:hAnsi="Calibri" w:cs="Calibri"/>
          <w:color w:val="000000" w:themeColor="text1"/>
        </w:rPr>
        <w:t>between England and Wales</w:t>
      </w:r>
      <w:r w:rsidR="009A74AE" w:rsidRPr="00F02387">
        <w:rPr>
          <w:rFonts w:ascii="Calibri" w:hAnsi="Calibri" w:cs="Calibri"/>
          <w:color w:val="000000" w:themeColor="text1"/>
        </w:rPr>
        <w:t>. The article states statistics surrounding the debate</w:t>
      </w:r>
      <w:r w:rsidR="00C840FB" w:rsidRPr="00F02387">
        <w:rPr>
          <w:rFonts w:ascii="Calibri" w:hAnsi="Calibri" w:cs="Calibri"/>
          <w:color w:val="000000" w:themeColor="text1"/>
        </w:rPr>
        <w:t xml:space="preserve"> providing evidence to support her argument. The article considers underachievement from different perspectives providing </w:t>
      </w:r>
      <w:proofErr w:type="gramStart"/>
      <w:r w:rsidR="00C840FB" w:rsidRPr="00F02387">
        <w:rPr>
          <w:rFonts w:ascii="Calibri" w:hAnsi="Calibri" w:cs="Calibri"/>
          <w:color w:val="000000" w:themeColor="text1"/>
        </w:rPr>
        <w:t>an</w:t>
      </w:r>
      <w:proofErr w:type="gramEnd"/>
      <w:r w:rsidR="00C840FB" w:rsidRPr="00F02387">
        <w:rPr>
          <w:rFonts w:ascii="Calibri" w:hAnsi="Calibri" w:cs="Calibri"/>
          <w:color w:val="000000" w:themeColor="text1"/>
        </w:rPr>
        <w:t xml:space="preserve"> well rounded argument. For example, Smith provides evidence of resident population over 30 years, economic factors</w:t>
      </w:r>
      <w:r w:rsidR="006E46D9" w:rsidRPr="00F02387">
        <w:rPr>
          <w:rFonts w:ascii="Calibri" w:hAnsi="Calibri" w:cs="Calibri"/>
          <w:color w:val="000000" w:themeColor="text1"/>
        </w:rPr>
        <w:t xml:space="preserve">, </w:t>
      </w:r>
      <w:r w:rsidR="00E95FF4" w:rsidRPr="00F02387">
        <w:rPr>
          <w:rFonts w:ascii="Calibri" w:hAnsi="Calibri" w:cs="Calibri"/>
          <w:color w:val="000000" w:themeColor="text1"/>
        </w:rPr>
        <w:t>ethnicity,</w:t>
      </w:r>
      <w:r w:rsidR="006E46D9" w:rsidRPr="00F02387">
        <w:rPr>
          <w:rFonts w:ascii="Calibri" w:hAnsi="Calibri" w:cs="Calibri"/>
          <w:color w:val="000000" w:themeColor="text1"/>
        </w:rPr>
        <w:t xml:space="preserve"> and the role that gender plays within it. The aim of the text is to identify </w:t>
      </w:r>
      <w:r w:rsidR="00E95FF4" w:rsidRPr="00F02387">
        <w:rPr>
          <w:rFonts w:ascii="Calibri" w:hAnsi="Calibri" w:cs="Calibri"/>
          <w:color w:val="000000" w:themeColor="text1"/>
        </w:rPr>
        <w:t>whether</w:t>
      </w:r>
      <w:r w:rsidR="006E46D9" w:rsidRPr="00F02387">
        <w:rPr>
          <w:rFonts w:ascii="Calibri" w:hAnsi="Calibri" w:cs="Calibri"/>
          <w:color w:val="000000" w:themeColor="text1"/>
        </w:rPr>
        <w:t xml:space="preserve"> students in Wales are underachieving in comparison to other regions, and the potential factors that may contribute to it. </w:t>
      </w:r>
    </w:p>
    <w:p w14:paraId="70CD7AB9" w14:textId="4AB23DEB" w:rsidR="006E46D9" w:rsidRPr="00F02387" w:rsidRDefault="006E46D9" w:rsidP="00F02387">
      <w:pPr>
        <w:spacing w:line="360" w:lineRule="auto"/>
        <w:rPr>
          <w:rFonts w:ascii="Calibri" w:hAnsi="Calibri" w:cs="Calibri"/>
          <w:color w:val="000000" w:themeColor="text1"/>
        </w:rPr>
      </w:pPr>
      <w:r w:rsidRPr="00F02387">
        <w:rPr>
          <w:rFonts w:ascii="Calibri" w:hAnsi="Calibri" w:cs="Calibri"/>
          <w:color w:val="000000" w:themeColor="text1"/>
        </w:rPr>
        <w:tab/>
        <w:t xml:space="preserve">Smith argues that to be able to determine the idea of underachievement </w:t>
      </w:r>
      <w:r w:rsidR="00E95FF4" w:rsidRPr="00F02387">
        <w:rPr>
          <w:rFonts w:ascii="Calibri" w:hAnsi="Calibri" w:cs="Calibri"/>
          <w:color w:val="000000" w:themeColor="text1"/>
        </w:rPr>
        <w:t xml:space="preserve">and confirm who is in that sector we must understand the idea of it completely. </w:t>
      </w:r>
      <w:r w:rsidR="00DC4688" w:rsidRPr="00F02387">
        <w:rPr>
          <w:rFonts w:ascii="Calibri" w:hAnsi="Calibri" w:cs="Calibri"/>
          <w:color w:val="000000" w:themeColor="text1"/>
        </w:rPr>
        <w:t xml:space="preserve">The definition of underachievement and the ways of measuring it are complex. </w:t>
      </w:r>
      <w:r w:rsidR="00E36F3C" w:rsidRPr="00F02387">
        <w:rPr>
          <w:rFonts w:ascii="Calibri" w:hAnsi="Calibri" w:cs="Calibri"/>
          <w:color w:val="000000" w:themeColor="text1"/>
        </w:rPr>
        <w:t>She goes on to say that the idea of underachievement is often mixed up with the idea of ‘low achievement’ which causes implications to the school and to the individual (Smith. E, 2003a, 2003b)</w:t>
      </w:r>
      <w:r w:rsidR="00096CC5" w:rsidRPr="00F02387">
        <w:rPr>
          <w:rFonts w:ascii="Calibri" w:hAnsi="Calibri" w:cs="Calibri"/>
          <w:color w:val="000000" w:themeColor="text1"/>
        </w:rPr>
        <w:t>.</w:t>
      </w:r>
      <w:r w:rsidR="00B14E2D" w:rsidRPr="00F02387">
        <w:rPr>
          <w:rFonts w:ascii="Calibri" w:hAnsi="Calibri" w:cs="Calibri"/>
          <w:color w:val="000000" w:themeColor="text1"/>
        </w:rPr>
        <w:t xml:space="preserve"> Smith focuses strongly on the impact that socioeconomic factors have on grades. Grade comparisons are based mainly </w:t>
      </w:r>
      <w:r w:rsidR="008077AA" w:rsidRPr="00F02387">
        <w:rPr>
          <w:rFonts w:ascii="Calibri" w:hAnsi="Calibri" w:cs="Calibri"/>
          <w:color w:val="000000" w:themeColor="text1"/>
        </w:rPr>
        <w:t>off</w:t>
      </w:r>
      <w:r w:rsidR="00B14E2D" w:rsidRPr="00F02387">
        <w:rPr>
          <w:rFonts w:ascii="Calibri" w:hAnsi="Calibri" w:cs="Calibri"/>
          <w:color w:val="000000" w:themeColor="text1"/>
        </w:rPr>
        <w:t xml:space="preserve"> GCSE results and are automatically divided into groups of underachieving students rather than looking at how to eliminate or even somewhat help to decrease the situation that is putting young people’s grades risk.</w:t>
      </w:r>
    </w:p>
    <w:p w14:paraId="49C0E5C5" w14:textId="3A84D591" w:rsidR="00B14E2D" w:rsidRPr="00F02387" w:rsidRDefault="00B14E2D" w:rsidP="00F02387">
      <w:pPr>
        <w:spacing w:line="360" w:lineRule="auto"/>
        <w:rPr>
          <w:rFonts w:ascii="Calibri" w:hAnsi="Calibri" w:cs="Calibri"/>
          <w:color w:val="000000" w:themeColor="text1"/>
        </w:rPr>
      </w:pPr>
      <w:r w:rsidRPr="00F02387">
        <w:rPr>
          <w:rFonts w:ascii="Calibri" w:hAnsi="Calibri" w:cs="Calibri"/>
          <w:color w:val="000000" w:themeColor="text1"/>
        </w:rPr>
        <w:tab/>
      </w:r>
      <w:r w:rsidR="008077AA" w:rsidRPr="00F02387">
        <w:rPr>
          <w:rFonts w:ascii="Calibri" w:hAnsi="Calibri" w:cs="Calibri"/>
          <w:color w:val="000000" w:themeColor="text1"/>
        </w:rPr>
        <w:t>The article is structured in a way that makes it simpler to read and fully comprehend</w:t>
      </w:r>
      <w:r w:rsidR="002A6A41" w:rsidRPr="00F02387">
        <w:rPr>
          <w:rFonts w:ascii="Calibri" w:hAnsi="Calibri" w:cs="Calibri"/>
          <w:color w:val="000000" w:themeColor="text1"/>
        </w:rPr>
        <w:t>. Indented paragraphs are used consistently throughout, allowing topics and statements to flow smoothly. Therefore, letting the reader be able to follow each point as it is made.</w:t>
      </w:r>
      <w:r w:rsidR="003D5655" w:rsidRPr="00F02387">
        <w:rPr>
          <w:rFonts w:ascii="Calibri" w:hAnsi="Calibri" w:cs="Calibri"/>
          <w:color w:val="000000" w:themeColor="text1"/>
        </w:rPr>
        <w:t xml:space="preserve"> This allows for it to be easily read by those in the lower years of higher education. Whilst the length of the paragraphs differs, they state clearly what is being spoken about</w:t>
      </w:r>
      <w:r w:rsidR="006F4D88" w:rsidRPr="00F02387">
        <w:rPr>
          <w:rFonts w:ascii="Calibri" w:hAnsi="Calibri" w:cs="Calibri"/>
          <w:color w:val="000000" w:themeColor="text1"/>
        </w:rPr>
        <w:t xml:space="preserve"> and some are even subtitles with the subject, making it more practical to skim through and find what the reader is specifically looking for.</w:t>
      </w:r>
      <w:r w:rsidR="00486827" w:rsidRPr="00F02387">
        <w:rPr>
          <w:rFonts w:ascii="Calibri" w:hAnsi="Calibri" w:cs="Calibri"/>
          <w:color w:val="000000" w:themeColor="text1"/>
        </w:rPr>
        <w:t xml:space="preserve"> This can make it less time consuming and convenient as well as simply well organised. It’s not only the subtitles that make this article convenient, </w:t>
      </w:r>
      <w:r w:rsidR="00486827" w:rsidRPr="00F02387">
        <w:rPr>
          <w:rFonts w:ascii="Calibri" w:hAnsi="Calibri" w:cs="Calibri"/>
          <w:color w:val="000000" w:themeColor="text1"/>
        </w:rPr>
        <w:lastRenderedPageBreak/>
        <w:t xml:space="preserve">but also the words Smith has used to link her paragraphs together. They are well linked so that you can see where she is going to argue for and against a certain point. </w:t>
      </w:r>
      <w:r w:rsidR="00FF255C" w:rsidRPr="00F02387">
        <w:rPr>
          <w:rFonts w:ascii="Calibri" w:hAnsi="Calibri" w:cs="Calibri"/>
          <w:color w:val="000000" w:themeColor="text1"/>
        </w:rPr>
        <w:t xml:space="preserve">Statistics and numbers are used well and frequently throughout the article. Smith provides a vast </w:t>
      </w:r>
      <w:r w:rsidR="00A35A67" w:rsidRPr="00F02387">
        <w:rPr>
          <w:rFonts w:ascii="Calibri" w:hAnsi="Calibri" w:cs="Calibri"/>
          <w:color w:val="000000" w:themeColor="text1"/>
        </w:rPr>
        <w:t>number</w:t>
      </w:r>
      <w:r w:rsidR="00FF255C" w:rsidRPr="00F02387">
        <w:rPr>
          <w:rFonts w:ascii="Calibri" w:hAnsi="Calibri" w:cs="Calibri"/>
          <w:color w:val="000000" w:themeColor="text1"/>
        </w:rPr>
        <w:t xml:space="preserve"> of tables and charts to identify trends over a period of thirty years. </w:t>
      </w:r>
      <w:r w:rsidR="00A35A67" w:rsidRPr="00F02387">
        <w:rPr>
          <w:rFonts w:ascii="Calibri" w:hAnsi="Calibri" w:cs="Calibri"/>
          <w:color w:val="000000" w:themeColor="text1"/>
        </w:rPr>
        <w:t xml:space="preserve">Conveniently, </w:t>
      </w:r>
      <w:r w:rsidR="008F29B1" w:rsidRPr="00F02387">
        <w:rPr>
          <w:rFonts w:ascii="Calibri" w:hAnsi="Calibri" w:cs="Calibri"/>
          <w:color w:val="000000" w:themeColor="text1"/>
        </w:rPr>
        <w:t>they are placed and clearly labelled right below the paragraph they are connected to</w:t>
      </w:r>
      <w:r w:rsidR="008B1490" w:rsidRPr="00F02387">
        <w:rPr>
          <w:rFonts w:ascii="Calibri" w:hAnsi="Calibri" w:cs="Calibri"/>
          <w:color w:val="000000" w:themeColor="text1"/>
        </w:rPr>
        <w:t xml:space="preserve">. Smith provides a slight explanation regarding the </w:t>
      </w:r>
      <w:r w:rsidR="004D5F40" w:rsidRPr="00F02387">
        <w:rPr>
          <w:rFonts w:ascii="Calibri" w:hAnsi="Calibri" w:cs="Calibri"/>
          <w:color w:val="000000" w:themeColor="text1"/>
        </w:rPr>
        <w:t>tables;</w:t>
      </w:r>
      <w:r w:rsidR="008B1490" w:rsidRPr="00F02387">
        <w:rPr>
          <w:rFonts w:ascii="Calibri" w:hAnsi="Calibri" w:cs="Calibri"/>
          <w:color w:val="000000" w:themeColor="text1"/>
        </w:rPr>
        <w:t xml:space="preserve"> </w:t>
      </w:r>
      <w:r w:rsidR="004D5F40" w:rsidRPr="00F02387">
        <w:rPr>
          <w:rFonts w:ascii="Calibri" w:hAnsi="Calibri" w:cs="Calibri"/>
          <w:color w:val="000000" w:themeColor="text1"/>
        </w:rPr>
        <w:t>however,</w:t>
      </w:r>
      <w:r w:rsidR="008B1490" w:rsidRPr="00F02387">
        <w:rPr>
          <w:rFonts w:ascii="Calibri" w:hAnsi="Calibri" w:cs="Calibri"/>
          <w:color w:val="000000" w:themeColor="text1"/>
        </w:rPr>
        <w:t xml:space="preserve"> they are set up in a way that is rather self-explanatory.</w:t>
      </w:r>
      <w:r w:rsidR="004D5F40" w:rsidRPr="00F02387">
        <w:rPr>
          <w:rFonts w:ascii="Calibri" w:hAnsi="Calibri" w:cs="Calibri"/>
          <w:color w:val="000000" w:themeColor="text1"/>
        </w:rPr>
        <w:t xml:space="preserve"> It allows the reader to gain a further understanding of what Smith is saying and allows them to understand her point. The fact that Smith has gone into depth and conducted her research shows how strongly she feels about the topic. It provides an accurate representation of the points she is putting across</w:t>
      </w:r>
      <w:r w:rsidR="00094CA3" w:rsidRPr="00F02387">
        <w:rPr>
          <w:rFonts w:ascii="Calibri" w:hAnsi="Calibri" w:cs="Calibri"/>
          <w:color w:val="000000" w:themeColor="text1"/>
        </w:rPr>
        <w:t>.</w:t>
      </w:r>
    </w:p>
    <w:p w14:paraId="17932922" w14:textId="1501F9CA" w:rsidR="00F67A98" w:rsidRPr="00F02387" w:rsidRDefault="00F67A98" w:rsidP="00F02387">
      <w:pPr>
        <w:spacing w:line="360" w:lineRule="auto"/>
        <w:rPr>
          <w:rFonts w:ascii="Calibri" w:hAnsi="Calibri" w:cs="Calibri"/>
          <w:color w:val="000000" w:themeColor="text1"/>
        </w:rPr>
      </w:pPr>
      <w:r w:rsidRPr="00F02387">
        <w:rPr>
          <w:rFonts w:ascii="Calibri" w:hAnsi="Calibri" w:cs="Calibri"/>
          <w:color w:val="000000" w:themeColor="text1"/>
        </w:rPr>
        <w:tab/>
        <w:t xml:space="preserve">Smith has written this article in a professional, academic tone as the audience it is intended for is within an academic or government profession. Because of this the article must be written in a formal tone as we can see consistently throughout. Smith provides evidence for both sides of the argument; </w:t>
      </w:r>
      <w:r w:rsidR="004D5F40" w:rsidRPr="00F02387">
        <w:rPr>
          <w:rFonts w:ascii="Calibri" w:hAnsi="Calibri" w:cs="Calibri"/>
          <w:color w:val="000000" w:themeColor="text1"/>
        </w:rPr>
        <w:t>however,</w:t>
      </w:r>
      <w:r w:rsidRPr="00F02387">
        <w:rPr>
          <w:rFonts w:ascii="Calibri" w:hAnsi="Calibri" w:cs="Calibri"/>
          <w:color w:val="000000" w:themeColor="text1"/>
        </w:rPr>
        <w:t xml:space="preserve"> I feel the language used throughout is objective. Smith’s aim </w:t>
      </w:r>
      <w:r w:rsidR="004D5F40" w:rsidRPr="00F02387">
        <w:rPr>
          <w:rFonts w:ascii="Calibri" w:hAnsi="Calibri" w:cs="Calibri"/>
          <w:color w:val="000000" w:themeColor="text1"/>
        </w:rPr>
        <w:t xml:space="preserve">seems </w:t>
      </w:r>
      <w:r w:rsidRPr="00F02387">
        <w:rPr>
          <w:rFonts w:ascii="Calibri" w:hAnsi="Calibri" w:cs="Calibri"/>
          <w:color w:val="000000" w:themeColor="text1"/>
        </w:rPr>
        <w:t xml:space="preserve">to </w:t>
      </w:r>
      <w:r w:rsidR="004D5F40" w:rsidRPr="00F02387">
        <w:rPr>
          <w:rFonts w:ascii="Calibri" w:hAnsi="Calibri" w:cs="Calibri"/>
          <w:color w:val="000000" w:themeColor="text1"/>
        </w:rPr>
        <w:t xml:space="preserve">be to </w:t>
      </w:r>
      <w:r w:rsidRPr="00F02387">
        <w:rPr>
          <w:rFonts w:ascii="Calibri" w:hAnsi="Calibri" w:cs="Calibri"/>
          <w:color w:val="000000" w:themeColor="text1"/>
        </w:rPr>
        <w:t xml:space="preserve">persuade her audience that more help must be provided for those ‘underachieving’. </w:t>
      </w:r>
    </w:p>
    <w:p w14:paraId="07D87342" w14:textId="3D025297" w:rsidR="00094CA3" w:rsidRPr="00F02387" w:rsidRDefault="00094CA3" w:rsidP="00F02387">
      <w:pPr>
        <w:spacing w:line="360" w:lineRule="auto"/>
        <w:rPr>
          <w:rFonts w:ascii="Calibri" w:hAnsi="Calibri" w:cs="Calibri"/>
          <w:color w:val="000000" w:themeColor="text1"/>
        </w:rPr>
      </w:pPr>
      <w:r w:rsidRPr="00F02387">
        <w:rPr>
          <w:rFonts w:ascii="Calibri" w:hAnsi="Calibri" w:cs="Calibri"/>
          <w:color w:val="000000" w:themeColor="text1"/>
        </w:rPr>
        <w:tab/>
        <w:t xml:space="preserve">An issue is mentioned straight away within Smith’s abstract, the issue being the </w:t>
      </w:r>
      <w:r w:rsidR="003F2774" w:rsidRPr="00F02387">
        <w:rPr>
          <w:rFonts w:ascii="Calibri" w:hAnsi="Calibri" w:cs="Calibri"/>
          <w:color w:val="000000" w:themeColor="text1"/>
        </w:rPr>
        <w:t xml:space="preserve">regional </w:t>
      </w:r>
      <w:r w:rsidRPr="00F02387">
        <w:rPr>
          <w:rFonts w:ascii="Calibri" w:hAnsi="Calibri" w:cs="Calibri"/>
          <w:color w:val="000000" w:themeColor="text1"/>
        </w:rPr>
        <w:t xml:space="preserve">comparisons made between England and Wales grades and </w:t>
      </w:r>
      <w:r w:rsidR="00AB51E9" w:rsidRPr="00F02387">
        <w:rPr>
          <w:rFonts w:ascii="Calibri" w:hAnsi="Calibri" w:cs="Calibri"/>
          <w:color w:val="000000" w:themeColor="text1"/>
        </w:rPr>
        <w:t>curricul</w:t>
      </w:r>
      <w:r w:rsidRPr="00F02387">
        <w:rPr>
          <w:rFonts w:ascii="Calibri" w:hAnsi="Calibri" w:cs="Calibri"/>
          <w:color w:val="000000" w:themeColor="text1"/>
        </w:rPr>
        <w:t xml:space="preserve">um. </w:t>
      </w:r>
      <w:r w:rsidR="00AB51E9" w:rsidRPr="00F02387">
        <w:rPr>
          <w:rFonts w:ascii="Calibri" w:hAnsi="Calibri" w:cs="Calibri"/>
          <w:color w:val="000000" w:themeColor="text1"/>
        </w:rPr>
        <w:t xml:space="preserve"> A claim is made that perhaps </w:t>
      </w:r>
      <w:r w:rsidR="00973621" w:rsidRPr="00F02387">
        <w:rPr>
          <w:rFonts w:ascii="Calibri" w:hAnsi="Calibri" w:cs="Calibri"/>
          <w:color w:val="000000" w:themeColor="text1"/>
        </w:rPr>
        <w:t>socioeconomic tendencies and politics have played a role in unfair comparisons of grades. Smith has been consistent with her argument throughout the article as well as considerate of opposing arguments as she provides both perspectives</w:t>
      </w:r>
      <w:r w:rsidR="00401992" w:rsidRPr="00F02387">
        <w:rPr>
          <w:rFonts w:ascii="Calibri" w:hAnsi="Calibri" w:cs="Calibri"/>
          <w:color w:val="000000" w:themeColor="text1"/>
        </w:rPr>
        <w:t xml:space="preserve">, </w:t>
      </w:r>
      <w:r w:rsidR="00BC038E" w:rsidRPr="00F02387">
        <w:rPr>
          <w:rFonts w:ascii="Calibri" w:hAnsi="Calibri" w:cs="Calibri"/>
          <w:color w:val="000000" w:themeColor="text1"/>
        </w:rPr>
        <w:t xml:space="preserve">evidence from both regions are provided. The statistics in </w:t>
      </w:r>
      <w:r w:rsidR="008429E8" w:rsidRPr="00F02387">
        <w:rPr>
          <w:rFonts w:ascii="Calibri" w:hAnsi="Calibri" w:cs="Calibri"/>
          <w:color w:val="000000" w:themeColor="text1"/>
        </w:rPr>
        <w:t>a</w:t>
      </w:r>
      <w:r w:rsidR="00BC038E" w:rsidRPr="00F02387">
        <w:rPr>
          <w:rFonts w:ascii="Calibri" w:hAnsi="Calibri" w:cs="Calibri"/>
          <w:color w:val="000000" w:themeColor="text1"/>
        </w:rPr>
        <w:t xml:space="preserve">ppendix 1 are provided by the Office of National Statistics, so whilst currently outdated and not entirely relevant to the present day, they are reliable and accurate government statistics. However, </w:t>
      </w:r>
      <w:r w:rsidR="00FE2EF8" w:rsidRPr="00F02387">
        <w:rPr>
          <w:rFonts w:ascii="Calibri" w:hAnsi="Calibri" w:cs="Calibri"/>
          <w:color w:val="000000" w:themeColor="text1"/>
        </w:rPr>
        <w:t xml:space="preserve">whilst </w:t>
      </w:r>
      <w:proofErr w:type="gramStart"/>
      <w:r w:rsidR="00FE2EF8" w:rsidRPr="00F02387">
        <w:rPr>
          <w:rFonts w:ascii="Calibri" w:hAnsi="Calibri" w:cs="Calibri"/>
          <w:color w:val="000000" w:themeColor="text1"/>
        </w:rPr>
        <w:t>the majority of</w:t>
      </w:r>
      <w:proofErr w:type="gramEnd"/>
      <w:r w:rsidR="00FE2EF8" w:rsidRPr="00F02387">
        <w:rPr>
          <w:rFonts w:ascii="Calibri" w:hAnsi="Calibri" w:cs="Calibri"/>
          <w:color w:val="000000" w:themeColor="text1"/>
        </w:rPr>
        <w:t xml:space="preserve"> the statistics</w:t>
      </w:r>
      <w:r w:rsidR="00820963" w:rsidRPr="00F02387">
        <w:rPr>
          <w:rFonts w:ascii="Calibri" w:hAnsi="Calibri" w:cs="Calibri"/>
          <w:color w:val="000000" w:themeColor="text1"/>
        </w:rPr>
        <w:t xml:space="preserve"> range from 1991 up to 2003, the years on the tables are not consistent with each other. For example, table 7.8 focuses on Gross Domestic Product from 1991 up till 1998 whilst table 7.10 focuses on the years 1996 up to 2002</w:t>
      </w:r>
      <w:r w:rsidR="003576C6" w:rsidRPr="00F02387">
        <w:rPr>
          <w:rFonts w:ascii="Calibri" w:hAnsi="Calibri" w:cs="Calibri"/>
          <w:color w:val="000000" w:themeColor="text1"/>
        </w:rPr>
        <w:t xml:space="preserve">. A more accurate representation may be provided if all the statistics were focused on the same year. In appendix 2, the statistics used are from the Welsh Joint </w:t>
      </w:r>
      <w:r w:rsidR="008429E8" w:rsidRPr="00F02387">
        <w:rPr>
          <w:rFonts w:ascii="Calibri" w:hAnsi="Calibri" w:cs="Calibri"/>
          <w:color w:val="000000" w:themeColor="text1"/>
        </w:rPr>
        <w:t>Education</w:t>
      </w:r>
      <w:r w:rsidR="003576C6" w:rsidRPr="00F02387">
        <w:rPr>
          <w:rFonts w:ascii="Calibri" w:hAnsi="Calibri" w:cs="Calibri"/>
          <w:color w:val="000000" w:themeColor="text1"/>
        </w:rPr>
        <w:t xml:space="preserve"> </w:t>
      </w:r>
      <w:r w:rsidR="008429E8" w:rsidRPr="00F02387">
        <w:rPr>
          <w:rFonts w:ascii="Calibri" w:hAnsi="Calibri" w:cs="Calibri"/>
          <w:color w:val="000000" w:themeColor="text1"/>
        </w:rPr>
        <w:t>Committee (</w:t>
      </w:r>
      <w:r w:rsidR="005A42A1" w:rsidRPr="00F02387">
        <w:rPr>
          <w:rFonts w:ascii="Calibri" w:hAnsi="Calibri" w:cs="Calibri"/>
          <w:color w:val="000000" w:themeColor="text1"/>
        </w:rPr>
        <w:t>WJEC) and focus on the achievement gap between boys and girls in Wales. Whilst all the dates match across all three tables, the achievement gap is only looked at from 1970 to 1999</w:t>
      </w:r>
      <w:r w:rsidR="009A6441" w:rsidRPr="00F02387">
        <w:rPr>
          <w:rFonts w:ascii="Calibri" w:hAnsi="Calibri" w:cs="Calibri"/>
          <w:color w:val="000000" w:themeColor="text1"/>
        </w:rPr>
        <w:t xml:space="preserve">. Smiths’ article was written in 2005, which means there’s a period of 6 years where the achievement gap between boys and girls </w:t>
      </w:r>
      <w:r w:rsidR="009A6441" w:rsidRPr="00F02387">
        <w:rPr>
          <w:rFonts w:ascii="Calibri" w:hAnsi="Calibri" w:cs="Calibri"/>
          <w:color w:val="000000" w:themeColor="text1"/>
        </w:rPr>
        <w:lastRenderedPageBreak/>
        <w:t xml:space="preserve">was unaccounted for and not </w:t>
      </w:r>
      <w:proofErr w:type="gramStart"/>
      <w:r w:rsidR="009A6441" w:rsidRPr="00F02387">
        <w:rPr>
          <w:rFonts w:ascii="Calibri" w:hAnsi="Calibri" w:cs="Calibri"/>
          <w:color w:val="000000" w:themeColor="text1"/>
        </w:rPr>
        <w:t>taken into account</w:t>
      </w:r>
      <w:proofErr w:type="gramEnd"/>
      <w:r w:rsidR="009A6441" w:rsidRPr="00F02387">
        <w:rPr>
          <w:rFonts w:ascii="Calibri" w:hAnsi="Calibri" w:cs="Calibri"/>
          <w:color w:val="000000" w:themeColor="text1"/>
        </w:rPr>
        <w:t xml:space="preserve"> in her work.</w:t>
      </w:r>
      <w:r w:rsidR="005A42A1" w:rsidRPr="00F02387">
        <w:rPr>
          <w:rFonts w:ascii="Calibri" w:hAnsi="Calibri" w:cs="Calibri"/>
          <w:color w:val="000000" w:themeColor="text1"/>
        </w:rPr>
        <w:t xml:space="preserve"> </w:t>
      </w:r>
      <w:r w:rsidR="009A6441" w:rsidRPr="00F02387">
        <w:rPr>
          <w:rFonts w:ascii="Calibri" w:hAnsi="Calibri" w:cs="Calibri"/>
          <w:color w:val="000000" w:themeColor="text1"/>
        </w:rPr>
        <w:t xml:space="preserve">As well as this, the </w:t>
      </w:r>
      <w:proofErr w:type="gramStart"/>
      <w:r w:rsidR="009A6441" w:rsidRPr="00F02387">
        <w:rPr>
          <w:rFonts w:ascii="Calibri" w:hAnsi="Calibri" w:cs="Calibri"/>
          <w:color w:val="000000" w:themeColor="text1"/>
        </w:rPr>
        <w:t>main focus</w:t>
      </w:r>
      <w:proofErr w:type="gramEnd"/>
      <w:r w:rsidR="009A6441" w:rsidRPr="00F02387">
        <w:rPr>
          <w:rFonts w:ascii="Calibri" w:hAnsi="Calibri" w:cs="Calibri"/>
          <w:color w:val="000000" w:themeColor="text1"/>
        </w:rPr>
        <w:t xml:space="preserve"> of the article was about comparisons between England and Wales. Smith could have also retrieved the achievement gap between boys and girls in England and compared them to the statistics she got from the WJEC.</w:t>
      </w:r>
    </w:p>
    <w:p w14:paraId="1D274CCA" w14:textId="5BA4ABD3" w:rsidR="000B754C" w:rsidRPr="00F02387" w:rsidRDefault="000B754C" w:rsidP="00F02387">
      <w:pPr>
        <w:spacing w:line="360" w:lineRule="auto"/>
        <w:ind w:firstLine="720"/>
        <w:rPr>
          <w:rFonts w:ascii="Calibri" w:hAnsi="Calibri" w:cs="Calibri"/>
          <w:color w:val="000000" w:themeColor="text1"/>
        </w:rPr>
      </w:pPr>
      <w:r w:rsidRPr="00F02387">
        <w:rPr>
          <w:rFonts w:ascii="Calibri" w:hAnsi="Calibri" w:cs="Calibri"/>
          <w:color w:val="000000" w:themeColor="text1"/>
        </w:rPr>
        <w:t xml:space="preserve">To conclude, I feel as though Smith presented her work in a fair and justified manner. It was written professionally and suited her intended audience. Whilst it was a good argument, I found that more could be done to justify her points as mentioned above. I believe this is an appropriate academic article for those interested in this topic as it has broad coverage, reliable statistics and is set out in a way that makes it easy to read. </w:t>
      </w:r>
    </w:p>
    <w:p w14:paraId="0B3E414D" w14:textId="54E13F8B" w:rsidR="00F67A98" w:rsidRPr="00F02387" w:rsidRDefault="00F67A98" w:rsidP="00F02387">
      <w:pPr>
        <w:spacing w:line="360" w:lineRule="auto"/>
        <w:rPr>
          <w:rFonts w:ascii="Calibri" w:hAnsi="Calibri" w:cs="Calibri"/>
          <w:color w:val="000000" w:themeColor="text1"/>
        </w:rPr>
      </w:pPr>
      <w:r w:rsidRPr="00F02387">
        <w:rPr>
          <w:rFonts w:ascii="Calibri" w:hAnsi="Calibri" w:cs="Calibri"/>
          <w:color w:val="000000" w:themeColor="text1"/>
        </w:rPr>
        <w:tab/>
      </w:r>
    </w:p>
    <w:p w14:paraId="1510B48D" w14:textId="77777777" w:rsidR="0018411F" w:rsidRPr="00F02387" w:rsidRDefault="0018411F" w:rsidP="00F02387">
      <w:pPr>
        <w:spacing w:line="360" w:lineRule="auto"/>
        <w:ind w:left="360"/>
        <w:rPr>
          <w:rFonts w:ascii="Calibri" w:hAnsi="Calibri" w:cs="Calibri"/>
          <w:color w:val="000000" w:themeColor="text1"/>
        </w:rPr>
      </w:pPr>
    </w:p>
    <w:p w14:paraId="21DBF286" w14:textId="19A4455B" w:rsidR="00B01760" w:rsidRPr="00F02387" w:rsidRDefault="00E95FF4" w:rsidP="00F02387">
      <w:pPr>
        <w:spacing w:line="360" w:lineRule="auto"/>
        <w:rPr>
          <w:rFonts w:ascii="Calibri" w:hAnsi="Calibri" w:cs="Calibri"/>
          <w:b/>
          <w:bCs/>
          <w:color w:val="000000" w:themeColor="text1"/>
        </w:rPr>
      </w:pPr>
      <w:r w:rsidRPr="00F02387">
        <w:rPr>
          <w:rFonts w:ascii="Calibri" w:hAnsi="Calibri" w:cs="Calibri"/>
          <w:b/>
          <w:bCs/>
          <w:color w:val="000000" w:themeColor="text1"/>
        </w:rPr>
        <w:t>Reference List:</w:t>
      </w:r>
    </w:p>
    <w:p w14:paraId="3DB3AADC" w14:textId="5DDCC6D8" w:rsidR="00E95FF4" w:rsidRPr="00F02387" w:rsidRDefault="00E95FF4" w:rsidP="00F02387">
      <w:pPr>
        <w:pStyle w:val="NormalWeb"/>
        <w:spacing w:line="360" w:lineRule="auto"/>
        <w:rPr>
          <w:rFonts w:ascii="Calibri" w:hAnsi="Calibri" w:cs="Calibri"/>
          <w:color w:val="000000" w:themeColor="text1"/>
        </w:rPr>
      </w:pPr>
      <w:r w:rsidRPr="00F02387">
        <w:rPr>
          <w:rFonts w:ascii="Calibri" w:hAnsi="Calibri" w:cs="Calibri"/>
          <w:color w:val="000000" w:themeColor="text1"/>
        </w:rPr>
        <w:t xml:space="preserve">Smith, E. (2003a). 'Understanding underachievement: an investigation into the differential achievement of secondary school pupils', </w:t>
      </w:r>
      <w:r w:rsidRPr="00F02387">
        <w:rPr>
          <w:rFonts w:ascii="Calibri" w:hAnsi="Calibri" w:cs="Calibri"/>
          <w:i/>
          <w:iCs/>
          <w:color w:val="000000" w:themeColor="text1"/>
        </w:rPr>
        <w:t xml:space="preserve">British Journal of Sociology of Education, </w:t>
      </w:r>
      <w:r w:rsidRPr="00F02387">
        <w:rPr>
          <w:rFonts w:ascii="Calibri" w:hAnsi="Calibri" w:cs="Calibri"/>
          <w:color w:val="000000" w:themeColor="text1"/>
        </w:rPr>
        <w:t>24 (5) 575-86</w:t>
      </w:r>
    </w:p>
    <w:p w14:paraId="2DF9983F" w14:textId="7C7C5D6C" w:rsidR="00E95FF4" w:rsidRPr="00F02387" w:rsidRDefault="00E95FF4" w:rsidP="00F02387">
      <w:pPr>
        <w:pStyle w:val="NormalWeb"/>
        <w:spacing w:line="360" w:lineRule="auto"/>
        <w:rPr>
          <w:rFonts w:ascii="Calibri" w:hAnsi="Calibri" w:cs="Calibri"/>
          <w:color w:val="000000" w:themeColor="text1"/>
        </w:rPr>
      </w:pPr>
      <w:r w:rsidRPr="00F02387">
        <w:rPr>
          <w:rFonts w:ascii="Calibri" w:hAnsi="Calibri" w:cs="Calibri"/>
          <w:color w:val="000000" w:themeColor="text1"/>
        </w:rPr>
        <w:t>Smith,</w:t>
      </w:r>
      <w:r w:rsidR="00AB51E9" w:rsidRPr="00F02387">
        <w:rPr>
          <w:rFonts w:ascii="Calibri" w:hAnsi="Calibri" w:cs="Calibri"/>
          <w:color w:val="000000" w:themeColor="text1"/>
        </w:rPr>
        <w:t xml:space="preserve"> E</w:t>
      </w:r>
      <w:r w:rsidRPr="00F02387">
        <w:rPr>
          <w:rFonts w:ascii="Calibri" w:hAnsi="Calibri" w:cs="Calibri"/>
          <w:i/>
          <w:iCs/>
          <w:color w:val="000000" w:themeColor="text1"/>
        </w:rPr>
        <w:t xml:space="preserve">. </w:t>
      </w:r>
      <w:r w:rsidRPr="00F02387">
        <w:rPr>
          <w:rFonts w:ascii="Calibri" w:hAnsi="Calibri" w:cs="Calibri"/>
          <w:color w:val="000000" w:themeColor="text1"/>
        </w:rPr>
        <w:t xml:space="preserve">(2003b). 'Failing boys and moral panics: perspectives on the underachievement debate', </w:t>
      </w:r>
      <w:r w:rsidRPr="00F02387">
        <w:rPr>
          <w:rFonts w:ascii="Calibri" w:hAnsi="Calibri" w:cs="Calibri"/>
          <w:i/>
          <w:iCs/>
          <w:color w:val="000000" w:themeColor="text1"/>
        </w:rPr>
        <w:t xml:space="preserve">British Journal of Emotional Studies, </w:t>
      </w:r>
      <w:r w:rsidRPr="00F02387">
        <w:rPr>
          <w:rFonts w:ascii="Calibri" w:hAnsi="Calibri" w:cs="Calibri"/>
          <w:color w:val="000000" w:themeColor="text1"/>
        </w:rPr>
        <w:t>51 (3), 282- 95.</w:t>
      </w:r>
    </w:p>
    <w:p w14:paraId="04CD4781" w14:textId="77777777" w:rsidR="00F02387" w:rsidRPr="00F02387" w:rsidRDefault="00F02387" w:rsidP="00F02387">
      <w:pPr>
        <w:pStyle w:val="NormalWeb"/>
        <w:spacing w:line="360" w:lineRule="auto"/>
        <w:rPr>
          <w:rFonts w:ascii="Calibri" w:hAnsi="Calibri" w:cs="Calibri"/>
          <w:color w:val="000000" w:themeColor="text1"/>
        </w:rPr>
      </w:pPr>
      <w:r w:rsidRPr="00F02387">
        <w:rPr>
          <w:rFonts w:ascii="Calibri" w:hAnsi="Calibri" w:cs="Calibri"/>
          <w:color w:val="000000" w:themeColor="text1"/>
        </w:rPr>
        <w:t xml:space="preserve">Emma Smith, (2005) "Schooled to Fail? The underachievement debate in Wales", </w:t>
      </w:r>
      <w:r w:rsidRPr="00F02387">
        <w:rPr>
          <w:rFonts w:ascii="Calibri" w:hAnsi="Calibri" w:cs="Calibri"/>
          <w:i/>
          <w:iCs/>
          <w:color w:val="000000" w:themeColor="text1"/>
        </w:rPr>
        <w:t>The Welsh journal of education</w:t>
      </w:r>
      <w:r w:rsidRPr="00F02387">
        <w:rPr>
          <w:rFonts w:ascii="Calibri" w:hAnsi="Calibri" w:cs="Calibri"/>
          <w:color w:val="000000" w:themeColor="text1"/>
        </w:rPr>
        <w:t xml:space="preserve">., 13, 2, pp.84-102 </w:t>
      </w:r>
    </w:p>
    <w:p w14:paraId="4E056955" w14:textId="77777777" w:rsidR="00E95FF4" w:rsidRPr="00F02387" w:rsidRDefault="00E95FF4" w:rsidP="00F02387">
      <w:pPr>
        <w:spacing w:line="360" w:lineRule="auto"/>
        <w:rPr>
          <w:rFonts w:ascii="Calibri" w:hAnsi="Calibri" w:cs="Calibri"/>
          <w:b/>
          <w:bCs/>
          <w:color w:val="000000" w:themeColor="text1"/>
        </w:rPr>
      </w:pPr>
    </w:p>
    <w:p w14:paraId="5D78C6FD" w14:textId="77777777" w:rsidR="00B01760" w:rsidRPr="00F02387" w:rsidRDefault="00B01760" w:rsidP="00F02387">
      <w:pPr>
        <w:spacing w:line="360" w:lineRule="auto"/>
        <w:rPr>
          <w:rFonts w:ascii="Calibri" w:hAnsi="Calibri" w:cs="Calibri"/>
          <w:color w:val="000000" w:themeColor="text1"/>
        </w:rPr>
      </w:pPr>
    </w:p>
    <w:p w14:paraId="478EAB19" w14:textId="77777777" w:rsidR="00B01760" w:rsidRPr="00F02387" w:rsidRDefault="00B01760" w:rsidP="00F02387">
      <w:pPr>
        <w:spacing w:line="360" w:lineRule="auto"/>
        <w:rPr>
          <w:rFonts w:ascii="Calibri" w:hAnsi="Calibri" w:cs="Calibri"/>
          <w:color w:val="000000" w:themeColor="text1"/>
        </w:rPr>
      </w:pPr>
    </w:p>
    <w:p w14:paraId="40CF672D" w14:textId="38212648" w:rsidR="00B01760" w:rsidRPr="00F02387" w:rsidRDefault="00B01760" w:rsidP="00F02387">
      <w:pPr>
        <w:spacing w:line="360" w:lineRule="auto"/>
        <w:rPr>
          <w:rFonts w:ascii="Calibri" w:hAnsi="Calibri" w:cs="Calibri"/>
          <w:color w:val="000000" w:themeColor="text1"/>
        </w:rPr>
      </w:pPr>
    </w:p>
    <w:sectPr w:rsidR="00B01760" w:rsidRPr="00F023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038F7"/>
    <w:multiLevelType w:val="hybridMultilevel"/>
    <w:tmpl w:val="DFD44B1E"/>
    <w:lvl w:ilvl="0" w:tplc="2A5A3A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6544D88"/>
    <w:multiLevelType w:val="hybridMultilevel"/>
    <w:tmpl w:val="2C1C9C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D586ED7"/>
    <w:multiLevelType w:val="hybridMultilevel"/>
    <w:tmpl w:val="0BEE26C4"/>
    <w:lvl w:ilvl="0" w:tplc="85E2B10A">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2882123">
    <w:abstractNumId w:val="2"/>
  </w:num>
  <w:num w:numId="2" w16cid:durableId="1227493580">
    <w:abstractNumId w:val="0"/>
  </w:num>
  <w:num w:numId="3" w16cid:durableId="1301498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E50"/>
    <w:rsid w:val="00025C37"/>
    <w:rsid w:val="000314FC"/>
    <w:rsid w:val="00094CA3"/>
    <w:rsid w:val="00096CC5"/>
    <w:rsid w:val="000B754C"/>
    <w:rsid w:val="00146514"/>
    <w:rsid w:val="0018411F"/>
    <w:rsid w:val="001859E0"/>
    <w:rsid w:val="00265177"/>
    <w:rsid w:val="002A6A41"/>
    <w:rsid w:val="002E5E50"/>
    <w:rsid w:val="00326B63"/>
    <w:rsid w:val="003576C6"/>
    <w:rsid w:val="00362C15"/>
    <w:rsid w:val="00384512"/>
    <w:rsid w:val="003D5655"/>
    <w:rsid w:val="003F2774"/>
    <w:rsid w:val="00401992"/>
    <w:rsid w:val="00406EA4"/>
    <w:rsid w:val="00486827"/>
    <w:rsid w:val="004D5F40"/>
    <w:rsid w:val="00516CDB"/>
    <w:rsid w:val="005849B9"/>
    <w:rsid w:val="005A42A1"/>
    <w:rsid w:val="005E3D71"/>
    <w:rsid w:val="006D491F"/>
    <w:rsid w:val="006E46D9"/>
    <w:rsid w:val="006F4D88"/>
    <w:rsid w:val="007C636A"/>
    <w:rsid w:val="008077AA"/>
    <w:rsid w:val="00820963"/>
    <w:rsid w:val="00832D48"/>
    <w:rsid w:val="008429E8"/>
    <w:rsid w:val="008A2E76"/>
    <w:rsid w:val="008B1490"/>
    <w:rsid w:val="008D3E85"/>
    <w:rsid w:val="008D5C0C"/>
    <w:rsid w:val="008F29B1"/>
    <w:rsid w:val="00973621"/>
    <w:rsid w:val="00973A0E"/>
    <w:rsid w:val="00996425"/>
    <w:rsid w:val="009A6441"/>
    <w:rsid w:val="009A74AE"/>
    <w:rsid w:val="00A25A38"/>
    <w:rsid w:val="00A35A67"/>
    <w:rsid w:val="00A826D2"/>
    <w:rsid w:val="00AB51E9"/>
    <w:rsid w:val="00B01760"/>
    <w:rsid w:val="00B14E2D"/>
    <w:rsid w:val="00BB2390"/>
    <w:rsid w:val="00BC038E"/>
    <w:rsid w:val="00C33F2B"/>
    <w:rsid w:val="00C840FB"/>
    <w:rsid w:val="00D12422"/>
    <w:rsid w:val="00DC4688"/>
    <w:rsid w:val="00E12150"/>
    <w:rsid w:val="00E26E2C"/>
    <w:rsid w:val="00E36F3C"/>
    <w:rsid w:val="00E95FF4"/>
    <w:rsid w:val="00ED0268"/>
    <w:rsid w:val="00F02387"/>
    <w:rsid w:val="00F67A98"/>
    <w:rsid w:val="00FA6BC5"/>
    <w:rsid w:val="00FE2EF8"/>
    <w:rsid w:val="00FF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72CFA4"/>
  <w15:chartTrackingRefBased/>
  <w15:docId w15:val="{901F61B4-451A-1D40-8F43-F752642A4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3E85"/>
    <w:pPr>
      <w:ind w:left="720"/>
      <w:contextualSpacing/>
    </w:pPr>
  </w:style>
  <w:style w:type="character" w:styleId="Hyperlink">
    <w:name w:val="Hyperlink"/>
    <w:basedOn w:val="DefaultParagraphFont"/>
    <w:uiPriority w:val="99"/>
    <w:unhideWhenUsed/>
    <w:rsid w:val="00406EA4"/>
    <w:rPr>
      <w:color w:val="0563C1" w:themeColor="hyperlink"/>
      <w:u w:val="single"/>
    </w:rPr>
  </w:style>
  <w:style w:type="character" w:styleId="UnresolvedMention">
    <w:name w:val="Unresolved Mention"/>
    <w:basedOn w:val="DefaultParagraphFont"/>
    <w:uiPriority w:val="99"/>
    <w:semiHidden/>
    <w:unhideWhenUsed/>
    <w:rsid w:val="00406EA4"/>
    <w:rPr>
      <w:color w:val="605E5C"/>
      <w:shd w:val="clear" w:color="auto" w:fill="E1DFDD"/>
    </w:rPr>
  </w:style>
  <w:style w:type="paragraph" w:styleId="NormalWeb">
    <w:name w:val="Normal (Web)"/>
    <w:basedOn w:val="Normal"/>
    <w:uiPriority w:val="99"/>
    <w:semiHidden/>
    <w:unhideWhenUsed/>
    <w:rsid w:val="00E95FF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40140">
      <w:bodyDiv w:val="1"/>
      <w:marLeft w:val="0"/>
      <w:marRight w:val="0"/>
      <w:marTop w:val="0"/>
      <w:marBottom w:val="0"/>
      <w:divBdr>
        <w:top w:val="none" w:sz="0" w:space="0" w:color="auto"/>
        <w:left w:val="none" w:sz="0" w:space="0" w:color="auto"/>
        <w:bottom w:val="none" w:sz="0" w:space="0" w:color="auto"/>
        <w:right w:val="none" w:sz="0" w:space="0" w:color="auto"/>
      </w:divBdr>
      <w:divsChild>
        <w:div w:id="1995067835">
          <w:marLeft w:val="0"/>
          <w:marRight w:val="0"/>
          <w:marTop w:val="0"/>
          <w:marBottom w:val="0"/>
          <w:divBdr>
            <w:top w:val="none" w:sz="0" w:space="0" w:color="auto"/>
            <w:left w:val="none" w:sz="0" w:space="0" w:color="auto"/>
            <w:bottom w:val="none" w:sz="0" w:space="0" w:color="auto"/>
            <w:right w:val="none" w:sz="0" w:space="0" w:color="auto"/>
          </w:divBdr>
          <w:divsChild>
            <w:div w:id="709651747">
              <w:marLeft w:val="0"/>
              <w:marRight w:val="0"/>
              <w:marTop w:val="0"/>
              <w:marBottom w:val="0"/>
              <w:divBdr>
                <w:top w:val="none" w:sz="0" w:space="0" w:color="auto"/>
                <w:left w:val="none" w:sz="0" w:space="0" w:color="auto"/>
                <w:bottom w:val="none" w:sz="0" w:space="0" w:color="auto"/>
                <w:right w:val="none" w:sz="0" w:space="0" w:color="auto"/>
              </w:divBdr>
              <w:divsChild>
                <w:div w:id="35204761">
                  <w:marLeft w:val="0"/>
                  <w:marRight w:val="0"/>
                  <w:marTop w:val="0"/>
                  <w:marBottom w:val="0"/>
                  <w:divBdr>
                    <w:top w:val="none" w:sz="0" w:space="0" w:color="auto"/>
                    <w:left w:val="none" w:sz="0" w:space="0" w:color="auto"/>
                    <w:bottom w:val="none" w:sz="0" w:space="0" w:color="auto"/>
                    <w:right w:val="none" w:sz="0" w:space="0" w:color="auto"/>
                  </w:divBdr>
                  <w:divsChild>
                    <w:div w:id="64154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816234">
      <w:bodyDiv w:val="1"/>
      <w:marLeft w:val="0"/>
      <w:marRight w:val="0"/>
      <w:marTop w:val="0"/>
      <w:marBottom w:val="0"/>
      <w:divBdr>
        <w:top w:val="none" w:sz="0" w:space="0" w:color="auto"/>
        <w:left w:val="none" w:sz="0" w:space="0" w:color="auto"/>
        <w:bottom w:val="none" w:sz="0" w:space="0" w:color="auto"/>
        <w:right w:val="none" w:sz="0" w:space="0" w:color="auto"/>
      </w:divBdr>
      <w:divsChild>
        <w:div w:id="615214689">
          <w:marLeft w:val="0"/>
          <w:marRight w:val="0"/>
          <w:marTop w:val="0"/>
          <w:marBottom w:val="0"/>
          <w:divBdr>
            <w:top w:val="none" w:sz="0" w:space="0" w:color="auto"/>
            <w:left w:val="none" w:sz="0" w:space="0" w:color="auto"/>
            <w:bottom w:val="none" w:sz="0" w:space="0" w:color="auto"/>
            <w:right w:val="none" w:sz="0" w:space="0" w:color="auto"/>
          </w:divBdr>
          <w:divsChild>
            <w:div w:id="582106654">
              <w:marLeft w:val="0"/>
              <w:marRight w:val="0"/>
              <w:marTop w:val="0"/>
              <w:marBottom w:val="0"/>
              <w:divBdr>
                <w:top w:val="none" w:sz="0" w:space="0" w:color="auto"/>
                <w:left w:val="none" w:sz="0" w:space="0" w:color="auto"/>
                <w:bottom w:val="none" w:sz="0" w:space="0" w:color="auto"/>
                <w:right w:val="none" w:sz="0" w:space="0" w:color="auto"/>
              </w:divBdr>
              <w:divsChild>
                <w:div w:id="138930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87956">
      <w:bodyDiv w:val="1"/>
      <w:marLeft w:val="0"/>
      <w:marRight w:val="0"/>
      <w:marTop w:val="0"/>
      <w:marBottom w:val="0"/>
      <w:divBdr>
        <w:top w:val="none" w:sz="0" w:space="0" w:color="auto"/>
        <w:left w:val="none" w:sz="0" w:space="0" w:color="auto"/>
        <w:bottom w:val="none" w:sz="0" w:space="0" w:color="auto"/>
        <w:right w:val="none" w:sz="0" w:space="0" w:color="auto"/>
      </w:divBdr>
      <w:divsChild>
        <w:div w:id="1232737117">
          <w:marLeft w:val="0"/>
          <w:marRight w:val="0"/>
          <w:marTop w:val="0"/>
          <w:marBottom w:val="0"/>
          <w:divBdr>
            <w:top w:val="none" w:sz="0" w:space="0" w:color="auto"/>
            <w:left w:val="none" w:sz="0" w:space="0" w:color="auto"/>
            <w:bottom w:val="none" w:sz="0" w:space="0" w:color="auto"/>
            <w:right w:val="none" w:sz="0" w:space="0" w:color="auto"/>
          </w:divBdr>
          <w:divsChild>
            <w:div w:id="57214798">
              <w:marLeft w:val="0"/>
              <w:marRight w:val="0"/>
              <w:marTop w:val="0"/>
              <w:marBottom w:val="0"/>
              <w:divBdr>
                <w:top w:val="none" w:sz="0" w:space="0" w:color="auto"/>
                <w:left w:val="none" w:sz="0" w:space="0" w:color="auto"/>
                <w:bottom w:val="none" w:sz="0" w:space="0" w:color="auto"/>
                <w:right w:val="none" w:sz="0" w:space="0" w:color="auto"/>
              </w:divBdr>
              <w:divsChild>
                <w:div w:id="135464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aperpile.com/g/wikipedia-credible-sour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7</Pages>
  <Words>1932</Words>
  <Characters>11016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23</cp:revision>
  <dcterms:created xsi:type="dcterms:W3CDTF">2022-11-25T14:26:00Z</dcterms:created>
  <dcterms:modified xsi:type="dcterms:W3CDTF">2022-12-11T23:39:00Z</dcterms:modified>
</cp:coreProperties>
</file>