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795F2" w14:textId="77777777" w:rsidR="007E7896" w:rsidRPr="0074261B" w:rsidRDefault="007E7896" w:rsidP="007E7896">
      <w:pPr>
        <w:pBdr>
          <w:top w:val="nil"/>
          <w:left w:val="nil"/>
          <w:bottom w:val="nil"/>
          <w:right w:val="nil"/>
          <w:between w:val="nil"/>
        </w:pBdr>
        <w:spacing w:line="360" w:lineRule="auto"/>
        <w:jc w:val="center"/>
        <w:rPr>
          <w:rFonts w:ascii="Arial" w:eastAsia="Arial" w:hAnsi="Arial" w:cs="Arial"/>
          <w:b/>
          <w:bCs/>
          <w:sz w:val="36"/>
          <w:szCs w:val="36"/>
        </w:rPr>
      </w:pPr>
    </w:p>
    <w:p w14:paraId="41904D24" w14:textId="21799246" w:rsidR="007E7896" w:rsidRDefault="007E7896" w:rsidP="007E7896">
      <w:pPr>
        <w:pBdr>
          <w:top w:val="nil"/>
          <w:left w:val="nil"/>
          <w:bottom w:val="nil"/>
          <w:right w:val="nil"/>
          <w:between w:val="nil"/>
        </w:pBdr>
        <w:spacing w:line="360" w:lineRule="auto"/>
        <w:jc w:val="center"/>
        <w:rPr>
          <w:rFonts w:ascii="Arial" w:eastAsia="Arial" w:hAnsi="Arial" w:cs="Arial"/>
          <w:b/>
          <w:bCs/>
          <w:sz w:val="36"/>
          <w:szCs w:val="36"/>
        </w:rPr>
      </w:pPr>
      <w:r w:rsidRPr="0074261B">
        <w:rPr>
          <w:rFonts w:ascii="Arial" w:eastAsia="Arial" w:hAnsi="Arial" w:cs="Arial"/>
          <w:b/>
          <w:bCs/>
          <w:noProof/>
          <w:sz w:val="36"/>
          <w:szCs w:val="36"/>
        </w:rPr>
        <w:drawing>
          <wp:inline distT="0" distB="0" distL="0" distR="0" wp14:anchorId="51FE7D41" wp14:editId="2B180792">
            <wp:extent cx="2965600" cy="1186993"/>
            <wp:effectExtent l="0" t="0" r="0" b="0"/>
            <wp:docPr id="15004322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2965600" cy="1186993"/>
                    </a:xfrm>
                    <a:prstGeom prst="rect">
                      <a:avLst/>
                    </a:prstGeom>
                    <a:ln/>
                  </pic:spPr>
                </pic:pic>
              </a:graphicData>
            </a:graphic>
          </wp:inline>
        </w:drawing>
      </w:r>
    </w:p>
    <w:p w14:paraId="0219B7D5" w14:textId="5B1A8E11" w:rsidR="007E7896" w:rsidRDefault="007E7896" w:rsidP="0029674E">
      <w:pPr>
        <w:pBdr>
          <w:top w:val="nil"/>
          <w:left w:val="nil"/>
          <w:bottom w:val="nil"/>
          <w:right w:val="nil"/>
          <w:between w:val="nil"/>
        </w:pBdr>
        <w:spacing w:line="360" w:lineRule="auto"/>
        <w:rPr>
          <w:rFonts w:ascii="Arial" w:eastAsia="Arial" w:hAnsi="Arial" w:cs="Arial"/>
          <w:b/>
          <w:bCs/>
          <w:sz w:val="36"/>
          <w:szCs w:val="36"/>
        </w:rPr>
      </w:pPr>
    </w:p>
    <w:p w14:paraId="24C9066F" w14:textId="77777777" w:rsidR="0029674E" w:rsidRPr="0074261B" w:rsidRDefault="0029674E" w:rsidP="0029674E">
      <w:pPr>
        <w:pBdr>
          <w:top w:val="nil"/>
          <w:left w:val="nil"/>
          <w:bottom w:val="nil"/>
          <w:right w:val="nil"/>
          <w:between w:val="nil"/>
        </w:pBdr>
        <w:spacing w:line="360" w:lineRule="auto"/>
        <w:rPr>
          <w:rFonts w:ascii="Arial" w:eastAsia="Arial" w:hAnsi="Arial" w:cs="Arial"/>
          <w:b/>
          <w:bCs/>
          <w:sz w:val="36"/>
          <w:szCs w:val="36"/>
        </w:rPr>
      </w:pPr>
    </w:p>
    <w:p w14:paraId="57EC2AF4" w14:textId="2FAE111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r w:rsidRPr="00C739B1">
        <w:rPr>
          <w:rFonts w:ascii="Arial" w:eastAsia="Arial" w:hAnsi="Arial" w:cs="Arial"/>
          <w:b/>
          <w:bCs/>
          <w:sz w:val="32"/>
          <w:szCs w:val="32"/>
        </w:rPr>
        <w:t>Programme Name: Master of Business Administration</w:t>
      </w:r>
    </w:p>
    <w:p w14:paraId="43D2675D"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1A38BA6B" w14:textId="79D43A9E" w:rsidR="007E7896" w:rsidRPr="009A6085" w:rsidRDefault="007E7896" w:rsidP="007E7896">
      <w:pPr>
        <w:pBdr>
          <w:top w:val="nil"/>
          <w:left w:val="nil"/>
          <w:bottom w:val="nil"/>
          <w:right w:val="nil"/>
          <w:between w:val="nil"/>
        </w:pBdr>
        <w:spacing w:line="360" w:lineRule="auto"/>
        <w:jc w:val="center"/>
        <w:rPr>
          <w:rFonts w:ascii="Arial" w:eastAsia="Arial" w:hAnsi="Arial" w:cs="Arial"/>
          <w:b/>
          <w:bCs/>
          <w:sz w:val="28"/>
          <w:szCs w:val="28"/>
        </w:rPr>
      </w:pPr>
      <w:r w:rsidRPr="009A6085">
        <w:rPr>
          <w:rFonts w:ascii="Arial" w:eastAsia="Arial" w:hAnsi="Arial" w:cs="Arial"/>
          <w:b/>
          <w:bCs/>
          <w:sz w:val="28"/>
          <w:szCs w:val="28"/>
        </w:rPr>
        <w:t>Name and Code of the Module: International Business Concepts LCMB7034</w:t>
      </w:r>
    </w:p>
    <w:p w14:paraId="5DD9A573"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0D54644E" w14:textId="01AD15E8"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r w:rsidRPr="00C739B1">
        <w:rPr>
          <w:rFonts w:ascii="Arial" w:eastAsia="Arial" w:hAnsi="Arial" w:cs="Arial"/>
          <w:b/>
          <w:bCs/>
          <w:sz w:val="32"/>
          <w:szCs w:val="32"/>
        </w:rPr>
        <w:t>Title: Report- Nestle</w:t>
      </w:r>
    </w:p>
    <w:p w14:paraId="682E12B0"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7998B81C" w14:textId="0D4BE7CD"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r w:rsidRPr="00C739B1">
        <w:rPr>
          <w:rFonts w:ascii="Arial" w:eastAsia="Arial" w:hAnsi="Arial" w:cs="Arial"/>
          <w:b/>
          <w:bCs/>
          <w:sz w:val="32"/>
          <w:szCs w:val="32"/>
        </w:rPr>
        <w:t xml:space="preserve">Lecturer’s Name: </w:t>
      </w:r>
      <w:r w:rsidR="00C739B1" w:rsidRPr="00C739B1">
        <w:rPr>
          <w:rFonts w:ascii="Arial" w:eastAsia="Arial" w:hAnsi="Arial" w:cs="Arial"/>
          <w:b/>
          <w:bCs/>
          <w:sz w:val="32"/>
          <w:szCs w:val="32"/>
        </w:rPr>
        <w:t>H</w:t>
      </w:r>
      <w:r w:rsidR="00C739B1">
        <w:rPr>
          <w:rFonts w:ascii="Arial" w:eastAsia="Arial" w:hAnsi="Arial" w:cs="Arial"/>
          <w:b/>
          <w:bCs/>
          <w:sz w:val="32"/>
          <w:szCs w:val="32"/>
        </w:rPr>
        <w:t>oang</w:t>
      </w:r>
      <w:r w:rsidR="00C739B1" w:rsidRPr="00C739B1">
        <w:rPr>
          <w:rFonts w:ascii="Arial" w:eastAsia="Arial" w:hAnsi="Arial" w:cs="Arial"/>
          <w:b/>
          <w:bCs/>
          <w:sz w:val="32"/>
          <w:szCs w:val="32"/>
        </w:rPr>
        <w:t xml:space="preserve"> D</w:t>
      </w:r>
      <w:r w:rsidR="00C739B1">
        <w:rPr>
          <w:rFonts w:ascii="Arial" w:eastAsia="Arial" w:hAnsi="Arial" w:cs="Arial"/>
          <w:b/>
          <w:bCs/>
          <w:sz w:val="32"/>
          <w:szCs w:val="32"/>
        </w:rPr>
        <w:t>ang</w:t>
      </w:r>
      <w:r w:rsidR="00C739B1" w:rsidRPr="00C739B1">
        <w:rPr>
          <w:rFonts w:ascii="Arial" w:eastAsia="Arial" w:hAnsi="Arial" w:cs="Arial"/>
          <w:b/>
          <w:bCs/>
          <w:sz w:val="32"/>
          <w:szCs w:val="32"/>
        </w:rPr>
        <w:t xml:space="preserve"> N</w:t>
      </w:r>
      <w:r w:rsidR="00C739B1">
        <w:rPr>
          <w:rFonts w:ascii="Arial" w:eastAsia="Arial" w:hAnsi="Arial" w:cs="Arial"/>
          <w:b/>
          <w:bCs/>
          <w:sz w:val="32"/>
          <w:szCs w:val="32"/>
        </w:rPr>
        <w:t>guyen</w:t>
      </w:r>
    </w:p>
    <w:p w14:paraId="08C3CD0F"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4880622D" w14:textId="77777777" w:rsidR="007E7896" w:rsidRPr="00C739B1" w:rsidRDefault="007E7896" w:rsidP="007E7896">
      <w:pPr>
        <w:spacing w:before="1" w:line="360" w:lineRule="auto"/>
        <w:ind w:left="893" w:right="901"/>
        <w:jc w:val="center"/>
        <w:rPr>
          <w:rFonts w:ascii="Arial" w:hAnsi="Arial" w:cs="Arial"/>
          <w:b/>
          <w:bCs/>
          <w:sz w:val="32"/>
          <w:szCs w:val="32"/>
        </w:rPr>
      </w:pPr>
      <w:r w:rsidRPr="00C739B1">
        <w:rPr>
          <w:rFonts w:ascii="Arial" w:hAnsi="Arial" w:cs="Arial"/>
          <w:b/>
          <w:bCs/>
          <w:sz w:val="32"/>
          <w:szCs w:val="32"/>
        </w:rPr>
        <w:t>Student</w:t>
      </w:r>
      <w:r w:rsidRPr="00C739B1">
        <w:rPr>
          <w:rFonts w:ascii="Arial" w:hAnsi="Arial" w:cs="Arial"/>
          <w:b/>
          <w:bCs/>
          <w:spacing w:val="-10"/>
          <w:sz w:val="32"/>
          <w:szCs w:val="32"/>
        </w:rPr>
        <w:t xml:space="preserve"> </w:t>
      </w:r>
      <w:r w:rsidRPr="00C739B1">
        <w:rPr>
          <w:rFonts w:ascii="Arial" w:hAnsi="Arial" w:cs="Arial"/>
          <w:b/>
          <w:bCs/>
          <w:sz w:val="32"/>
          <w:szCs w:val="32"/>
        </w:rPr>
        <w:t>Name:</w:t>
      </w:r>
      <w:r w:rsidRPr="00C739B1">
        <w:rPr>
          <w:rFonts w:ascii="Arial" w:hAnsi="Arial" w:cs="Arial"/>
          <w:b/>
          <w:bCs/>
          <w:spacing w:val="-13"/>
          <w:sz w:val="32"/>
          <w:szCs w:val="32"/>
        </w:rPr>
        <w:t xml:space="preserve"> Harshil </w:t>
      </w:r>
      <w:proofErr w:type="spellStart"/>
      <w:r w:rsidRPr="00C739B1">
        <w:rPr>
          <w:rFonts w:ascii="Arial" w:hAnsi="Arial" w:cs="Arial"/>
          <w:b/>
          <w:bCs/>
          <w:spacing w:val="-13"/>
          <w:sz w:val="32"/>
          <w:szCs w:val="32"/>
        </w:rPr>
        <w:t>Mukeshbhai</w:t>
      </w:r>
      <w:proofErr w:type="spellEnd"/>
      <w:r w:rsidRPr="00C739B1">
        <w:rPr>
          <w:rFonts w:ascii="Arial" w:hAnsi="Arial" w:cs="Arial"/>
          <w:b/>
          <w:bCs/>
          <w:spacing w:val="-13"/>
          <w:sz w:val="32"/>
          <w:szCs w:val="32"/>
        </w:rPr>
        <w:t xml:space="preserve"> Korat</w:t>
      </w:r>
    </w:p>
    <w:p w14:paraId="00432E72" w14:textId="77777777" w:rsidR="007E7896" w:rsidRPr="00C739B1" w:rsidRDefault="007E7896" w:rsidP="007E7896">
      <w:pPr>
        <w:spacing w:before="1" w:line="360" w:lineRule="auto"/>
        <w:ind w:left="893" w:right="901"/>
        <w:jc w:val="center"/>
        <w:rPr>
          <w:rFonts w:ascii="Arial" w:hAnsi="Arial" w:cs="Arial"/>
          <w:b/>
          <w:bCs/>
          <w:sz w:val="32"/>
          <w:szCs w:val="32"/>
        </w:rPr>
      </w:pPr>
      <w:r w:rsidRPr="00C739B1">
        <w:rPr>
          <w:rFonts w:ascii="Arial" w:hAnsi="Arial" w:cs="Arial"/>
          <w:b/>
          <w:bCs/>
          <w:sz w:val="32"/>
          <w:szCs w:val="32"/>
        </w:rPr>
        <w:t>Student ID: 2430624</w:t>
      </w:r>
    </w:p>
    <w:p w14:paraId="3A203C2F" w14:textId="14F275EC" w:rsidR="007E7896" w:rsidRPr="00C739B1" w:rsidRDefault="007E7896" w:rsidP="007E7896">
      <w:pPr>
        <w:pBdr>
          <w:top w:val="nil"/>
          <w:left w:val="nil"/>
          <w:bottom w:val="nil"/>
          <w:right w:val="nil"/>
          <w:between w:val="nil"/>
        </w:pBdr>
        <w:spacing w:line="360" w:lineRule="auto"/>
        <w:rPr>
          <w:rFonts w:ascii="Arial" w:eastAsia="Arial" w:hAnsi="Arial" w:cs="Arial"/>
          <w:b/>
          <w:bCs/>
          <w:sz w:val="32"/>
          <w:szCs w:val="32"/>
        </w:rPr>
      </w:pP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p>
    <w:p w14:paraId="01B1A348" w14:textId="799D2E6E" w:rsidR="007E7896" w:rsidRPr="00C739B1" w:rsidRDefault="007E7896" w:rsidP="007E7896">
      <w:pPr>
        <w:spacing w:line="360" w:lineRule="auto"/>
        <w:ind w:left="900" w:right="901"/>
        <w:jc w:val="center"/>
        <w:rPr>
          <w:rFonts w:ascii="Arial" w:hAnsi="Arial" w:cs="Arial"/>
          <w:b/>
          <w:bCs/>
          <w:sz w:val="32"/>
          <w:szCs w:val="32"/>
        </w:rPr>
      </w:pPr>
      <w:r w:rsidRPr="00C739B1">
        <w:rPr>
          <w:rFonts w:ascii="Arial" w:hAnsi="Arial" w:cs="Arial"/>
          <w:b/>
          <w:bCs/>
          <w:sz w:val="32"/>
          <w:szCs w:val="32"/>
        </w:rPr>
        <w:t>Term</w:t>
      </w:r>
      <w:r w:rsidRPr="00C739B1">
        <w:rPr>
          <w:rFonts w:ascii="Arial" w:hAnsi="Arial" w:cs="Arial"/>
          <w:b/>
          <w:bCs/>
          <w:spacing w:val="-7"/>
          <w:sz w:val="32"/>
          <w:szCs w:val="32"/>
        </w:rPr>
        <w:t xml:space="preserve"> </w:t>
      </w:r>
      <w:r w:rsidRPr="00C739B1">
        <w:rPr>
          <w:rFonts w:ascii="Arial" w:hAnsi="Arial" w:cs="Arial"/>
          <w:b/>
          <w:bCs/>
          <w:spacing w:val="-10"/>
          <w:sz w:val="32"/>
          <w:szCs w:val="32"/>
        </w:rPr>
        <w:t>2</w:t>
      </w:r>
    </w:p>
    <w:p w14:paraId="2181D2E4" w14:textId="2D021D58" w:rsidR="007E7896" w:rsidRPr="007E7896" w:rsidRDefault="007E7896" w:rsidP="007E7896">
      <w:pPr>
        <w:spacing w:line="360" w:lineRule="auto"/>
        <w:ind w:left="898" w:right="901"/>
        <w:jc w:val="center"/>
        <w:rPr>
          <w:rFonts w:ascii="Arial" w:hAnsi="Arial" w:cs="Arial"/>
          <w:b/>
          <w:bCs/>
          <w:sz w:val="32"/>
          <w:szCs w:val="32"/>
        </w:rPr>
      </w:pPr>
      <w:r w:rsidRPr="00C739B1">
        <w:rPr>
          <w:rFonts w:ascii="Arial" w:hAnsi="Arial" w:cs="Arial"/>
          <w:b/>
          <w:bCs/>
          <w:sz w:val="32"/>
          <w:szCs w:val="32"/>
        </w:rPr>
        <w:t>Submission</w:t>
      </w:r>
      <w:r w:rsidRPr="00C739B1">
        <w:rPr>
          <w:rFonts w:ascii="Arial" w:hAnsi="Arial" w:cs="Arial"/>
          <w:b/>
          <w:bCs/>
          <w:spacing w:val="-18"/>
          <w:sz w:val="32"/>
          <w:szCs w:val="32"/>
        </w:rPr>
        <w:t xml:space="preserve"> </w:t>
      </w:r>
      <w:r w:rsidRPr="00C739B1">
        <w:rPr>
          <w:rFonts w:ascii="Arial" w:hAnsi="Arial" w:cs="Arial"/>
          <w:b/>
          <w:bCs/>
          <w:sz w:val="32"/>
          <w:szCs w:val="32"/>
        </w:rPr>
        <w:t>Date:</w:t>
      </w:r>
      <w:r w:rsidRPr="00C739B1">
        <w:rPr>
          <w:rFonts w:ascii="Arial" w:hAnsi="Arial" w:cs="Arial"/>
          <w:b/>
          <w:bCs/>
          <w:spacing w:val="-10"/>
          <w:sz w:val="32"/>
          <w:szCs w:val="32"/>
        </w:rPr>
        <w:t xml:space="preserve"> </w:t>
      </w:r>
      <w:r w:rsidRPr="00C739B1">
        <w:rPr>
          <w:rFonts w:ascii="Arial" w:hAnsi="Arial" w:cs="Arial"/>
          <w:b/>
          <w:bCs/>
          <w:sz w:val="32"/>
          <w:szCs w:val="32"/>
        </w:rPr>
        <w:t>15</w:t>
      </w:r>
      <w:r w:rsidRPr="00C739B1">
        <w:rPr>
          <w:rFonts w:ascii="Arial" w:hAnsi="Arial" w:cs="Arial"/>
          <w:b/>
          <w:bCs/>
          <w:spacing w:val="-24"/>
          <w:sz w:val="32"/>
          <w:szCs w:val="32"/>
        </w:rPr>
        <w:t xml:space="preserve"> DECEMBER</w:t>
      </w:r>
      <w:r w:rsidRPr="00C739B1">
        <w:rPr>
          <w:rFonts w:ascii="Arial" w:hAnsi="Arial" w:cs="Arial"/>
          <w:b/>
          <w:bCs/>
          <w:sz w:val="32"/>
          <w:szCs w:val="32"/>
        </w:rPr>
        <w:t xml:space="preserve">, </w:t>
      </w:r>
      <w:r w:rsidRPr="00C739B1">
        <w:rPr>
          <w:rFonts w:ascii="Arial" w:hAnsi="Arial" w:cs="Arial"/>
          <w:b/>
          <w:bCs/>
          <w:spacing w:val="-4"/>
          <w:sz w:val="32"/>
          <w:szCs w:val="32"/>
        </w:rPr>
        <w:t>2025</w:t>
      </w:r>
      <w:r w:rsidRPr="0074261B">
        <w:br w:type="page"/>
      </w:r>
    </w:p>
    <w:p w14:paraId="6C9830F1" w14:textId="77777777" w:rsidR="009A6085" w:rsidRPr="0074261B" w:rsidRDefault="009A6085" w:rsidP="009A6085">
      <w:pPr>
        <w:keepNext/>
        <w:keepLines/>
        <w:pBdr>
          <w:top w:val="nil"/>
          <w:left w:val="nil"/>
          <w:bottom w:val="nil"/>
          <w:right w:val="nil"/>
          <w:between w:val="nil"/>
        </w:pBdr>
        <w:spacing w:before="240" w:line="360" w:lineRule="auto"/>
        <w:jc w:val="center"/>
        <w:rPr>
          <w:b/>
          <w:bCs/>
          <w:sz w:val="32"/>
          <w:szCs w:val="32"/>
        </w:rPr>
      </w:pPr>
      <w:r w:rsidRPr="0074261B">
        <w:rPr>
          <w:b/>
          <w:bCs/>
          <w:sz w:val="32"/>
          <w:szCs w:val="32"/>
        </w:rPr>
        <w:lastRenderedPageBreak/>
        <w:t>Table of Contents</w:t>
      </w:r>
    </w:p>
    <w:sdt>
      <w:sdtPr>
        <w:id w:val="1767076728"/>
        <w:docPartObj>
          <w:docPartGallery w:val="Table of Contents"/>
          <w:docPartUnique/>
        </w:docPartObj>
      </w:sdtPr>
      <w:sdtEndPr/>
      <w:sdtContent>
        <w:p w14:paraId="259A8177" w14:textId="543D5CBC" w:rsidR="009A6085" w:rsidRDefault="009A6085" w:rsidP="009A6085">
          <w:pPr>
            <w:pStyle w:val="TOC1"/>
            <w:tabs>
              <w:tab w:val="right" w:leader="dot" w:pos="9350"/>
            </w:tabs>
            <w:spacing w:line="360" w:lineRule="auto"/>
            <w:rPr>
              <w:rFonts w:asciiTheme="minorHAnsi" w:eastAsiaTheme="minorEastAsia" w:hAnsiTheme="minorHAnsi" w:cstheme="minorBidi"/>
              <w:noProof/>
              <w:kern w:val="2"/>
              <w:lang w:eastAsia="zh-CN"/>
              <w14:ligatures w14:val="standardContextual"/>
            </w:rPr>
          </w:pPr>
          <w:r w:rsidRPr="0074261B">
            <w:fldChar w:fldCharType="begin"/>
          </w:r>
          <w:r w:rsidRPr="0074261B">
            <w:instrText xml:space="preserve"> TOC \h \u \z \t "Heading 1,1,Heading 2,2,Heading 3,3,"</w:instrText>
          </w:r>
          <w:r w:rsidRPr="0074261B">
            <w:fldChar w:fldCharType="separate"/>
          </w:r>
          <w:hyperlink w:anchor="_Toc216074160" w:history="1">
            <w:r w:rsidRPr="005E7D09">
              <w:rPr>
                <w:rStyle w:val="Hyperlink"/>
                <w:noProof/>
              </w:rPr>
              <w:t>1. Introduction to the report</w:t>
            </w:r>
            <w:r>
              <w:rPr>
                <w:noProof/>
                <w:webHidden/>
              </w:rPr>
              <w:tab/>
            </w:r>
            <w:r>
              <w:rPr>
                <w:noProof/>
                <w:webHidden/>
              </w:rPr>
              <w:fldChar w:fldCharType="begin"/>
            </w:r>
            <w:r>
              <w:rPr>
                <w:noProof/>
                <w:webHidden/>
              </w:rPr>
              <w:instrText xml:space="preserve"> PAGEREF _Toc216074160 \h </w:instrText>
            </w:r>
            <w:r>
              <w:rPr>
                <w:noProof/>
                <w:webHidden/>
              </w:rPr>
            </w:r>
            <w:r>
              <w:rPr>
                <w:noProof/>
                <w:webHidden/>
              </w:rPr>
              <w:fldChar w:fldCharType="separate"/>
            </w:r>
            <w:r>
              <w:rPr>
                <w:noProof/>
                <w:webHidden/>
              </w:rPr>
              <w:t>2</w:t>
            </w:r>
            <w:r>
              <w:rPr>
                <w:noProof/>
                <w:webHidden/>
              </w:rPr>
              <w:fldChar w:fldCharType="end"/>
            </w:r>
          </w:hyperlink>
        </w:p>
        <w:p w14:paraId="33658C12" w14:textId="6355FFCA" w:rsidR="009A6085" w:rsidRDefault="00F65645" w:rsidP="009A6085">
          <w:pPr>
            <w:pStyle w:val="TOC1"/>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1" w:history="1">
            <w:r w:rsidR="009A6085" w:rsidRPr="005E7D09">
              <w:rPr>
                <w:rStyle w:val="Hyperlink"/>
                <w:noProof/>
              </w:rPr>
              <w:t>2. Benefits and challenges of international operations</w:t>
            </w:r>
            <w:r w:rsidR="009A6085">
              <w:rPr>
                <w:noProof/>
                <w:webHidden/>
              </w:rPr>
              <w:tab/>
            </w:r>
            <w:r w:rsidR="009A6085">
              <w:rPr>
                <w:noProof/>
                <w:webHidden/>
              </w:rPr>
              <w:fldChar w:fldCharType="begin"/>
            </w:r>
            <w:r w:rsidR="009A6085">
              <w:rPr>
                <w:noProof/>
                <w:webHidden/>
              </w:rPr>
              <w:instrText xml:space="preserve"> PAGEREF _Toc216074161 \h </w:instrText>
            </w:r>
            <w:r w:rsidR="009A6085">
              <w:rPr>
                <w:noProof/>
                <w:webHidden/>
              </w:rPr>
            </w:r>
            <w:r w:rsidR="009A6085">
              <w:rPr>
                <w:noProof/>
                <w:webHidden/>
              </w:rPr>
              <w:fldChar w:fldCharType="separate"/>
            </w:r>
            <w:r w:rsidR="009A6085">
              <w:rPr>
                <w:noProof/>
                <w:webHidden/>
              </w:rPr>
              <w:t>3</w:t>
            </w:r>
            <w:r w:rsidR="009A6085">
              <w:rPr>
                <w:noProof/>
                <w:webHidden/>
              </w:rPr>
              <w:fldChar w:fldCharType="end"/>
            </w:r>
          </w:hyperlink>
        </w:p>
        <w:p w14:paraId="59BB6036" w14:textId="1C96C020" w:rsidR="009A6085" w:rsidRDefault="00F65645" w:rsidP="009A6085">
          <w:pPr>
            <w:pStyle w:val="TOC2"/>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2" w:history="1">
            <w:r w:rsidR="009A6085" w:rsidRPr="005E7D09">
              <w:rPr>
                <w:rStyle w:val="Hyperlink"/>
                <w:noProof/>
              </w:rPr>
              <w:t>a. The reason behind the selected company can be designated as an MNC/TNC</w:t>
            </w:r>
            <w:r w:rsidR="009A6085">
              <w:rPr>
                <w:noProof/>
                <w:webHidden/>
              </w:rPr>
              <w:tab/>
            </w:r>
            <w:r w:rsidR="009A6085">
              <w:rPr>
                <w:noProof/>
                <w:webHidden/>
              </w:rPr>
              <w:fldChar w:fldCharType="begin"/>
            </w:r>
            <w:r w:rsidR="009A6085">
              <w:rPr>
                <w:noProof/>
                <w:webHidden/>
              </w:rPr>
              <w:instrText xml:space="preserve"> PAGEREF _Toc216074162 \h </w:instrText>
            </w:r>
            <w:r w:rsidR="009A6085">
              <w:rPr>
                <w:noProof/>
                <w:webHidden/>
              </w:rPr>
            </w:r>
            <w:r w:rsidR="009A6085">
              <w:rPr>
                <w:noProof/>
                <w:webHidden/>
              </w:rPr>
              <w:fldChar w:fldCharType="separate"/>
            </w:r>
            <w:r w:rsidR="009A6085">
              <w:rPr>
                <w:noProof/>
                <w:webHidden/>
              </w:rPr>
              <w:t>3</w:t>
            </w:r>
            <w:r w:rsidR="009A6085">
              <w:rPr>
                <w:noProof/>
                <w:webHidden/>
              </w:rPr>
              <w:fldChar w:fldCharType="end"/>
            </w:r>
          </w:hyperlink>
        </w:p>
        <w:p w14:paraId="0466D103" w14:textId="44A48A31" w:rsidR="009A6085" w:rsidRDefault="00F65645" w:rsidP="009A6085">
          <w:pPr>
            <w:pStyle w:val="TOC2"/>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3" w:history="1">
            <w:r w:rsidR="009A6085" w:rsidRPr="005E7D09">
              <w:rPr>
                <w:rStyle w:val="Hyperlink"/>
                <w:noProof/>
              </w:rPr>
              <w:t>b. Nature of Nestlé’s global operations</w:t>
            </w:r>
            <w:r w:rsidR="009A6085">
              <w:rPr>
                <w:noProof/>
                <w:webHidden/>
              </w:rPr>
              <w:tab/>
            </w:r>
            <w:r w:rsidR="009A6085">
              <w:rPr>
                <w:noProof/>
                <w:webHidden/>
              </w:rPr>
              <w:fldChar w:fldCharType="begin"/>
            </w:r>
            <w:r w:rsidR="009A6085">
              <w:rPr>
                <w:noProof/>
                <w:webHidden/>
              </w:rPr>
              <w:instrText xml:space="preserve"> PAGEREF _Toc216074163 \h </w:instrText>
            </w:r>
            <w:r w:rsidR="009A6085">
              <w:rPr>
                <w:noProof/>
                <w:webHidden/>
              </w:rPr>
            </w:r>
            <w:r w:rsidR="009A6085">
              <w:rPr>
                <w:noProof/>
                <w:webHidden/>
              </w:rPr>
              <w:fldChar w:fldCharType="separate"/>
            </w:r>
            <w:r w:rsidR="009A6085">
              <w:rPr>
                <w:noProof/>
                <w:webHidden/>
              </w:rPr>
              <w:t>4</w:t>
            </w:r>
            <w:r w:rsidR="009A6085">
              <w:rPr>
                <w:noProof/>
                <w:webHidden/>
              </w:rPr>
              <w:fldChar w:fldCharType="end"/>
            </w:r>
          </w:hyperlink>
        </w:p>
        <w:p w14:paraId="776D07F3" w14:textId="2C15170E" w:rsidR="009A6085" w:rsidRDefault="00F65645" w:rsidP="009A6085">
          <w:pPr>
            <w:pStyle w:val="TOC2"/>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4" w:history="1">
            <w:r w:rsidR="009A6085" w:rsidRPr="005E7D09">
              <w:rPr>
                <w:rStyle w:val="Hyperlink"/>
                <w:noProof/>
              </w:rPr>
              <w:t>c. Different entry modes used by Nestlé in entering the different international markets</w:t>
            </w:r>
            <w:r w:rsidR="009A6085">
              <w:rPr>
                <w:noProof/>
                <w:webHidden/>
              </w:rPr>
              <w:tab/>
            </w:r>
            <w:r w:rsidR="009A6085">
              <w:rPr>
                <w:noProof/>
                <w:webHidden/>
              </w:rPr>
              <w:fldChar w:fldCharType="begin"/>
            </w:r>
            <w:r w:rsidR="009A6085">
              <w:rPr>
                <w:noProof/>
                <w:webHidden/>
              </w:rPr>
              <w:instrText xml:space="preserve"> PAGEREF _Toc216074164 \h </w:instrText>
            </w:r>
            <w:r w:rsidR="009A6085">
              <w:rPr>
                <w:noProof/>
                <w:webHidden/>
              </w:rPr>
            </w:r>
            <w:r w:rsidR="009A6085">
              <w:rPr>
                <w:noProof/>
                <w:webHidden/>
              </w:rPr>
              <w:fldChar w:fldCharType="separate"/>
            </w:r>
            <w:r w:rsidR="009A6085">
              <w:rPr>
                <w:noProof/>
                <w:webHidden/>
              </w:rPr>
              <w:t>5</w:t>
            </w:r>
            <w:r w:rsidR="009A6085">
              <w:rPr>
                <w:noProof/>
                <w:webHidden/>
              </w:rPr>
              <w:fldChar w:fldCharType="end"/>
            </w:r>
          </w:hyperlink>
        </w:p>
        <w:p w14:paraId="2CD6E765" w14:textId="68A4FBF0" w:rsidR="009A6085" w:rsidRDefault="00F65645" w:rsidP="009A6085">
          <w:pPr>
            <w:pStyle w:val="TOC2"/>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5" w:history="1">
            <w:r w:rsidR="009A6085" w:rsidRPr="005E7D09">
              <w:rPr>
                <w:rStyle w:val="Hyperlink"/>
                <w:noProof/>
              </w:rPr>
              <w:t>d. Key benefits obtained by Nestlé from its international operations</w:t>
            </w:r>
            <w:r w:rsidR="009A6085">
              <w:rPr>
                <w:noProof/>
                <w:webHidden/>
              </w:rPr>
              <w:tab/>
            </w:r>
            <w:r w:rsidR="009A6085">
              <w:rPr>
                <w:noProof/>
                <w:webHidden/>
              </w:rPr>
              <w:fldChar w:fldCharType="begin"/>
            </w:r>
            <w:r w:rsidR="009A6085">
              <w:rPr>
                <w:noProof/>
                <w:webHidden/>
              </w:rPr>
              <w:instrText xml:space="preserve"> PAGEREF _Toc216074165 \h </w:instrText>
            </w:r>
            <w:r w:rsidR="009A6085">
              <w:rPr>
                <w:noProof/>
                <w:webHidden/>
              </w:rPr>
            </w:r>
            <w:r w:rsidR="009A6085">
              <w:rPr>
                <w:noProof/>
                <w:webHidden/>
              </w:rPr>
              <w:fldChar w:fldCharType="separate"/>
            </w:r>
            <w:r w:rsidR="009A6085">
              <w:rPr>
                <w:noProof/>
                <w:webHidden/>
              </w:rPr>
              <w:t>7</w:t>
            </w:r>
            <w:r w:rsidR="009A6085">
              <w:rPr>
                <w:noProof/>
                <w:webHidden/>
              </w:rPr>
              <w:fldChar w:fldCharType="end"/>
            </w:r>
          </w:hyperlink>
        </w:p>
        <w:p w14:paraId="4B77D9BE" w14:textId="06D5CB43" w:rsidR="009A6085" w:rsidRDefault="00F65645" w:rsidP="009A6085">
          <w:pPr>
            <w:pStyle w:val="TOC1"/>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6" w:history="1">
            <w:r w:rsidR="009A6085" w:rsidRPr="005E7D09">
              <w:rPr>
                <w:rStyle w:val="Hyperlink"/>
                <w:noProof/>
              </w:rPr>
              <w:t>3. Critical Discussion on the Impact of OLI Factors on Market Entry: Nestlé and India</w:t>
            </w:r>
            <w:r w:rsidR="009A6085">
              <w:rPr>
                <w:noProof/>
                <w:webHidden/>
              </w:rPr>
              <w:tab/>
            </w:r>
            <w:r w:rsidR="009A6085">
              <w:rPr>
                <w:noProof/>
                <w:webHidden/>
              </w:rPr>
              <w:fldChar w:fldCharType="begin"/>
            </w:r>
            <w:r w:rsidR="009A6085">
              <w:rPr>
                <w:noProof/>
                <w:webHidden/>
              </w:rPr>
              <w:instrText xml:space="preserve"> PAGEREF _Toc216074166 \h </w:instrText>
            </w:r>
            <w:r w:rsidR="009A6085">
              <w:rPr>
                <w:noProof/>
                <w:webHidden/>
              </w:rPr>
            </w:r>
            <w:r w:rsidR="009A6085">
              <w:rPr>
                <w:noProof/>
                <w:webHidden/>
              </w:rPr>
              <w:fldChar w:fldCharType="separate"/>
            </w:r>
            <w:r w:rsidR="009A6085">
              <w:rPr>
                <w:noProof/>
                <w:webHidden/>
              </w:rPr>
              <w:t>9</w:t>
            </w:r>
            <w:r w:rsidR="009A6085">
              <w:rPr>
                <w:noProof/>
                <w:webHidden/>
              </w:rPr>
              <w:fldChar w:fldCharType="end"/>
            </w:r>
          </w:hyperlink>
        </w:p>
        <w:p w14:paraId="4FE935E0" w14:textId="12C51430" w:rsidR="009A6085" w:rsidRDefault="00F65645" w:rsidP="009A6085">
          <w:pPr>
            <w:pStyle w:val="TOC2"/>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7" w:history="1">
            <w:r w:rsidR="009A6085" w:rsidRPr="005E7D09">
              <w:rPr>
                <w:rStyle w:val="Hyperlink"/>
                <w:noProof/>
              </w:rPr>
              <w:t>a. Ownership Advantages</w:t>
            </w:r>
            <w:r w:rsidR="009A6085">
              <w:rPr>
                <w:noProof/>
                <w:webHidden/>
              </w:rPr>
              <w:tab/>
            </w:r>
            <w:r w:rsidR="009A6085">
              <w:rPr>
                <w:noProof/>
                <w:webHidden/>
              </w:rPr>
              <w:fldChar w:fldCharType="begin"/>
            </w:r>
            <w:r w:rsidR="009A6085">
              <w:rPr>
                <w:noProof/>
                <w:webHidden/>
              </w:rPr>
              <w:instrText xml:space="preserve"> PAGEREF _Toc216074167 \h </w:instrText>
            </w:r>
            <w:r w:rsidR="009A6085">
              <w:rPr>
                <w:noProof/>
                <w:webHidden/>
              </w:rPr>
            </w:r>
            <w:r w:rsidR="009A6085">
              <w:rPr>
                <w:noProof/>
                <w:webHidden/>
              </w:rPr>
              <w:fldChar w:fldCharType="separate"/>
            </w:r>
            <w:r w:rsidR="009A6085">
              <w:rPr>
                <w:noProof/>
                <w:webHidden/>
              </w:rPr>
              <w:t>9</w:t>
            </w:r>
            <w:r w:rsidR="009A6085">
              <w:rPr>
                <w:noProof/>
                <w:webHidden/>
              </w:rPr>
              <w:fldChar w:fldCharType="end"/>
            </w:r>
          </w:hyperlink>
        </w:p>
        <w:p w14:paraId="40C4A2C6" w14:textId="3B066E8C" w:rsidR="009A6085" w:rsidRDefault="00F65645" w:rsidP="009A6085">
          <w:pPr>
            <w:pStyle w:val="TOC2"/>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8" w:history="1">
            <w:r w:rsidR="009A6085" w:rsidRPr="005E7D09">
              <w:rPr>
                <w:rStyle w:val="Hyperlink"/>
                <w:noProof/>
              </w:rPr>
              <w:t>b. Location Advantages</w:t>
            </w:r>
            <w:r w:rsidR="009A6085">
              <w:rPr>
                <w:noProof/>
                <w:webHidden/>
              </w:rPr>
              <w:tab/>
            </w:r>
            <w:r w:rsidR="009A6085">
              <w:rPr>
                <w:noProof/>
                <w:webHidden/>
              </w:rPr>
              <w:fldChar w:fldCharType="begin"/>
            </w:r>
            <w:r w:rsidR="009A6085">
              <w:rPr>
                <w:noProof/>
                <w:webHidden/>
              </w:rPr>
              <w:instrText xml:space="preserve"> PAGEREF _Toc216074168 \h </w:instrText>
            </w:r>
            <w:r w:rsidR="009A6085">
              <w:rPr>
                <w:noProof/>
                <w:webHidden/>
              </w:rPr>
            </w:r>
            <w:r w:rsidR="009A6085">
              <w:rPr>
                <w:noProof/>
                <w:webHidden/>
              </w:rPr>
              <w:fldChar w:fldCharType="separate"/>
            </w:r>
            <w:r w:rsidR="009A6085">
              <w:rPr>
                <w:noProof/>
                <w:webHidden/>
              </w:rPr>
              <w:t>11</w:t>
            </w:r>
            <w:r w:rsidR="009A6085">
              <w:rPr>
                <w:noProof/>
                <w:webHidden/>
              </w:rPr>
              <w:fldChar w:fldCharType="end"/>
            </w:r>
          </w:hyperlink>
        </w:p>
        <w:p w14:paraId="52A55BF2" w14:textId="1D4F2D0F" w:rsidR="009A6085" w:rsidRDefault="00F65645" w:rsidP="009A6085">
          <w:pPr>
            <w:pStyle w:val="TOC2"/>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69" w:history="1">
            <w:r w:rsidR="009A6085" w:rsidRPr="005E7D09">
              <w:rPr>
                <w:rStyle w:val="Hyperlink"/>
                <w:noProof/>
              </w:rPr>
              <w:t>d. Combination of OLI Factors and Market Entry Results</w:t>
            </w:r>
            <w:r w:rsidR="009A6085">
              <w:rPr>
                <w:noProof/>
                <w:webHidden/>
              </w:rPr>
              <w:tab/>
            </w:r>
            <w:r w:rsidR="009A6085">
              <w:rPr>
                <w:noProof/>
                <w:webHidden/>
              </w:rPr>
              <w:fldChar w:fldCharType="begin"/>
            </w:r>
            <w:r w:rsidR="009A6085">
              <w:rPr>
                <w:noProof/>
                <w:webHidden/>
              </w:rPr>
              <w:instrText xml:space="preserve"> PAGEREF _Toc216074169 \h </w:instrText>
            </w:r>
            <w:r w:rsidR="009A6085">
              <w:rPr>
                <w:noProof/>
                <w:webHidden/>
              </w:rPr>
            </w:r>
            <w:r w:rsidR="009A6085">
              <w:rPr>
                <w:noProof/>
                <w:webHidden/>
              </w:rPr>
              <w:fldChar w:fldCharType="separate"/>
            </w:r>
            <w:r w:rsidR="009A6085">
              <w:rPr>
                <w:noProof/>
                <w:webHidden/>
              </w:rPr>
              <w:t>12</w:t>
            </w:r>
            <w:r w:rsidR="009A6085">
              <w:rPr>
                <w:noProof/>
                <w:webHidden/>
              </w:rPr>
              <w:fldChar w:fldCharType="end"/>
            </w:r>
          </w:hyperlink>
        </w:p>
        <w:p w14:paraId="2CC540D6" w14:textId="4335E954" w:rsidR="009A6085" w:rsidRDefault="00F65645" w:rsidP="009A6085">
          <w:pPr>
            <w:pStyle w:val="TOC1"/>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70" w:history="1">
            <w:r w:rsidR="009A6085" w:rsidRPr="005E7D09">
              <w:rPr>
                <w:rStyle w:val="Hyperlink"/>
                <w:noProof/>
              </w:rPr>
              <w:t>4. Critical evaluation of how cultural differences between Switzerland and India</w:t>
            </w:r>
            <w:r w:rsidR="009A6085">
              <w:rPr>
                <w:noProof/>
                <w:webHidden/>
              </w:rPr>
              <w:tab/>
            </w:r>
            <w:r w:rsidR="009A6085">
              <w:rPr>
                <w:noProof/>
                <w:webHidden/>
              </w:rPr>
              <w:fldChar w:fldCharType="begin"/>
            </w:r>
            <w:r w:rsidR="009A6085">
              <w:rPr>
                <w:noProof/>
                <w:webHidden/>
              </w:rPr>
              <w:instrText xml:space="preserve"> PAGEREF _Toc216074170 \h </w:instrText>
            </w:r>
            <w:r w:rsidR="009A6085">
              <w:rPr>
                <w:noProof/>
                <w:webHidden/>
              </w:rPr>
            </w:r>
            <w:r w:rsidR="009A6085">
              <w:rPr>
                <w:noProof/>
                <w:webHidden/>
              </w:rPr>
              <w:fldChar w:fldCharType="separate"/>
            </w:r>
            <w:r w:rsidR="009A6085">
              <w:rPr>
                <w:noProof/>
                <w:webHidden/>
              </w:rPr>
              <w:t>13</w:t>
            </w:r>
            <w:r w:rsidR="009A6085">
              <w:rPr>
                <w:noProof/>
                <w:webHidden/>
              </w:rPr>
              <w:fldChar w:fldCharType="end"/>
            </w:r>
          </w:hyperlink>
        </w:p>
        <w:p w14:paraId="26551721" w14:textId="0A55F954" w:rsidR="009A6085" w:rsidRDefault="00F65645" w:rsidP="009A6085">
          <w:pPr>
            <w:pStyle w:val="TOC1"/>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71" w:history="1">
            <w:r w:rsidR="009A6085" w:rsidRPr="005E7D09">
              <w:rPr>
                <w:rStyle w:val="Hyperlink"/>
                <w:noProof/>
              </w:rPr>
              <w:t>5. Strategic Recommendations for Nestlé’s Improved Performance in India</w:t>
            </w:r>
            <w:r w:rsidR="009A6085">
              <w:rPr>
                <w:noProof/>
                <w:webHidden/>
              </w:rPr>
              <w:tab/>
            </w:r>
            <w:r w:rsidR="009A6085">
              <w:rPr>
                <w:noProof/>
                <w:webHidden/>
              </w:rPr>
              <w:fldChar w:fldCharType="begin"/>
            </w:r>
            <w:r w:rsidR="009A6085">
              <w:rPr>
                <w:noProof/>
                <w:webHidden/>
              </w:rPr>
              <w:instrText xml:space="preserve"> PAGEREF _Toc216074171 \h </w:instrText>
            </w:r>
            <w:r w:rsidR="009A6085">
              <w:rPr>
                <w:noProof/>
                <w:webHidden/>
              </w:rPr>
            </w:r>
            <w:r w:rsidR="009A6085">
              <w:rPr>
                <w:noProof/>
                <w:webHidden/>
              </w:rPr>
              <w:fldChar w:fldCharType="separate"/>
            </w:r>
            <w:r w:rsidR="009A6085">
              <w:rPr>
                <w:noProof/>
                <w:webHidden/>
              </w:rPr>
              <w:t>17</w:t>
            </w:r>
            <w:r w:rsidR="009A6085">
              <w:rPr>
                <w:noProof/>
                <w:webHidden/>
              </w:rPr>
              <w:fldChar w:fldCharType="end"/>
            </w:r>
          </w:hyperlink>
        </w:p>
        <w:p w14:paraId="2965081C" w14:textId="1F6A4844" w:rsidR="009A6085" w:rsidRDefault="00F65645" w:rsidP="009A6085">
          <w:pPr>
            <w:pStyle w:val="TOC1"/>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72" w:history="1">
            <w:r w:rsidR="009A6085" w:rsidRPr="005E7D09">
              <w:rPr>
                <w:rStyle w:val="Hyperlink"/>
                <w:noProof/>
              </w:rPr>
              <w:t>6. Conclusion to the report</w:t>
            </w:r>
            <w:r w:rsidR="009A6085">
              <w:rPr>
                <w:noProof/>
                <w:webHidden/>
              </w:rPr>
              <w:tab/>
            </w:r>
            <w:r w:rsidR="009A6085">
              <w:rPr>
                <w:noProof/>
                <w:webHidden/>
              </w:rPr>
              <w:fldChar w:fldCharType="begin"/>
            </w:r>
            <w:r w:rsidR="009A6085">
              <w:rPr>
                <w:noProof/>
                <w:webHidden/>
              </w:rPr>
              <w:instrText xml:space="preserve"> PAGEREF _Toc216074172 \h </w:instrText>
            </w:r>
            <w:r w:rsidR="009A6085">
              <w:rPr>
                <w:noProof/>
                <w:webHidden/>
              </w:rPr>
            </w:r>
            <w:r w:rsidR="009A6085">
              <w:rPr>
                <w:noProof/>
                <w:webHidden/>
              </w:rPr>
              <w:fldChar w:fldCharType="separate"/>
            </w:r>
            <w:r w:rsidR="009A6085">
              <w:rPr>
                <w:noProof/>
                <w:webHidden/>
              </w:rPr>
              <w:t>21</w:t>
            </w:r>
            <w:r w:rsidR="009A6085">
              <w:rPr>
                <w:noProof/>
                <w:webHidden/>
              </w:rPr>
              <w:fldChar w:fldCharType="end"/>
            </w:r>
          </w:hyperlink>
        </w:p>
        <w:p w14:paraId="23F4D9B7" w14:textId="325E6DB8" w:rsidR="009A6085" w:rsidRDefault="00F65645" w:rsidP="009A6085">
          <w:pPr>
            <w:pStyle w:val="TOC1"/>
            <w:tabs>
              <w:tab w:val="right" w:leader="dot" w:pos="9350"/>
            </w:tabs>
            <w:spacing w:line="360" w:lineRule="auto"/>
            <w:rPr>
              <w:rFonts w:asciiTheme="minorHAnsi" w:eastAsiaTheme="minorEastAsia" w:hAnsiTheme="minorHAnsi" w:cstheme="minorBidi"/>
              <w:noProof/>
              <w:kern w:val="2"/>
              <w:lang w:eastAsia="zh-CN"/>
              <w14:ligatures w14:val="standardContextual"/>
            </w:rPr>
          </w:pPr>
          <w:hyperlink w:anchor="_Toc216074173" w:history="1">
            <w:r w:rsidR="009A6085" w:rsidRPr="005E7D09">
              <w:rPr>
                <w:rStyle w:val="Hyperlink"/>
                <w:noProof/>
              </w:rPr>
              <w:t>References</w:t>
            </w:r>
            <w:r w:rsidR="009A6085">
              <w:rPr>
                <w:noProof/>
                <w:webHidden/>
              </w:rPr>
              <w:tab/>
            </w:r>
            <w:r w:rsidR="009A6085">
              <w:rPr>
                <w:noProof/>
                <w:webHidden/>
              </w:rPr>
              <w:fldChar w:fldCharType="begin"/>
            </w:r>
            <w:r w:rsidR="009A6085">
              <w:rPr>
                <w:noProof/>
                <w:webHidden/>
              </w:rPr>
              <w:instrText xml:space="preserve"> PAGEREF _Toc216074173 \h </w:instrText>
            </w:r>
            <w:r w:rsidR="009A6085">
              <w:rPr>
                <w:noProof/>
                <w:webHidden/>
              </w:rPr>
            </w:r>
            <w:r w:rsidR="009A6085">
              <w:rPr>
                <w:noProof/>
                <w:webHidden/>
              </w:rPr>
              <w:fldChar w:fldCharType="separate"/>
            </w:r>
            <w:r w:rsidR="009A6085">
              <w:rPr>
                <w:noProof/>
                <w:webHidden/>
              </w:rPr>
              <w:t>22</w:t>
            </w:r>
            <w:r w:rsidR="009A6085">
              <w:rPr>
                <w:noProof/>
                <w:webHidden/>
              </w:rPr>
              <w:fldChar w:fldCharType="end"/>
            </w:r>
          </w:hyperlink>
        </w:p>
        <w:p w14:paraId="3869C796" w14:textId="0350F629" w:rsidR="007E7896" w:rsidRPr="0074261B" w:rsidRDefault="009A6085" w:rsidP="009A6085">
          <w:pPr>
            <w:spacing w:line="360" w:lineRule="auto"/>
          </w:pPr>
          <w:r w:rsidRPr="0074261B">
            <w:fldChar w:fldCharType="end"/>
          </w:r>
        </w:p>
      </w:sdtContent>
    </w:sdt>
    <w:p w14:paraId="4D1A9E5B" w14:textId="77777777" w:rsidR="007E7896" w:rsidRPr="0074261B" w:rsidRDefault="007E7896" w:rsidP="007E7896">
      <w:pPr>
        <w:spacing w:line="360" w:lineRule="auto"/>
        <w:rPr>
          <w:b/>
          <w:bCs/>
          <w:sz w:val="28"/>
          <w:szCs w:val="28"/>
        </w:rPr>
      </w:pPr>
      <w:r w:rsidRPr="0074261B">
        <w:br w:type="page"/>
      </w:r>
    </w:p>
    <w:p w14:paraId="1139F33C" w14:textId="77777777" w:rsidR="007E7896" w:rsidRPr="000A3CFE" w:rsidRDefault="007E7896" w:rsidP="007E7896">
      <w:pPr>
        <w:pStyle w:val="Heading1"/>
        <w:rPr>
          <w:rFonts w:ascii="Arial" w:hAnsi="Arial" w:cs="Arial"/>
          <w:sz w:val="24"/>
          <w:szCs w:val="24"/>
        </w:rPr>
      </w:pPr>
      <w:bookmarkStart w:id="0" w:name="_Toc216074160"/>
      <w:r w:rsidRPr="000A3CFE">
        <w:rPr>
          <w:rFonts w:ascii="Arial" w:hAnsi="Arial" w:cs="Arial"/>
          <w:sz w:val="24"/>
          <w:szCs w:val="24"/>
        </w:rPr>
        <w:lastRenderedPageBreak/>
        <w:t>1. Introduction to the report</w:t>
      </w:r>
      <w:bookmarkEnd w:id="0"/>
      <w:r w:rsidRPr="000A3CFE">
        <w:rPr>
          <w:rFonts w:ascii="Arial" w:hAnsi="Arial" w:cs="Arial"/>
          <w:sz w:val="24"/>
          <w:szCs w:val="24"/>
        </w:rPr>
        <w:t xml:space="preserve"> </w:t>
      </w:r>
    </w:p>
    <w:p w14:paraId="7F8C78F2" w14:textId="4B08D719" w:rsidR="00C739B1" w:rsidRPr="000A3CFE" w:rsidRDefault="007E7896" w:rsidP="007E7896">
      <w:pPr>
        <w:spacing w:line="360" w:lineRule="auto"/>
        <w:rPr>
          <w:rFonts w:ascii="Arial" w:hAnsi="Arial" w:cs="Arial"/>
        </w:rPr>
      </w:pPr>
      <w:r w:rsidRPr="000A3CFE">
        <w:rPr>
          <w:rFonts w:ascii="Arial" w:hAnsi="Arial" w:cs="Arial"/>
        </w:rPr>
        <w:t>Nestle is a Swiss MNC and the biggest global food and beverage corporation with a greater number of brands in nutrition, health and wellness segments and functions in more than 180 countries (Nestle, 2025). It has a mission that makes its development all over the world, and it tries to achieve the strength of food in increasing the quality of life of each of its citizens, both present and future generations. India is a strategic market and has a high growth potential, but it has a range of challenges that can be listed; one of them is the complex regulations and differences in culture. Nestle is selected for this assignment because its case study because of its international nature, high potential to expand in India, and varied operations, which makes it the best company to analyse the international business strategies; the study of this firm can enable the report to meet the assignment criterion of applying the OLI framework and the cultural dimensions of Hofstede in a real-world multinational case. The conclusions are concluded with a list of recommendations that can be put into practice to increase the performance of Nestlé in the Indian market and its sustainability.</w:t>
      </w:r>
    </w:p>
    <w:p w14:paraId="485BADA0"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53E74787" wp14:editId="55D12813">
            <wp:extent cx="3418609" cy="3467100"/>
            <wp:effectExtent l="38100" t="38100" r="29845" b="38100"/>
            <wp:docPr id="150043223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20825" cy="3469348"/>
                    </a:xfrm>
                    <a:prstGeom prst="rect">
                      <a:avLst/>
                    </a:prstGeom>
                    <a:ln w="25400">
                      <a:solidFill>
                        <a:srgbClr val="000000"/>
                      </a:solidFill>
                      <a:prstDash val="solid"/>
                    </a:ln>
                  </pic:spPr>
                </pic:pic>
              </a:graphicData>
            </a:graphic>
          </wp:inline>
        </w:drawing>
      </w:r>
    </w:p>
    <w:p w14:paraId="0020A660"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1: Logo of Nestlé</w:t>
      </w:r>
    </w:p>
    <w:p w14:paraId="7F9B5CC8" w14:textId="77777777" w:rsidR="007E7896" w:rsidRPr="000A3CFE" w:rsidRDefault="007E7896" w:rsidP="007E7896">
      <w:pPr>
        <w:spacing w:line="360" w:lineRule="auto"/>
        <w:jc w:val="center"/>
        <w:rPr>
          <w:rFonts w:ascii="Arial" w:hAnsi="Arial" w:cs="Arial"/>
        </w:rPr>
      </w:pPr>
      <w:r w:rsidRPr="000A3CFE">
        <w:rPr>
          <w:rFonts w:ascii="Arial" w:hAnsi="Arial" w:cs="Arial"/>
        </w:rPr>
        <w:t>(Source: Nestle, 2025)</w:t>
      </w:r>
    </w:p>
    <w:p w14:paraId="06434F6F" w14:textId="77777777" w:rsidR="007E7896" w:rsidRPr="000A3CFE" w:rsidRDefault="007E7896" w:rsidP="007E7896">
      <w:pPr>
        <w:pStyle w:val="Heading1"/>
        <w:rPr>
          <w:rFonts w:ascii="Arial" w:hAnsi="Arial" w:cs="Arial"/>
          <w:sz w:val="24"/>
          <w:szCs w:val="24"/>
        </w:rPr>
      </w:pPr>
      <w:bookmarkStart w:id="1" w:name="_Toc216074161"/>
      <w:r w:rsidRPr="000A3CFE">
        <w:rPr>
          <w:rFonts w:ascii="Arial" w:hAnsi="Arial" w:cs="Arial"/>
          <w:sz w:val="24"/>
          <w:szCs w:val="24"/>
        </w:rPr>
        <w:lastRenderedPageBreak/>
        <w:t>2. Benefits and challenges of international operations</w:t>
      </w:r>
      <w:bookmarkEnd w:id="1"/>
      <w:r w:rsidRPr="000A3CFE">
        <w:rPr>
          <w:rFonts w:ascii="Arial" w:hAnsi="Arial" w:cs="Arial"/>
          <w:sz w:val="24"/>
          <w:szCs w:val="24"/>
        </w:rPr>
        <w:t xml:space="preserve"> </w:t>
      </w:r>
    </w:p>
    <w:p w14:paraId="5F4B110A" w14:textId="77777777" w:rsidR="007E7896" w:rsidRPr="000A3CFE" w:rsidRDefault="007E7896" w:rsidP="007E7896">
      <w:pPr>
        <w:pStyle w:val="Heading2"/>
        <w:rPr>
          <w:rFonts w:ascii="Arial" w:hAnsi="Arial" w:cs="Arial"/>
        </w:rPr>
      </w:pPr>
      <w:bookmarkStart w:id="2" w:name="_Toc216074162"/>
      <w:r w:rsidRPr="000A3CFE">
        <w:rPr>
          <w:rFonts w:ascii="Arial" w:hAnsi="Arial" w:cs="Arial"/>
        </w:rPr>
        <w:t>a. The reason behind the selected company can be designated as an MNC/TNC</w:t>
      </w:r>
      <w:bookmarkEnd w:id="2"/>
    </w:p>
    <w:p w14:paraId="5DD9A3EB" w14:textId="77777777" w:rsidR="007E7896" w:rsidRPr="000A3CFE" w:rsidRDefault="007E7896" w:rsidP="007E7896">
      <w:pPr>
        <w:spacing w:line="360" w:lineRule="auto"/>
        <w:rPr>
          <w:rFonts w:ascii="Arial" w:hAnsi="Arial" w:cs="Arial"/>
        </w:rPr>
      </w:pPr>
      <w:r w:rsidRPr="000A3CFE">
        <w:rPr>
          <w:rFonts w:ascii="Arial" w:hAnsi="Arial" w:cs="Arial"/>
        </w:rPr>
        <w:t>A Multinational Corporation (MNC) is a business organization which has presence in two or more locations with its main headquarters and flexible products and strategies to suit the local markets (Benabed, 2023). A Transnational Corporation (TNC) moves even further through integrating both world efficiency and local responsiveness through decentralization of decisions making to exploit opportunities in the region and worldwide sharing of knowledge and resources (Linde and Broman, 2025). Nestlé S.A., which was founded in 1866 in Vevey, Switzerland, can be called a multinational corporation (MNC) and a transnational corporation (TNC) because of its large presence in the world and transparency in its functioning. According to Nestlé’s 2024 report, the company’s underlying trading operating profit varies by region, with Zone NA achieving 22.3%, Zone AOA 20.4%, and UTOP margin improved by 200 basis points to 14.0% (Nestlé Annual Report, 2024). The increase was driven by growth leverage, mix improvement and cost efficiencies. Its decentralised organisational setup enables it to make strategic decisions on a regional level and also exploit the resources of the world, such as research and development (R&amp;D), sourcing and supply, and marketing networks. The Transnational Model indicates that Nestlé maintains a global effective and local adaptive balance. As an illustration, the Nescafé and Maggi noodles are nationally customised to match the regional preferences, yet they have been given innovations that are developed in the central R&amp;D centres, which reflects the dual international magnitude to the local responsiveness of the company. Thus, Nestle can be considered as both an MNC and a TNC, which have managed to combine global business activities with the local adjustment.</w:t>
      </w:r>
    </w:p>
    <w:p w14:paraId="01724ECF" w14:textId="77777777" w:rsidR="007E7896" w:rsidRPr="000A3CFE" w:rsidRDefault="007E7896" w:rsidP="007E7896">
      <w:pPr>
        <w:spacing w:line="360" w:lineRule="auto"/>
        <w:rPr>
          <w:rFonts w:ascii="Arial" w:hAnsi="Arial" w:cs="Arial"/>
        </w:rPr>
      </w:pPr>
    </w:p>
    <w:p w14:paraId="194605E9" w14:textId="77777777" w:rsidR="007E7896" w:rsidRPr="000A3CFE" w:rsidRDefault="007E7896" w:rsidP="007E7896">
      <w:pPr>
        <w:spacing w:line="360" w:lineRule="auto"/>
        <w:jc w:val="center"/>
        <w:rPr>
          <w:rFonts w:ascii="Arial" w:hAnsi="Arial" w:cs="Arial"/>
        </w:rPr>
      </w:pPr>
      <w:r w:rsidRPr="000A3CFE">
        <w:rPr>
          <w:rFonts w:ascii="Arial" w:hAnsi="Arial" w:cs="Arial"/>
          <w:noProof/>
        </w:rPr>
        <w:lastRenderedPageBreak/>
        <w:drawing>
          <wp:inline distT="114300" distB="114300" distL="114300" distR="114300" wp14:anchorId="76EDA120" wp14:editId="154B4575">
            <wp:extent cx="4476750" cy="4210050"/>
            <wp:effectExtent l="25400" t="25400" r="25400" b="25400"/>
            <wp:docPr id="150043223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76750" cy="4210050"/>
                    </a:xfrm>
                    <a:prstGeom prst="rect">
                      <a:avLst/>
                    </a:prstGeom>
                    <a:ln w="25400">
                      <a:solidFill>
                        <a:srgbClr val="000000"/>
                      </a:solidFill>
                      <a:prstDash val="solid"/>
                    </a:ln>
                  </pic:spPr>
                </pic:pic>
              </a:graphicData>
            </a:graphic>
          </wp:inline>
        </w:drawing>
      </w:r>
    </w:p>
    <w:p w14:paraId="2E5D83A7"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2: Nestlé’s Profit in Different Regions</w:t>
      </w:r>
    </w:p>
    <w:p w14:paraId="54907200" w14:textId="77777777" w:rsidR="007E7896" w:rsidRPr="000A3CFE" w:rsidRDefault="007E7896" w:rsidP="007E7896">
      <w:pPr>
        <w:spacing w:line="360" w:lineRule="auto"/>
        <w:jc w:val="center"/>
        <w:rPr>
          <w:rFonts w:ascii="Arial" w:hAnsi="Arial" w:cs="Arial"/>
        </w:rPr>
      </w:pPr>
      <w:r w:rsidRPr="000A3CFE">
        <w:rPr>
          <w:rFonts w:ascii="Arial" w:hAnsi="Arial" w:cs="Arial"/>
        </w:rPr>
        <w:t>(Source: Nestle Annual Report, 2024)</w:t>
      </w:r>
    </w:p>
    <w:p w14:paraId="44724167" w14:textId="77777777" w:rsidR="007E7896" w:rsidRPr="000A3CFE" w:rsidRDefault="007E7896" w:rsidP="007E7896">
      <w:pPr>
        <w:pStyle w:val="Heading2"/>
        <w:rPr>
          <w:rFonts w:ascii="Arial" w:hAnsi="Arial" w:cs="Arial"/>
        </w:rPr>
      </w:pPr>
      <w:bookmarkStart w:id="3" w:name="_Toc216074163"/>
      <w:r w:rsidRPr="000A3CFE">
        <w:rPr>
          <w:rFonts w:ascii="Arial" w:hAnsi="Arial" w:cs="Arial"/>
        </w:rPr>
        <w:t>b. Nature of Nestlé’s global operations</w:t>
      </w:r>
      <w:bookmarkEnd w:id="3"/>
      <w:r w:rsidRPr="000A3CFE">
        <w:rPr>
          <w:rFonts w:ascii="Arial" w:hAnsi="Arial" w:cs="Arial"/>
        </w:rPr>
        <w:t xml:space="preserve"> </w:t>
      </w:r>
    </w:p>
    <w:p w14:paraId="6E43F504" w14:textId="77777777" w:rsidR="007E7896" w:rsidRPr="000A3CFE" w:rsidRDefault="007E7896" w:rsidP="007E7896">
      <w:pPr>
        <w:spacing w:line="360" w:lineRule="auto"/>
        <w:rPr>
          <w:rFonts w:ascii="Arial" w:hAnsi="Arial" w:cs="Arial"/>
        </w:rPr>
      </w:pPr>
      <w:r w:rsidRPr="000A3CFE">
        <w:rPr>
          <w:rFonts w:ascii="Arial" w:hAnsi="Arial" w:cs="Arial"/>
        </w:rPr>
        <w:t xml:space="preserve">An effectively operated value chain enables the multinational corporations to organize the resources, produce quality products, and adapt to the needs of the local markets.  The operations of Nestlé in the global market are along the whole value chain, from R&amp;D, sourcing, production, distribution, sales, and funding. </w:t>
      </w:r>
    </w:p>
    <w:p w14:paraId="401B8A2C"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Research &amp; Development (R&amp;D):</w:t>
      </w:r>
      <w:r w:rsidRPr="000A3CFE">
        <w:rPr>
          <w:rFonts w:ascii="Arial" w:hAnsi="Arial" w:cs="Arial"/>
        </w:rPr>
        <w:t xml:space="preserve"> Nestlé spends about 1.8% of its total sales on R&amp;D (Nestlé Annual Report, 2024). In the international sphere, its global R&amp;D network with headquarters in Switzerland and major hubs in Singapore and India contributes to the production of products that meet the local health trends, consumer trends, and pricing conditions. This level of the value chain is used to make sure that the innovations are made globally but adapted locally to develop </w:t>
      </w:r>
      <w:r w:rsidRPr="000A3CFE">
        <w:rPr>
          <w:rFonts w:ascii="Arial" w:hAnsi="Arial" w:cs="Arial"/>
        </w:rPr>
        <w:lastRenderedPageBreak/>
        <w:t>products that meet regional demands. An example is the Manesar R&amp;D plant in India that invented Iron-Fortified Maggi in partnership with Swiss innovation teams to meet the nutritional deficiency in the country.</w:t>
      </w:r>
    </w:p>
    <w:p w14:paraId="7B908D3A"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Sourcing and Production:</w:t>
      </w:r>
      <w:r w:rsidRPr="000A3CFE">
        <w:rPr>
          <w:rFonts w:ascii="Arial" w:hAnsi="Arial" w:cs="Arial"/>
        </w:rPr>
        <w:t xml:space="preserve"> Nestlé obtains raw materials like milk, coffee, cereals, and cocoa from thousands of smallholder farmers around the world. In India, the company has eight manufacturing facilities and recently set up its ninth milk collection centre, and encourages rural employment as well as community development and sustainable sourcing (Nestlé India, 2021). Local procurement is integrated with global standards of supply chain quality, products, and reliability of supply. Sourcing and production are the most important value chain processes, which link the acquisition of raw materials to high quality finished products that are both global and local in quality.</w:t>
      </w:r>
    </w:p>
    <w:p w14:paraId="7386E2B4"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Sales and Marketing:</w:t>
      </w:r>
      <w:r w:rsidRPr="000A3CFE">
        <w:rPr>
          <w:rFonts w:ascii="Arial" w:hAnsi="Arial" w:cs="Arial"/>
        </w:rPr>
        <w:t xml:space="preserve"> Please use the sharing tools found via the share button at the top or side of articles. Faced with a rise in its own costs, Nestlé has been lifting prices over the past 12 months, although the pace of increases moderated in the second half of the year. Prices rose 7.5 percent year on year in the second half, matching forecasts, and down from a 9.5 percent pace in the first half. Total reported sales decreased by 1.5 percent to SFr93bn ($106bn), net profit increased by 20.9 percent to $12.8bn (Financial Times, 2024). The global branding and localisation in the marketing strategies are exemplified by marketing Nescafé Sunrise and Milo in India with local flavour profiles and culturally savvy campaigns, which explains the think global, act local strategy.</w:t>
      </w:r>
    </w:p>
    <w:p w14:paraId="18B3FE51"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Financing and Capital Structure:</w:t>
      </w:r>
      <w:r w:rsidRPr="000A3CFE">
        <w:rPr>
          <w:rFonts w:ascii="Arial" w:hAnsi="Arial" w:cs="Arial"/>
        </w:rPr>
        <w:t xml:space="preserve"> Nestlé has a strong financial base, and its equity ratio is 45, which allows it to expand internationally, acquire, and reinvest in developing markets. This financial stability is enabling flexible investment in innovation, infrastructure, and market entry projects such as the development of localised products and digital marketing campaigns.</w:t>
      </w:r>
    </w:p>
    <w:p w14:paraId="4C3024B2" w14:textId="77777777" w:rsidR="007E7896" w:rsidRPr="000A3CFE" w:rsidRDefault="007E7896" w:rsidP="007E7896">
      <w:pPr>
        <w:pStyle w:val="Heading2"/>
        <w:rPr>
          <w:rFonts w:ascii="Arial" w:hAnsi="Arial" w:cs="Arial"/>
        </w:rPr>
      </w:pPr>
      <w:bookmarkStart w:id="4" w:name="_Toc216074164"/>
      <w:r w:rsidRPr="000A3CFE">
        <w:rPr>
          <w:rFonts w:ascii="Arial" w:hAnsi="Arial" w:cs="Arial"/>
        </w:rPr>
        <w:lastRenderedPageBreak/>
        <w:t>c. Different entry modes used by Nestlé in entering the different international markets</w:t>
      </w:r>
      <w:bookmarkEnd w:id="4"/>
    </w:p>
    <w:p w14:paraId="6DFC8E23" w14:textId="77777777" w:rsidR="007E7896" w:rsidRPr="000A3CFE" w:rsidRDefault="007E7896" w:rsidP="007E7896">
      <w:pPr>
        <w:spacing w:line="360" w:lineRule="auto"/>
        <w:rPr>
          <w:rFonts w:ascii="Arial" w:hAnsi="Arial" w:cs="Arial"/>
        </w:rPr>
      </w:pPr>
      <w:r w:rsidRPr="000A3CFE">
        <w:rPr>
          <w:rFonts w:ascii="Arial" w:hAnsi="Arial" w:cs="Arial"/>
        </w:rPr>
        <w:t>The entry modes used by Nestle are strategic selection of wholly owned subsidiaries, joint ventures, strategic alliances, and acquisitions, and the selection of such entry modes has been made depending on market maturity, regulation, and cultural aspects, optimal control, compliance, and local adaptation without compromising global efficiency and brand integrity.</w:t>
      </w:r>
    </w:p>
    <w:p w14:paraId="0CE5CDE1"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03B464A9" wp14:editId="3A8661FD">
            <wp:extent cx="4357688" cy="3352067"/>
            <wp:effectExtent l="25400" t="25400" r="25400" b="25400"/>
            <wp:docPr id="15004322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357688" cy="3352067"/>
                    </a:xfrm>
                    <a:prstGeom prst="rect">
                      <a:avLst/>
                    </a:prstGeom>
                    <a:ln w="25400">
                      <a:solidFill>
                        <a:srgbClr val="000000"/>
                      </a:solidFill>
                      <a:prstDash val="solid"/>
                    </a:ln>
                  </pic:spPr>
                </pic:pic>
              </a:graphicData>
            </a:graphic>
          </wp:inline>
        </w:drawing>
      </w:r>
    </w:p>
    <w:p w14:paraId="6717D946"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3: Market Entry Modes</w:t>
      </w:r>
    </w:p>
    <w:p w14:paraId="18F73689" w14:textId="77777777" w:rsidR="007E7896" w:rsidRPr="000A3CFE" w:rsidRDefault="007E7896" w:rsidP="007E7896">
      <w:pPr>
        <w:spacing w:line="360" w:lineRule="auto"/>
        <w:jc w:val="center"/>
        <w:rPr>
          <w:rFonts w:ascii="Arial" w:hAnsi="Arial" w:cs="Arial"/>
        </w:rPr>
      </w:pPr>
      <w:r w:rsidRPr="000A3CFE">
        <w:rPr>
          <w:rFonts w:ascii="Arial" w:hAnsi="Arial" w:cs="Arial"/>
        </w:rPr>
        <w:t>(Source: ‌Giles, 2022)</w:t>
      </w:r>
    </w:p>
    <w:p w14:paraId="5EF3F305" w14:textId="77777777" w:rsidR="007E7896" w:rsidRPr="000A3CFE" w:rsidRDefault="007E7896" w:rsidP="007E7896">
      <w:pPr>
        <w:numPr>
          <w:ilvl w:val="0"/>
          <w:numId w:val="3"/>
        </w:numPr>
        <w:pBdr>
          <w:top w:val="nil"/>
          <w:left w:val="nil"/>
          <w:bottom w:val="nil"/>
          <w:right w:val="nil"/>
          <w:between w:val="nil"/>
        </w:pBdr>
        <w:spacing w:line="360" w:lineRule="auto"/>
        <w:rPr>
          <w:rFonts w:ascii="Arial" w:hAnsi="Arial" w:cs="Arial"/>
        </w:rPr>
      </w:pPr>
      <w:r w:rsidRPr="000A3CFE">
        <w:rPr>
          <w:rFonts w:ascii="Arial" w:hAnsi="Arial" w:cs="Arial"/>
          <w:b/>
          <w:bCs/>
        </w:rPr>
        <w:t>Wholly owned subsidiaries:</w:t>
      </w:r>
      <w:r w:rsidRPr="000A3CFE">
        <w:rPr>
          <w:rFonts w:ascii="Arial" w:hAnsi="Arial" w:cs="Arial"/>
        </w:rPr>
        <w:t xml:space="preserve"> It is the most common form, giving Nestlé direct control of the operations, quality, and brand integrity. Nestle India Limited is a publicly listed subsidiary of the parent company that was founded in 1961, with the parent company holding 63% of the shares (Nestle India, 2021). This enables the overall operational control and quick reaction to market or regulatory threats.</w:t>
      </w:r>
    </w:p>
    <w:p w14:paraId="4FBEEB12" w14:textId="77777777" w:rsidR="007E7896" w:rsidRPr="000A3CFE" w:rsidRDefault="007E7896" w:rsidP="007E7896">
      <w:pPr>
        <w:numPr>
          <w:ilvl w:val="0"/>
          <w:numId w:val="3"/>
        </w:numPr>
        <w:pBdr>
          <w:top w:val="nil"/>
          <w:left w:val="nil"/>
          <w:bottom w:val="nil"/>
          <w:right w:val="nil"/>
          <w:between w:val="nil"/>
        </w:pBdr>
        <w:spacing w:line="360" w:lineRule="auto"/>
        <w:rPr>
          <w:rFonts w:ascii="Arial" w:hAnsi="Arial" w:cs="Arial"/>
        </w:rPr>
      </w:pPr>
      <w:r w:rsidRPr="000A3CFE">
        <w:rPr>
          <w:rFonts w:ascii="Arial" w:hAnsi="Arial" w:cs="Arial"/>
          <w:b/>
          <w:bCs/>
        </w:rPr>
        <w:t>Joint Ventures and Strategic Alliances:</w:t>
      </w:r>
      <w:r w:rsidRPr="000A3CFE">
        <w:rPr>
          <w:rFonts w:ascii="Arial" w:hAnsi="Arial" w:cs="Arial"/>
        </w:rPr>
        <w:t xml:space="preserve"> Nestlé uses joint ventures in markets that have a high premium on local expertise or regulatory relationships. In China, it collaborated with </w:t>
      </w:r>
      <w:proofErr w:type="spellStart"/>
      <w:r w:rsidRPr="000A3CFE">
        <w:rPr>
          <w:rFonts w:ascii="Arial" w:hAnsi="Arial" w:cs="Arial"/>
        </w:rPr>
        <w:t>Yinlu</w:t>
      </w:r>
      <w:proofErr w:type="spellEnd"/>
      <w:r w:rsidRPr="000A3CFE">
        <w:rPr>
          <w:rFonts w:ascii="Arial" w:hAnsi="Arial" w:cs="Arial"/>
        </w:rPr>
        <w:t xml:space="preserve"> Foods to enter the regional market, and in some of the </w:t>
      </w:r>
      <w:r w:rsidRPr="000A3CFE">
        <w:rPr>
          <w:rFonts w:ascii="Arial" w:hAnsi="Arial" w:cs="Arial"/>
        </w:rPr>
        <w:lastRenderedPageBreak/>
        <w:t>African countries, it has worked with governments and non-governmental organisations regarding nutrition and local capacity-building efforts.</w:t>
      </w:r>
    </w:p>
    <w:p w14:paraId="6A4CECB9" w14:textId="2D30A53D" w:rsidR="007E7896" w:rsidRPr="000A3CFE" w:rsidRDefault="007E7896" w:rsidP="007E7896">
      <w:pPr>
        <w:numPr>
          <w:ilvl w:val="0"/>
          <w:numId w:val="3"/>
        </w:numPr>
        <w:pBdr>
          <w:top w:val="nil"/>
          <w:left w:val="nil"/>
          <w:bottom w:val="nil"/>
          <w:right w:val="nil"/>
          <w:between w:val="nil"/>
        </w:pBdr>
        <w:spacing w:line="360" w:lineRule="auto"/>
        <w:rPr>
          <w:rFonts w:ascii="Arial" w:hAnsi="Arial" w:cs="Arial"/>
        </w:rPr>
      </w:pPr>
      <w:r w:rsidRPr="000A3CFE">
        <w:rPr>
          <w:rFonts w:ascii="Arial" w:hAnsi="Arial" w:cs="Arial"/>
          <w:b/>
          <w:bCs/>
        </w:rPr>
        <w:t>Acquisitions: Acquisitions</w:t>
      </w:r>
      <w:r w:rsidRPr="000A3CFE">
        <w:rPr>
          <w:rFonts w:ascii="Arial" w:hAnsi="Arial" w:cs="Arial"/>
        </w:rPr>
        <w:t xml:space="preserve"> are one of the tools with which Nestlé can enter the market faster, diversify, and improve (Islam, 2022). These are Purina in the U.S., Wyeth Nutrition in the Philippines, and domestic snack brands in the emerging economies. Such acquisitions give access to immediate market information, distribution networks, and brand recognition. </w:t>
      </w:r>
    </w:p>
    <w:p w14:paraId="3E3FCFC1" w14:textId="77777777" w:rsidR="00C739B1" w:rsidRPr="000A3CFE" w:rsidRDefault="00C739B1" w:rsidP="00C739B1">
      <w:pPr>
        <w:pBdr>
          <w:top w:val="nil"/>
          <w:left w:val="nil"/>
          <w:bottom w:val="nil"/>
          <w:right w:val="nil"/>
          <w:between w:val="nil"/>
        </w:pBdr>
        <w:spacing w:line="360" w:lineRule="auto"/>
        <w:ind w:left="720"/>
        <w:rPr>
          <w:rFonts w:ascii="Arial" w:hAnsi="Arial" w:cs="Arial"/>
        </w:rPr>
      </w:pPr>
    </w:p>
    <w:p w14:paraId="24227796" w14:textId="77777777" w:rsidR="007E7896" w:rsidRPr="000A3CFE" w:rsidRDefault="007E7896" w:rsidP="007E7896">
      <w:pPr>
        <w:spacing w:line="360" w:lineRule="auto"/>
        <w:rPr>
          <w:rFonts w:ascii="Arial" w:hAnsi="Arial" w:cs="Arial"/>
          <w:b/>
          <w:bCs/>
        </w:rPr>
      </w:pPr>
      <w:r w:rsidRPr="000A3CFE">
        <w:rPr>
          <w:rFonts w:ascii="Arial" w:hAnsi="Arial" w:cs="Arial"/>
          <w:b/>
          <w:bCs/>
        </w:rPr>
        <w:t>A dominant entry mode for Nestlé</w:t>
      </w:r>
    </w:p>
    <w:p w14:paraId="59526B11" w14:textId="6FDD89C0" w:rsidR="007E7896" w:rsidRPr="000A3CFE" w:rsidRDefault="007E7896" w:rsidP="007E7896">
      <w:pPr>
        <w:spacing w:line="360" w:lineRule="auto"/>
        <w:rPr>
          <w:rFonts w:ascii="Arial" w:hAnsi="Arial" w:cs="Arial"/>
        </w:rPr>
      </w:pPr>
      <w:r w:rsidRPr="000A3CFE">
        <w:rPr>
          <w:rFonts w:ascii="Arial" w:hAnsi="Arial" w:cs="Arial"/>
        </w:rPr>
        <w:t xml:space="preserve">Some of the various international entry modes used by Nestlé, depending on the market conditions, include wholly owned subsidiaries, joint ventures, strategic alliances, and acquisitions. The wholly owned subsidiary is the most dominant in the major markets with complete operational control, uniform quality, brand security, and autonomy of strategy (Aro, 2022). As an example, Nestle India Limited was founded in 1961 as a publicly traded subsidiary, whereby most of the shares are held by the parent company, combining both centralisation of decisions and local sensitivity. Although joint ventures and alliances are used in China and Africa to meet regulatory or local know-how, wholly owned subsidiaries would enable Nestlé to standardise processes, impose compliance, and be quicker in innovations, which fits its global </w:t>
      </w:r>
      <w:r w:rsidR="000A3CFE" w:rsidRPr="000A3CFE">
        <w:rPr>
          <w:rFonts w:ascii="Arial" w:hAnsi="Arial" w:cs="Arial"/>
        </w:rPr>
        <w:t>glocalization</w:t>
      </w:r>
      <w:r w:rsidRPr="000A3CFE">
        <w:rPr>
          <w:rFonts w:ascii="Arial" w:hAnsi="Arial" w:cs="Arial"/>
        </w:rPr>
        <w:t xml:space="preserve"> strategy.</w:t>
      </w:r>
    </w:p>
    <w:p w14:paraId="49E24025" w14:textId="77777777" w:rsidR="007E7896" w:rsidRPr="000A3CFE" w:rsidRDefault="007E7896" w:rsidP="007E7896">
      <w:pPr>
        <w:pStyle w:val="Heading2"/>
        <w:rPr>
          <w:rFonts w:ascii="Arial" w:hAnsi="Arial" w:cs="Arial"/>
        </w:rPr>
      </w:pPr>
      <w:bookmarkStart w:id="5" w:name="_Toc216074165"/>
      <w:r w:rsidRPr="000A3CFE">
        <w:rPr>
          <w:rFonts w:ascii="Arial" w:hAnsi="Arial" w:cs="Arial"/>
        </w:rPr>
        <w:t>d. Key benefits obtained by Nestlé from its international operations</w:t>
      </w:r>
      <w:bookmarkEnd w:id="5"/>
    </w:p>
    <w:p w14:paraId="07C3A489" w14:textId="77777777" w:rsidR="007E7896" w:rsidRPr="000A3CFE" w:rsidRDefault="007E7896" w:rsidP="007E7896">
      <w:pPr>
        <w:spacing w:line="360" w:lineRule="auto"/>
        <w:rPr>
          <w:rFonts w:ascii="Arial" w:hAnsi="Arial" w:cs="Arial"/>
        </w:rPr>
      </w:pPr>
      <w:r w:rsidRPr="000A3CFE">
        <w:rPr>
          <w:rFonts w:ascii="Arial" w:hAnsi="Arial" w:cs="Arial"/>
        </w:rPr>
        <w:t>The global operation of Nestlé gives it great advantages, such as diversifying its markets, enjoying economies of scale, diffusion of innovation, brand globalisation, financial flexibility, and utilising local resources.</w:t>
      </w:r>
    </w:p>
    <w:p w14:paraId="778BCE1E"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Diversification of the Market and Stability of Revenue:</w:t>
      </w:r>
      <w:r w:rsidRPr="000A3CFE">
        <w:rPr>
          <w:rFonts w:ascii="Arial" w:hAnsi="Arial" w:cs="Arial"/>
        </w:rPr>
        <w:t xml:space="preserve"> The diversification provides a solution to the market-specific downturn by operating in 180 or more countries. As an example, when the Maggi noodles crisis struck India in 2015, and the brand was temporarily banned and lost about ₹5500 crore in sales, Nestle's diversified operations in Europe and North America helped to absorb the total profits (Times of India, 2025).</w:t>
      </w:r>
    </w:p>
    <w:p w14:paraId="496F5780" w14:textId="475E852F"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lastRenderedPageBreak/>
        <w:t xml:space="preserve">Economies of Scale and Scope: </w:t>
      </w:r>
      <w:r w:rsidRPr="000A3CFE">
        <w:rPr>
          <w:rFonts w:ascii="Arial" w:hAnsi="Arial" w:cs="Arial"/>
        </w:rPr>
        <w:t>Nestlé has been able to use international sourcing of commodities, namely coffee, cocoa, and packaging materials, to negotiate better prices and lower unit prices without compromising the quality of the product across the globe (</w:t>
      </w:r>
      <w:proofErr w:type="spellStart"/>
      <w:r w:rsidRPr="000A3CFE">
        <w:rPr>
          <w:rFonts w:ascii="Arial" w:hAnsi="Arial" w:cs="Arial"/>
        </w:rPr>
        <w:t>Baronchelli</w:t>
      </w:r>
      <w:proofErr w:type="spellEnd"/>
      <w:r w:rsidRPr="000A3CFE">
        <w:rPr>
          <w:rFonts w:ascii="Arial" w:hAnsi="Arial" w:cs="Arial"/>
        </w:rPr>
        <w:t xml:space="preserve"> </w:t>
      </w:r>
      <w:r w:rsidRPr="000A3CFE">
        <w:rPr>
          <w:rFonts w:ascii="Arial" w:hAnsi="Arial" w:cs="Arial"/>
          <w:i/>
          <w:iCs/>
        </w:rPr>
        <w:t>et al.</w:t>
      </w:r>
      <w:r w:rsidRPr="000A3CFE">
        <w:rPr>
          <w:rFonts w:ascii="Arial" w:hAnsi="Arial" w:cs="Arial"/>
        </w:rPr>
        <w:t xml:space="preserve">, 2024). Standardisation of production processes leads to an increase in efficiency of operations in all markets, eliminating redundancy and waste of resources. Through scale and scope benefits, Nestle is able to realize economies of scale, uniformity of the brand, and efficient operations, which allows the company to compete </w:t>
      </w:r>
      <w:r w:rsidR="000A3CFE" w:rsidRPr="000A3CFE">
        <w:rPr>
          <w:rFonts w:ascii="Arial" w:hAnsi="Arial" w:cs="Arial"/>
        </w:rPr>
        <w:t>favourably</w:t>
      </w:r>
      <w:r w:rsidRPr="000A3CFE">
        <w:rPr>
          <w:rFonts w:ascii="Arial" w:hAnsi="Arial" w:cs="Arial"/>
        </w:rPr>
        <w:t xml:space="preserve"> and provide quality products in various foreign markets.</w:t>
      </w:r>
    </w:p>
    <w:p w14:paraId="4F7C940E"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Knowledge Transfer and Innovation Diffusion:</w:t>
      </w:r>
      <w:r w:rsidRPr="000A3CFE">
        <w:rPr>
          <w:rFonts w:ascii="Arial" w:hAnsi="Arial" w:cs="Arial"/>
        </w:rPr>
        <w:t xml:space="preserve"> Nestlé has used the sharing of knowledge across borders by its worldwide R&amp;D network. The innovations that are created in one part of the world, e.g., micronutrient fortification or sustainable packaging, can be quickly replicated and used in other markets. The R&amp;D centre in Manesar is an example of such cross-market knowledge integration as the cooperation with Swiss hubs. </w:t>
      </w:r>
    </w:p>
    <w:p w14:paraId="7948ACA8"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 xml:space="preserve">Brand Globalization and Localization: </w:t>
      </w:r>
      <w:r w:rsidRPr="000A3CFE">
        <w:rPr>
          <w:rFonts w:ascii="Arial" w:hAnsi="Arial" w:cs="Arial"/>
        </w:rPr>
        <w:t xml:space="preserve">Nestle has a balanced brand image globally but localized reaction in development of credibility and penetration of markets (González Alonso, 2022). The company can respond to the local market by differentiating the products according to the local preferences, </w:t>
      </w:r>
      <w:proofErr w:type="gramStart"/>
      <w:r w:rsidRPr="000A3CFE">
        <w:rPr>
          <w:rFonts w:ascii="Arial" w:hAnsi="Arial" w:cs="Arial"/>
        </w:rPr>
        <w:t>e.g.</w:t>
      </w:r>
      <w:proofErr w:type="gramEnd"/>
      <w:r w:rsidRPr="000A3CFE">
        <w:rPr>
          <w:rFonts w:ascii="Arial" w:hAnsi="Arial" w:cs="Arial"/>
        </w:rPr>
        <w:t xml:space="preserve"> Nescafe flavour choice and Milo recipes in India. The outcome of this two-fold approach is consumer loyalty, brand recognition and competitive advantage, which will ensure that the global branding will be further supported with the culturally competent provisions that will be appealing to the local markets and their local tastes and demands.</w:t>
      </w:r>
    </w:p>
    <w:p w14:paraId="7414A57C"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Sustainability and Corporate Social Responsibility (CSR):</w:t>
      </w:r>
      <w:r w:rsidRPr="000A3CFE">
        <w:rPr>
          <w:rFonts w:ascii="Arial" w:hAnsi="Arial" w:cs="Arial"/>
        </w:rPr>
        <w:t xml:space="preserve"> Nestlé, in its international business, incorporates worldwide sustainability strategies in its approach to meeting the needs of the local communities. Programs within the supply chain, such as the Moga dairy development programme, have assisted 100,000 farmers and stabilised their earnings, as well as creating shared value. </w:t>
      </w:r>
    </w:p>
    <w:p w14:paraId="571D7B02"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Financial Strength and Strategic Flexibility:</w:t>
      </w:r>
      <w:r w:rsidRPr="000A3CFE">
        <w:rPr>
          <w:rFonts w:ascii="Arial" w:hAnsi="Arial" w:cs="Arial"/>
        </w:rPr>
        <w:t xml:space="preserve"> The strong capital structure of Nestlé and the high cash flows provide the company with strategic opportunities to </w:t>
      </w:r>
      <w:r w:rsidRPr="000A3CFE">
        <w:rPr>
          <w:rFonts w:ascii="Arial" w:hAnsi="Arial" w:cs="Arial"/>
        </w:rPr>
        <w:lastRenderedPageBreak/>
        <w:t>invest in new markets, acquire new businesses, and finance innovation projects (Nestlé, 2024). Such financial strength will enable the company to survive any economic or political shocks in the region, ensure business continuity, and long-term expansion.</w:t>
      </w:r>
    </w:p>
    <w:p w14:paraId="2104EA66"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Risk Diversification:</w:t>
      </w:r>
      <w:r w:rsidRPr="000A3CFE">
        <w:rPr>
          <w:rFonts w:ascii="Arial" w:hAnsi="Arial" w:cs="Arial"/>
        </w:rPr>
        <w:t xml:space="preserve"> Nestle operates in more than 180 countries thus able to diversify business and financial risks in a variety of markets. The slowdown in an economy, interference in regulatory aspects or the crisis in a single area like the Maggi noodles case in India is counterbalanced by the steady performance in other markets, and this maintains continuity, profitability, and the overall risk of the business.</w:t>
      </w:r>
    </w:p>
    <w:p w14:paraId="54A10965" w14:textId="53FB429C" w:rsidR="007E7896"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b/>
          <w:bCs/>
        </w:rPr>
        <w:t>Challenges:</w:t>
      </w:r>
      <w:r w:rsidRPr="000A3CFE">
        <w:rPr>
          <w:rFonts w:ascii="Arial" w:hAnsi="Arial" w:cs="Arial"/>
        </w:rPr>
        <w:t xml:space="preserve"> Although these are some of the advantages Nestle is facing some issues like complex regulatory environments, cultural diversities, increasing business cost, and exposure to currency and political risks that need proper management to achieve maximum benefits of internationalization (</w:t>
      </w:r>
      <w:proofErr w:type="spellStart"/>
      <w:r w:rsidRPr="000A3CFE">
        <w:rPr>
          <w:rFonts w:ascii="Arial" w:hAnsi="Arial" w:cs="Arial"/>
        </w:rPr>
        <w:t>Donzé</w:t>
      </w:r>
      <w:proofErr w:type="spellEnd"/>
      <w:r w:rsidRPr="000A3CFE">
        <w:rPr>
          <w:rFonts w:ascii="Arial" w:hAnsi="Arial" w:cs="Arial"/>
        </w:rPr>
        <w:t xml:space="preserve"> and </w:t>
      </w:r>
      <w:proofErr w:type="spellStart"/>
      <w:r w:rsidRPr="000A3CFE">
        <w:rPr>
          <w:rFonts w:ascii="Arial" w:hAnsi="Arial" w:cs="Arial"/>
        </w:rPr>
        <w:t>Pitteloud</w:t>
      </w:r>
      <w:proofErr w:type="spellEnd"/>
      <w:r w:rsidRPr="000A3CFE">
        <w:rPr>
          <w:rFonts w:ascii="Arial" w:hAnsi="Arial" w:cs="Arial"/>
        </w:rPr>
        <w:t>, 2025).</w:t>
      </w:r>
    </w:p>
    <w:p w14:paraId="69372F1D" w14:textId="77777777" w:rsidR="000A3CFE" w:rsidRPr="000A3CFE" w:rsidRDefault="000A3CFE" w:rsidP="007E7896">
      <w:pPr>
        <w:pBdr>
          <w:top w:val="nil"/>
          <w:left w:val="nil"/>
          <w:bottom w:val="nil"/>
          <w:right w:val="nil"/>
          <w:between w:val="nil"/>
        </w:pBdr>
        <w:spacing w:line="360" w:lineRule="auto"/>
        <w:rPr>
          <w:rFonts w:ascii="Arial" w:hAnsi="Arial" w:cs="Arial"/>
        </w:rPr>
      </w:pPr>
    </w:p>
    <w:p w14:paraId="40F24653" w14:textId="77777777" w:rsidR="007E7896" w:rsidRPr="000A3CFE" w:rsidRDefault="007E7896" w:rsidP="007E7896">
      <w:pPr>
        <w:pStyle w:val="Heading1"/>
        <w:spacing w:before="0" w:after="0"/>
        <w:rPr>
          <w:rFonts w:ascii="Arial" w:hAnsi="Arial" w:cs="Arial"/>
          <w:sz w:val="24"/>
          <w:szCs w:val="24"/>
        </w:rPr>
      </w:pPr>
      <w:bookmarkStart w:id="6" w:name="_Toc216074166"/>
      <w:r w:rsidRPr="000A3CFE">
        <w:rPr>
          <w:rFonts w:ascii="Arial" w:hAnsi="Arial" w:cs="Arial"/>
          <w:sz w:val="24"/>
          <w:szCs w:val="24"/>
        </w:rPr>
        <w:t>3. Critical Discussion on the Impact of OLI Factors on Market Entry: Nestlé and India</w:t>
      </w:r>
      <w:bookmarkEnd w:id="6"/>
    </w:p>
    <w:p w14:paraId="2980C7CE" w14:textId="704A7374" w:rsidR="007E7896" w:rsidRPr="000A3CFE" w:rsidRDefault="007E7896" w:rsidP="007E7896">
      <w:pPr>
        <w:spacing w:line="360" w:lineRule="auto"/>
        <w:rPr>
          <w:rFonts w:ascii="Arial" w:hAnsi="Arial" w:cs="Arial"/>
        </w:rPr>
      </w:pPr>
      <w:r w:rsidRPr="000A3CFE">
        <w:rPr>
          <w:rFonts w:ascii="Arial" w:hAnsi="Arial" w:cs="Arial"/>
        </w:rPr>
        <w:t xml:space="preserve">The OLI (Ownership-Location-Internalisation) model was formulated by John Dunning (1988) to provide a systematic way of explaining why multinational corporations (MNCs) select certain entry modes internationally (Ailani, 2024). The paradigm assumes that the interaction between firm ownership specific benefits, location factors of the host nation, and benefits of internalising the transactions determines the best market entry strategy. In the case of Nestlé, India is a very strategic emerging market, with enormous opportunities, as well as complexities. The OLI factors critically </w:t>
      </w:r>
      <w:r w:rsidR="000A3CFE" w:rsidRPr="000A3CFE">
        <w:rPr>
          <w:rFonts w:ascii="Arial" w:hAnsi="Arial" w:cs="Arial"/>
        </w:rPr>
        <w:t>analysed</w:t>
      </w:r>
      <w:r w:rsidRPr="000A3CFE">
        <w:rPr>
          <w:rFonts w:ascii="Arial" w:hAnsi="Arial" w:cs="Arial"/>
        </w:rPr>
        <w:t xml:space="preserve"> present information on why Nestle mostly uses wholly owned subsidiaries and the impact of these advantages on its long-term presence in India.</w:t>
      </w:r>
    </w:p>
    <w:p w14:paraId="4C7DE1A8" w14:textId="77777777" w:rsidR="007E7896" w:rsidRPr="000A3CFE" w:rsidRDefault="007E7896" w:rsidP="007E7896">
      <w:pPr>
        <w:spacing w:line="360" w:lineRule="auto"/>
        <w:rPr>
          <w:rFonts w:ascii="Arial" w:hAnsi="Arial" w:cs="Arial"/>
        </w:rPr>
      </w:pPr>
    </w:p>
    <w:p w14:paraId="1446D03D" w14:textId="77777777" w:rsidR="007E7896" w:rsidRPr="000A3CFE" w:rsidRDefault="007E7896" w:rsidP="007E7896">
      <w:pPr>
        <w:spacing w:line="360" w:lineRule="auto"/>
        <w:rPr>
          <w:rFonts w:ascii="Arial" w:hAnsi="Arial" w:cs="Arial"/>
        </w:rPr>
      </w:pPr>
    </w:p>
    <w:p w14:paraId="7BAF5E57" w14:textId="77777777" w:rsidR="007E7896" w:rsidRPr="000A3CFE" w:rsidRDefault="007E7896" w:rsidP="007E7896">
      <w:pPr>
        <w:spacing w:line="360" w:lineRule="auto"/>
        <w:jc w:val="center"/>
        <w:rPr>
          <w:rFonts w:ascii="Arial" w:hAnsi="Arial" w:cs="Arial"/>
        </w:rPr>
      </w:pPr>
      <w:r w:rsidRPr="000A3CFE">
        <w:rPr>
          <w:rFonts w:ascii="Arial" w:hAnsi="Arial" w:cs="Arial"/>
          <w:noProof/>
        </w:rPr>
        <w:lastRenderedPageBreak/>
        <w:drawing>
          <wp:inline distT="114300" distB="114300" distL="114300" distR="114300" wp14:anchorId="506A0266" wp14:editId="0DEAD494">
            <wp:extent cx="4614863" cy="2566278"/>
            <wp:effectExtent l="25400" t="25400" r="25400" b="25400"/>
            <wp:docPr id="150043223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14863" cy="2566278"/>
                    </a:xfrm>
                    <a:prstGeom prst="rect">
                      <a:avLst/>
                    </a:prstGeom>
                    <a:ln w="25400">
                      <a:solidFill>
                        <a:srgbClr val="000000"/>
                      </a:solidFill>
                      <a:prstDash val="solid"/>
                    </a:ln>
                  </pic:spPr>
                </pic:pic>
              </a:graphicData>
            </a:graphic>
          </wp:inline>
        </w:drawing>
      </w:r>
    </w:p>
    <w:p w14:paraId="11C339ED"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4: OLI Framework</w:t>
      </w:r>
    </w:p>
    <w:p w14:paraId="0991F891" w14:textId="77777777" w:rsidR="007E7896" w:rsidRPr="000A3CFE" w:rsidRDefault="007E7896" w:rsidP="007E7896">
      <w:pPr>
        <w:spacing w:line="360" w:lineRule="auto"/>
        <w:jc w:val="center"/>
        <w:rPr>
          <w:rFonts w:ascii="Arial" w:hAnsi="Arial" w:cs="Arial"/>
        </w:rPr>
      </w:pPr>
      <w:r w:rsidRPr="000A3CFE">
        <w:rPr>
          <w:rFonts w:ascii="Arial" w:hAnsi="Arial" w:cs="Arial"/>
        </w:rPr>
        <w:t>(Source: Ailani, 2024)</w:t>
      </w:r>
    </w:p>
    <w:p w14:paraId="3FF98062" w14:textId="77777777" w:rsidR="007E7896" w:rsidRPr="000A3CFE" w:rsidRDefault="007E7896" w:rsidP="007E7896">
      <w:pPr>
        <w:pStyle w:val="Heading2"/>
        <w:rPr>
          <w:rFonts w:ascii="Arial" w:hAnsi="Arial" w:cs="Arial"/>
        </w:rPr>
      </w:pPr>
      <w:bookmarkStart w:id="7" w:name="_Toc216074167"/>
      <w:r w:rsidRPr="000A3CFE">
        <w:rPr>
          <w:rFonts w:ascii="Arial" w:hAnsi="Arial" w:cs="Arial"/>
        </w:rPr>
        <w:t>a. Ownership Advantages</w:t>
      </w:r>
      <w:bookmarkEnd w:id="7"/>
    </w:p>
    <w:p w14:paraId="61BF01CC" w14:textId="77777777" w:rsidR="007E7896" w:rsidRPr="000A3CFE" w:rsidRDefault="007E7896" w:rsidP="007E7896">
      <w:pPr>
        <w:spacing w:line="360" w:lineRule="auto"/>
        <w:rPr>
          <w:rFonts w:ascii="Arial" w:hAnsi="Arial" w:cs="Arial"/>
        </w:rPr>
      </w:pPr>
      <w:r w:rsidRPr="000A3CFE">
        <w:rPr>
          <w:rFonts w:ascii="Arial" w:hAnsi="Arial" w:cs="Arial"/>
        </w:rPr>
        <w:t>Ownership advantages are tangible or intangible, firm specific assets like technology, management expertise, proprietary knowledge and brand equity that offer competitive advantage and facilitate entry to the market without the need to use local partners (</w:t>
      </w:r>
      <w:proofErr w:type="spellStart"/>
      <w:r w:rsidRPr="000A3CFE">
        <w:rPr>
          <w:rFonts w:ascii="Arial" w:hAnsi="Arial" w:cs="Arial"/>
        </w:rPr>
        <w:t>Adarkwah</w:t>
      </w:r>
      <w:proofErr w:type="spellEnd"/>
      <w:r w:rsidRPr="000A3CFE">
        <w:rPr>
          <w:rFonts w:ascii="Arial" w:hAnsi="Arial" w:cs="Arial"/>
        </w:rPr>
        <w:t xml:space="preserve"> and Malonæs, 2022). The ownership-specific benefits of Nestlé include tangible and intangible resources, technological skills, managerial skills, and international brand name equity. Nestlé owns more than 2000 patents, internationally recognised brands, such as Nescafé and Maggi, and has proprietary knowledge that builds competitive differentiation. The perceived risk is overcome using a strong brand reputation in culturally and competitive markets where foreign products are adopted. On the contrary, good ownership benefits do not necessarily ensure that the market can be successful as local consumer trust and cultural acceptance can always question the most successful brands.</w:t>
      </w:r>
    </w:p>
    <w:p w14:paraId="77B4D2E9" w14:textId="77777777" w:rsidR="007E7896" w:rsidRPr="000A3CFE" w:rsidRDefault="007E7896" w:rsidP="007E7896">
      <w:pPr>
        <w:spacing w:line="360" w:lineRule="auto"/>
        <w:rPr>
          <w:rFonts w:ascii="Arial" w:hAnsi="Arial" w:cs="Arial"/>
        </w:rPr>
      </w:pPr>
      <w:r w:rsidRPr="000A3CFE">
        <w:rPr>
          <w:rFonts w:ascii="Arial" w:hAnsi="Arial" w:cs="Arial"/>
        </w:rPr>
        <w:t xml:space="preserve">A key ownership strength is technological expertise, and Nestlé has cutting-edge R&amp;D centres in Switzerland, Singapore, and India that enable the transfer of knowledge across borders to enable innovation to be locally adapted without affecting the quality. Fortified Maggi noodles and regional versions of Nescafé are some of the products that show this </w:t>
      </w:r>
      <w:r w:rsidRPr="000A3CFE">
        <w:rPr>
          <w:rFonts w:ascii="Arial" w:hAnsi="Arial" w:cs="Arial"/>
        </w:rPr>
        <w:lastRenderedPageBreak/>
        <w:t xml:space="preserve">ability. This is consistent with the Knowledge-Based View (KBV) that stresses knowledge as a strategic source of a lasting competitive advantage (Stoian </w:t>
      </w:r>
      <w:r w:rsidRPr="000A3CFE">
        <w:rPr>
          <w:rFonts w:ascii="Arial" w:hAnsi="Arial" w:cs="Arial"/>
          <w:i/>
          <w:iCs/>
        </w:rPr>
        <w:t>et al</w:t>
      </w:r>
      <w:r w:rsidRPr="000A3CFE">
        <w:rPr>
          <w:rFonts w:ascii="Arial" w:hAnsi="Arial" w:cs="Arial"/>
        </w:rPr>
        <w:t xml:space="preserve">., 2024). </w:t>
      </w:r>
    </w:p>
    <w:p w14:paraId="6F0C32BF"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04E9FD39" wp14:editId="1FA423D0">
            <wp:extent cx="4672013" cy="2957444"/>
            <wp:effectExtent l="25400" t="25400" r="25400" b="25400"/>
            <wp:docPr id="15004322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672013" cy="2957444"/>
                    </a:xfrm>
                    <a:prstGeom prst="rect">
                      <a:avLst/>
                    </a:prstGeom>
                    <a:ln w="25400">
                      <a:solidFill>
                        <a:srgbClr val="000000"/>
                      </a:solidFill>
                      <a:prstDash val="solid"/>
                    </a:ln>
                  </pic:spPr>
                </pic:pic>
              </a:graphicData>
            </a:graphic>
          </wp:inline>
        </w:drawing>
      </w:r>
    </w:p>
    <w:p w14:paraId="4203BE33"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5: Nestlé's Operational Workflow</w:t>
      </w:r>
    </w:p>
    <w:p w14:paraId="24A48B43" w14:textId="77777777" w:rsidR="007E7896" w:rsidRPr="000A3CFE" w:rsidRDefault="007E7896" w:rsidP="007E7896">
      <w:pPr>
        <w:spacing w:line="360" w:lineRule="auto"/>
        <w:jc w:val="center"/>
        <w:rPr>
          <w:rFonts w:ascii="Arial" w:hAnsi="Arial" w:cs="Arial"/>
        </w:rPr>
      </w:pPr>
      <w:r w:rsidRPr="000A3CFE">
        <w:rPr>
          <w:rFonts w:ascii="Arial" w:hAnsi="Arial" w:cs="Arial"/>
        </w:rPr>
        <w:t>(Source: Self-created)</w:t>
      </w:r>
    </w:p>
    <w:p w14:paraId="577F4FEC" w14:textId="77777777" w:rsidR="007E7896" w:rsidRPr="000A3CFE" w:rsidRDefault="007E7896" w:rsidP="007E7896">
      <w:pPr>
        <w:spacing w:line="360" w:lineRule="auto"/>
        <w:rPr>
          <w:rFonts w:ascii="Arial" w:hAnsi="Arial" w:cs="Arial"/>
        </w:rPr>
      </w:pPr>
      <w:r w:rsidRPr="000A3CFE">
        <w:rPr>
          <w:rFonts w:ascii="Arial" w:hAnsi="Arial" w:cs="Arial"/>
        </w:rPr>
        <w:t>Ownership benefits are also reinforced by organisational capabilities, namely standardised quality assurance, lean manufacturing, and digital supply chains. However, the ownership assets are not the only sufficient elements: the Nestle 2015 Maggi crisis shows that cultural adaptation, quick and efficient crisis response, and strategic communication are also significant to ensure market confidence (Times of India, 2025).</w:t>
      </w:r>
    </w:p>
    <w:p w14:paraId="4A29EE9F" w14:textId="77777777" w:rsidR="007E7896" w:rsidRPr="000A3CFE" w:rsidRDefault="007E7896" w:rsidP="007E7896">
      <w:pPr>
        <w:pStyle w:val="Heading2"/>
        <w:rPr>
          <w:rFonts w:ascii="Arial" w:hAnsi="Arial" w:cs="Arial"/>
        </w:rPr>
      </w:pPr>
      <w:bookmarkStart w:id="8" w:name="_Toc216074168"/>
      <w:r w:rsidRPr="000A3CFE">
        <w:rPr>
          <w:rFonts w:ascii="Arial" w:hAnsi="Arial" w:cs="Arial"/>
        </w:rPr>
        <w:t>b. Location Advantages</w:t>
      </w:r>
      <w:bookmarkEnd w:id="8"/>
    </w:p>
    <w:p w14:paraId="45B41417"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The host-country factors that influence the strategic decisions in international expansion are location advantages which consist of market size, resources, cost structures, and regulatory incentives and influence the investment feasibility, efficiency of operations, and risk management (Bakar </w:t>
      </w:r>
      <w:r w:rsidRPr="000A3CFE">
        <w:rPr>
          <w:rFonts w:ascii="Arial" w:hAnsi="Arial" w:cs="Arial"/>
          <w:i/>
          <w:iCs/>
        </w:rPr>
        <w:t>et al</w:t>
      </w:r>
      <w:r w:rsidRPr="000A3CFE">
        <w:rPr>
          <w:rFonts w:ascii="Arial" w:hAnsi="Arial" w:cs="Arial"/>
        </w:rPr>
        <w:t xml:space="preserve">., 2022). The presence of location-specific advantages in India has a strong impact on the use of wholly owned subsidiaries by Nestle; however, these advantages cannot be presumed but they should be evaluated critically. The population of India (1.4 billion) and the fast-growing FMCG industry create immense scale opportunities but not evenly spread. The income gaps, geographical diversities, and the </w:t>
      </w:r>
      <w:r w:rsidRPr="000A3CFE">
        <w:rPr>
          <w:rFonts w:ascii="Arial" w:hAnsi="Arial" w:cs="Arial"/>
        </w:rPr>
        <w:lastRenderedPageBreak/>
        <w:t>different tastes and preferences of consumers imply that Nestle will have to invest heavily in localisation and distribution channels and culture specific products before such demographic strength is converted into real sales. Conversely, these benefits cannot counter the large market size due to high infrastructural costs and complexity in regulation, which may counter potential benefits.</w:t>
      </w:r>
    </w:p>
    <w:p w14:paraId="28739764" w14:textId="733C2CF0" w:rsidR="007E7896"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The cost benefits promised by the skilled yet low-cost labour market in India might be undermined over time by challenges in the infrastructure, logistical problems and the increase in the wage rates in the urban areas. Government initiatives such as the Make in India programs and the PLI program have tax incentives and support in production but there is disparity in its implementation across the states and this introduces bureaucracy to which Nestle has to spend lots of money to to-keep everything within the compliance and government relations (Malik and Vazirani, 2024). The agricultural power of India allows the local sourcing of milk, coffee, cereals, and spices making the supply-chain more resilient, but the rural supply chains are not fully consolidated, the company is vulnerable to quality variations, seasonal variation, and the risk of dependency on farmers. Quite the contrary, certain place specific benefits such as availability of raw materials can subject Nestle to the supply risks as it relies on smallholder farmers. In turn, Nestle dependency on wholly owned subsidiaries is not the reaction to favourable market conditions but a strategic instrument to ensure control, minimization of operational uncertainty, and value creation in the long-term scope in a challenging and prospective emerging market environment.</w:t>
      </w:r>
    </w:p>
    <w:p w14:paraId="6694E081" w14:textId="77777777" w:rsidR="000A3CFE" w:rsidRPr="000A3CFE" w:rsidRDefault="000A3CFE" w:rsidP="007E7896">
      <w:pPr>
        <w:pBdr>
          <w:top w:val="nil"/>
          <w:left w:val="nil"/>
          <w:bottom w:val="nil"/>
          <w:right w:val="nil"/>
          <w:between w:val="nil"/>
        </w:pBdr>
        <w:spacing w:line="360" w:lineRule="auto"/>
        <w:rPr>
          <w:rFonts w:ascii="Arial" w:hAnsi="Arial" w:cs="Arial"/>
        </w:rPr>
      </w:pPr>
    </w:p>
    <w:p w14:paraId="7583936B" w14:textId="77777777" w:rsidR="007E7896" w:rsidRPr="000A3CFE" w:rsidRDefault="007E7896" w:rsidP="007E7896">
      <w:pPr>
        <w:spacing w:line="360" w:lineRule="auto"/>
        <w:rPr>
          <w:rFonts w:ascii="Arial" w:hAnsi="Arial" w:cs="Arial"/>
          <w:b/>
          <w:bCs/>
        </w:rPr>
      </w:pPr>
      <w:r w:rsidRPr="000A3CFE">
        <w:rPr>
          <w:rFonts w:ascii="Arial" w:hAnsi="Arial" w:cs="Arial"/>
          <w:b/>
          <w:bCs/>
        </w:rPr>
        <w:t>c. Internalisation Benefits</w:t>
      </w:r>
    </w:p>
    <w:p w14:paraId="53BB63A2" w14:textId="77777777" w:rsidR="007E7896" w:rsidRPr="000A3CFE" w:rsidRDefault="007E7896" w:rsidP="007E7896">
      <w:pPr>
        <w:spacing w:line="360" w:lineRule="auto"/>
        <w:rPr>
          <w:rFonts w:ascii="Arial" w:hAnsi="Arial" w:cs="Arial"/>
        </w:rPr>
      </w:pPr>
      <w:r w:rsidRPr="000A3CFE">
        <w:rPr>
          <w:rFonts w:ascii="Arial" w:hAnsi="Arial" w:cs="Arial"/>
        </w:rPr>
        <w:t xml:space="preserve">The benefits of internalisation are realised when a firm manages value chain operations in-house rather than out-sourcing, the cost of transaction reduces, proprietary knowledge is maintained, and stable quality, regulatory, and brand acceptability in sensitive firms. The benefits of internalisation would be realised when a company manages value chain operations as opposed to using external suppliers. This strategy is reflected in Nestlé's preference for wholly owned subsidiaries in India, whereby they can directly control the production, distribution, and marketing. This minimizes licensing or joint venture transaction expenses, safeguards proprietary technology, regulatory consistency, and </w:t>
      </w:r>
      <w:r w:rsidRPr="000A3CFE">
        <w:rPr>
          <w:rFonts w:ascii="Arial" w:hAnsi="Arial" w:cs="Arial"/>
        </w:rPr>
        <w:lastRenderedPageBreak/>
        <w:t xml:space="preserve">uniform quality, which is essential in the food industry, where failure may negatively affect brand image. Internalisation, conversely, leads to higher concentration of capital and operational inputs that may decrease the level of flexibility in adapting to abrupt market shifts (Wang </w:t>
      </w:r>
      <w:r w:rsidRPr="000A3CFE">
        <w:rPr>
          <w:rFonts w:ascii="Arial" w:hAnsi="Arial" w:cs="Arial"/>
          <w:i/>
          <w:iCs/>
        </w:rPr>
        <w:t>et al</w:t>
      </w:r>
      <w:r w:rsidRPr="000A3CFE">
        <w:rPr>
          <w:rFonts w:ascii="Arial" w:hAnsi="Arial" w:cs="Arial"/>
        </w:rPr>
        <w:t>., 2025). The 2015 Maggi crisis demonstrates the importance of internal control because Nestle immediately introduced stringent testing, supply chain adjustments, and communication management to rebuild trust (Times of India, 2025).</w:t>
      </w:r>
    </w:p>
    <w:p w14:paraId="56EA301E" w14:textId="77777777" w:rsidR="007E7896" w:rsidRPr="000A3CFE" w:rsidRDefault="007E7896" w:rsidP="007E7896">
      <w:pPr>
        <w:spacing w:line="360" w:lineRule="auto"/>
        <w:rPr>
          <w:rFonts w:ascii="Arial" w:hAnsi="Arial" w:cs="Arial"/>
        </w:rPr>
      </w:pPr>
      <w:r w:rsidRPr="000A3CFE">
        <w:rPr>
          <w:rFonts w:ascii="Arial" w:hAnsi="Arial" w:cs="Arial"/>
        </w:rPr>
        <w:t>It is also through internalisation that knowledge transfer and learning take place. Some of the innovations that can be tested locally before being implemented in other emerging markets are the fortified Maggi noodles or sustainable packaging. Conversely, excessive centralisation of internalisation may slow the speed of the local reactivity, which may impede adjustment to consumer needs that are culturally-specific. In line with the Resource-Based View (RBV), competitive advantage can be boosted by exploiting the strategic resources within the firm. Nestlé has a high capital base and experience, and therefore, internalisation is the best mode of long-term success despite the high resource intensity involved.</w:t>
      </w:r>
    </w:p>
    <w:p w14:paraId="7144C8CF" w14:textId="77777777" w:rsidR="007E7896" w:rsidRPr="000A3CFE" w:rsidRDefault="007E7896" w:rsidP="007E7896">
      <w:pPr>
        <w:pStyle w:val="Heading2"/>
        <w:rPr>
          <w:rFonts w:ascii="Arial" w:hAnsi="Arial" w:cs="Arial"/>
        </w:rPr>
      </w:pPr>
      <w:bookmarkStart w:id="9" w:name="_Toc216074169"/>
      <w:r w:rsidRPr="000A3CFE">
        <w:rPr>
          <w:rFonts w:ascii="Arial" w:hAnsi="Arial" w:cs="Arial"/>
        </w:rPr>
        <w:t>d. Combination of OLI Factors and Market Entry Results</w:t>
      </w:r>
      <w:bookmarkEnd w:id="9"/>
    </w:p>
    <w:p w14:paraId="76D8AC33" w14:textId="77777777" w:rsidR="007E7896" w:rsidRPr="000A3CFE" w:rsidRDefault="007E7896" w:rsidP="007E7896">
      <w:pPr>
        <w:spacing w:line="360" w:lineRule="auto"/>
        <w:rPr>
          <w:rFonts w:ascii="Arial" w:hAnsi="Arial" w:cs="Arial"/>
        </w:rPr>
      </w:pPr>
      <w:r w:rsidRPr="000A3CFE">
        <w:rPr>
          <w:rFonts w:ascii="Arial" w:hAnsi="Arial" w:cs="Arial"/>
        </w:rPr>
        <w:t>The combination of ownership, location, and internalisation advantages determines the strategic decision of Nestlé to concentrate the wholly owned subsidiaries in India:</w:t>
      </w:r>
    </w:p>
    <w:p w14:paraId="71531C3B" w14:textId="77777777" w:rsidR="007E7896" w:rsidRPr="000A3CFE" w:rsidRDefault="007E7896" w:rsidP="007E7896">
      <w:pPr>
        <w:numPr>
          <w:ilvl w:val="0"/>
          <w:numId w:val="1"/>
        </w:numPr>
        <w:spacing w:line="360" w:lineRule="auto"/>
        <w:rPr>
          <w:rFonts w:ascii="Arial" w:hAnsi="Arial" w:cs="Arial"/>
        </w:rPr>
      </w:pPr>
      <w:r w:rsidRPr="000A3CFE">
        <w:rPr>
          <w:rFonts w:ascii="Arial" w:hAnsi="Arial" w:cs="Arial"/>
          <w:b/>
          <w:bCs/>
        </w:rPr>
        <w:t xml:space="preserve">Ownership (O): </w:t>
      </w:r>
      <w:r w:rsidRPr="000A3CFE">
        <w:rPr>
          <w:rFonts w:ascii="Arial" w:hAnsi="Arial" w:cs="Arial"/>
        </w:rPr>
        <w:t>Competitive differentiation is based on proprietary technology and patents, world brand equities, and organisational capabilities (Ailani, 2024).</w:t>
      </w:r>
    </w:p>
    <w:p w14:paraId="1C6EFF71" w14:textId="77777777" w:rsidR="007E7896" w:rsidRPr="000A3CFE" w:rsidRDefault="007E7896" w:rsidP="007E7896">
      <w:pPr>
        <w:numPr>
          <w:ilvl w:val="0"/>
          <w:numId w:val="1"/>
        </w:numPr>
        <w:spacing w:line="360" w:lineRule="auto"/>
        <w:rPr>
          <w:rFonts w:ascii="Arial" w:hAnsi="Arial" w:cs="Arial"/>
        </w:rPr>
      </w:pPr>
      <w:r w:rsidRPr="000A3CFE">
        <w:rPr>
          <w:rFonts w:ascii="Arial" w:hAnsi="Arial" w:cs="Arial"/>
          <w:b/>
          <w:bCs/>
        </w:rPr>
        <w:t>Location (L):</w:t>
      </w:r>
      <w:r w:rsidRPr="000A3CFE">
        <w:rPr>
          <w:rFonts w:ascii="Arial" w:hAnsi="Arial" w:cs="Arial"/>
        </w:rPr>
        <w:t xml:space="preserve"> India has a huge consumer population, inexpensive labour, government subsidies, and an agribusiness chain of suppliers, which are really economic and strategic advantages.</w:t>
      </w:r>
    </w:p>
    <w:p w14:paraId="694A5D34" w14:textId="77777777" w:rsidR="007E7896" w:rsidRPr="000A3CFE" w:rsidRDefault="007E7896" w:rsidP="007E7896">
      <w:pPr>
        <w:numPr>
          <w:ilvl w:val="0"/>
          <w:numId w:val="1"/>
        </w:numPr>
        <w:spacing w:line="360" w:lineRule="auto"/>
        <w:rPr>
          <w:rFonts w:ascii="Arial" w:hAnsi="Arial" w:cs="Arial"/>
        </w:rPr>
      </w:pPr>
      <w:r w:rsidRPr="000A3CFE">
        <w:rPr>
          <w:rFonts w:ascii="Arial" w:hAnsi="Arial" w:cs="Arial"/>
          <w:b/>
          <w:bCs/>
        </w:rPr>
        <w:t>Internalisation (I):</w:t>
      </w:r>
      <w:r w:rsidRPr="000A3CFE">
        <w:rPr>
          <w:rFonts w:ascii="Arial" w:hAnsi="Arial" w:cs="Arial"/>
        </w:rPr>
        <w:t xml:space="preserve"> The reason behind this is that complete control over the operation will ensure quality, protect proprietary knowledge, reduce transaction risks, and transfer of knowledge is swiftly conducted between the global and the local unit.</w:t>
      </w:r>
    </w:p>
    <w:p w14:paraId="64E674D9" w14:textId="7875B5A9" w:rsidR="007E7896" w:rsidRDefault="007E7896" w:rsidP="007E7896">
      <w:pPr>
        <w:spacing w:line="360" w:lineRule="auto"/>
        <w:rPr>
          <w:rFonts w:ascii="Arial" w:hAnsi="Arial" w:cs="Arial"/>
        </w:rPr>
      </w:pPr>
      <w:r w:rsidRPr="000A3CFE">
        <w:rPr>
          <w:rFonts w:ascii="Arial" w:hAnsi="Arial" w:cs="Arial"/>
        </w:rPr>
        <w:t xml:space="preserve">Through a critical analysis of factors of OLI, it stands out clearly that the wholly owned subsidiary model of Nestle in India is a strategic decision. The advantages of ownership give technological, managerial, and brand superiority, location advantages offer the </w:t>
      </w:r>
      <w:r w:rsidRPr="000A3CFE">
        <w:rPr>
          <w:rFonts w:ascii="Arial" w:hAnsi="Arial" w:cs="Arial"/>
        </w:rPr>
        <w:lastRenderedPageBreak/>
        <w:t>possibility of the market and local access to resources, and internalisation advantages ensure the protection of such assets and allow obtaining a constant quality.  The OLI framework explains how Nestlé found its way into India, how it has managed to remain competitive in the long run. The whole owned subsidiary model maximises the benefits of the OLI factors through the creation of a balance between the global standardisation and the local responsiveness (</w:t>
      </w:r>
      <w:proofErr w:type="spellStart"/>
      <w:r w:rsidRPr="000A3CFE">
        <w:rPr>
          <w:rFonts w:ascii="Arial" w:hAnsi="Arial" w:cs="Arial"/>
        </w:rPr>
        <w:t>Batschauer</w:t>
      </w:r>
      <w:proofErr w:type="spellEnd"/>
      <w:r w:rsidRPr="000A3CFE">
        <w:rPr>
          <w:rFonts w:ascii="Arial" w:hAnsi="Arial" w:cs="Arial"/>
        </w:rPr>
        <w:t xml:space="preserve"> da Cruz </w:t>
      </w:r>
      <w:r w:rsidRPr="000A3CFE">
        <w:rPr>
          <w:rFonts w:ascii="Arial" w:hAnsi="Arial" w:cs="Arial"/>
          <w:i/>
          <w:iCs/>
        </w:rPr>
        <w:t>et al</w:t>
      </w:r>
      <w:r w:rsidRPr="000A3CFE">
        <w:rPr>
          <w:rFonts w:ascii="Arial" w:hAnsi="Arial" w:cs="Arial"/>
        </w:rPr>
        <w:t>., 2024). The other aspect, which the model highlights, is the combination between theory and practice. Although OLI factors provide an explanation, which is applied when an entry mode is chosen, the real-world contingency, such as modifications in regulatory policies, consumer trends, or a crisis, requires strategies that involve management adaptation strategies. The experience of Nestle has shown that the ownership, location, and internalisation benefits can and should be re-evaluated on a regular basis to maintain the competitive edge in the emerging markets full of complexities.</w:t>
      </w:r>
    </w:p>
    <w:p w14:paraId="56C71DD0" w14:textId="77777777" w:rsidR="000A3CFE" w:rsidRPr="000A3CFE" w:rsidRDefault="000A3CFE" w:rsidP="007E7896">
      <w:pPr>
        <w:spacing w:line="360" w:lineRule="auto"/>
        <w:rPr>
          <w:rFonts w:ascii="Arial" w:hAnsi="Arial" w:cs="Arial"/>
        </w:rPr>
      </w:pPr>
    </w:p>
    <w:p w14:paraId="781D8451" w14:textId="77777777" w:rsidR="007E7896" w:rsidRPr="000A3CFE" w:rsidRDefault="007E7896" w:rsidP="007E7896">
      <w:pPr>
        <w:spacing w:line="360" w:lineRule="auto"/>
        <w:rPr>
          <w:rFonts w:ascii="Arial" w:hAnsi="Arial" w:cs="Arial"/>
          <w:b/>
          <w:bCs/>
        </w:rPr>
      </w:pPr>
      <w:r w:rsidRPr="000A3CFE">
        <w:rPr>
          <w:rFonts w:ascii="Arial" w:hAnsi="Arial" w:cs="Arial"/>
          <w:b/>
          <w:bCs/>
        </w:rPr>
        <w:t>Dominant OLI Factor</w:t>
      </w:r>
    </w:p>
    <w:p w14:paraId="1F6A0F50" w14:textId="2FCF937F" w:rsidR="007E7896" w:rsidRDefault="007E7896" w:rsidP="007E7896">
      <w:pPr>
        <w:spacing w:line="360" w:lineRule="auto"/>
        <w:rPr>
          <w:rFonts w:ascii="Arial" w:hAnsi="Arial" w:cs="Arial"/>
        </w:rPr>
      </w:pPr>
      <w:r w:rsidRPr="000A3CFE">
        <w:rPr>
          <w:rFonts w:ascii="Arial" w:hAnsi="Arial" w:cs="Arial"/>
        </w:rPr>
        <w:t xml:space="preserve">In India, Nestle has strong ownership benefits due to proprietary R&amp;D, brand value and management experience which has been instrumental in product differentiation, resilience to crises and innovation (Statham </w:t>
      </w:r>
      <w:r w:rsidRPr="000A3CFE">
        <w:rPr>
          <w:rFonts w:ascii="Arial" w:hAnsi="Arial" w:cs="Arial"/>
          <w:i/>
          <w:iCs/>
        </w:rPr>
        <w:t>et al</w:t>
      </w:r>
      <w:r w:rsidRPr="000A3CFE">
        <w:rPr>
          <w:rFonts w:ascii="Arial" w:hAnsi="Arial" w:cs="Arial"/>
        </w:rPr>
        <w:t>., 2024). The strategy of location and internalisation as well as the strategy of ownership, in the absence of ownership assets, would not guarantee sustainable competitive advantage through the wholly owned subsidiaries. This is because ownership privileges, such as excellent competitive advantages, including R&amp;D competencies, brand loyalty, and managerial competencies, is prevailing in India with Nestle, and it facilitates product differentiation, innovation, and crisis resilience, and location and internalisation only facilitate these firm-specific privileges.</w:t>
      </w:r>
    </w:p>
    <w:p w14:paraId="495A4E4C" w14:textId="287A8750" w:rsidR="000A3CFE" w:rsidRDefault="000A3CFE" w:rsidP="007E7896">
      <w:pPr>
        <w:spacing w:line="360" w:lineRule="auto"/>
        <w:rPr>
          <w:rFonts w:ascii="Arial" w:hAnsi="Arial" w:cs="Arial"/>
        </w:rPr>
      </w:pPr>
    </w:p>
    <w:p w14:paraId="7FA5C965" w14:textId="3BD48AAE" w:rsidR="000A3CFE" w:rsidRDefault="000A3CFE" w:rsidP="007E7896">
      <w:pPr>
        <w:spacing w:line="360" w:lineRule="auto"/>
        <w:rPr>
          <w:rFonts w:ascii="Arial" w:hAnsi="Arial" w:cs="Arial"/>
        </w:rPr>
      </w:pPr>
    </w:p>
    <w:p w14:paraId="63D8FD84" w14:textId="5D225F68" w:rsidR="000A3CFE" w:rsidRDefault="000A3CFE" w:rsidP="007E7896">
      <w:pPr>
        <w:spacing w:line="360" w:lineRule="auto"/>
        <w:rPr>
          <w:rFonts w:ascii="Arial" w:hAnsi="Arial" w:cs="Arial"/>
        </w:rPr>
      </w:pPr>
    </w:p>
    <w:p w14:paraId="0AB2F6F8" w14:textId="77777777" w:rsidR="000A3CFE" w:rsidRPr="000A3CFE" w:rsidRDefault="000A3CFE" w:rsidP="007E7896">
      <w:pPr>
        <w:spacing w:line="360" w:lineRule="auto"/>
        <w:rPr>
          <w:rFonts w:ascii="Arial" w:hAnsi="Arial" w:cs="Arial"/>
        </w:rPr>
      </w:pPr>
    </w:p>
    <w:p w14:paraId="42DA3B84" w14:textId="77777777" w:rsidR="007E7896" w:rsidRPr="000A3CFE" w:rsidRDefault="007E7896" w:rsidP="007E7896">
      <w:pPr>
        <w:pStyle w:val="Heading1"/>
        <w:spacing w:before="0" w:after="0"/>
        <w:rPr>
          <w:rFonts w:ascii="Arial" w:hAnsi="Arial" w:cs="Arial"/>
          <w:sz w:val="24"/>
          <w:szCs w:val="24"/>
        </w:rPr>
      </w:pPr>
      <w:bookmarkStart w:id="10" w:name="_Toc216074170"/>
      <w:r w:rsidRPr="000A3CFE">
        <w:rPr>
          <w:rFonts w:ascii="Arial" w:hAnsi="Arial" w:cs="Arial"/>
          <w:sz w:val="24"/>
          <w:szCs w:val="24"/>
        </w:rPr>
        <w:lastRenderedPageBreak/>
        <w:t>4. Critical evaluation of how cultural differences between Switzerland and India</w:t>
      </w:r>
      <w:bookmarkEnd w:id="10"/>
    </w:p>
    <w:p w14:paraId="492A0D6C" w14:textId="77777777" w:rsidR="007E7896" w:rsidRPr="000A3CFE" w:rsidRDefault="007E7896" w:rsidP="007E7896">
      <w:pPr>
        <w:spacing w:line="360" w:lineRule="auto"/>
        <w:rPr>
          <w:rFonts w:ascii="Arial" w:hAnsi="Arial" w:cs="Arial"/>
          <w:b/>
          <w:bCs/>
        </w:rPr>
      </w:pPr>
      <w:r w:rsidRPr="000A3CFE">
        <w:rPr>
          <w:rFonts w:ascii="Arial" w:hAnsi="Arial" w:cs="Arial"/>
          <w:b/>
          <w:bCs/>
        </w:rPr>
        <w:t>Cultural differences between the home country of Nestle (Switzerland) and the chosen emerging Economy (India)</w:t>
      </w:r>
    </w:p>
    <w:p w14:paraId="6D51B33C" w14:textId="77777777" w:rsidR="007E7896" w:rsidRPr="000A3CFE" w:rsidRDefault="007E7896" w:rsidP="007E7896">
      <w:pPr>
        <w:spacing w:line="360" w:lineRule="auto"/>
        <w:rPr>
          <w:rFonts w:ascii="Arial" w:hAnsi="Arial" w:cs="Arial"/>
        </w:rPr>
      </w:pPr>
      <w:r w:rsidRPr="000A3CFE">
        <w:rPr>
          <w:rFonts w:ascii="Arial" w:hAnsi="Arial" w:cs="Arial"/>
        </w:rPr>
        <w:t>The cultural differences are critical to multinational corporations (MNCs) such as Nestle, since they determine consumer behaviour, managerial expectations, communication styles and strategic decisions. The six dimensions of Hofstede offer a systematic system of comparison between India (host country) and Switzerland (home country) and evaluation of the implication of the host country Nestle operation.</w:t>
      </w:r>
    </w:p>
    <w:p w14:paraId="7255FE2E"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76FEAD90" wp14:editId="235566B3">
            <wp:extent cx="4605338" cy="2974280"/>
            <wp:effectExtent l="25400" t="25400" r="25400" b="25400"/>
            <wp:docPr id="150043223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605338" cy="2974280"/>
                    </a:xfrm>
                    <a:prstGeom prst="rect">
                      <a:avLst/>
                    </a:prstGeom>
                    <a:ln w="25400">
                      <a:solidFill>
                        <a:srgbClr val="000000"/>
                      </a:solidFill>
                      <a:prstDash val="solid"/>
                    </a:ln>
                  </pic:spPr>
                </pic:pic>
              </a:graphicData>
            </a:graphic>
          </wp:inline>
        </w:drawing>
      </w:r>
    </w:p>
    <w:p w14:paraId="68050E70"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6: Hofstede’s Country Comparison</w:t>
      </w:r>
    </w:p>
    <w:p w14:paraId="2507D5E6" w14:textId="77777777" w:rsidR="007E7896" w:rsidRPr="000A3CFE" w:rsidRDefault="007E7896" w:rsidP="007E7896">
      <w:pPr>
        <w:spacing w:line="360" w:lineRule="auto"/>
        <w:jc w:val="center"/>
        <w:rPr>
          <w:rFonts w:ascii="Arial" w:hAnsi="Arial" w:cs="Arial"/>
        </w:rPr>
      </w:pPr>
      <w:r w:rsidRPr="000A3CFE">
        <w:rPr>
          <w:rFonts w:ascii="Arial" w:hAnsi="Arial" w:cs="Arial"/>
        </w:rPr>
        <w:t>(Source: The Culture Factor, 2025)</w:t>
      </w:r>
    </w:p>
    <w:p w14:paraId="38A5B205" w14:textId="77777777" w:rsidR="007E7896" w:rsidRPr="000A3CFE" w:rsidRDefault="007E7896" w:rsidP="007E7896">
      <w:pPr>
        <w:spacing w:line="360" w:lineRule="auto"/>
        <w:rPr>
          <w:rFonts w:ascii="Arial" w:hAnsi="Arial" w:cs="Arial"/>
          <w:b/>
          <w:bCs/>
        </w:rPr>
      </w:pPr>
      <w:r w:rsidRPr="000A3CFE">
        <w:rPr>
          <w:rFonts w:ascii="Arial" w:hAnsi="Arial" w:cs="Arial"/>
          <w:b/>
          <w:bCs/>
        </w:rPr>
        <w:t>Power Distance (India 77 vs Switzerland 34)</w:t>
      </w:r>
    </w:p>
    <w:p w14:paraId="47AB3F02" w14:textId="77777777" w:rsidR="007E7896" w:rsidRPr="000A3CFE" w:rsidRDefault="007E7896" w:rsidP="007E7896">
      <w:pPr>
        <w:spacing w:line="360" w:lineRule="auto"/>
        <w:rPr>
          <w:rFonts w:ascii="Arial" w:hAnsi="Arial" w:cs="Arial"/>
          <w:b/>
          <w:bCs/>
        </w:rPr>
      </w:pPr>
      <w:r w:rsidRPr="000A3CFE">
        <w:rPr>
          <w:rFonts w:ascii="Arial" w:hAnsi="Arial" w:cs="Arial"/>
        </w:rPr>
        <w:t xml:space="preserve">The power distance in India is high (77), which can be attributed to a high level of acceptance of hierarchy and top-down leadership, whereas the power distance in Switzerland is low (34) and does support egalitarian and participative leadership. In the case of Nestle, the cultural distance affects the management, communication, and HR practice (Tongo Nancy </w:t>
      </w:r>
      <w:r w:rsidRPr="000A3CFE">
        <w:rPr>
          <w:rFonts w:ascii="Arial" w:hAnsi="Arial" w:cs="Arial"/>
          <w:i/>
          <w:iCs/>
        </w:rPr>
        <w:t>et al</w:t>
      </w:r>
      <w:r w:rsidRPr="000A3CFE">
        <w:rPr>
          <w:rFonts w:ascii="Arial" w:hAnsi="Arial" w:cs="Arial"/>
        </w:rPr>
        <w:t xml:space="preserve">., 2025). The Swiss managers who are accustomed to consultative decision-making need to adapt to the hierarchical principles in India, which are usually achieved by establishing wholly owned subsidiaries that guarantee proper reporting lines. The internal communication needs to be organized, since the Indian </w:t>
      </w:r>
      <w:r w:rsidRPr="000A3CFE">
        <w:rPr>
          <w:rFonts w:ascii="Arial" w:hAnsi="Arial" w:cs="Arial"/>
        </w:rPr>
        <w:lastRenderedPageBreak/>
        <w:t>employees might not be inclined to question their superiors or report problems in advance. HR practices such as leadership development, performance appraisal and incentives must be based on the balances between authoritarian control and employee involvement so as to keep them motivated and innovative within the Indian environment.</w:t>
      </w:r>
    </w:p>
    <w:p w14:paraId="0F9D1DB9" w14:textId="77777777" w:rsidR="007E7896" w:rsidRPr="000A3CFE" w:rsidRDefault="007E7896" w:rsidP="007E7896">
      <w:pPr>
        <w:spacing w:line="360" w:lineRule="auto"/>
        <w:rPr>
          <w:rFonts w:ascii="Arial" w:hAnsi="Arial" w:cs="Arial"/>
          <w:b/>
          <w:bCs/>
        </w:rPr>
      </w:pPr>
      <w:r w:rsidRPr="000A3CFE">
        <w:rPr>
          <w:rFonts w:ascii="Arial" w:hAnsi="Arial" w:cs="Arial"/>
          <w:b/>
          <w:bCs/>
        </w:rPr>
        <w:t>Individualism vs Collectivism (India 24 vs Switzerland 79)</w:t>
      </w:r>
    </w:p>
    <w:p w14:paraId="198A0E90" w14:textId="77777777" w:rsidR="007E7896" w:rsidRPr="000A3CFE" w:rsidRDefault="007E7896" w:rsidP="007E7896">
      <w:pPr>
        <w:spacing w:line="360" w:lineRule="auto"/>
        <w:rPr>
          <w:rFonts w:ascii="Arial" w:hAnsi="Arial" w:cs="Arial"/>
          <w:b/>
          <w:bCs/>
        </w:rPr>
      </w:pPr>
      <w:r w:rsidRPr="000A3CFE">
        <w:rPr>
          <w:rFonts w:ascii="Arial" w:hAnsi="Arial" w:cs="Arial"/>
        </w:rPr>
        <w:t>The individualism in Switzerland (79) is very different, compared to the collectivist culture in India (24), which affects the marketing, supplier relationships and market directions of Nestle. Family, community, and social networks are the factors that influence consumers in India, addressing which Nestle markets such products as Maggi as a family favourite and Nescafe as a shared moment. The supplier and community relations are also influenced by collectivist norms, which promote trust building and long-term relations; programs of development of farmers, milk collection centres, and rural development by Nestle ensure loyal relations and supply chains. By setting up wholly-owned subsidiaries in India, these relationships will be directly cultivated; they will make sure that the company will be related to the long-term goals and targets rather than by using third-party partners.</w:t>
      </w:r>
    </w:p>
    <w:p w14:paraId="605D614F" w14:textId="77777777" w:rsidR="007E7896" w:rsidRPr="000A3CFE" w:rsidRDefault="007E7896" w:rsidP="007E7896">
      <w:pPr>
        <w:spacing w:line="360" w:lineRule="auto"/>
        <w:rPr>
          <w:rFonts w:ascii="Arial" w:hAnsi="Arial" w:cs="Arial"/>
          <w:b/>
          <w:bCs/>
        </w:rPr>
      </w:pPr>
      <w:r w:rsidRPr="000A3CFE">
        <w:rPr>
          <w:rFonts w:ascii="Arial" w:hAnsi="Arial" w:cs="Arial"/>
          <w:b/>
          <w:bCs/>
        </w:rPr>
        <w:t>Masculinity / Motivation toward Achievement (India 56 vs Switzerland 70)</w:t>
      </w:r>
    </w:p>
    <w:p w14:paraId="796AF9F9" w14:textId="77777777" w:rsidR="007E7896" w:rsidRPr="000A3CFE" w:rsidRDefault="007E7896" w:rsidP="007E7896">
      <w:pPr>
        <w:spacing w:line="360" w:lineRule="auto"/>
        <w:rPr>
          <w:rFonts w:ascii="Arial" w:hAnsi="Arial" w:cs="Arial"/>
          <w:b/>
          <w:bCs/>
        </w:rPr>
      </w:pPr>
      <w:r w:rsidRPr="000A3CFE">
        <w:rPr>
          <w:rFonts w:ascii="Arial" w:hAnsi="Arial" w:cs="Arial"/>
        </w:rPr>
        <w:t xml:space="preserve">The fact that Switzerland has a greater masculinity score (70) suggests that it has more achievement and competitive orientations whereas India has a moderate score (56) that balances achievement with social and relationship. In the case of Nestle, it impacts on product positioning as well as management practices. The Indian style of marketing is both </w:t>
      </w:r>
      <w:proofErr w:type="gramStart"/>
      <w:r w:rsidRPr="000A3CFE">
        <w:rPr>
          <w:rFonts w:ascii="Arial" w:hAnsi="Arial" w:cs="Arial"/>
        </w:rPr>
        <w:t>performance</w:t>
      </w:r>
      <w:proofErr w:type="gramEnd"/>
      <w:r w:rsidRPr="000A3CFE">
        <w:rPr>
          <w:rFonts w:ascii="Arial" w:hAnsi="Arial" w:cs="Arial"/>
        </w:rPr>
        <w:t xml:space="preserve"> based and nurturing such as in the case of Milo to the kids and fortified Maggi noodles with the family care and quality being a priority. The Swiss managers can be more performance focused and efficiency oriented managerially, and the Indian workers will be best motivated by a combination of the performance rewarding and the relational support. The HR policies and incentive programmes employed by Nestle need to embody this two-fold strategy in which achievement should be rewarded and a conducive, cooperative working environment should be preserved.</w:t>
      </w:r>
    </w:p>
    <w:p w14:paraId="1804C357" w14:textId="77777777" w:rsidR="007E7896" w:rsidRPr="000A3CFE" w:rsidRDefault="007E7896" w:rsidP="007E7896">
      <w:pPr>
        <w:spacing w:line="360" w:lineRule="auto"/>
        <w:rPr>
          <w:rFonts w:ascii="Arial" w:hAnsi="Arial" w:cs="Arial"/>
          <w:b/>
          <w:bCs/>
        </w:rPr>
      </w:pPr>
      <w:r w:rsidRPr="000A3CFE">
        <w:rPr>
          <w:rFonts w:ascii="Arial" w:hAnsi="Arial" w:cs="Arial"/>
          <w:b/>
          <w:bCs/>
        </w:rPr>
        <w:t>Uncertainty Avoidance (India 40 vs Switzerland 58)</w:t>
      </w:r>
    </w:p>
    <w:p w14:paraId="09C69A14" w14:textId="3111FA9A" w:rsidR="007E7896" w:rsidRPr="000A3CFE" w:rsidRDefault="007E7896" w:rsidP="007E7896">
      <w:pPr>
        <w:spacing w:line="360" w:lineRule="auto"/>
        <w:rPr>
          <w:rFonts w:ascii="Arial" w:hAnsi="Arial" w:cs="Arial"/>
        </w:rPr>
      </w:pPr>
      <w:r w:rsidRPr="000A3CFE">
        <w:rPr>
          <w:rFonts w:ascii="Arial" w:hAnsi="Arial" w:cs="Arial"/>
        </w:rPr>
        <w:t xml:space="preserve">The fact that the uncertainty avoidance in India is lower than in Switzerland (40 vs. 58) can be seen as an indicator of the increased willingness to innovate but still requires </w:t>
      </w:r>
      <w:r w:rsidRPr="000A3CFE">
        <w:rPr>
          <w:rFonts w:ascii="Arial" w:hAnsi="Arial" w:cs="Arial"/>
        </w:rPr>
        <w:lastRenderedPageBreak/>
        <w:t>reliability, particularly in food safety. In the case of Nestle, this cultural variation has impacted on product development, consumer confidence and market strategy. Indian consumers are open to experimentation with new flavours, pack size as well as fortified products. Nevertheless, the 2015 Maggi crisis sheds light on how crucial trust and clear-cut quality assurance is. Working with the help of wholly owned subsidiaries, Nestle is able to create a balance between the local innovation and the global quality standards, guaranteeing consumer trust and modifying the products to suit the changing tastes and the market demands.</w:t>
      </w:r>
    </w:p>
    <w:p w14:paraId="3FB09CD4" w14:textId="77777777" w:rsidR="00C739B1" w:rsidRPr="000A3CFE" w:rsidRDefault="00C739B1" w:rsidP="007E7896">
      <w:pPr>
        <w:spacing w:line="360" w:lineRule="auto"/>
        <w:rPr>
          <w:rFonts w:ascii="Arial" w:hAnsi="Arial" w:cs="Arial"/>
          <w:b/>
          <w:bCs/>
        </w:rPr>
      </w:pPr>
    </w:p>
    <w:p w14:paraId="2311B0F5" w14:textId="77777777" w:rsidR="007E7896" w:rsidRPr="000A3CFE" w:rsidRDefault="007E7896" w:rsidP="007E7896">
      <w:pPr>
        <w:spacing w:line="360" w:lineRule="auto"/>
        <w:rPr>
          <w:rFonts w:ascii="Arial" w:hAnsi="Arial" w:cs="Arial"/>
          <w:b/>
          <w:bCs/>
        </w:rPr>
      </w:pPr>
      <w:r w:rsidRPr="000A3CFE">
        <w:rPr>
          <w:rFonts w:ascii="Arial" w:hAnsi="Arial" w:cs="Arial"/>
          <w:b/>
          <w:bCs/>
        </w:rPr>
        <w:t>Long-Term Orientation (India 51 vs Switzerland 42)</w:t>
      </w:r>
    </w:p>
    <w:p w14:paraId="78BE699D" w14:textId="058F5C78" w:rsidR="007E7896" w:rsidRDefault="007E7896" w:rsidP="007E7896">
      <w:pPr>
        <w:spacing w:line="360" w:lineRule="auto"/>
        <w:rPr>
          <w:rFonts w:ascii="Arial" w:hAnsi="Arial" w:cs="Arial"/>
        </w:rPr>
      </w:pPr>
      <w:r w:rsidRPr="000A3CFE">
        <w:rPr>
          <w:rFonts w:ascii="Arial" w:hAnsi="Arial" w:cs="Arial"/>
        </w:rPr>
        <w:t>The moderate to high long-term orientation of India (51) compared to the lower score of Switzerland (42) shows that India is a highly culturally oriented nation in terms of patience, relationship-building and future planning. In the case of Nestle, this is an element that defines strategic investment and operation. Programmes such as farmer development schemes, locally based R&amp;D centres and nutrition awareness are all in line with the long-term outlook of India, which makes it build trust and sustainable development. Using wholly owned subsidiaries enables Nestle to have a direct ownership of such investments, which has ensured consistency of such investments with its corporate outlook as well as building long term relationships with suppliers, distributors and local communities. The strategy finds a perfect marriage between global strategic goals and the long-term and culturally sensitive involvement in the Indian market.</w:t>
      </w:r>
    </w:p>
    <w:p w14:paraId="67DB270E" w14:textId="77777777" w:rsidR="000A3CFE" w:rsidRPr="000A3CFE" w:rsidRDefault="000A3CFE" w:rsidP="007E7896">
      <w:pPr>
        <w:spacing w:line="360" w:lineRule="auto"/>
        <w:rPr>
          <w:rFonts w:ascii="Arial" w:hAnsi="Arial" w:cs="Arial"/>
          <w:b/>
          <w:bCs/>
        </w:rPr>
      </w:pPr>
    </w:p>
    <w:p w14:paraId="3BE6983B" w14:textId="77777777" w:rsidR="007E7896" w:rsidRPr="000A3CFE" w:rsidRDefault="007E7896" w:rsidP="007E7896">
      <w:pPr>
        <w:spacing w:line="360" w:lineRule="auto"/>
        <w:rPr>
          <w:rFonts w:ascii="Arial" w:hAnsi="Arial" w:cs="Arial"/>
          <w:b/>
          <w:bCs/>
        </w:rPr>
      </w:pPr>
      <w:r w:rsidRPr="000A3CFE">
        <w:rPr>
          <w:rFonts w:ascii="Arial" w:hAnsi="Arial" w:cs="Arial"/>
          <w:b/>
          <w:bCs/>
        </w:rPr>
        <w:t>Indulgence vs Restraint (India 26 vs Switzerland 66)</w:t>
      </w:r>
    </w:p>
    <w:p w14:paraId="186AF45D" w14:textId="5D763E84" w:rsidR="007E7896" w:rsidRDefault="007E7896" w:rsidP="007E7896">
      <w:pPr>
        <w:spacing w:line="360" w:lineRule="auto"/>
        <w:rPr>
          <w:rFonts w:ascii="Arial" w:hAnsi="Arial" w:cs="Arial"/>
        </w:rPr>
      </w:pPr>
      <w:r w:rsidRPr="000A3CFE">
        <w:rPr>
          <w:rFonts w:ascii="Arial" w:hAnsi="Arial" w:cs="Arial"/>
        </w:rPr>
        <w:t xml:space="preserve">The high result of Switzerland (66) is in contrast to the low score (26) of India, which indicates the difference in the attitude towards leisure, luxury and gratification. In the case of Nestle, such a gap has an influence on product design, marketing, and pricing. Luxury or even luxurious goods that are popular in Switzerland cannot be easily transferred to India; rather, Nestle has devised affordable and practical alternatives to its products such as ₹5 Maggi sachets to satisfy the needs of the Indian population. Marketing targets necessity, nutrition and value-for-money and not luxury or hedonism. It is important to understand the restrained culture of India because failure to get this aspect right may </w:t>
      </w:r>
      <w:r w:rsidRPr="000A3CFE">
        <w:rPr>
          <w:rFonts w:ascii="Arial" w:hAnsi="Arial" w:cs="Arial"/>
        </w:rPr>
        <w:lastRenderedPageBreak/>
        <w:t>result in overpricing or mispositioning thus limiting the mass-market acceptance thereby making the company to fail in gaining extensive penetration to consumers.</w:t>
      </w:r>
    </w:p>
    <w:p w14:paraId="1C494684" w14:textId="77777777" w:rsidR="000A3CFE" w:rsidRPr="000A3CFE" w:rsidRDefault="000A3CFE" w:rsidP="007E7896">
      <w:pPr>
        <w:spacing w:line="360" w:lineRule="auto"/>
        <w:rPr>
          <w:rFonts w:ascii="Arial" w:hAnsi="Arial" w:cs="Arial"/>
          <w:b/>
          <w:bCs/>
        </w:rPr>
      </w:pPr>
    </w:p>
    <w:p w14:paraId="5A2D60F6" w14:textId="77777777" w:rsidR="007E7896" w:rsidRPr="000A3CFE" w:rsidRDefault="007E7896" w:rsidP="007E7896">
      <w:pPr>
        <w:spacing w:line="360" w:lineRule="auto"/>
        <w:rPr>
          <w:rFonts w:ascii="Arial" w:hAnsi="Arial" w:cs="Arial"/>
          <w:b/>
          <w:bCs/>
        </w:rPr>
      </w:pPr>
      <w:r w:rsidRPr="000A3CFE">
        <w:rPr>
          <w:rFonts w:ascii="Arial" w:hAnsi="Arial" w:cs="Arial"/>
          <w:b/>
          <w:bCs/>
        </w:rPr>
        <w:t>Synthesis and Implications for Market Entry and Success</w:t>
      </w:r>
    </w:p>
    <w:p w14:paraId="19ED9AA8" w14:textId="77777777" w:rsidR="007E7896" w:rsidRPr="000A3CFE" w:rsidRDefault="007E7896" w:rsidP="007E7896">
      <w:pPr>
        <w:spacing w:line="360" w:lineRule="auto"/>
        <w:rPr>
          <w:rFonts w:ascii="Arial" w:hAnsi="Arial" w:cs="Arial"/>
          <w:b/>
          <w:bCs/>
        </w:rPr>
      </w:pPr>
      <w:r w:rsidRPr="000A3CFE">
        <w:rPr>
          <w:rFonts w:ascii="Arial" w:hAnsi="Arial" w:cs="Arial"/>
          <w:b/>
          <w:bCs/>
        </w:rPr>
        <w:t>Switzerland: Cultural Context</w:t>
      </w:r>
    </w:p>
    <w:p w14:paraId="4B52D7FA" w14:textId="77777777" w:rsidR="007E7896" w:rsidRPr="000A3CFE" w:rsidRDefault="007E7896" w:rsidP="007E7896">
      <w:pPr>
        <w:spacing w:line="360" w:lineRule="auto"/>
        <w:rPr>
          <w:rFonts w:ascii="Arial" w:hAnsi="Arial" w:cs="Arial"/>
          <w:b/>
          <w:bCs/>
        </w:rPr>
      </w:pPr>
      <w:r w:rsidRPr="000A3CFE">
        <w:rPr>
          <w:rFonts w:ascii="Arial" w:hAnsi="Arial" w:cs="Arial"/>
        </w:rPr>
        <w:t>The low power distance, high individualism, masculinity and indulgence inherent in Switzerland favour egalitarian leadership, performance orientation and high-end consumption (Rachwal-Mueller, 2023). Swiss participative management and hedonic marketing do not match each other in India, where hierarchy, collectivism, and reserved consumer preferences are dominant.</w:t>
      </w:r>
    </w:p>
    <w:p w14:paraId="44346D75" w14:textId="77777777" w:rsidR="007E7896" w:rsidRPr="000A3CFE" w:rsidRDefault="007E7896" w:rsidP="007E7896">
      <w:pPr>
        <w:spacing w:line="360" w:lineRule="auto"/>
        <w:rPr>
          <w:rFonts w:ascii="Arial" w:hAnsi="Arial" w:cs="Arial"/>
          <w:b/>
          <w:bCs/>
        </w:rPr>
      </w:pPr>
      <w:r w:rsidRPr="000A3CFE">
        <w:rPr>
          <w:rFonts w:ascii="Arial" w:hAnsi="Arial" w:cs="Arial"/>
          <w:b/>
          <w:bCs/>
        </w:rPr>
        <w:t>India: Cultural Context</w:t>
      </w:r>
    </w:p>
    <w:p w14:paraId="2A5800F7" w14:textId="77777777" w:rsidR="007E7896" w:rsidRPr="000A3CFE" w:rsidRDefault="007E7896" w:rsidP="007E7896">
      <w:pPr>
        <w:spacing w:line="360" w:lineRule="auto"/>
        <w:rPr>
          <w:rFonts w:ascii="Arial" w:hAnsi="Arial" w:cs="Arial"/>
          <w:b/>
          <w:bCs/>
        </w:rPr>
      </w:pPr>
      <w:r w:rsidRPr="000A3CFE">
        <w:rPr>
          <w:rFonts w:ascii="Arial" w:hAnsi="Arial" w:cs="Arial"/>
        </w:rPr>
        <w:t>Hierarchical leadership, relationships based on trust and practical products are needed in India due to the high levels of power distance, collectivism, and restrained culture (Dsouza, 2025). It should emphasize family, community and value in marketing, small pack affordable formats, and long-run investments in farmers, research and development and corporate social responsibility guarantee growth sustainability.</w:t>
      </w:r>
    </w:p>
    <w:p w14:paraId="0D29C6F2" w14:textId="77777777" w:rsidR="007E7896" w:rsidRPr="000A3CFE" w:rsidRDefault="007E7896" w:rsidP="007E7896">
      <w:pPr>
        <w:spacing w:line="360" w:lineRule="auto"/>
        <w:rPr>
          <w:rFonts w:ascii="Arial" w:hAnsi="Arial" w:cs="Arial"/>
          <w:b/>
          <w:bCs/>
        </w:rPr>
      </w:pPr>
      <w:r w:rsidRPr="000A3CFE">
        <w:rPr>
          <w:rFonts w:ascii="Arial" w:hAnsi="Arial" w:cs="Arial"/>
          <w:b/>
          <w:bCs/>
          <w:highlight w:val="white"/>
        </w:rPr>
        <w:t>Impact on its potential for success in that market</w:t>
      </w:r>
    </w:p>
    <w:p w14:paraId="16C1E2C5" w14:textId="4222F365" w:rsidR="007E7896" w:rsidRDefault="007E7896" w:rsidP="007E7896">
      <w:pPr>
        <w:spacing w:line="360" w:lineRule="auto"/>
        <w:rPr>
          <w:rFonts w:ascii="Arial" w:hAnsi="Arial" w:cs="Arial"/>
        </w:rPr>
      </w:pPr>
      <w:r w:rsidRPr="000A3CFE">
        <w:rPr>
          <w:rFonts w:ascii="Arial" w:hAnsi="Arial" w:cs="Arial"/>
        </w:rPr>
        <w:t>Adoption of wholly owned subsidiaries will help Nestle to achieve hierarchical alignment, control of operations, and transfer of knowledge in India. To overcome high power distance, collectivist values and moderate risk taking that characterize Switzerland, Swiss managers should undergo cultural sensitivity training. Nestle can successfully enter the market, build sustainable relations, and gain a competitive advantage of the Indian market by skilfully balancing global standards with national adaptation: by providing individual leadership styles and marketing strategies along with product format and long-term investments in the community.</w:t>
      </w:r>
    </w:p>
    <w:p w14:paraId="51E0416F" w14:textId="233B0DB4" w:rsidR="000A3CFE" w:rsidRDefault="000A3CFE" w:rsidP="007E7896">
      <w:pPr>
        <w:spacing w:line="360" w:lineRule="auto"/>
        <w:rPr>
          <w:rFonts w:ascii="Arial" w:hAnsi="Arial" w:cs="Arial"/>
        </w:rPr>
      </w:pPr>
    </w:p>
    <w:p w14:paraId="2B8965B8" w14:textId="51100794" w:rsidR="000A3CFE" w:rsidRDefault="000A3CFE" w:rsidP="007E7896">
      <w:pPr>
        <w:spacing w:line="360" w:lineRule="auto"/>
        <w:rPr>
          <w:rFonts w:ascii="Arial" w:hAnsi="Arial" w:cs="Arial"/>
        </w:rPr>
      </w:pPr>
    </w:p>
    <w:p w14:paraId="6EFF9A65" w14:textId="5ED30887" w:rsidR="000A3CFE" w:rsidRDefault="000A3CFE" w:rsidP="007E7896">
      <w:pPr>
        <w:spacing w:line="360" w:lineRule="auto"/>
        <w:rPr>
          <w:rFonts w:ascii="Arial" w:hAnsi="Arial" w:cs="Arial"/>
        </w:rPr>
      </w:pPr>
    </w:p>
    <w:p w14:paraId="60FB1C5A" w14:textId="77777777" w:rsidR="000A3CFE" w:rsidRPr="000A3CFE" w:rsidRDefault="000A3CFE" w:rsidP="007E7896">
      <w:pPr>
        <w:spacing w:line="360" w:lineRule="auto"/>
        <w:rPr>
          <w:rFonts w:ascii="Arial" w:hAnsi="Arial" w:cs="Arial"/>
        </w:rPr>
      </w:pPr>
    </w:p>
    <w:p w14:paraId="60745ED6" w14:textId="77777777" w:rsidR="00C739B1" w:rsidRPr="000A3CFE" w:rsidRDefault="00C739B1" w:rsidP="007E7896">
      <w:pPr>
        <w:spacing w:line="360" w:lineRule="auto"/>
        <w:rPr>
          <w:rFonts w:ascii="Arial" w:hAnsi="Arial" w:cs="Arial"/>
          <w:b/>
          <w:bCs/>
        </w:rPr>
      </w:pPr>
    </w:p>
    <w:p w14:paraId="27256387" w14:textId="77777777" w:rsidR="007E7896" w:rsidRPr="000A3CFE" w:rsidRDefault="007E7896" w:rsidP="007E7896">
      <w:pPr>
        <w:pStyle w:val="Heading1"/>
        <w:spacing w:before="0" w:after="0"/>
        <w:rPr>
          <w:rFonts w:ascii="Arial" w:hAnsi="Arial" w:cs="Arial"/>
          <w:sz w:val="24"/>
          <w:szCs w:val="24"/>
        </w:rPr>
      </w:pPr>
      <w:bookmarkStart w:id="11" w:name="_Toc216074171"/>
      <w:r w:rsidRPr="000A3CFE">
        <w:rPr>
          <w:rFonts w:ascii="Arial" w:hAnsi="Arial" w:cs="Arial"/>
          <w:sz w:val="24"/>
          <w:szCs w:val="24"/>
        </w:rPr>
        <w:lastRenderedPageBreak/>
        <w:t>5. Strategic Recommendations for Nestlé’s Improved Performance in India</w:t>
      </w:r>
      <w:bookmarkEnd w:id="11"/>
      <w:r w:rsidRPr="000A3CFE">
        <w:rPr>
          <w:rFonts w:ascii="Arial" w:hAnsi="Arial" w:cs="Arial"/>
          <w:sz w:val="24"/>
          <w:szCs w:val="24"/>
        </w:rPr>
        <w:t xml:space="preserve"> </w:t>
      </w:r>
    </w:p>
    <w:p w14:paraId="60680237" w14:textId="77777777" w:rsidR="007E7896" w:rsidRPr="000A3CFE" w:rsidRDefault="007E7896" w:rsidP="007E7896">
      <w:pPr>
        <w:spacing w:line="360" w:lineRule="auto"/>
        <w:rPr>
          <w:rFonts w:ascii="Arial" w:hAnsi="Arial" w:cs="Arial"/>
          <w:b/>
          <w:bCs/>
          <w:i/>
          <w:iCs/>
        </w:rPr>
      </w:pPr>
      <w:r w:rsidRPr="000A3CFE">
        <w:rPr>
          <w:rFonts w:ascii="Arial" w:hAnsi="Arial" w:cs="Arial"/>
          <w:b/>
          <w:bCs/>
          <w:i/>
          <w:iCs/>
        </w:rPr>
        <w:t>Adjustment 1: Increasing the Quality Control and Regulatory Compliance SOPs</w:t>
      </w:r>
    </w:p>
    <w:p w14:paraId="1129DF76" w14:textId="6B671B78" w:rsidR="007E7896" w:rsidRPr="000A3CFE" w:rsidRDefault="007E7896" w:rsidP="007E7896">
      <w:pPr>
        <w:spacing w:line="360" w:lineRule="auto"/>
        <w:rPr>
          <w:rFonts w:ascii="Arial" w:hAnsi="Arial" w:cs="Arial"/>
        </w:rPr>
      </w:pPr>
      <w:r w:rsidRPr="000A3CFE">
        <w:rPr>
          <w:rFonts w:ascii="Arial" w:hAnsi="Arial" w:cs="Arial"/>
        </w:rPr>
        <w:t>The first significant change that Nestle would need to achieve to perform successfully in the Indian complex institutional environment is the enhancement of quality control and regulation compliance SOPs. Current global processes of Nestlé are oriented to the highly harmonised, transparent and predictable regulatory system in Switzerland that is characterised by low power distance, high institutional trust and a high level of procedural uniformity. India, on the other hand, has a fragmented regulatory environment with involvement of  FSSAI, state laboratories, municipal government and various local enforcement agencies whose understanding of safety regulation often varies. This rift was brought to the fore when a state-level ban rapidly spread across the country in 2015, although this ban was subsequently disproved by scientific tests. Based on the OLI perspective, the Ownership strength of Nestle, namely, its proprietary R&amp;D, the world unified quality systems, and the good brand image, heavily relies on the uniformity of the product quality and the regulation consistency. These ownership advantages are, however, compromised when the compliance system fails to take into consideration the institutional variability of India. The benefits of internalisation support the need to have direct control, but the control will not work without India-specific compliance SOPs, which expect regional differences. The analysis of culture also emphasises the fact that the power distance, hierarchy, and demands of Indian culture to have lengthy documentation make it necessary to ensure more formal and proactive interaction with regulatory organisations (</w:t>
      </w:r>
      <w:proofErr w:type="spellStart"/>
      <w:r w:rsidRPr="000A3CFE">
        <w:rPr>
          <w:rFonts w:ascii="Arial" w:hAnsi="Arial" w:cs="Arial"/>
        </w:rPr>
        <w:t>Nkando</w:t>
      </w:r>
      <w:proofErr w:type="spellEnd"/>
      <w:r w:rsidRPr="000A3CFE">
        <w:rPr>
          <w:rFonts w:ascii="Arial" w:hAnsi="Arial" w:cs="Arial"/>
        </w:rPr>
        <w:t>, 2021). As such, Nestle has to modify its SOPs to incorporate more regular testing processes in the area, region-specific documentation processes, official state-level audit preparation, and crisis-response procedures to match the regulatory uncertainty in India. These changes make sure that the Ownership and Internalisation advantages of Nestle are not at risk, and also minimise the exposure to regulatory interference, such that the long-term operations of Nestle in India stabilise.</w:t>
      </w:r>
    </w:p>
    <w:p w14:paraId="6D95C1BA" w14:textId="77777777" w:rsidR="00C739B1" w:rsidRPr="000A3CFE" w:rsidRDefault="00C739B1" w:rsidP="007E7896">
      <w:pPr>
        <w:spacing w:line="360" w:lineRule="auto"/>
        <w:rPr>
          <w:rFonts w:ascii="Arial" w:hAnsi="Arial" w:cs="Arial"/>
        </w:rPr>
      </w:pPr>
    </w:p>
    <w:p w14:paraId="0E6E5F6D" w14:textId="77777777" w:rsidR="007E7896" w:rsidRPr="000A3CFE" w:rsidRDefault="007E7896" w:rsidP="007E7896">
      <w:pPr>
        <w:spacing w:line="360" w:lineRule="auto"/>
        <w:rPr>
          <w:rFonts w:ascii="Arial" w:hAnsi="Arial" w:cs="Arial"/>
          <w:b/>
          <w:bCs/>
          <w:i/>
          <w:iCs/>
        </w:rPr>
      </w:pPr>
      <w:r w:rsidRPr="000A3CFE">
        <w:rPr>
          <w:rFonts w:ascii="Arial" w:hAnsi="Arial" w:cs="Arial"/>
          <w:b/>
          <w:bCs/>
          <w:i/>
          <w:iCs/>
        </w:rPr>
        <w:t>Adjustment 2: Local Supply Chain Integration and Traceability SOPs</w:t>
      </w:r>
    </w:p>
    <w:p w14:paraId="3B4F9CDC" w14:textId="042B5CB5" w:rsidR="007E7896" w:rsidRPr="000A3CFE" w:rsidRDefault="007E7896" w:rsidP="007E7896">
      <w:pPr>
        <w:spacing w:line="360" w:lineRule="auto"/>
        <w:rPr>
          <w:rFonts w:ascii="Arial" w:hAnsi="Arial" w:cs="Arial"/>
        </w:rPr>
      </w:pPr>
      <w:r w:rsidRPr="000A3CFE">
        <w:rPr>
          <w:rFonts w:ascii="Arial" w:hAnsi="Arial" w:cs="Arial"/>
        </w:rPr>
        <w:t xml:space="preserve">The second key SOP change is associated with the localised supply chain integration and traceability since it is necessary due to the structural realities of the Indian agricultural </w:t>
      </w:r>
      <w:r w:rsidRPr="000A3CFE">
        <w:rPr>
          <w:rFonts w:ascii="Arial" w:hAnsi="Arial" w:cs="Arial"/>
        </w:rPr>
        <w:lastRenderedPageBreak/>
        <w:t xml:space="preserve">industry and supplier ecosystem. The supplier environment in Switzerland is institutional and technologically assembled, and it is regulated by the rigid institutional procedures; the Indian system of smallholder farmers, informal supply chains and diversified production methods brings a significant degree of variability to the quality and consistency of products. In the previous OLI analysis, Nestlé highlighted the fact that the Location benefits of India, such as the raw materials, high agricultural production, and economical sourcing process, would only be utilised efficiently in case SOPs are modified to address the problem of a fragmented supply base that India presents (Kuzey </w:t>
      </w:r>
      <w:r w:rsidRPr="000A3CFE">
        <w:rPr>
          <w:rFonts w:ascii="Arial" w:hAnsi="Arial" w:cs="Arial"/>
          <w:i/>
          <w:iCs/>
        </w:rPr>
        <w:t>et al</w:t>
      </w:r>
      <w:r w:rsidRPr="000A3CFE">
        <w:rPr>
          <w:rFonts w:ascii="Arial" w:hAnsi="Arial" w:cs="Arial"/>
        </w:rPr>
        <w:t>., 2021). The SOPs that are currently in use in Switzerland presuppose high traceability, institutionalised supplier relationships, and the same quality standards, which are not always attainable in rural India. The benefits of internalisation denote that Nestle can best advantage when it is directly in control of production and sourcing, but the control of low-tech farming settings needs SOPs that can handle this environment through a structured involvement and regular monitoring. This need is reinforced by cultural factors: India is a collectivist country with an orientation towards relationships and relationships, where trust and personal engagement, as well as long-term commitments, are crucial aspects of supplier compliance. It is due to this that Nestlé will need to amend its SOPs to encompass localised procurement practices, real-time quality control measures at the milk and grain collection points, farmer development and training interventions, and mechanisms of communication that are culturally sensitive to boost confidence. The establishment of these procedures will guarantee that the variability of the supply chain is minimised, traceability is enhanced, and Nestlé will be able to achieve the global quality standards, with the Location advantage in India. The benefit of such SOP shifts is not only to maintain the consistency of products, but also to increase the long-term legitimacy and sustainability of Nestlé in the Indian agricultural societies.</w:t>
      </w:r>
    </w:p>
    <w:p w14:paraId="0E9031E5" w14:textId="77777777" w:rsidR="00C739B1" w:rsidRPr="000A3CFE" w:rsidRDefault="00C739B1" w:rsidP="007E7896">
      <w:pPr>
        <w:spacing w:line="360" w:lineRule="auto"/>
        <w:rPr>
          <w:rFonts w:ascii="Arial" w:hAnsi="Arial" w:cs="Arial"/>
        </w:rPr>
      </w:pPr>
    </w:p>
    <w:p w14:paraId="7841699A" w14:textId="77777777" w:rsidR="007E7896" w:rsidRPr="000A3CFE" w:rsidRDefault="007E7896" w:rsidP="007E7896">
      <w:pPr>
        <w:spacing w:line="360" w:lineRule="auto"/>
        <w:rPr>
          <w:rFonts w:ascii="Arial" w:hAnsi="Arial" w:cs="Arial"/>
          <w:b/>
          <w:bCs/>
          <w:i/>
          <w:iCs/>
        </w:rPr>
      </w:pPr>
      <w:r w:rsidRPr="000A3CFE">
        <w:rPr>
          <w:rFonts w:ascii="Arial" w:hAnsi="Arial" w:cs="Arial"/>
          <w:b/>
          <w:bCs/>
          <w:i/>
          <w:iCs/>
        </w:rPr>
        <w:t>Adjustment 3: SOPs on Product Adaptation, Marketing and Consumer Engagement</w:t>
      </w:r>
    </w:p>
    <w:p w14:paraId="007D364E" w14:textId="7F276A29" w:rsidR="007E7896" w:rsidRPr="000A3CFE" w:rsidRDefault="007E7896" w:rsidP="007E7896">
      <w:pPr>
        <w:spacing w:line="360" w:lineRule="auto"/>
        <w:rPr>
          <w:rFonts w:ascii="Arial" w:hAnsi="Arial" w:cs="Arial"/>
        </w:rPr>
      </w:pPr>
      <w:r w:rsidRPr="000A3CFE">
        <w:rPr>
          <w:rFonts w:ascii="Arial" w:hAnsi="Arial" w:cs="Arial"/>
        </w:rPr>
        <w:t>The third significant SOP change is related to product adaptation, marketing procedures, and consumer interaction. The consumer market of India is diverse in culture, linguistically, and price sensitive, unlike Switzerland, which has a relatively homogenous consumer base. The Cultural Analysis section of Nestlé indicated that India is a high-</w:t>
      </w:r>
      <w:r w:rsidRPr="000A3CFE">
        <w:rPr>
          <w:rFonts w:ascii="Arial" w:hAnsi="Arial" w:cs="Arial"/>
        </w:rPr>
        <w:lastRenderedPageBreak/>
        <w:t>context and high-</w:t>
      </w:r>
      <w:proofErr w:type="spellStart"/>
      <w:r w:rsidRPr="000A3CFE">
        <w:rPr>
          <w:rFonts w:ascii="Arial" w:hAnsi="Arial" w:cs="Arial"/>
        </w:rPr>
        <w:t>collectivity</w:t>
      </w:r>
      <w:proofErr w:type="spellEnd"/>
      <w:r w:rsidRPr="000A3CFE">
        <w:rPr>
          <w:rFonts w:ascii="Arial" w:hAnsi="Arial" w:cs="Arial"/>
        </w:rPr>
        <w:t xml:space="preserve"> country that has an emotional attachment to brands, whereas Switzerland is individualistic and low-context, and has a functional marketing appeal. Though Nestle already localises a few products, including spicier Maggi and more regionally flavoured </w:t>
      </w:r>
      <w:r w:rsidR="00A272B6" w:rsidRPr="000A3CFE">
        <w:rPr>
          <w:rFonts w:ascii="Arial" w:hAnsi="Arial" w:cs="Arial"/>
        </w:rPr>
        <w:t>Nescafe’s</w:t>
      </w:r>
      <w:r w:rsidRPr="000A3CFE">
        <w:rPr>
          <w:rFonts w:ascii="Arial" w:hAnsi="Arial" w:cs="Arial"/>
        </w:rPr>
        <w:t xml:space="preserve">, the adaptations are not entirely institutionalised in the global SOPs, so there is inconsistency in localisation across categories. The OLI framework suggests that Nestle's Ownership benefits of R&amp;D, brand equity, and proprietary formulations need a methodical localisation of global product strengths into the local market adoption. This is supported by the internalisation theory, which emphasises that the integrated R&amp;D and marketing strengths Nestlé possesses will only provide it with strategic strength once they are enhanced with real-time consumer feedback and product testing that is relevant to the local market. SOPs, hence, will need to be changed to provide systematic sensory testing, regional tastes, culturally matched messaging guidelines, multilingual communication needs, influence-based advertising, which fits the collectivist inclinations of the Indian market, and price-conformable pricing strategies, which fit the price-sensitive market. Indian consumption is emotional and </w:t>
      </w:r>
      <w:proofErr w:type="gramStart"/>
      <w:r w:rsidRPr="000A3CFE">
        <w:rPr>
          <w:rFonts w:ascii="Arial" w:hAnsi="Arial" w:cs="Arial"/>
        </w:rPr>
        <w:t>communal,</w:t>
      </w:r>
      <w:proofErr w:type="gramEnd"/>
      <w:r w:rsidRPr="000A3CFE">
        <w:rPr>
          <w:rFonts w:ascii="Arial" w:hAnsi="Arial" w:cs="Arial"/>
        </w:rPr>
        <w:t xml:space="preserve"> thus it needs to be marketed with SOPs that incorporate storytelling that uses narratives, campaigns based on festivals and influencer-engagement through digital channels. Unless such processes are entrenched, Nestle may end up losing touch with the fast-changing consumer environment in India. The revision of these SOPs will help to make sure that the adaptation of products is not a one-off managerial decision but a process that is constant and institutionalised in accordance with both OLI advantages and cultural insights.</w:t>
      </w:r>
    </w:p>
    <w:p w14:paraId="5E98FD77" w14:textId="4CD6E320" w:rsidR="007E7896" w:rsidRPr="000A3CFE" w:rsidRDefault="007E7896" w:rsidP="007E7896">
      <w:pPr>
        <w:spacing w:line="360" w:lineRule="auto"/>
        <w:rPr>
          <w:rFonts w:ascii="Arial" w:hAnsi="Arial" w:cs="Arial"/>
        </w:rPr>
      </w:pPr>
      <w:r w:rsidRPr="000A3CFE">
        <w:rPr>
          <w:rFonts w:ascii="Arial" w:hAnsi="Arial" w:cs="Arial"/>
        </w:rPr>
        <w:t xml:space="preserve">Combined, the three suggested SOP changes act as mutually reinforcing strategic wheels that Nestlé needs to succeed in the long term in India. All changes directly enhance one of the aspects of the OLI framework: improved quality-control SOPs reinforce Ownership and Internalisation benefits by securing brand trust, supply chain localisation SOPs help Nestle to leverage India Location benefits and minimise operational risk, and product-marketing-adaptation SOPs ensure that the strengths of Ownership translate into consumer relevance. This interrelated system of hierarchical regulatory engagement needs robust compliance SOPs, collectivist supplier relationships need updated sourcing SOPs, and high context consumer communication needs modified marketing SOPs is </w:t>
      </w:r>
      <w:r w:rsidRPr="000A3CFE">
        <w:rPr>
          <w:rFonts w:ascii="Arial" w:hAnsi="Arial" w:cs="Arial"/>
        </w:rPr>
        <w:lastRenderedPageBreak/>
        <w:t xml:space="preserve">supported by cultural alignment. The effectiveness of the other adjustments becomes less effective without one of them, which undermines the competitiveness of Nestlé. To the extent that the SOP changes are institutionalised, Nestle is able to predict regulatory shocks, product regularity, enhanced localisation, and sustainable competitive advantage in a market characterised by high potential and high volatility. Moreover, the lack of independence between these adjustments is what will make the Nestlé structure of operations in India more consistent, predictable, and aligned with the requirements of the local market. With these SOP modifications incorporated in the daily operations, Nestle enhances its capacity to integrate quality assurance, sourcing operations, and market interactions in different regions. This forms a more responsive and learning based organisation that can constantly perfect its practices in respect to local feedback and changing expectations of the institution. </w:t>
      </w:r>
    </w:p>
    <w:p w14:paraId="6AD420A8" w14:textId="66F5CBA8" w:rsidR="00C739B1" w:rsidRPr="000A3CFE" w:rsidRDefault="00C739B1" w:rsidP="007E7896">
      <w:pPr>
        <w:spacing w:line="360" w:lineRule="auto"/>
        <w:rPr>
          <w:rFonts w:ascii="Arial" w:hAnsi="Arial" w:cs="Arial"/>
        </w:rPr>
      </w:pPr>
    </w:p>
    <w:p w14:paraId="7E92EB55" w14:textId="7580B614" w:rsidR="00C739B1" w:rsidRPr="000A3CFE" w:rsidRDefault="00C739B1" w:rsidP="007E7896">
      <w:pPr>
        <w:spacing w:line="360" w:lineRule="auto"/>
        <w:rPr>
          <w:rFonts w:ascii="Arial" w:hAnsi="Arial" w:cs="Arial"/>
        </w:rPr>
      </w:pPr>
    </w:p>
    <w:p w14:paraId="65D60B2F" w14:textId="4DD3875C" w:rsidR="00C739B1" w:rsidRPr="000A3CFE" w:rsidRDefault="00C739B1" w:rsidP="007E7896">
      <w:pPr>
        <w:spacing w:line="360" w:lineRule="auto"/>
        <w:rPr>
          <w:rFonts w:ascii="Arial" w:hAnsi="Arial" w:cs="Arial"/>
        </w:rPr>
      </w:pPr>
    </w:p>
    <w:p w14:paraId="46FCAFD6" w14:textId="2BBC8F2B" w:rsidR="00C739B1" w:rsidRPr="000A3CFE" w:rsidRDefault="00C739B1" w:rsidP="007E7896">
      <w:pPr>
        <w:spacing w:line="360" w:lineRule="auto"/>
        <w:rPr>
          <w:rFonts w:ascii="Arial" w:hAnsi="Arial" w:cs="Arial"/>
        </w:rPr>
      </w:pPr>
    </w:p>
    <w:p w14:paraId="7BCD3338" w14:textId="2E86A57E" w:rsidR="00C739B1" w:rsidRPr="000A3CFE" w:rsidRDefault="00C739B1" w:rsidP="007E7896">
      <w:pPr>
        <w:spacing w:line="360" w:lineRule="auto"/>
        <w:rPr>
          <w:rFonts w:ascii="Arial" w:hAnsi="Arial" w:cs="Arial"/>
        </w:rPr>
      </w:pPr>
    </w:p>
    <w:p w14:paraId="7E8795AE" w14:textId="7DDD649E" w:rsidR="00C739B1" w:rsidRPr="000A3CFE" w:rsidRDefault="00C739B1" w:rsidP="007E7896">
      <w:pPr>
        <w:spacing w:line="360" w:lineRule="auto"/>
        <w:rPr>
          <w:rFonts w:ascii="Arial" w:hAnsi="Arial" w:cs="Arial"/>
        </w:rPr>
      </w:pPr>
    </w:p>
    <w:p w14:paraId="3169F6F6" w14:textId="425F80B5" w:rsidR="00C739B1" w:rsidRPr="000A3CFE" w:rsidRDefault="00C739B1" w:rsidP="007E7896">
      <w:pPr>
        <w:spacing w:line="360" w:lineRule="auto"/>
        <w:rPr>
          <w:rFonts w:ascii="Arial" w:hAnsi="Arial" w:cs="Arial"/>
        </w:rPr>
      </w:pPr>
    </w:p>
    <w:p w14:paraId="64D96D4E" w14:textId="70CFFA50" w:rsidR="00C739B1" w:rsidRPr="000A3CFE" w:rsidRDefault="00C739B1" w:rsidP="007E7896">
      <w:pPr>
        <w:spacing w:line="360" w:lineRule="auto"/>
        <w:rPr>
          <w:rFonts w:ascii="Arial" w:hAnsi="Arial" w:cs="Arial"/>
        </w:rPr>
      </w:pPr>
    </w:p>
    <w:p w14:paraId="75C2C346" w14:textId="388B913F" w:rsidR="00C739B1" w:rsidRPr="000A3CFE" w:rsidRDefault="00C739B1" w:rsidP="007E7896">
      <w:pPr>
        <w:spacing w:line="360" w:lineRule="auto"/>
        <w:rPr>
          <w:rFonts w:ascii="Arial" w:hAnsi="Arial" w:cs="Arial"/>
        </w:rPr>
      </w:pPr>
    </w:p>
    <w:p w14:paraId="5D500044" w14:textId="0090195A" w:rsidR="00C739B1" w:rsidRPr="000A3CFE" w:rsidRDefault="00C739B1" w:rsidP="007E7896">
      <w:pPr>
        <w:spacing w:line="360" w:lineRule="auto"/>
        <w:rPr>
          <w:rFonts w:ascii="Arial" w:hAnsi="Arial" w:cs="Arial"/>
        </w:rPr>
      </w:pPr>
    </w:p>
    <w:p w14:paraId="33294B9E" w14:textId="44A62315" w:rsidR="00C739B1" w:rsidRPr="000A3CFE" w:rsidRDefault="00C739B1" w:rsidP="007E7896">
      <w:pPr>
        <w:spacing w:line="360" w:lineRule="auto"/>
        <w:rPr>
          <w:rFonts w:ascii="Arial" w:hAnsi="Arial" w:cs="Arial"/>
        </w:rPr>
      </w:pPr>
    </w:p>
    <w:p w14:paraId="349CC3A8" w14:textId="1529AFB5" w:rsidR="00C739B1" w:rsidRPr="000A3CFE" w:rsidRDefault="00C739B1" w:rsidP="007E7896">
      <w:pPr>
        <w:spacing w:line="360" w:lineRule="auto"/>
        <w:rPr>
          <w:rFonts w:ascii="Arial" w:hAnsi="Arial" w:cs="Arial"/>
        </w:rPr>
      </w:pPr>
    </w:p>
    <w:p w14:paraId="7B467F7A" w14:textId="3289C137" w:rsidR="00C739B1" w:rsidRPr="000A3CFE" w:rsidRDefault="00C739B1" w:rsidP="007E7896">
      <w:pPr>
        <w:spacing w:line="360" w:lineRule="auto"/>
        <w:rPr>
          <w:rFonts w:ascii="Arial" w:hAnsi="Arial" w:cs="Arial"/>
        </w:rPr>
      </w:pPr>
    </w:p>
    <w:p w14:paraId="69C61AE4" w14:textId="1C7B8576" w:rsidR="009A6085" w:rsidRDefault="009A6085" w:rsidP="007E7896">
      <w:pPr>
        <w:spacing w:line="360" w:lineRule="auto"/>
        <w:rPr>
          <w:rFonts w:ascii="Arial" w:hAnsi="Arial" w:cs="Arial"/>
        </w:rPr>
      </w:pPr>
    </w:p>
    <w:p w14:paraId="49BBAE66" w14:textId="401E512D" w:rsidR="000A3CFE" w:rsidRDefault="000A3CFE" w:rsidP="007E7896">
      <w:pPr>
        <w:spacing w:line="360" w:lineRule="auto"/>
        <w:rPr>
          <w:rFonts w:ascii="Arial" w:hAnsi="Arial" w:cs="Arial"/>
        </w:rPr>
      </w:pPr>
    </w:p>
    <w:p w14:paraId="661D082F" w14:textId="02CFCEF1" w:rsidR="000A3CFE" w:rsidRDefault="000A3CFE" w:rsidP="007E7896">
      <w:pPr>
        <w:spacing w:line="360" w:lineRule="auto"/>
        <w:rPr>
          <w:rFonts w:ascii="Arial" w:hAnsi="Arial" w:cs="Arial"/>
        </w:rPr>
      </w:pPr>
    </w:p>
    <w:p w14:paraId="79429B2F" w14:textId="77777777" w:rsidR="000A3CFE" w:rsidRPr="000A3CFE" w:rsidRDefault="000A3CFE" w:rsidP="007E7896">
      <w:pPr>
        <w:spacing w:line="360" w:lineRule="auto"/>
        <w:rPr>
          <w:rFonts w:ascii="Arial" w:hAnsi="Arial" w:cs="Arial"/>
        </w:rPr>
      </w:pPr>
    </w:p>
    <w:p w14:paraId="1877F96D" w14:textId="77777777" w:rsidR="00C739B1" w:rsidRPr="000A3CFE" w:rsidRDefault="00C739B1" w:rsidP="007E7896">
      <w:pPr>
        <w:spacing w:line="360" w:lineRule="auto"/>
        <w:rPr>
          <w:rFonts w:ascii="Arial" w:hAnsi="Arial" w:cs="Arial"/>
          <w:b/>
          <w:bCs/>
          <w:i/>
          <w:iCs/>
        </w:rPr>
      </w:pPr>
    </w:p>
    <w:p w14:paraId="2E40A1BD" w14:textId="1D7565E8" w:rsidR="007E7896" w:rsidRPr="000A3CFE" w:rsidRDefault="007E7896" w:rsidP="007E7896">
      <w:pPr>
        <w:pStyle w:val="Heading1"/>
        <w:spacing w:before="0" w:after="0"/>
        <w:rPr>
          <w:rFonts w:ascii="Arial" w:hAnsi="Arial" w:cs="Arial"/>
          <w:sz w:val="24"/>
          <w:szCs w:val="24"/>
        </w:rPr>
      </w:pPr>
      <w:bookmarkStart w:id="12" w:name="_Toc216074172"/>
      <w:r w:rsidRPr="000A3CFE">
        <w:rPr>
          <w:rFonts w:ascii="Arial" w:hAnsi="Arial" w:cs="Arial"/>
          <w:sz w:val="24"/>
          <w:szCs w:val="24"/>
        </w:rPr>
        <w:lastRenderedPageBreak/>
        <w:t>6. Conclusion</w:t>
      </w:r>
      <w:bookmarkEnd w:id="12"/>
      <w:r w:rsidR="009A6085" w:rsidRPr="000A3CFE">
        <w:rPr>
          <w:rFonts w:ascii="Arial" w:hAnsi="Arial" w:cs="Arial"/>
          <w:sz w:val="24"/>
          <w:szCs w:val="24"/>
        </w:rPr>
        <w:t>:-</w:t>
      </w:r>
    </w:p>
    <w:p w14:paraId="3BD341A2" w14:textId="77777777" w:rsidR="009A6085" w:rsidRPr="000A3CFE" w:rsidRDefault="009A6085" w:rsidP="009A6085">
      <w:pPr>
        <w:rPr>
          <w:rFonts w:ascii="Arial" w:hAnsi="Arial" w:cs="Arial"/>
        </w:rPr>
      </w:pPr>
    </w:p>
    <w:p w14:paraId="008996FF" w14:textId="77777777" w:rsidR="007E7896" w:rsidRPr="000A3CFE" w:rsidRDefault="007E7896" w:rsidP="007E7896">
      <w:pPr>
        <w:spacing w:line="360" w:lineRule="auto"/>
        <w:rPr>
          <w:rFonts w:ascii="Arial" w:hAnsi="Arial" w:cs="Arial"/>
        </w:rPr>
      </w:pPr>
      <w:r w:rsidRPr="000A3CFE">
        <w:rPr>
          <w:rFonts w:ascii="Arial" w:hAnsi="Arial" w:cs="Arial"/>
        </w:rPr>
        <w:t xml:space="preserve">The comparison of Nestle international operations and their strategic involvement with India proves that the global strength of the company is in its high Ownership advantages, a high number of Location-based opportunities, and effective application of Internalisation to protect the quality and brand integrity. The OLI framework indicated that Nestle has good global patents, R and D, and old brand equity, which has a good base in its international growth, but still these strengths need to be realigned towards the reality of new markets like India. Cultural analysis also revealed that cultural differences between Switzerland and India, especially in communication style, hierarchy, collectivism, and uncertainty management, are issues that should be addressed by the organisation by employing adaptive organisational practices to ensure that they are accepted or comply with regulations in the market. The proposed changes to the SOP are, firstly, a direct positive contribution to the long-term success of Nestlé in India; in fact, the changes would inject market-specific operational intelligence into the general practices. The response to the intricate food governance system in India and protecting the global brand reputation will be the enhancement of the quality-control and regulatory-compliance SOPs. Local level supply chain integration and traceability will ensure that Nestlé will be in a position to access the agricultural base in India and minimise the natural risk attributed to fluctuations in raw materials. Product adaptation and culturally inclined marketing, facilitated by the expansion of SOPs, will help Nestlé to survive in the competitive environment that is diverse, price-conscious, and emotionally oriented. </w:t>
      </w:r>
    </w:p>
    <w:p w14:paraId="3972651E" w14:textId="77777777" w:rsidR="007E7896" w:rsidRPr="000A3CFE" w:rsidRDefault="007E7896" w:rsidP="007E7896">
      <w:pPr>
        <w:spacing w:line="360" w:lineRule="auto"/>
        <w:rPr>
          <w:rFonts w:ascii="Arial" w:hAnsi="Arial" w:cs="Arial"/>
        </w:rPr>
      </w:pPr>
      <w:r w:rsidRPr="000A3CFE">
        <w:rPr>
          <w:rFonts w:ascii="Arial" w:hAnsi="Arial" w:cs="Arial"/>
        </w:rPr>
        <w:br w:type="page"/>
      </w:r>
    </w:p>
    <w:p w14:paraId="749DF761" w14:textId="77777777" w:rsidR="007E7896" w:rsidRPr="000A3CFE" w:rsidRDefault="007E7896" w:rsidP="007E7896">
      <w:pPr>
        <w:pStyle w:val="Heading1"/>
        <w:rPr>
          <w:rFonts w:ascii="Arial" w:hAnsi="Arial" w:cs="Arial"/>
          <w:b w:val="0"/>
          <w:bCs w:val="0"/>
          <w:sz w:val="24"/>
          <w:szCs w:val="24"/>
        </w:rPr>
      </w:pPr>
      <w:bookmarkStart w:id="13" w:name="_Toc216074173"/>
      <w:r w:rsidRPr="000A3CFE">
        <w:rPr>
          <w:rFonts w:ascii="Arial" w:hAnsi="Arial" w:cs="Arial"/>
          <w:sz w:val="24"/>
          <w:szCs w:val="24"/>
        </w:rPr>
        <w:lastRenderedPageBreak/>
        <w:t>References</w:t>
      </w:r>
      <w:bookmarkEnd w:id="13"/>
      <w:r w:rsidRPr="000A3CFE">
        <w:rPr>
          <w:rFonts w:ascii="Arial" w:hAnsi="Arial" w:cs="Arial"/>
          <w:sz w:val="24"/>
          <w:szCs w:val="24"/>
        </w:rPr>
        <w:t xml:space="preserve"> </w:t>
      </w:r>
    </w:p>
    <w:p w14:paraId="6B28347B"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Adarkwah</w:t>
      </w:r>
      <w:proofErr w:type="spellEnd"/>
      <w:r w:rsidRPr="000A3CFE">
        <w:rPr>
          <w:rFonts w:ascii="Arial" w:hAnsi="Arial" w:cs="Arial"/>
          <w:highlight w:val="white"/>
        </w:rPr>
        <w:t xml:space="preserve">, G.K. and Malonæs, T.P. (2022). Firm-specific advantages: a comprehensive review with a focus on emerging markets. </w:t>
      </w:r>
      <w:r w:rsidRPr="000A3CFE">
        <w:rPr>
          <w:rFonts w:ascii="Arial" w:hAnsi="Arial" w:cs="Arial"/>
          <w:i/>
          <w:iCs/>
          <w:highlight w:val="white"/>
        </w:rPr>
        <w:t>Asia Pacific Journal of Management</w:t>
      </w:r>
      <w:r w:rsidRPr="000A3CFE">
        <w:rPr>
          <w:rFonts w:ascii="Arial" w:hAnsi="Arial" w:cs="Arial"/>
          <w:highlight w:val="white"/>
        </w:rPr>
        <w:t xml:space="preserve">, </w:t>
      </w:r>
      <w:r w:rsidRPr="000A3CFE">
        <w:rPr>
          <w:rFonts w:ascii="Arial" w:hAnsi="Arial" w:cs="Arial"/>
          <w:i/>
          <w:iCs/>
          <w:highlight w:val="white"/>
        </w:rPr>
        <w:t>39</w:t>
      </w:r>
      <w:r w:rsidRPr="000A3CFE">
        <w:rPr>
          <w:rFonts w:ascii="Arial" w:hAnsi="Arial" w:cs="Arial"/>
          <w:highlight w:val="white"/>
        </w:rPr>
        <w:t xml:space="preserve">(2), pp.539-585. </w:t>
      </w:r>
      <w:hyperlink r:id="rId14">
        <w:r w:rsidRPr="000A3CFE">
          <w:rPr>
            <w:rFonts w:ascii="Arial" w:hAnsi="Arial" w:cs="Arial"/>
            <w:highlight w:val="white"/>
            <w:u w:val="single"/>
          </w:rPr>
          <w:t>https://link.springer.com/content/pdf/10.1007/s10490-020-09737-7.pdf</w:t>
        </w:r>
      </w:hyperlink>
    </w:p>
    <w:p w14:paraId="0072306C"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Ailani, G. (2024). </w:t>
      </w:r>
      <w:r w:rsidRPr="000A3CFE">
        <w:rPr>
          <w:rFonts w:ascii="Arial" w:hAnsi="Arial" w:cs="Arial"/>
          <w:i/>
          <w:iCs/>
        </w:rPr>
        <w:t>Eclectic Paradigm</w:t>
      </w:r>
      <w:r w:rsidRPr="000A3CFE">
        <w:rPr>
          <w:rFonts w:ascii="Arial" w:hAnsi="Arial" w:cs="Arial"/>
        </w:rPr>
        <w:t xml:space="preserve">. [online] Wallstreetmojo.com. Available at: </w:t>
      </w:r>
      <w:hyperlink r:id="rId15">
        <w:r w:rsidRPr="000A3CFE">
          <w:rPr>
            <w:rFonts w:ascii="Arial" w:hAnsi="Arial" w:cs="Arial"/>
            <w:u w:val="single"/>
          </w:rPr>
          <w:t>https://www.wallstreetmojo.com/eclectic-paradigm/</w:t>
        </w:r>
      </w:hyperlink>
      <w:r w:rsidRPr="000A3CFE">
        <w:rPr>
          <w:rFonts w:ascii="Arial" w:hAnsi="Arial" w:cs="Arial"/>
        </w:rPr>
        <w:t>.</w:t>
      </w:r>
    </w:p>
    <w:p w14:paraId="37B85BB4"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Aro, A. (2022). Branch or wholly-owned subsidiary company? Choosing legal form for MNC’s wholly-owned operations in Finland. </w:t>
      </w:r>
      <w:hyperlink r:id="rId16">
        <w:r w:rsidRPr="000A3CFE">
          <w:rPr>
            <w:rFonts w:ascii="Arial" w:hAnsi="Arial" w:cs="Arial"/>
            <w:highlight w:val="white"/>
            <w:u w:val="single"/>
          </w:rPr>
          <w:t>https://aaltodoc.aalto.fi/server/api/core/bitstreams/d55aa33d-6844-4db2-bf32-ff470a06cbd8/content</w:t>
        </w:r>
      </w:hyperlink>
    </w:p>
    <w:p w14:paraId="36A2D246"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Bakar, A.H.A., </w:t>
      </w:r>
      <w:proofErr w:type="spellStart"/>
      <w:r w:rsidRPr="000A3CFE">
        <w:rPr>
          <w:rFonts w:ascii="Arial" w:hAnsi="Arial" w:cs="Arial"/>
          <w:highlight w:val="white"/>
        </w:rPr>
        <w:t>Sinnappan</w:t>
      </w:r>
      <w:proofErr w:type="spellEnd"/>
      <w:r w:rsidRPr="000A3CFE">
        <w:rPr>
          <w:rFonts w:ascii="Arial" w:hAnsi="Arial" w:cs="Arial"/>
          <w:highlight w:val="white"/>
        </w:rPr>
        <w:t xml:space="preserve">, P., Salim, F.A.A. and Teo, P.C. (2022). Factors influencing foreign direct investment (FDI) location selection: a review of the literature. </w:t>
      </w:r>
      <w:r w:rsidRPr="000A3CFE">
        <w:rPr>
          <w:rFonts w:ascii="Arial" w:hAnsi="Arial" w:cs="Arial"/>
          <w:i/>
          <w:iCs/>
          <w:highlight w:val="white"/>
        </w:rPr>
        <w:t>International Journal of Academic Research in Business and Social Sciences</w:t>
      </w:r>
      <w:r w:rsidRPr="000A3CFE">
        <w:rPr>
          <w:rFonts w:ascii="Arial" w:hAnsi="Arial" w:cs="Arial"/>
          <w:highlight w:val="white"/>
        </w:rPr>
        <w:t xml:space="preserve">, </w:t>
      </w:r>
      <w:r w:rsidRPr="000A3CFE">
        <w:rPr>
          <w:rFonts w:ascii="Arial" w:hAnsi="Arial" w:cs="Arial"/>
          <w:i/>
          <w:iCs/>
          <w:highlight w:val="white"/>
        </w:rPr>
        <w:t>12</w:t>
      </w:r>
      <w:r w:rsidRPr="000A3CFE">
        <w:rPr>
          <w:rFonts w:ascii="Arial" w:hAnsi="Arial" w:cs="Arial"/>
          <w:highlight w:val="white"/>
        </w:rPr>
        <w:t xml:space="preserve">(7), pp.1271-1291. </w:t>
      </w:r>
      <w:hyperlink r:id="rId17">
        <w:r w:rsidRPr="000A3CFE">
          <w:rPr>
            <w:rFonts w:ascii="Arial" w:hAnsi="Arial" w:cs="Arial"/>
            <w:highlight w:val="white"/>
            <w:u w:val="single"/>
          </w:rPr>
          <w:t>https://www.researchgate.net/profile/Punitha-Sinnappan/publication/362208869_Factors_Influencing_Foreign_Direct_Investment_FDI_Location_Selection_A_Review_of_the_Literature/links/62dbc7d6aa5823729ed9f784/Factors-Influencing-Foreign-Direct-Investment-FDI-Location-Selection-A-Review-of-the-Literature.pdf</w:t>
        </w:r>
      </w:hyperlink>
    </w:p>
    <w:p w14:paraId="1F698A1E"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Baronchelli</w:t>
      </w:r>
      <w:proofErr w:type="spellEnd"/>
      <w:r w:rsidRPr="000A3CFE">
        <w:rPr>
          <w:rFonts w:ascii="Arial" w:hAnsi="Arial" w:cs="Arial"/>
          <w:highlight w:val="white"/>
        </w:rPr>
        <w:t xml:space="preserve">, A., </w:t>
      </w:r>
      <w:proofErr w:type="spellStart"/>
      <w:r w:rsidRPr="000A3CFE">
        <w:rPr>
          <w:rFonts w:ascii="Arial" w:hAnsi="Arial" w:cs="Arial"/>
          <w:highlight w:val="white"/>
        </w:rPr>
        <w:t>Vallino</w:t>
      </w:r>
      <w:proofErr w:type="spellEnd"/>
      <w:r w:rsidRPr="000A3CFE">
        <w:rPr>
          <w:rFonts w:ascii="Arial" w:hAnsi="Arial" w:cs="Arial"/>
          <w:highlight w:val="white"/>
        </w:rPr>
        <w:t xml:space="preserve">, E., </w:t>
      </w:r>
      <w:proofErr w:type="spellStart"/>
      <w:r w:rsidRPr="000A3CFE">
        <w:rPr>
          <w:rFonts w:ascii="Arial" w:hAnsi="Arial" w:cs="Arial"/>
          <w:highlight w:val="white"/>
        </w:rPr>
        <w:t>Dalmazzone</w:t>
      </w:r>
      <w:proofErr w:type="spellEnd"/>
      <w:r w:rsidRPr="000A3CFE">
        <w:rPr>
          <w:rFonts w:ascii="Arial" w:hAnsi="Arial" w:cs="Arial"/>
          <w:highlight w:val="white"/>
        </w:rPr>
        <w:t xml:space="preserve">, S., Ridolfi, L. and Laio, F. (2024). Large agri-food corporations in the global staple and cash crops markets: a quantitative analysis of rice and coffee through the virtual water perspective. </w:t>
      </w:r>
      <w:r w:rsidRPr="000A3CFE">
        <w:rPr>
          <w:rFonts w:ascii="Arial" w:hAnsi="Arial" w:cs="Arial"/>
          <w:i/>
          <w:iCs/>
          <w:highlight w:val="white"/>
        </w:rPr>
        <w:t>Environmental Research Letters</w:t>
      </w:r>
      <w:r w:rsidRPr="000A3CFE">
        <w:rPr>
          <w:rFonts w:ascii="Arial" w:hAnsi="Arial" w:cs="Arial"/>
          <w:highlight w:val="white"/>
        </w:rPr>
        <w:t xml:space="preserve">, </w:t>
      </w:r>
      <w:r w:rsidRPr="000A3CFE">
        <w:rPr>
          <w:rFonts w:ascii="Arial" w:hAnsi="Arial" w:cs="Arial"/>
          <w:i/>
          <w:iCs/>
          <w:highlight w:val="white"/>
        </w:rPr>
        <w:t>19</w:t>
      </w:r>
      <w:r w:rsidRPr="000A3CFE">
        <w:rPr>
          <w:rFonts w:ascii="Arial" w:hAnsi="Arial" w:cs="Arial"/>
          <w:highlight w:val="white"/>
        </w:rPr>
        <w:t xml:space="preserve">(7), p.074070. </w:t>
      </w:r>
      <w:hyperlink r:id="rId18">
        <w:r w:rsidRPr="000A3CFE">
          <w:rPr>
            <w:rFonts w:ascii="Arial" w:hAnsi="Arial" w:cs="Arial"/>
            <w:highlight w:val="white"/>
            <w:u w:val="single"/>
          </w:rPr>
          <w:t>https://iopscience.iop.org/article/10.1088/1748-9326/ad5a24/pdf</w:t>
        </w:r>
      </w:hyperlink>
    </w:p>
    <w:p w14:paraId="2EE46DB4"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Batschauer</w:t>
      </w:r>
      <w:proofErr w:type="spellEnd"/>
      <w:r w:rsidRPr="000A3CFE">
        <w:rPr>
          <w:rFonts w:ascii="Arial" w:hAnsi="Arial" w:cs="Arial"/>
          <w:highlight w:val="white"/>
        </w:rPr>
        <w:t xml:space="preserve"> da Cruz, C.B., Eliete Floriani, D. and Amal, M. (2022). The OLI Paradigm as a comprehensive model of FDI determinants: a sub-national approach. </w:t>
      </w:r>
      <w:r w:rsidRPr="000A3CFE">
        <w:rPr>
          <w:rFonts w:ascii="Arial" w:hAnsi="Arial" w:cs="Arial"/>
          <w:i/>
          <w:iCs/>
          <w:highlight w:val="white"/>
        </w:rPr>
        <w:t>International Journal of Emerging Markets</w:t>
      </w:r>
      <w:r w:rsidRPr="000A3CFE">
        <w:rPr>
          <w:rFonts w:ascii="Arial" w:hAnsi="Arial" w:cs="Arial"/>
          <w:highlight w:val="white"/>
        </w:rPr>
        <w:t xml:space="preserve">, </w:t>
      </w:r>
      <w:r w:rsidRPr="000A3CFE">
        <w:rPr>
          <w:rFonts w:ascii="Arial" w:hAnsi="Arial" w:cs="Arial"/>
          <w:i/>
          <w:iCs/>
          <w:highlight w:val="white"/>
        </w:rPr>
        <w:t>17</w:t>
      </w:r>
      <w:r w:rsidRPr="000A3CFE">
        <w:rPr>
          <w:rFonts w:ascii="Arial" w:hAnsi="Arial" w:cs="Arial"/>
          <w:highlight w:val="white"/>
        </w:rPr>
        <w:t xml:space="preserve">(1), pp.145-176. </w:t>
      </w:r>
      <w:hyperlink r:id="rId19">
        <w:r w:rsidRPr="000A3CFE">
          <w:rPr>
            <w:rFonts w:ascii="Arial" w:hAnsi="Arial" w:cs="Arial"/>
            <w:highlight w:val="white"/>
            <w:u w:val="single"/>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p>
    <w:p w14:paraId="0C514CD7"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lastRenderedPageBreak/>
        <w:t xml:space="preserve">Benabed, A. (2023). Multinational Companies as a Business Internationalization Driving Strategy: Implications for Competitive Advantage and Business Values. </w:t>
      </w:r>
      <w:r w:rsidRPr="000A3CFE">
        <w:rPr>
          <w:rFonts w:ascii="Arial" w:hAnsi="Arial" w:cs="Arial"/>
          <w:i/>
          <w:iCs/>
          <w:highlight w:val="white"/>
        </w:rPr>
        <w:t>Ovidius University Annals, Series Economic Sciences</w:t>
      </w:r>
      <w:r w:rsidRPr="000A3CFE">
        <w:rPr>
          <w:rFonts w:ascii="Arial" w:hAnsi="Arial" w:cs="Arial"/>
          <w:highlight w:val="white"/>
        </w:rPr>
        <w:t xml:space="preserve">, </w:t>
      </w:r>
      <w:r w:rsidRPr="000A3CFE">
        <w:rPr>
          <w:rFonts w:ascii="Arial" w:hAnsi="Arial" w:cs="Arial"/>
          <w:i/>
          <w:iCs/>
          <w:highlight w:val="white"/>
        </w:rPr>
        <w:t>23</w:t>
      </w:r>
      <w:r w:rsidRPr="000A3CFE">
        <w:rPr>
          <w:rFonts w:ascii="Arial" w:hAnsi="Arial" w:cs="Arial"/>
          <w:highlight w:val="white"/>
        </w:rPr>
        <w:t xml:space="preserve">(2), pp.12-19. </w:t>
      </w:r>
      <w:hyperlink r:id="rId20" w:anchor="page=24">
        <w:r w:rsidRPr="000A3CFE">
          <w:rPr>
            <w:rFonts w:ascii="Arial" w:hAnsi="Arial" w:cs="Arial"/>
            <w:highlight w:val="white"/>
            <w:u w:val="single"/>
          </w:rPr>
          <w:t>https://ibn.idsi.md/sites/default/files/j_nr_file/Full-Vol.-XXIII-Issue-2-2023.pdf#page=24</w:t>
        </w:r>
      </w:hyperlink>
    </w:p>
    <w:p w14:paraId="25FD7B4B"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Donzé</w:t>
      </w:r>
      <w:proofErr w:type="spellEnd"/>
      <w:r w:rsidRPr="000A3CFE">
        <w:rPr>
          <w:rFonts w:ascii="Arial" w:hAnsi="Arial" w:cs="Arial"/>
          <w:highlight w:val="white"/>
        </w:rPr>
        <w:t xml:space="preserve">, P.Y. and </w:t>
      </w:r>
      <w:proofErr w:type="spellStart"/>
      <w:r w:rsidRPr="000A3CFE">
        <w:rPr>
          <w:rFonts w:ascii="Arial" w:hAnsi="Arial" w:cs="Arial"/>
          <w:highlight w:val="white"/>
        </w:rPr>
        <w:t>Pitteloud</w:t>
      </w:r>
      <w:proofErr w:type="spellEnd"/>
      <w:r w:rsidRPr="000A3CFE">
        <w:rPr>
          <w:rFonts w:ascii="Arial" w:hAnsi="Arial" w:cs="Arial"/>
          <w:highlight w:val="white"/>
        </w:rPr>
        <w:t xml:space="preserve">, S. (2025). International human resource management and political risks: Nestlé in the Global South during the Cold War. </w:t>
      </w:r>
      <w:hyperlink r:id="rId21">
        <w:r w:rsidRPr="000A3CFE">
          <w:rPr>
            <w:rFonts w:ascii="Arial" w:hAnsi="Arial" w:cs="Arial"/>
            <w:highlight w:val="white"/>
            <w:u w:val="single"/>
          </w:rPr>
          <w:t>https://www.researchgate.net/profile/Pierre-Yves-Donze/publication/391802120_International_human_resource_management_and_political_risks_Nestle_in_the_Global_South_during_the_Cold_War_1950-1980/links/682bf48cdf0e3f544f556fd1/International-human-resource-management-and-political-risks-Nestle-in-the-Global-South-during-the-Cold-War-1950-1980.pdf</w:t>
        </w:r>
      </w:hyperlink>
    </w:p>
    <w:p w14:paraId="086FC604"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Dsouza, R. (2025). Leadership Challenges in Finnish and Indian Multi-Cultural Project Teams: Strategies for Enhanced Collaboration. </w:t>
      </w:r>
      <w:hyperlink r:id="rId22">
        <w:r w:rsidRPr="000A3CFE">
          <w:rPr>
            <w:rFonts w:ascii="Arial" w:hAnsi="Arial" w:cs="Arial"/>
            <w:u w:val="single"/>
          </w:rPr>
          <w:t>https://osuva.uwasa.fi/server/api/core/bitstreams/af9831f7-ccfe-406b-a2cb-9f8b87ec2834/content</w:t>
        </w:r>
      </w:hyperlink>
    </w:p>
    <w:p w14:paraId="430C2BCB"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Financial Times (2024). </w:t>
      </w:r>
      <w:r w:rsidRPr="000A3CFE">
        <w:rPr>
          <w:rFonts w:ascii="Arial" w:hAnsi="Arial" w:cs="Arial"/>
          <w:i/>
          <w:iCs/>
        </w:rPr>
        <w:t>Nestlé sales miss forecasts as higher prices hit demand</w:t>
      </w:r>
      <w:r w:rsidRPr="000A3CFE">
        <w:rPr>
          <w:rFonts w:ascii="Arial" w:hAnsi="Arial" w:cs="Arial"/>
        </w:rPr>
        <w:t xml:space="preserve">. [online] Available at: </w:t>
      </w:r>
      <w:hyperlink r:id="rId23">
        <w:r w:rsidRPr="000A3CFE">
          <w:rPr>
            <w:rFonts w:ascii="Arial" w:hAnsi="Arial" w:cs="Arial"/>
            <w:u w:val="single"/>
          </w:rPr>
          <w:t>https://www.ft.com/content/0bc5b039-c059-4544-bdcf-6c7c2434e37b</w:t>
        </w:r>
      </w:hyperlink>
    </w:p>
    <w:p w14:paraId="44F8E842"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‌Giles, A. (2022). International Entry Modes. </w:t>
      </w:r>
      <w:r w:rsidRPr="000A3CFE">
        <w:rPr>
          <w:rFonts w:ascii="Arial" w:hAnsi="Arial" w:cs="Arial"/>
          <w:i/>
          <w:iCs/>
        </w:rPr>
        <w:t>ecampusontario.pressbooks.pub</w:t>
      </w:r>
      <w:r w:rsidRPr="000A3CFE">
        <w:rPr>
          <w:rFonts w:ascii="Arial" w:hAnsi="Arial" w:cs="Arial"/>
        </w:rPr>
        <w:t xml:space="preserve">. [online] Available at: </w:t>
      </w:r>
      <w:hyperlink r:id="rId24">
        <w:r w:rsidRPr="000A3CFE">
          <w:rPr>
            <w:rFonts w:ascii="Arial" w:hAnsi="Arial" w:cs="Arial"/>
            <w:u w:val="single"/>
          </w:rPr>
          <w:t>https://ecampusontario.pressbooks.pub/globalmarketing/chapter/6-1-international-entry-modes/</w:t>
        </w:r>
      </w:hyperlink>
      <w:r w:rsidRPr="000A3CFE">
        <w:rPr>
          <w:rFonts w:ascii="Arial" w:hAnsi="Arial" w:cs="Arial"/>
        </w:rPr>
        <w:t>.</w:t>
      </w:r>
    </w:p>
    <w:p w14:paraId="1BF2F9D4"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González Alonso, R. (2022). Sustainability, Brand Equity and Brand Benefits: Three fundamental concepts in Brand Management. An Analysis for The Nestlé Brand. </w:t>
      </w:r>
      <w:hyperlink r:id="rId25">
        <w:r w:rsidRPr="000A3CFE">
          <w:rPr>
            <w:rFonts w:ascii="Arial" w:hAnsi="Arial" w:cs="Arial"/>
            <w:highlight w:val="white"/>
            <w:u w:val="single"/>
          </w:rPr>
          <w:t>https://www.theseus.fi/bitstream/handle/10024/782425/GonzalezAlonso_Rodrigo.pdf?sequence=2</w:t>
        </w:r>
      </w:hyperlink>
    </w:p>
    <w:p w14:paraId="5367094A"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Islam, M.S. (2022). Lead time for Nestle’s LC documentation arrival from global markets. </w:t>
      </w:r>
      <w:hyperlink r:id="rId26">
        <w:r w:rsidRPr="000A3CFE">
          <w:rPr>
            <w:rFonts w:ascii="Arial" w:hAnsi="Arial" w:cs="Arial"/>
            <w:highlight w:val="white"/>
            <w:u w:val="single"/>
          </w:rPr>
          <w:t>https://dspace.bracu.ac.bd:8443/xmlui/bitstream/handle/10361/16890/18104173_BBA.pdf?sequence=1&amp;isAllowed=y</w:t>
        </w:r>
      </w:hyperlink>
    </w:p>
    <w:p w14:paraId="32DC3C77"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Kuzey, C., </w:t>
      </w:r>
      <w:proofErr w:type="spellStart"/>
      <w:r w:rsidRPr="000A3CFE">
        <w:rPr>
          <w:rFonts w:ascii="Arial" w:hAnsi="Arial" w:cs="Arial"/>
        </w:rPr>
        <w:t>Dinc</w:t>
      </w:r>
      <w:proofErr w:type="spellEnd"/>
      <w:r w:rsidRPr="000A3CFE">
        <w:rPr>
          <w:rFonts w:ascii="Arial" w:hAnsi="Arial" w:cs="Arial"/>
        </w:rPr>
        <w:t xml:space="preserve">, M.S., Khan, F.U. and Raj, V. (2021). Foreign Direct Investment Decision-Making Motives for Multinational Enterprises: A Study of Eight Firms in an Emerging Economy. </w:t>
      </w:r>
      <w:r w:rsidRPr="000A3CFE">
        <w:rPr>
          <w:rFonts w:ascii="Arial" w:hAnsi="Arial" w:cs="Arial"/>
          <w:i/>
          <w:iCs/>
        </w:rPr>
        <w:t>Journal of Management, Economics, and Industrial Organisation</w:t>
      </w:r>
      <w:r w:rsidRPr="000A3CFE">
        <w:rPr>
          <w:rFonts w:ascii="Arial" w:hAnsi="Arial" w:cs="Arial"/>
        </w:rPr>
        <w:t xml:space="preserve">, </w:t>
      </w:r>
      <w:r w:rsidRPr="000A3CFE">
        <w:rPr>
          <w:rFonts w:ascii="Arial" w:hAnsi="Arial" w:cs="Arial"/>
          <w:i/>
          <w:iCs/>
        </w:rPr>
        <w:t>5</w:t>
      </w:r>
      <w:r w:rsidRPr="000A3CFE">
        <w:rPr>
          <w:rFonts w:ascii="Arial" w:hAnsi="Arial" w:cs="Arial"/>
        </w:rPr>
        <w:t>(1), pp.39-64.</w:t>
      </w:r>
    </w:p>
    <w:p w14:paraId="4608803D"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lastRenderedPageBreak/>
        <w:t xml:space="preserve">Linde, J. and Broman, R. (2025). Global Strategy, Local Words: Navigating Interpretation and Implementation in Decentralized MNCs. </w:t>
      </w:r>
      <w:hyperlink r:id="rId27">
        <w:r w:rsidRPr="000A3CFE">
          <w:rPr>
            <w:rFonts w:ascii="Arial" w:hAnsi="Arial" w:cs="Arial"/>
            <w:highlight w:val="white"/>
            <w:u w:val="single"/>
          </w:rPr>
          <w:t>https://lup.lub.lu.se/luur/download?func=downloadFile&amp;recordOId=9198761&amp;fileOId=9198782</w:t>
        </w:r>
      </w:hyperlink>
    </w:p>
    <w:p w14:paraId="4F2C8A49"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Malik, J. and Vazirani, R. (2024). The Role of FDI in India's Manufacturing Sector: Incentives, Opportunities, and Barriers. </w:t>
      </w:r>
      <w:hyperlink r:id="rId28">
        <w:r w:rsidRPr="000A3CFE">
          <w:rPr>
            <w:rFonts w:ascii="Arial" w:hAnsi="Arial" w:cs="Arial"/>
            <w:highlight w:val="white"/>
            <w:u w:val="single"/>
          </w:rPr>
          <w:t>https://ijsser.org/2024files/ijsser_09__217.pdf</w:t>
        </w:r>
      </w:hyperlink>
    </w:p>
    <w:p w14:paraId="7AC20276"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Nestle (2025). </w:t>
      </w:r>
      <w:r w:rsidRPr="000A3CFE">
        <w:rPr>
          <w:rFonts w:ascii="Arial" w:hAnsi="Arial" w:cs="Arial"/>
          <w:i/>
          <w:iCs/>
        </w:rPr>
        <w:t>Home</w:t>
      </w:r>
      <w:r w:rsidRPr="000A3CFE">
        <w:rPr>
          <w:rFonts w:ascii="Arial" w:hAnsi="Arial" w:cs="Arial"/>
        </w:rPr>
        <w:t xml:space="preserve">. [online] https://www.nestle.in. Available at: </w:t>
      </w:r>
      <w:hyperlink r:id="rId29">
        <w:r w:rsidRPr="000A3CFE">
          <w:rPr>
            <w:rFonts w:ascii="Arial" w:hAnsi="Arial" w:cs="Arial"/>
            <w:u w:val="single"/>
          </w:rPr>
          <w:t>https://www.nestle.in/</w:t>
        </w:r>
      </w:hyperlink>
      <w:r w:rsidRPr="000A3CFE">
        <w:rPr>
          <w:rFonts w:ascii="Arial" w:hAnsi="Arial" w:cs="Arial"/>
        </w:rPr>
        <w:t>.</w:t>
      </w:r>
    </w:p>
    <w:p w14:paraId="7FE550F0"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Nestlé Annual Report (2024). </w:t>
      </w:r>
      <w:r w:rsidRPr="000A3CFE">
        <w:rPr>
          <w:rFonts w:ascii="Arial" w:hAnsi="Arial" w:cs="Arial"/>
          <w:i/>
          <w:iCs/>
        </w:rPr>
        <w:t>Annual Review 2024</w:t>
      </w:r>
      <w:r w:rsidRPr="000A3CFE">
        <w:rPr>
          <w:rFonts w:ascii="Arial" w:hAnsi="Arial" w:cs="Arial"/>
        </w:rPr>
        <w:t xml:space="preserve">. [online] Available at: </w:t>
      </w:r>
      <w:hyperlink r:id="rId30">
        <w:r w:rsidRPr="000A3CFE">
          <w:rPr>
            <w:rFonts w:ascii="Arial" w:hAnsi="Arial" w:cs="Arial"/>
            <w:u w:val="single"/>
          </w:rPr>
          <w:t>https://www.nestle.com/sites/default/files/2025-02/annual-review-2024-en.pdf</w:t>
        </w:r>
      </w:hyperlink>
      <w:r w:rsidRPr="000A3CFE">
        <w:rPr>
          <w:rFonts w:ascii="Arial" w:hAnsi="Arial" w:cs="Arial"/>
        </w:rPr>
        <w:t>.</w:t>
      </w:r>
    </w:p>
    <w:p w14:paraId="1B5F12EE"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Nestlé India. (2021). </w:t>
      </w:r>
      <w:r w:rsidRPr="000A3CFE">
        <w:rPr>
          <w:rFonts w:ascii="Arial" w:hAnsi="Arial" w:cs="Arial"/>
          <w:i/>
          <w:iCs/>
        </w:rPr>
        <w:t>Our Factories</w:t>
      </w:r>
      <w:r w:rsidRPr="000A3CFE">
        <w:rPr>
          <w:rFonts w:ascii="Arial" w:hAnsi="Arial" w:cs="Arial"/>
        </w:rPr>
        <w:t xml:space="preserve">. [online] Available at: </w:t>
      </w:r>
      <w:hyperlink r:id="rId31">
        <w:r w:rsidRPr="000A3CFE">
          <w:rPr>
            <w:rFonts w:ascii="Arial" w:hAnsi="Arial" w:cs="Arial"/>
            <w:u w:val="single"/>
          </w:rPr>
          <w:t>https://www.nestle.in/about-us/our-factories</w:t>
        </w:r>
      </w:hyperlink>
      <w:r w:rsidRPr="000A3CFE">
        <w:rPr>
          <w:rFonts w:ascii="Arial" w:hAnsi="Arial" w:cs="Arial"/>
        </w:rPr>
        <w:t>.</w:t>
      </w:r>
    </w:p>
    <w:p w14:paraId="29660529"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Nestlé, S.A. (2024). Nestlé Capital Corporation. </w:t>
      </w:r>
      <w:hyperlink r:id="rId32">
        <w:r w:rsidRPr="000A3CFE">
          <w:rPr>
            <w:rFonts w:ascii="Arial" w:hAnsi="Arial" w:cs="Arial"/>
            <w:highlight w:val="white"/>
            <w:u w:val="single"/>
          </w:rPr>
          <w:t>https://www.nestle.com/sites/default/files/2025-05/nestle-dip-30-may-2024.pdf</w:t>
        </w:r>
      </w:hyperlink>
    </w:p>
    <w:p w14:paraId="49E0C16C" w14:textId="77777777" w:rsidR="007E7896" w:rsidRPr="000A3CFE" w:rsidRDefault="007E7896" w:rsidP="007E7896">
      <w:pPr>
        <w:pBdr>
          <w:top w:val="nil"/>
          <w:left w:val="nil"/>
          <w:bottom w:val="nil"/>
          <w:right w:val="nil"/>
          <w:between w:val="nil"/>
        </w:pBdr>
        <w:spacing w:line="360" w:lineRule="auto"/>
        <w:rPr>
          <w:rFonts w:ascii="Arial" w:hAnsi="Arial" w:cs="Arial"/>
        </w:rPr>
      </w:pPr>
      <w:proofErr w:type="spellStart"/>
      <w:r w:rsidRPr="000A3CFE">
        <w:rPr>
          <w:rFonts w:ascii="Arial" w:hAnsi="Arial" w:cs="Arial"/>
        </w:rPr>
        <w:t>Nkando</w:t>
      </w:r>
      <w:proofErr w:type="spellEnd"/>
      <w:r w:rsidRPr="000A3CFE">
        <w:rPr>
          <w:rFonts w:ascii="Arial" w:hAnsi="Arial" w:cs="Arial"/>
        </w:rPr>
        <w:t xml:space="preserve">, M. (2021). </w:t>
      </w:r>
      <w:r w:rsidRPr="000A3CFE">
        <w:rPr>
          <w:rFonts w:ascii="Arial" w:hAnsi="Arial" w:cs="Arial"/>
          <w:i/>
          <w:iCs/>
        </w:rPr>
        <w:t>Perceived effects of power distance on organisational change in a multicultural organisation</w:t>
      </w:r>
      <w:r w:rsidRPr="000A3CFE">
        <w:rPr>
          <w:rFonts w:ascii="Arial" w:hAnsi="Arial" w:cs="Arial"/>
        </w:rPr>
        <w:t>. Walden University.</w:t>
      </w:r>
    </w:p>
    <w:p w14:paraId="4E6929AB"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Rachwal-Mueller, A. (2023). Correlation between cultural dimensions and their influence on conflict style preferences. </w:t>
      </w:r>
      <w:hyperlink r:id="rId33">
        <w:r w:rsidRPr="000A3CFE">
          <w:rPr>
            <w:rFonts w:ascii="Arial" w:hAnsi="Arial" w:cs="Arial"/>
            <w:u w:val="single"/>
          </w:rPr>
          <w:t>https://dspace.khadi.kharkov.ua/server/api/core/bitstreams/6a4a5dab-17a5-450b-9144-9bb752d537c2/content</w:t>
        </w:r>
      </w:hyperlink>
    </w:p>
    <w:p w14:paraId="3370725E"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Statham, J., Halem, H. and Mansfield, I. (2024). Strengthening the UK’s Food Security: Innovation and investment in the Food Manufacturing Sector. </w:t>
      </w:r>
      <w:hyperlink r:id="rId34">
        <w:r w:rsidRPr="000A3CFE">
          <w:rPr>
            <w:rFonts w:ascii="Arial" w:hAnsi="Arial" w:cs="Arial"/>
            <w:highlight w:val="white"/>
            <w:u w:val="single"/>
          </w:rPr>
          <w:t>https://hau.repository.guildhe.ac.uk/id/eprint/18149/1/J%20Statham%20Strengthening%20the%20UKs%20Food%20Security%20VoR.%20OCR%20UPLOADpdf.pdf</w:t>
        </w:r>
      </w:hyperlink>
    </w:p>
    <w:p w14:paraId="7BE0538A"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Statista (2025). </w:t>
      </w:r>
      <w:r w:rsidRPr="000A3CFE">
        <w:rPr>
          <w:rFonts w:ascii="Arial" w:hAnsi="Arial" w:cs="Arial"/>
          <w:i/>
          <w:iCs/>
        </w:rPr>
        <w:t>India: growth of FMCG sector 2025| Statista</w:t>
      </w:r>
      <w:r w:rsidRPr="000A3CFE">
        <w:rPr>
          <w:rFonts w:ascii="Arial" w:hAnsi="Arial" w:cs="Arial"/>
        </w:rPr>
        <w:t xml:space="preserve">. [online] Available at: </w:t>
      </w:r>
      <w:hyperlink r:id="rId35">
        <w:r w:rsidRPr="000A3CFE">
          <w:rPr>
            <w:rFonts w:ascii="Arial" w:hAnsi="Arial" w:cs="Arial"/>
            <w:u w:val="single"/>
          </w:rPr>
          <w:t>https://www.statista.com/statistics/1112823/india-growth-of-fmcg-sector/?srsltid=AfmBOooarMf323NZGLtcn7riAmVI0g6xdsMjP84Nq1ZARZgW2ByNExZm</w:t>
        </w:r>
      </w:hyperlink>
      <w:r w:rsidRPr="000A3CFE">
        <w:rPr>
          <w:rFonts w:ascii="Arial" w:hAnsi="Arial" w:cs="Arial"/>
        </w:rPr>
        <w:t xml:space="preserve"> [Accessed 26 Oct. 2025].</w:t>
      </w:r>
    </w:p>
    <w:p w14:paraId="67F1DBB4"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Stoian, M.C., </w:t>
      </w:r>
      <w:proofErr w:type="spellStart"/>
      <w:r w:rsidRPr="000A3CFE">
        <w:rPr>
          <w:rFonts w:ascii="Arial" w:hAnsi="Arial" w:cs="Arial"/>
        </w:rPr>
        <w:t>Tardios</w:t>
      </w:r>
      <w:proofErr w:type="spellEnd"/>
      <w:r w:rsidRPr="000A3CFE">
        <w:rPr>
          <w:rFonts w:ascii="Arial" w:hAnsi="Arial" w:cs="Arial"/>
        </w:rPr>
        <w:t xml:space="preserve">, J.A. and </w:t>
      </w:r>
      <w:proofErr w:type="spellStart"/>
      <w:r w:rsidRPr="000A3CFE">
        <w:rPr>
          <w:rFonts w:ascii="Arial" w:hAnsi="Arial" w:cs="Arial"/>
        </w:rPr>
        <w:t>Samdanis</w:t>
      </w:r>
      <w:proofErr w:type="spellEnd"/>
      <w:r w:rsidRPr="000A3CFE">
        <w:rPr>
          <w:rFonts w:ascii="Arial" w:hAnsi="Arial" w:cs="Arial"/>
        </w:rPr>
        <w:t xml:space="preserve">, M. (2024). The knowledge-based view in international business: A systematic review of the literature and future research directions. </w:t>
      </w:r>
      <w:r w:rsidRPr="000A3CFE">
        <w:rPr>
          <w:rFonts w:ascii="Arial" w:hAnsi="Arial" w:cs="Arial"/>
          <w:i/>
          <w:iCs/>
        </w:rPr>
        <w:t>International Business Review</w:t>
      </w:r>
      <w:r w:rsidRPr="000A3CFE">
        <w:rPr>
          <w:rFonts w:ascii="Arial" w:hAnsi="Arial" w:cs="Arial"/>
        </w:rPr>
        <w:t xml:space="preserve">, </w:t>
      </w:r>
      <w:r w:rsidRPr="000A3CFE">
        <w:rPr>
          <w:rFonts w:ascii="Arial" w:hAnsi="Arial" w:cs="Arial"/>
          <w:i/>
          <w:iCs/>
        </w:rPr>
        <w:t>33</w:t>
      </w:r>
      <w:r w:rsidRPr="000A3CFE">
        <w:rPr>
          <w:rFonts w:ascii="Arial" w:hAnsi="Arial" w:cs="Arial"/>
        </w:rPr>
        <w:t xml:space="preserve">(2), p.102239. </w:t>
      </w:r>
      <w:hyperlink r:id="rId36">
        <w:r w:rsidRPr="000A3CFE">
          <w:rPr>
            <w:rFonts w:ascii="Arial" w:hAnsi="Arial" w:cs="Arial"/>
            <w:u w:val="single"/>
          </w:rPr>
          <w:t>https://www.sciencedirect.com/science/article/pii/S0969593123001397</w:t>
        </w:r>
      </w:hyperlink>
    </w:p>
    <w:p w14:paraId="44866AEC"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lastRenderedPageBreak/>
        <w:t xml:space="preserve">The Culture Factor (2025). </w:t>
      </w:r>
      <w:r w:rsidRPr="000A3CFE">
        <w:rPr>
          <w:rFonts w:ascii="Arial" w:hAnsi="Arial" w:cs="Arial"/>
          <w:i/>
          <w:iCs/>
        </w:rPr>
        <w:t>Country comparison tool</w:t>
      </w:r>
      <w:r w:rsidRPr="000A3CFE">
        <w:rPr>
          <w:rFonts w:ascii="Arial" w:hAnsi="Arial" w:cs="Arial"/>
        </w:rPr>
        <w:t xml:space="preserve">. [online] Theculturefactor.com. Available at: </w:t>
      </w:r>
      <w:hyperlink r:id="rId37">
        <w:r w:rsidRPr="000A3CFE">
          <w:rPr>
            <w:rFonts w:ascii="Arial" w:hAnsi="Arial" w:cs="Arial"/>
            <w:u w:val="single"/>
          </w:rPr>
          <w:t>https://www.theculturefactor.com/country-comparison-tool?countries=india%2Cswitzerland</w:t>
        </w:r>
      </w:hyperlink>
      <w:r w:rsidRPr="000A3CFE">
        <w:rPr>
          <w:rFonts w:ascii="Arial" w:hAnsi="Arial" w:cs="Arial"/>
        </w:rPr>
        <w:t>.</w:t>
      </w:r>
    </w:p>
    <w:p w14:paraId="73C0B41A"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Times of India (2025). </w:t>
      </w:r>
      <w:r w:rsidRPr="000A3CFE">
        <w:rPr>
          <w:rFonts w:ascii="Arial" w:hAnsi="Arial" w:cs="Arial"/>
          <w:i/>
          <w:iCs/>
        </w:rPr>
        <w:t>‘Maggi crisis was one of the greatest challenges of career’</w:t>
      </w:r>
      <w:r w:rsidRPr="000A3CFE">
        <w:rPr>
          <w:rFonts w:ascii="Arial" w:hAnsi="Arial" w:cs="Arial"/>
        </w:rPr>
        <w:t xml:space="preserve">. [online] The Times of India. Available at: </w:t>
      </w:r>
      <w:hyperlink r:id="rId38">
        <w:r w:rsidRPr="000A3CFE">
          <w:rPr>
            <w:rFonts w:ascii="Arial" w:hAnsi="Arial" w:cs="Arial"/>
            <w:u w:val="single"/>
          </w:rPr>
          <w:t>https://timesofindia.indiatimes.com/business/india-business/maggi-crisis-was-one-of-the-greatest-challenges-of-career/articleshow/121606582.cms</w:t>
        </w:r>
      </w:hyperlink>
      <w:r w:rsidRPr="000A3CFE">
        <w:rPr>
          <w:rFonts w:ascii="Arial" w:hAnsi="Arial" w:cs="Arial"/>
        </w:rPr>
        <w:t>.</w:t>
      </w:r>
    </w:p>
    <w:p w14:paraId="42CA3784"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Tongo Nancy, I., Adeyemi </w:t>
      </w:r>
      <w:proofErr w:type="spellStart"/>
      <w:r w:rsidRPr="000A3CFE">
        <w:rPr>
          <w:rFonts w:ascii="Arial" w:hAnsi="Arial" w:cs="Arial"/>
        </w:rPr>
        <w:t>Balikis</w:t>
      </w:r>
      <w:proofErr w:type="spellEnd"/>
      <w:r w:rsidRPr="000A3CFE">
        <w:rPr>
          <w:rFonts w:ascii="Arial" w:hAnsi="Arial" w:cs="Arial"/>
        </w:rPr>
        <w:t xml:space="preserve">, A., </w:t>
      </w:r>
      <w:proofErr w:type="spellStart"/>
      <w:r w:rsidRPr="000A3CFE">
        <w:rPr>
          <w:rFonts w:ascii="Arial" w:hAnsi="Arial" w:cs="Arial"/>
        </w:rPr>
        <w:t>Tunday</w:t>
      </w:r>
      <w:proofErr w:type="spellEnd"/>
      <w:r w:rsidRPr="000A3CFE">
        <w:rPr>
          <w:rFonts w:ascii="Arial" w:hAnsi="Arial" w:cs="Arial"/>
        </w:rPr>
        <w:t xml:space="preserve">-Lawal </w:t>
      </w:r>
      <w:proofErr w:type="spellStart"/>
      <w:r w:rsidRPr="000A3CFE">
        <w:rPr>
          <w:rFonts w:ascii="Arial" w:hAnsi="Arial" w:cs="Arial"/>
        </w:rPr>
        <w:t>Funlola</w:t>
      </w:r>
      <w:proofErr w:type="spellEnd"/>
      <w:r w:rsidRPr="000A3CFE">
        <w:rPr>
          <w:rFonts w:ascii="Arial" w:hAnsi="Arial" w:cs="Arial"/>
        </w:rPr>
        <w:t xml:space="preserve">, S., </w:t>
      </w:r>
      <w:proofErr w:type="spellStart"/>
      <w:r w:rsidRPr="000A3CFE">
        <w:rPr>
          <w:rFonts w:ascii="Arial" w:hAnsi="Arial" w:cs="Arial"/>
        </w:rPr>
        <w:t>Nnoli</w:t>
      </w:r>
      <w:proofErr w:type="spellEnd"/>
      <w:r w:rsidRPr="000A3CFE">
        <w:rPr>
          <w:rFonts w:ascii="Arial" w:hAnsi="Arial" w:cs="Arial"/>
        </w:rPr>
        <w:t xml:space="preserve"> Ikenna, T. and </w:t>
      </w:r>
      <w:proofErr w:type="spellStart"/>
      <w:r w:rsidRPr="000A3CFE">
        <w:rPr>
          <w:rFonts w:ascii="Arial" w:hAnsi="Arial" w:cs="Arial"/>
        </w:rPr>
        <w:t>Olawunmi</w:t>
      </w:r>
      <w:proofErr w:type="spellEnd"/>
      <w:r w:rsidRPr="000A3CFE">
        <w:rPr>
          <w:rFonts w:ascii="Arial" w:hAnsi="Arial" w:cs="Arial"/>
        </w:rPr>
        <w:t xml:space="preserve"> Oluwaseun, D. (2025). Globalisation and Sustainable Human Resource Management Practices in the Manufacturing Sector. </w:t>
      </w:r>
      <w:hyperlink r:id="rId39">
        <w:r w:rsidRPr="000A3CFE">
          <w:rPr>
            <w:rFonts w:ascii="Arial" w:hAnsi="Arial" w:cs="Arial"/>
            <w:u w:val="single"/>
          </w:rPr>
          <w:t>https://www.multiresearchjournal.com/admin/uploads/archives/archive-1759904824.pdf</w:t>
        </w:r>
      </w:hyperlink>
    </w:p>
    <w:p w14:paraId="62C09659"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Wang, N., Ma, Y., Choi, Y. and Kang, S. (2025). Efficiency Evaluation of the World’s Top Ten Seed Companies: Static and Dynamic Analysis in the Context of Global Consolidation and Sustainability Challenges. </w:t>
      </w:r>
      <w:r w:rsidRPr="000A3CFE">
        <w:rPr>
          <w:rFonts w:ascii="Arial" w:hAnsi="Arial" w:cs="Arial"/>
          <w:i/>
          <w:iCs/>
          <w:highlight w:val="white"/>
        </w:rPr>
        <w:t>Sustainability</w:t>
      </w:r>
      <w:r w:rsidRPr="000A3CFE">
        <w:rPr>
          <w:rFonts w:ascii="Arial" w:hAnsi="Arial" w:cs="Arial"/>
          <w:highlight w:val="white"/>
        </w:rPr>
        <w:t xml:space="preserve">, </w:t>
      </w:r>
      <w:r w:rsidRPr="000A3CFE">
        <w:rPr>
          <w:rFonts w:ascii="Arial" w:hAnsi="Arial" w:cs="Arial"/>
          <w:i/>
          <w:iCs/>
          <w:highlight w:val="white"/>
        </w:rPr>
        <w:t>17</w:t>
      </w:r>
      <w:r w:rsidRPr="000A3CFE">
        <w:rPr>
          <w:rFonts w:ascii="Arial" w:hAnsi="Arial" w:cs="Arial"/>
          <w:highlight w:val="white"/>
        </w:rPr>
        <w:t xml:space="preserve">(8), p.3346. </w:t>
      </w:r>
      <w:hyperlink r:id="rId40">
        <w:r w:rsidRPr="000A3CFE">
          <w:rPr>
            <w:rFonts w:ascii="Arial" w:hAnsi="Arial" w:cs="Arial"/>
            <w:highlight w:val="white"/>
            <w:u w:val="single"/>
          </w:rPr>
          <w:t>https://www.mdpi.com/2071-1050/17/8/3346</w:t>
        </w:r>
      </w:hyperlink>
    </w:p>
    <w:p w14:paraId="1154B48B" w14:textId="77777777" w:rsidR="007E7896" w:rsidRPr="000A3CFE" w:rsidRDefault="007E7896" w:rsidP="007E7896">
      <w:pPr>
        <w:spacing w:line="360" w:lineRule="auto"/>
        <w:rPr>
          <w:rFonts w:ascii="Arial" w:hAnsi="Arial" w:cs="Arial"/>
          <w:highlight w:val="white"/>
        </w:rPr>
      </w:pPr>
    </w:p>
    <w:p w14:paraId="799EF4A9" w14:textId="77777777" w:rsidR="007E7896" w:rsidRPr="000A3CFE" w:rsidRDefault="007E7896" w:rsidP="007E7896">
      <w:pPr>
        <w:spacing w:line="360" w:lineRule="auto"/>
        <w:rPr>
          <w:rFonts w:ascii="Arial" w:hAnsi="Arial" w:cs="Arial"/>
          <w:highlight w:val="white"/>
        </w:rPr>
      </w:pPr>
    </w:p>
    <w:p w14:paraId="621CF220" w14:textId="77777777" w:rsidR="007E7896" w:rsidRPr="000A3CFE" w:rsidRDefault="007E7896" w:rsidP="007E7896">
      <w:pPr>
        <w:spacing w:line="360" w:lineRule="auto"/>
        <w:rPr>
          <w:rFonts w:ascii="Arial" w:hAnsi="Arial" w:cs="Arial"/>
          <w:highlight w:val="white"/>
        </w:rPr>
      </w:pPr>
    </w:p>
    <w:p w14:paraId="0B81A3D9" w14:textId="77777777" w:rsidR="007E7896" w:rsidRPr="000A3CFE" w:rsidRDefault="007E7896" w:rsidP="007E7896">
      <w:pPr>
        <w:spacing w:line="360" w:lineRule="auto"/>
        <w:rPr>
          <w:rFonts w:ascii="Arial" w:hAnsi="Arial" w:cs="Arial"/>
          <w:highlight w:val="white"/>
        </w:rPr>
      </w:pPr>
    </w:p>
    <w:p w14:paraId="077776BB" w14:textId="77777777" w:rsidR="007E7896" w:rsidRPr="000A3CFE" w:rsidRDefault="007E7896" w:rsidP="007E7896">
      <w:pPr>
        <w:spacing w:line="360" w:lineRule="auto"/>
        <w:rPr>
          <w:rFonts w:ascii="Arial" w:hAnsi="Arial" w:cs="Arial"/>
          <w:highlight w:val="white"/>
        </w:rPr>
      </w:pPr>
    </w:p>
    <w:p w14:paraId="0D128E92" w14:textId="77777777" w:rsidR="007E7896" w:rsidRPr="000A3CFE" w:rsidRDefault="007E7896" w:rsidP="007E7896">
      <w:pPr>
        <w:spacing w:line="360" w:lineRule="auto"/>
        <w:rPr>
          <w:rFonts w:ascii="Arial" w:hAnsi="Arial" w:cs="Arial"/>
          <w:highlight w:val="white"/>
        </w:rPr>
      </w:pPr>
    </w:p>
    <w:p w14:paraId="1BF43814" w14:textId="77777777" w:rsidR="007E7896" w:rsidRPr="000A3CFE" w:rsidRDefault="007E7896" w:rsidP="007E7896">
      <w:pPr>
        <w:spacing w:line="360" w:lineRule="auto"/>
        <w:rPr>
          <w:rFonts w:ascii="Arial" w:hAnsi="Arial" w:cs="Arial"/>
          <w:highlight w:val="white"/>
        </w:rPr>
      </w:pPr>
    </w:p>
    <w:p w14:paraId="03182439" w14:textId="77777777" w:rsidR="007E7896" w:rsidRPr="000A3CFE" w:rsidRDefault="007E7896" w:rsidP="007E7896">
      <w:pPr>
        <w:spacing w:line="360" w:lineRule="auto"/>
        <w:rPr>
          <w:rFonts w:ascii="Arial" w:hAnsi="Arial" w:cs="Arial"/>
        </w:rPr>
      </w:pPr>
    </w:p>
    <w:p w14:paraId="503240B9" w14:textId="77777777" w:rsidR="007E7896" w:rsidRPr="000A3CFE" w:rsidRDefault="007E7896" w:rsidP="007E7896">
      <w:pPr>
        <w:pBdr>
          <w:top w:val="nil"/>
          <w:left w:val="nil"/>
          <w:bottom w:val="nil"/>
          <w:right w:val="nil"/>
          <w:between w:val="nil"/>
        </w:pBdr>
        <w:spacing w:line="360" w:lineRule="auto"/>
        <w:rPr>
          <w:rFonts w:ascii="Arial" w:hAnsi="Arial" w:cs="Arial"/>
        </w:rPr>
      </w:pPr>
    </w:p>
    <w:p w14:paraId="32E9E4E2" w14:textId="77777777" w:rsidR="007E7896" w:rsidRPr="000A3CFE" w:rsidRDefault="007E7896" w:rsidP="007E7896">
      <w:pPr>
        <w:pBdr>
          <w:top w:val="nil"/>
          <w:left w:val="nil"/>
          <w:bottom w:val="nil"/>
          <w:right w:val="nil"/>
          <w:between w:val="nil"/>
        </w:pBdr>
        <w:spacing w:line="360" w:lineRule="auto"/>
        <w:rPr>
          <w:rFonts w:ascii="Arial" w:hAnsi="Arial" w:cs="Arial"/>
        </w:rPr>
      </w:pPr>
    </w:p>
    <w:p w14:paraId="6D02BEC1" w14:textId="77777777" w:rsidR="00CC6065" w:rsidRPr="000A3CFE" w:rsidRDefault="00CC6065">
      <w:pPr>
        <w:rPr>
          <w:rFonts w:ascii="Arial" w:hAnsi="Arial" w:cs="Arial"/>
        </w:rPr>
      </w:pPr>
    </w:p>
    <w:sectPr w:rsidR="00CC6065" w:rsidRPr="000A3CFE" w:rsidSect="00D66C8E">
      <w:footerReference w:type="default" r:id="rId41"/>
      <w:footerReference w:type="firs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84FD6" w14:textId="77777777" w:rsidR="00F65645" w:rsidRDefault="00F65645">
      <w:pPr>
        <w:spacing w:line="240" w:lineRule="auto"/>
      </w:pPr>
      <w:r>
        <w:separator/>
      </w:r>
    </w:p>
  </w:endnote>
  <w:endnote w:type="continuationSeparator" w:id="0">
    <w:p w14:paraId="23ED2E76" w14:textId="77777777" w:rsidR="00F65645" w:rsidRDefault="00F65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19E65" w14:textId="77777777" w:rsidR="009321D8" w:rsidRDefault="0029674E">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noProof/>
        <w:color w:val="000000"/>
      </w:rPr>
      <w:t>1</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noProof/>
        <w:color w:val="000000"/>
      </w:rPr>
      <w:t>3</w:t>
    </w:r>
    <w:r>
      <w:rPr>
        <w:b/>
        <w:bCs/>
        <w:color w:val="000000"/>
      </w:rPr>
      <w:fldChar w:fldCharType="end"/>
    </w:r>
  </w:p>
  <w:p w14:paraId="3C365977" w14:textId="77777777" w:rsidR="009321D8" w:rsidRDefault="00F65645">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644E2" w14:textId="77777777" w:rsidR="009321D8" w:rsidRDefault="0029674E">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noProof/>
        <w:color w:val="000000"/>
      </w:rPr>
      <w:t>0</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noProof/>
        <w:color w:val="000000"/>
      </w:rPr>
      <w:t>2</w:t>
    </w:r>
    <w:r>
      <w:rPr>
        <w:b/>
        <w:bCs/>
        <w:color w:val="000000"/>
      </w:rPr>
      <w:fldChar w:fldCharType="end"/>
    </w:r>
  </w:p>
  <w:p w14:paraId="073D7FBA" w14:textId="77777777" w:rsidR="009321D8" w:rsidRDefault="00F6564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F4109" w14:textId="77777777" w:rsidR="00F65645" w:rsidRDefault="00F65645">
      <w:pPr>
        <w:spacing w:line="240" w:lineRule="auto"/>
      </w:pPr>
      <w:r>
        <w:separator/>
      </w:r>
    </w:p>
  </w:footnote>
  <w:footnote w:type="continuationSeparator" w:id="0">
    <w:p w14:paraId="08FC7D16" w14:textId="77777777" w:rsidR="00F65645" w:rsidRDefault="00F656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7557C"/>
    <w:multiLevelType w:val="multilevel"/>
    <w:tmpl w:val="751041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EA640AF"/>
    <w:multiLevelType w:val="multilevel"/>
    <w:tmpl w:val="E2FED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F4482F"/>
    <w:multiLevelType w:val="multilevel"/>
    <w:tmpl w:val="EFCC14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62A7336"/>
    <w:multiLevelType w:val="multilevel"/>
    <w:tmpl w:val="414EDA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896"/>
    <w:rsid w:val="000A3CFE"/>
    <w:rsid w:val="001B50C4"/>
    <w:rsid w:val="00204FE8"/>
    <w:rsid w:val="0029674E"/>
    <w:rsid w:val="005436B7"/>
    <w:rsid w:val="007E7896"/>
    <w:rsid w:val="009A6085"/>
    <w:rsid w:val="00A272B6"/>
    <w:rsid w:val="00C739B1"/>
    <w:rsid w:val="00CC6065"/>
    <w:rsid w:val="00F656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4DB0A"/>
  <w15:chartTrackingRefBased/>
  <w15:docId w15:val="{5CA38C72-02DD-4487-8F9F-52FC9C63E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896"/>
    <w:pPr>
      <w:spacing w:after="0" w:line="276" w:lineRule="auto"/>
      <w:jc w:val="both"/>
    </w:pPr>
    <w:rPr>
      <w:rFonts w:ascii="Times New Roman" w:eastAsia="Times New Roman" w:hAnsi="Times New Roman" w:cs="Times New Roman"/>
      <w:sz w:val="24"/>
      <w:szCs w:val="24"/>
      <w:lang w:val="en-GB" w:eastAsia="en-IN"/>
    </w:rPr>
  </w:style>
  <w:style w:type="paragraph" w:styleId="Heading1">
    <w:name w:val="heading 1"/>
    <w:basedOn w:val="Normal"/>
    <w:next w:val="Normal"/>
    <w:link w:val="Heading1Char"/>
    <w:uiPriority w:val="9"/>
    <w:qFormat/>
    <w:rsid w:val="007E7896"/>
    <w:pPr>
      <w:keepNext/>
      <w:keepLines/>
      <w:spacing w:before="400" w:after="120" w:line="360" w:lineRule="auto"/>
      <w:outlineLvl w:val="0"/>
    </w:pPr>
    <w:rPr>
      <w:b/>
      <w:bCs/>
      <w:sz w:val="28"/>
      <w:szCs w:val="28"/>
    </w:rPr>
  </w:style>
  <w:style w:type="paragraph" w:styleId="Heading2">
    <w:name w:val="heading 2"/>
    <w:basedOn w:val="Normal"/>
    <w:next w:val="Normal"/>
    <w:link w:val="Heading2Char"/>
    <w:uiPriority w:val="9"/>
    <w:unhideWhenUsed/>
    <w:qFormat/>
    <w:rsid w:val="007E7896"/>
    <w:pPr>
      <w:keepNext/>
      <w:keepLines/>
      <w:spacing w:before="360" w:after="120" w:line="360" w:lineRule="auto"/>
      <w:outlineLvl w:val="1"/>
    </w:pPr>
    <w:rPr>
      <w:b/>
      <w:bCs/>
    </w:rPr>
  </w:style>
  <w:style w:type="paragraph" w:styleId="Heading3">
    <w:name w:val="heading 3"/>
    <w:basedOn w:val="Normal"/>
    <w:next w:val="Normal"/>
    <w:link w:val="Heading3Char"/>
    <w:uiPriority w:val="9"/>
    <w:semiHidden/>
    <w:unhideWhenUsed/>
    <w:qFormat/>
    <w:rsid w:val="009A608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896"/>
    <w:rPr>
      <w:rFonts w:ascii="Times New Roman" w:eastAsia="Times New Roman" w:hAnsi="Times New Roman" w:cs="Times New Roman"/>
      <w:b/>
      <w:bCs/>
      <w:sz w:val="28"/>
      <w:szCs w:val="28"/>
      <w:lang w:val="en-GB" w:eastAsia="en-IN"/>
    </w:rPr>
  </w:style>
  <w:style w:type="character" w:customStyle="1" w:styleId="Heading2Char">
    <w:name w:val="Heading 2 Char"/>
    <w:basedOn w:val="DefaultParagraphFont"/>
    <w:link w:val="Heading2"/>
    <w:uiPriority w:val="9"/>
    <w:rsid w:val="007E7896"/>
    <w:rPr>
      <w:rFonts w:ascii="Times New Roman" w:eastAsia="Times New Roman" w:hAnsi="Times New Roman" w:cs="Times New Roman"/>
      <w:b/>
      <w:bCs/>
      <w:sz w:val="24"/>
      <w:szCs w:val="24"/>
      <w:lang w:val="en-GB" w:eastAsia="en-IN"/>
    </w:rPr>
  </w:style>
  <w:style w:type="character" w:styleId="Hyperlink">
    <w:name w:val="Hyperlink"/>
    <w:basedOn w:val="DefaultParagraphFont"/>
    <w:uiPriority w:val="99"/>
    <w:unhideWhenUsed/>
    <w:rsid w:val="007E7896"/>
    <w:rPr>
      <w:color w:val="0563C1" w:themeColor="hyperlink"/>
      <w:u w:val="single"/>
    </w:rPr>
  </w:style>
  <w:style w:type="paragraph" w:styleId="TOC1">
    <w:name w:val="toc 1"/>
    <w:basedOn w:val="Normal"/>
    <w:next w:val="Normal"/>
    <w:autoRedefine/>
    <w:uiPriority w:val="39"/>
    <w:unhideWhenUsed/>
    <w:rsid w:val="007E7896"/>
    <w:pPr>
      <w:spacing w:after="100"/>
    </w:pPr>
  </w:style>
  <w:style w:type="paragraph" w:styleId="TOC2">
    <w:name w:val="toc 2"/>
    <w:basedOn w:val="Normal"/>
    <w:next w:val="Normal"/>
    <w:autoRedefine/>
    <w:uiPriority w:val="39"/>
    <w:unhideWhenUsed/>
    <w:rsid w:val="007E7896"/>
    <w:pPr>
      <w:spacing w:after="100"/>
      <w:ind w:left="220"/>
    </w:pPr>
  </w:style>
  <w:style w:type="character" w:customStyle="1" w:styleId="Heading3Char">
    <w:name w:val="Heading 3 Char"/>
    <w:basedOn w:val="DefaultParagraphFont"/>
    <w:link w:val="Heading3"/>
    <w:uiPriority w:val="9"/>
    <w:semiHidden/>
    <w:rsid w:val="009A6085"/>
    <w:rPr>
      <w:rFonts w:asciiTheme="majorHAnsi" w:eastAsiaTheme="majorEastAsia" w:hAnsiTheme="majorHAnsi" w:cstheme="majorBidi"/>
      <w:color w:val="1F3763" w:themeColor="accent1" w:themeShade="7F"/>
      <w:sz w:val="24"/>
      <w:szCs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iopscience.iop.org/article/10.1088/1748-9326/ad5a24/pdf" TargetMode="External"/><Relationship Id="rId26" Type="http://schemas.openxmlformats.org/officeDocument/2006/relationships/hyperlink" Target="https://dspace.bracu.ac.bd:8443/xmlui/bitstream/handle/10361/16890/18104173_BBA.pdf?sequence=1&amp;isAllowed=y" TargetMode="External"/><Relationship Id="rId39" Type="http://schemas.openxmlformats.org/officeDocument/2006/relationships/hyperlink" Target="https://www.multiresearchjournal.com/admin/uploads/archives/archive-1759904824.pdf" TargetMode="External"/><Relationship Id="rId21" Type="http://schemas.openxmlformats.org/officeDocument/2006/relationships/hyperlink" Target="https://www.researchgate.net/profile/Pierre-Yves-Donze/publication/391802120_International_human_resource_management_and_political_risks_Nestle_in_the_Global_South_during_the_Cold_War_1950-1980/links/682bf48cdf0e3f544f556fd1/International-human-resource-management-and-political-risks-Nestle-in-the-Global-South-during-the-Cold-War-1950-1980.pdf" TargetMode="External"/><Relationship Id="rId34" Type="http://schemas.openxmlformats.org/officeDocument/2006/relationships/hyperlink" Target="https://hau.repository.guildhe.ac.uk/id/eprint/18149/1/J%20Statham%20Strengthening%20the%20UKs%20Food%20Security%20VoR.%20OCR%20UPLOADpdf.pdf"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altodoc.aalto.fi/server/api/core/bitstreams/d55aa33d-6844-4db2-bf32-ff470a06cbd8/content" TargetMode="External"/><Relationship Id="rId20" Type="http://schemas.openxmlformats.org/officeDocument/2006/relationships/hyperlink" Target="https://ibn.idsi.md/sites/default/files/j_nr_file/Full-Vol.-XXIII-Issue-2-2023.pdf" TargetMode="External"/><Relationship Id="rId29" Type="http://schemas.openxmlformats.org/officeDocument/2006/relationships/hyperlink" Target="https://www.nestle.in/"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campusontario.pressbooks.pub/globalmarketing/chapter/6-1-international-entry-modes/" TargetMode="External"/><Relationship Id="rId32" Type="http://schemas.openxmlformats.org/officeDocument/2006/relationships/hyperlink" Target="https://www.nestle.com/sites/default/files/2025-05/nestle-dip-30-may-2024.pdf" TargetMode="External"/><Relationship Id="rId37" Type="http://schemas.openxmlformats.org/officeDocument/2006/relationships/hyperlink" Target="https://www.theculturefactor.com/country-comparison-tool?countries=india%2Cswitzerland" TargetMode="External"/><Relationship Id="rId40" Type="http://schemas.openxmlformats.org/officeDocument/2006/relationships/hyperlink" Target="https://www.mdpi.com/2071-1050/17/8/3346" TargetMode="External"/><Relationship Id="rId5" Type="http://schemas.openxmlformats.org/officeDocument/2006/relationships/footnotes" Target="footnotes.xml"/><Relationship Id="rId15" Type="http://schemas.openxmlformats.org/officeDocument/2006/relationships/hyperlink" Target="https://www.wallstreetmojo.com/eclectic-paradigm/" TargetMode="External"/><Relationship Id="rId23" Type="http://schemas.openxmlformats.org/officeDocument/2006/relationships/hyperlink" Target="https://www.ft.com/content/0bc5b039-c059-4544-bdcf-6c7c2434e37b" TargetMode="External"/><Relationship Id="rId28" Type="http://schemas.openxmlformats.org/officeDocument/2006/relationships/hyperlink" Target="https://ijsser.org/2024files/ijsser_09__217.pdf" TargetMode="External"/><Relationship Id="rId36" Type="http://schemas.openxmlformats.org/officeDocument/2006/relationships/hyperlink" Target="https://www.sciencedirect.com/science/article/pii/S0969593123001397" TargetMode="External"/><Relationship Id="rId10" Type="http://schemas.openxmlformats.org/officeDocument/2006/relationships/image" Target="media/image4.png"/><Relationship Id="rId19"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31" Type="http://schemas.openxmlformats.org/officeDocument/2006/relationships/hyperlink" Target="https://www.nestle.in/about-us/our-factorie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content/pdf/10.1007/s10490-020-09737-7.pdf" TargetMode="External"/><Relationship Id="rId22" Type="http://schemas.openxmlformats.org/officeDocument/2006/relationships/hyperlink" Target="https://osuva.uwasa.fi/server/api/core/bitstreams/af9831f7-ccfe-406b-a2cb-9f8b87ec2834/content" TargetMode="External"/><Relationship Id="rId27" Type="http://schemas.openxmlformats.org/officeDocument/2006/relationships/hyperlink" Target="https://lup.lub.lu.se/luur/download?func=downloadFile&amp;recordOId=9198761&amp;fileOId=9198782" TargetMode="External"/><Relationship Id="rId30" Type="http://schemas.openxmlformats.org/officeDocument/2006/relationships/hyperlink" Target="https://www.nestle.com/sites/default/files/2025-02/annual-review-2024-en.pdf" TargetMode="External"/><Relationship Id="rId35" Type="http://schemas.openxmlformats.org/officeDocument/2006/relationships/hyperlink" Target="https://www.statista.com/statistics/1112823/india-growth-of-fmcg-sector/?srsltid=AfmBOooarMf323NZGLtcn7riAmVI0g6xdsMjP84Nq1ZARZgW2ByNExZm"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searchgate.net/profile/Punitha-Sinnappan/publication/362208869_Factors_Influencing_Foreign_Direct_Investment_FDI_Location_Selection_A_Review_of_the_Literature/links/62dbc7d6aa5823729ed9f784/Factors-Influencing-Foreign-Direct-Investment-FDI-Location-Selection-A-Review-of-the-Literature.pdf" TargetMode="External"/><Relationship Id="rId25" Type="http://schemas.openxmlformats.org/officeDocument/2006/relationships/hyperlink" Target="https://www.theseus.fi/bitstream/handle/10024/782425/GonzalezAlonso_Rodrigo.pdf?sequence=2" TargetMode="External"/><Relationship Id="rId33" Type="http://schemas.openxmlformats.org/officeDocument/2006/relationships/hyperlink" Target="https://dspace.khadi.kharkov.ua/server/api/core/bitstreams/6a4a5dab-17a5-450b-9144-9bb752d537c2/content" TargetMode="External"/><Relationship Id="rId38" Type="http://schemas.openxmlformats.org/officeDocument/2006/relationships/hyperlink" Target="https://timesofindia.indiatimes.com/business/india-business/maggi-crisis-was-one-of-the-greatest-challenges-of-career/articleshow/121606582.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28</Pages>
  <Words>8101</Words>
  <Characters>46180</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korat</dc:creator>
  <cp:keywords/>
  <dc:description/>
  <cp:lastModifiedBy>harshil korat</cp:lastModifiedBy>
  <cp:revision>4</cp:revision>
  <dcterms:created xsi:type="dcterms:W3CDTF">2025-12-11T13:47:00Z</dcterms:created>
  <dcterms:modified xsi:type="dcterms:W3CDTF">2025-12-11T20:38:00Z</dcterms:modified>
</cp:coreProperties>
</file>