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F0518" w14:textId="77777777" w:rsidR="006808C1" w:rsidRDefault="006808C1" w:rsidP="006E57C8">
      <w:pPr>
        <w:spacing w:line="360" w:lineRule="auto"/>
        <w:jc w:val="center"/>
        <w:rPr>
          <w:rFonts w:ascii="Times New Roman" w:eastAsia="Times New Roman" w:hAnsi="Times New Roman" w:cs="Times New Roman"/>
          <w:b/>
          <w:sz w:val="32"/>
          <w:szCs w:val="32"/>
        </w:rPr>
      </w:pPr>
    </w:p>
    <w:p w14:paraId="488345CE" w14:textId="77777777" w:rsidR="006808C1" w:rsidRDefault="006808C1" w:rsidP="006E57C8">
      <w:pPr>
        <w:spacing w:line="360" w:lineRule="auto"/>
        <w:jc w:val="center"/>
        <w:rPr>
          <w:rFonts w:ascii="Times New Roman" w:eastAsia="Times New Roman" w:hAnsi="Times New Roman" w:cs="Times New Roman"/>
          <w:b/>
          <w:sz w:val="32"/>
          <w:szCs w:val="32"/>
        </w:rPr>
      </w:pPr>
    </w:p>
    <w:p w14:paraId="6F19D2BD" w14:textId="77777777" w:rsidR="006808C1" w:rsidRDefault="006808C1" w:rsidP="006E57C8">
      <w:pPr>
        <w:spacing w:line="360" w:lineRule="auto"/>
        <w:jc w:val="center"/>
        <w:rPr>
          <w:rFonts w:ascii="Times New Roman" w:eastAsia="Times New Roman" w:hAnsi="Times New Roman" w:cs="Times New Roman"/>
          <w:b/>
          <w:sz w:val="32"/>
          <w:szCs w:val="32"/>
        </w:rPr>
      </w:pPr>
    </w:p>
    <w:p w14:paraId="4CB693DF" w14:textId="33528AC7" w:rsidR="00B56816" w:rsidRDefault="00C96E43" w:rsidP="006E57C8">
      <w:pPr>
        <w:spacing w:line="360" w:lineRule="auto"/>
        <w:jc w:val="center"/>
        <w:rPr>
          <w:rFonts w:ascii="Times New Roman" w:eastAsia="Times New Roman" w:hAnsi="Times New Roman" w:cs="Times New Roman"/>
          <w:b/>
          <w:sz w:val="32"/>
          <w:szCs w:val="32"/>
        </w:rPr>
      </w:pPr>
      <w:r w:rsidRPr="00C96E43">
        <w:rPr>
          <w:rFonts w:ascii="Times New Roman" w:eastAsia="Times New Roman" w:hAnsi="Times New Roman" w:cs="Times New Roman"/>
          <w:b/>
          <w:sz w:val="32"/>
          <w:szCs w:val="32"/>
        </w:rPr>
        <w:t>Professional Career</w:t>
      </w:r>
      <w:r>
        <w:rPr>
          <w:rFonts w:ascii="Times New Roman" w:eastAsia="Times New Roman" w:hAnsi="Times New Roman" w:cs="Times New Roman"/>
          <w:b/>
          <w:sz w:val="32"/>
          <w:szCs w:val="32"/>
        </w:rPr>
        <w:t xml:space="preserve"> </w:t>
      </w:r>
      <w:r w:rsidRPr="00C96E43">
        <w:rPr>
          <w:rFonts w:ascii="Times New Roman" w:eastAsia="Times New Roman" w:hAnsi="Times New Roman" w:cs="Times New Roman"/>
          <w:b/>
          <w:sz w:val="32"/>
          <w:szCs w:val="32"/>
        </w:rPr>
        <w:t>Development Reflection and</w:t>
      </w:r>
      <w:r>
        <w:rPr>
          <w:rFonts w:ascii="Times New Roman" w:eastAsia="Times New Roman" w:hAnsi="Times New Roman" w:cs="Times New Roman"/>
          <w:b/>
          <w:sz w:val="32"/>
          <w:szCs w:val="32"/>
        </w:rPr>
        <w:t xml:space="preserve"> </w:t>
      </w:r>
      <w:r w:rsidRPr="00C96E43">
        <w:rPr>
          <w:rFonts w:ascii="Times New Roman" w:eastAsia="Times New Roman" w:hAnsi="Times New Roman" w:cs="Times New Roman"/>
          <w:b/>
          <w:sz w:val="32"/>
          <w:szCs w:val="32"/>
        </w:rPr>
        <w:t>Job Interview</w:t>
      </w:r>
    </w:p>
    <w:p w14:paraId="2AB28717" w14:textId="64EE6C7F" w:rsidR="006640C7" w:rsidRDefault="006640C7" w:rsidP="006E57C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2C755D">
        <w:rPr>
          <w:rFonts w:ascii="Times New Roman" w:eastAsia="Times New Roman" w:hAnsi="Times New Roman" w:cs="Times New Roman"/>
          <w:b/>
          <w:sz w:val="32"/>
          <w:szCs w:val="32"/>
        </w:rPr>
        <w:t>Rebeca</w:t>
      </w:r>
      <w:r w:rsidR="00682B01">
        <w:rPr>
          <w:rFonts w:ascii="Times New Roman" w:eastAsia="Times New Roman" w:hAnsi="Times New Roman" w:cs="Times New Roman"/>
          <w:b/>
          <w:sz w:val="32"/>
          <w:szCs w:val="32"/>
        </w:rPr>
        <w:t xml:space="preserve"> Zinca</w:t>
      </w:r>
    </w:p>
    <w:p w14:paraId="29419006" w14:textId="7DD9466F" w:rsidR="006640C7" w:rsidRDefault="006640C7" w:rsidP="006E57C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ID: </w:t>
      </w:r>
      <w:r w:rsidR="00CA52D2">
        <w:rPr>
          <w:rFonts w:ascii="Times New Roman" w:eastAsia="Times New Roman" w:hAnsi="Times New Roman" w:cs="Times New Roman"/>
          <w:b/>
          <w:sz w:val="32"/>
          <w:szCs w:val="32"/>
        </w:rPr>
        <w:t>2332</w:t>
      </w:r>
      <w:r w:rsidR="00FB658F">
        <w:rPr>
          <w:rFonts w:ascii="Times New Roman" w:eastAsia="Times New Roman" w:hAnsi="Times New Roman" w:cs="Times New Roman"/>
          <w:b/>
          <w:sz w:val="32"/>
          <w:szCs w:val="32"/>
        </w:rPr>
        <w:t>735</w:t>
      </w:r>
    </w:p>
    <w:p w14:paraId="7EE8B52C" w14:textId="77777777" w:rsidR="006640C7" w:rsidRPr="006640C7" w:rsidRDefault="006640C7" w:rsidP="006E57C8">
      <w:pPr>
        <w:spacing w:line="360" w:lineRule="auto"/>
        <w:jc w:val="center"/>
        <w:rPr>
          <w:rFonts w:ascii="Times New Roman" w:eastAsia="Times New Roman" w:hAnsi="Times New Roman" w:cs="Times New Roman"/>
          <w:b/>
          <w:sz w:val="32"/>
          <w:szCs w:val="32"/>
        </w:rPr>
      </w:pPr>
      <w:r w:rsidRPr="006640C7">
        <w:rPr>
          <w:rFonts w:ascii="Times New Roman" w:eastAsia="Times New Roman" w:hAnsi="Times New Roman" w:cs="Times New Roman"/>
          <w:b/>
          <w:sz w:val="32"/>
          <w:szCs w:val="32"/>
        </w:rPr>
        <w:t>Module: Professional Career Development</w:t>
      </w:r>
    </w:p>
    <w:p w14:paraId="15C4E344" w14:textId="407B5EA8" w:rsidR="006640C7" w:rsidRPr="006808C1" w:rsidRDefault="006640C7" w:rsidP="006E57C8">
      <w:pPr>
        <w:spacing w:line="360" w:lineRule="auto"/>
        <w:jc w:val="center"/>
        <w:rPr>
          <w:rFonts w:ascii="Times New Roman" w:eastAsia="Times New Roman" w:hAnsi="Times New Roman" w:cs="Times New Roman"/>
          <w:b/>
          <w:sz w:val="32"/>
          <w:szCs w:val="32"/>
        </w:rPr>
      </w:pPr>
      <w:r w:rsidRPr="006640C7">
        <w:rPr>
          <w:rFonts w:ascii="Times New Roman" w:eastAsia="Times New Roman" w:hAnsi="Times New Roman" w:cs="Times New Roman"/>
          <w:b/>
          <w:sz w:val="32"/>
          <w:szCs w:val="32"/>
        </w:rPr>
        <w:t>Module code: BMSW4012</w:t>
      </w:r>
    </w:p>
    <w:p w14:paraId="1353AB8E" w14:textId="77777777" w:rsidR="006808C1" w:rsidRDefault="00854E56" w:rsidP="006E57C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BE91C63" w14:textId="77777777"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8F2C57B"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 career development skills can be crucial for individuals, as they offer a clarified vision for the path to pursue better career opportunities. Therefore, it has also been seen that personal employability skills refer to certain attributes that can carry gaps to affect growth potential. </w:t>
      </w:r>
    </w:p>
    <w:p w14:paraId="648EA60C" w14:textId="77777777"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Reflective knowledge </w:t>
      </w:r>
    </w:p>
    <w:p w14:paraId="4F84F433" w14:textId="77777777" w:rsidR="00B56816" w:rsidRDefault="00854E56" w:rsidP="006E57C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Description </w:t>
      </w:r>
    </w:p>
    <w:p w14:paraId="3A991A33"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Attending the professional career development lectures, it has been clarified to me that the skills I acquired currently are not enough to ensure future growth potential. Furthermore, it also has been clarified to me that there are certain gaps in my current skills, which need to be rectified as soon as possible. The more accurate action can be taken at the early stage of identifying personal gaps, the more efficient and effective the process becomes for overcoming (</w:t>
      </w:r>
      <w:r>
        <w:rPr>
          <w:rFonts w:ascii="Times New Roman" w:eastAsia="Times New Roman" w:hAnsi="Times New Roman" w:cs="Times New Roman"/>
          <w:color w:val="222222"/>
          <w:sz w:val="24"/>
          <w:szCs w:val="24"/>
        </w:rPr>
        <w:t>Lee, K., Gjersoe, N., O'neill, S. and Barnett, J., 2020</w:t>
      </w:r>
      <w:r>
        <w:rPr>
          <w:rFonts w:ascii="Times New Roman" w:eastAsia="Times New Roman" w:hAnsi="Times New Roman" w:cs="Times New Roman"/>
          <w:sz w:val="24"/>
          <w:szCs w:val="24"/>
        </w:rPr>
        <w:t>). I have been able to gain this understanding as I started understanding the gap between others from my age group of mine. Generally it can be seen within human nature that often feeling an inferiority triggers the intention for prioritising improvement (Robertson, Hooley and McCash, 2020). That is the reason I decided to establish a strategic approach to hone my current skills and gain the capability to adopt more skills that can help me in further st</w:t>
      </w:r>
      <w:r>
        <w:rPr>
          <w:rFonts w:ascii="Times New Roman" w:eastAsia="Times New Roman" w:hAnsi="Times New Roman" w:cs="Times New Roman"/>
          <w:sz w:val="24"/>
          <w:szCs w:val="24"/>
        </w:rPr>
        <w:t xml:space="preserve">ages of my life. I have completed thorough research to identify the most suitable paths and practices for myself to achieve the target. </w:t>
      </w:r>
    </w:p>
    <w:p w14:paraId="1E8EEFEB" w14:textId="77777777" w:rsidR="00B56816" w:rsidRDefault="00854E56" w:rsidP="006E57C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Feelings </w:t>
      </w:r>
    </w:p>
    <w:p w14:paraId="6C96D898"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for the starting phase, it was quite challenging for me to accept the gaps I had compared to my batchmates or any individual at present. Even more, I can accept the fact that I have faced quite a bit of frustration for a certain period. Implicating a SWOT analysis for myself has been quite sufficient for me to understand both the possibilities and potential gaps. Therefore, it also has been clarified to me that before attending the lecture, I was quite excited to be able to learn new things. However, the</w:t>
      </w:r>
      <w:r>
        <w:rPr>
          <w:rFonts w:ascii="Times New Roman" w:eastAsia="Times New Roman" w:hAnsi="Times New Roman" w:cs="Times New Roman"/>
          <w:sz w:val="24"/>
          <w:szCs w:val="24"/>
        </w:rPr>
        <w:t xml:space="preserve"> after phase was not quite pleasant for me, as I have mentioned the frustration.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5299F" w14:paraId="78BA312B" w14:textId="77777777">
        <w:tc>
          <w:tcPr>
            <w:tcW w:w="4680" w:type="dxa"/>
            <w:shd w:val="clear" w:color="auto" w:fill="auto"/>
            <w:tcMar>
              <w:top w:w="100" w:type="dxa"/>
              <w:left w:w="100" w:type="dxa"/>
              <w:bottom w:w="100" w:type="dxa"/>
              <w:right w:w="100" w:type="dxa"/>
            </w:tcMar>
          </w:tcPr>
          <w:p w14:paraId="72003155"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 </w:t>
            </w:r>
          </w:p>
        </w:tc>
        <w:tc>
          <w:tcPr>
            <w:tcW w:w="4680" w:type="dxa"/>
            <w:shd w:val="clear" w:color="auto" w:fill="auto"/>
            <w:tcMar>
              <w:top w:w="100" w:type="dxa"/>
              <w:left w:w="100" w:type="dxa"/>
              <w:bottom w:w="100" w:type="dxa"/>
              <w:right w:w="100" w:type="dxa"/>
            </w:tcMar>
          </w:tcPr>
          <w:p w14:paraId="0C717C4C"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w:t>
            </w:r>
          </w:p>
        </w:tc>
      </w:tr>
      <w:tr w:rsidR="0055299F" w14:paraId="74185B43" w14:textId="77777777">
        <w:tc>
          <w:tcPr>
            <w:tcW w:w="4680" w:type="dxa"/>
            <w:shd w:val="clear" w:color="auto" w:fill="auto"/>
            <w:tcMar>
              <w:top w:w="100" w:type="dxa"/>
              <w:left w:w="100" w:type="dxa"/>
              <w:bottom w:w="100" w:type="dxa"/>
              <w:right w:w="100" w:type="dxa"/>
            </w:tcMar>
          </w:tcPr>
          <w:p w14:paraId="19FD3C5A" w14:textId="77777777" w:rsidR="00B56816" w:rsidRDefault="00854E56" w:rsidP="006E57C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Efficiency to interact </w:t>
            </w:r>
          </w:p>
          <w:p w14:paraId="23011ABE" w14:textId="77777777" w:rsidR="00B56816" w:rsidRDefault="00854E56" w:rsidP="006E57C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Gathering reliability </w:t>
            </w:r>
          </w:p>
        </w:tc>
        <w:tc>
          <w:tcPr>
            <w:tcW w:w="4680" w:type="dxa"/>
            <w:shd w:val="clear" w:color="auto" w:fill="auto"/>
            <w:tcMar>
              <w:top w:w="100" w:type="dxa"/>
              <w:left w:w="100" w:type="dxa"/>
              <w:bottom w:w="100" w:type="dxa"/>
              <w:right w:w="100" w:type="dxa"/>
            </w:tcMar>
          </w:tcPr>
          <w:p w14:paraId="7C6BC0E3" w14:textId="77777777" w:rsidR="00B56816" w:rsidRDefault="00854E56" w:rsidP="006E57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Adaptability </w:t>
            </w:r>
          </w:p>
          <w:p w14:paraId="4CD3CAD0" w14:textId="77777777" w:rsidR="00B56816" w:rsidRDefault="00854E56" w:rsidP="006E57C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technological skills </w:t>
            </w:r>
          </w:p>
        </w:tc>
      </w:tr>
      <w:tr w:rsidR="0055299F" w14:paraId="2309F7C4" w14:textId="77777777">
        <w:tc>
          <w:tcPr>
            <w:tcW w:w="4680" w:type="dxa"/>
            <w:shd w:val="clear" w:color="auto" w:fill="auto"/>
            <w:tcMar>
              <w:top w:w="100" w:type="dxa"/>
              <w:left w:w="100" w:type="dxa"/>
              <w:bottom w:w="100" w:type="dxa"/>
              <w:right w:w="100" w:type="dxa"/>
            </w:tcMar>
          </w:tcPr>
          <w:p w14:paraId="6572010A"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Opportunity </w:t>
            </w:r>
          </w:p>
        </w:tc>
        <w:tc>
          <w:tcPr>
            <w:tcW w:w="4680" w:type="dxa"/>
            <w:shd w:val="clear" w:color="auto" w:fill="auto"/>
            <w:tcMar>
              <w:top w:w="100" w:type="dxa"/>
              <w:left w:w="100" w:type="dxa"/>
              <w:bottom w:w="100" w:type="dxa"/>
              <w:right w:w="100" w:type="dxa"/>
            </w:tcMar>
          </w:tcPr>
          <w:p w14:paraId="619EC575"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 </w:t>
            </w:r>
          </w:p>
        </w:tc>
      </w:tr>
      <w:tr w:rsidR="0055299F" w14:paraId="09A848F5" w14:textId="77777777">
        <w:tc>
          <w:tcPr>
            <w:tcW w:w="4680" w:type="dxa"/>
            <w:shd w:val="clear" w:color="auto" w:fill="auto"/>
            <w:tcMar>
              <w:top w:w="100" w:type="dxa"/>
              <w:left w:w="100" w:type="dxa"/>
              <w:bottom w:w="100" w:type="dxa"/>
              <w:right w:w="100" w:type="dxa"/>
            </w:tcMar>
          </w:tcPr>
          <w:p w14:paraId="5072E102" w14:textId="77777777" w:rsidR="00B56816" w:rsidRDefault="00854E56" w:rsidP="006E57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Active listening </w:t>
            </w:r>
          </w:p>
          <w:p w14:paraId="622EFC84" w14:textId="77777777" w:rsidR="00B56816" w:rsidRDefault="00854E56" w:rsidP="006E57C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Cultural fit </w:t>
            </w:r>
          </w:p>
        </w:tc>
        <w:tc>
          <w:tcPr>
            <w:tcW w:w="4680" w:type="dxa"/>
            <w:shd w:val="clear" w:color="auto" w:fill="auto"/>
            <w:tcMar>
              <w:top w:w="100" w:type="dxa"/>
              <w:left w:w="100" w:type="dxa"/>
              <w:bottom w:w="100" w:type="dxa"/>
              <w:right w:w="100" w:type="dxa"/>
            </w:tcMar>
          </w:tcPr>
          <w:p w14:paraId="3F9A3848" w14:textId="77777777" w:rsidR="00B56816" w:rsidRDefault="00854E56" w:rsidP="006E57C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Unable to handle pressure </w:t>
            </w:r>
          </w:p>
          <w:p w14:paraId="1A6E0451" w14:textId="77777777" w:rsidR="00B56816" w:rsidRDefault="00854E56" w:rsidP="006E57C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Competitiveness </w:t>
            </w:r>
          </w:p>
        </w:tc>
      </w:tr>
    </w:tbl>
    <w:p w14:paraId="180394F4"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Strength:</w:t>
      </w:r>
      <w:r>
        <w:rPr>
          <w:rFonts w:ascii="Times New Roman" w:eastAsia="Times New Roman" w:hAnsi="Times New Roman" w:cs="Times New Roman"/>
          <w:sz w:val="24"/>
          <w:szCs w:val="24"/>
        </w:rPr>
        <w:t xml:space="preserve"> I have always been quite efficient in communicating with others, as I am quite talkative by nature. Communication skills are capable of establishing a bridge between different individuals based on trust, loyalty, and understanding (Cottrell, 2019). As I have been able to achieve these aspects, I have been able to ensure reliability to my surroundings as an employable skill. </w:t>
      </w:r>
    </w:p>
    <w:p w14:paraId="5C762616"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w:t>
      </w:r>
      <w:r>
        <w:rPr>
          <w:rFonts w:ascii="Times New Roman" w:eastAsia="Times New Roman" w:hAnsi="Times New Roman" w:cs="Times New Roman"/>
          <w:sz w:val="24"/>
          <w:szCs w:val="24"/>
        </w:rPr>
        <w:t xml:space="preserve"> Based on the current situation of the professional environment, adaptability has been a crucial component as technology has become important (Smale, 2015). However, in this particular segment, I have found myself in a difficult situation, as adopting technological skills has been quite challenging for me. At the same time, it also has been clarified to me that this factor is affecting my overall ability of mine, which is another key employability skill. </w:t>
      </w:r>
    </w:p>
    <w:p w14:paraId="3BA004D7"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Establishing effective relationships with different individuals offers an opportunity to gain knowledge regarding diversified segments (Gallagher, 2022). My communication skills have effectively created this opportunity for me. At the same time, the intention to interact with others has helped to establish a proper active listening skill. More importantly, becoming culturally fit has been an opportunity for me as well. </w:t>
      </w:r>
    </w:p>
    <w:p w14:paraId="04E686B3"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xml:space="preserve"> Pressure and the ability to handle pressure is one of the crucial skills to shine through a professional career, as they effectively depict one's mindset (Dweck, 2017). On the other hand, my current weakness regarding technological skills is pushing me to deal with modernised pressure and competitiveness. </w:t>
      </w:r>
    </w:p>
    <w:p w14:paraId="1ACA254C" w14:textId="77777777" w:rsidR="00B56816" w:rsidRDefault="00854E56" w:rsidP="006E57C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580584CA"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skill analysis, accepting personal skill gaps has been sufficient for me. However, I started facing a challenge when I identified a new set of gaps within myself. This factor has affected my further stages of organising the skill gaps to establish a suitable action plan for a certain period. </w:t>
      </w:r>
    </w:p>
    <w:p w14:paraId="66C40B5A"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Open area:</w:t>
      </w:r>
      <w:r>
        <w:rPr>
          <w:rFonts w:ascii="Times New Roman" w:eastAsia="Times New Roman" w:hAnsi="Times New Roman" w:cs="Times New Roman"/>
          <w:sz w:val="24"/>
          <w:szCs w:val="24"/>
        </w:rPr>
        <w:t xml:space="preserve"> For instance, I can state that my skill gaps for technological adaptations have been known to me and my surroundings as well. Therefore, it has not been a problem for me to organise required practices to improve adaptability. </w:t>
      </w:r>
    </w:p>
    <w:p w14:paraId="09F470F6"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Blind spot:</w:t>
      </w:r>
      <w:r>
        <w:rPr>
          <w:rFonts w:ascii="Times New Roman" w:eastAsia="Times New Roman" w:hAnsi="Times New Roman" w:cs="Times New Roman"/>
          <w:sz w:val="24"/>
          <w:szCs w:val="24"/>
        </w:rPr>
        <w:t xml:space="preserve"> However, according to others, I have quite an irritating habit of talking for an uncertain period. This factor I have failed to native on my own. Therefore, I have not been able to rectify this gap. Often, it has been seen that the intention of constantly speaking reflects negatively on active listening skills (Cottrell, 2021).  </w:t>
      </w:r>
    </w:p>
    <w:p w14:paraId="019E4B1D"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Hidden area:</w:t>
      </w:r>
      <w:r>
        <w:rPr>
          <w:rFonts w:ascii="Times New Roman" w:eastAsia="Times New Roman" w:hAnsi="Times New Roman" w:cs="Times New Roman"/>
          <w:sz w:val="24"/>
          <w:szCs w:val="24"/>
        </w:rPr>
        <w:t xml:space="preserve"> I have the intention of not sharing my troubles quite instantly with others, which I have known for a long time but not for others. This factor has often challenged my capabilities to handle pressure effectively, as my rationality gets affected. </w:t>
      </w:r>
    </w:p>
    <w:p w14:paraId="30B43E6D"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Unknown:</w:t>
      </w:r>
      <w:r>
        <w:rPr>
          <w:rFonts w:ascii="Times New Roman" w:eastAsia="Times New Roman" w:hAnsi="Times New Roman" w:cs="Times New Roman"/>
          <w:sz w:val="24"/>
          <w:szCs w:val="24"/>
        </w:rPr>
        <w:t xml:space="preserve"> Unknown skill gaps are the most challenging as they can not be identified in time to implicate adequate mitigating practice and eventually hamper potential at crucial times (</w:t>
      </w:r>
      <w:r>
        <w:rPr>
          <w:rFonts w:ascii="Times New Roman" w:eastAsia="Times New Roman" w:hAnsi="Times New Roman" w:cs="Times New Roman"/>
          <w:color w:val="222222"/>
          <w:sz w:val="24"/>
          <w:szCs w:val="24"/>
        </w:rPr>
        <w:t>Singh Dubey, Paul and Tewari, 2022</w:t>
      </w:r>
      <w:r>
        <w:rPr>
          <w:rFonts w:ascii="Times New Roman" w:eastAsia="Times New Roman" w:hAnsi="Times New Roman" w:cs="Times New Roman"/>
          <w:sz w:val="24"/>
          <w:szCs w:val="24"/>
        </w:rPr>
        <w:t xml:space="preserve">). After a long attempt, I have identified one of the unknown challenges as getting concerned regarding uncertainty, which creates a barrier to explore. </w:t>
      </w:r>
    </w:p>
    <w:p w14:paraId="0DCB997E" w14:textId="77777777" w:rsidR="00B56816" w:rsidRDefault="00854E56" w:rsidP="006E57C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56CC3719"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can highlight my attempt to address the skills gaps thoroughly as a well-conducted part. At the same time, this phase has gone well due to the proper implication of tools, such as SWOT and Johari Window, to identify the gaps. However, understanding the skill gaps has not been all. Main challenges started occurring, at the time of setting goals for personal improvement. As I have identified these many gaps within myself at this phase of life, every objective started looking like a crucial one. However, wit</w:t>
      </w:r>
      <w:r>
        <w:rPr>
          <w:rFonts w:ascii="Times New Roman" w:eastAsia="Times New Roman" w:hAnsi="Times New Roman" w:cs="Times New Roman"/>
          <w:sz w:val="24"/>
          <w:szCs w:val="24"/>
        </w:rPr>
        <w:t xml:space="preserve">hout specifying objectives, I can not possibly gain any positive outcome. </w:t>
      </w:r>
    </w:p>
    <w:p w14:paraId="736AA4BD" w14:textId="77777777"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SMART Objectives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455"/>
      </w:tblGrid>
      <w:tr w:rsidR="0055299F" w14:paraId="439F9FC9" w14:textId="77777777">
        <w:tc>
          <w:tcPr>
            <w:tcW w:w="1905" w:type="dxa"/>
            <w:shd w:val="clear" w:color="auto" w:fill="auto"/>
            <w:tcMar>
              <w:top w:w="100" w:type="dxa"/>
              <w:left w:w="100" w:type="dxa"/>
              <w:bottom w:w="100" w:type="dxa"/>
              <w:right w:w="100" w:type="dxa"/>
            </w:tcMar>
          </w:tcPr>
          <w:p w14:paraId="5D3EE955"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Specific </w:t>
            </w:r>
          </w:p>
        </w:tc>
        <w:tc>
          <w:tcPr>
            <w:tcW w:w="7455" w:type="dxa"/>
            <w:shd w:val="clear" w:color="auto" w:fill="auto"/>
            <w:tcMar>
              <w:top w:w="100" w:type="dxa"/>
              <w:left w:w="100" w:type="dxa"/>
              <w:bottom w:w="100" w:type="dxa"/>
              <w:right w:w="100" w:type="dxa"/>
            </w:tcMar>
          </w:tcPr>
          <w:p w14:paraId="518A59B0"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Generally, targeting specific goals refers to narrowed-down objectives, which makes it more efficient to obtain (</w:t>
            </w:r>
            <w:r>
              <w:rPr>
                <w:rFonts w:ascii="Times New Roman" w:eastAsia="Times New Roman" w:hAnsi="Times New Roman" w:cs="Times New Roman"/>
                <w:color w:val="222222"/>
                <w:sz w:val="24"/>
                <w:szCs w:val="24"/>
              </w:rPr>
              <w:t>Alhadabi, A. and Karpinski, A.C., 2020</w:t>
            </w:r>
            <w:r>
              <w:rPr>
                <w:rFonts w:ascii="Times New Roman" w:eastAsia="Times New Roman" w:hAnsi="Times New Roman" w:cs="Times New Roman"/>
                <w:sz w:val="24"/>
                <w:szCs w:val="24"/>
              </w:rPr>
              <w:t xml:space="preserve">). Therefore, I have decided to improve my adaptability skills and start taking lessons regarding technological advancements. </w:t>
            </w:r>
          </w:p>
        </w:tc>
      </w:tr>
      <w:tr w:rsidR="0055299F" w14:paraId="3E869B84" w14:textId="77777777">
        <w:tc>
          <w:tcPr>
            <w:tcW w:w="1905" w:type="dxa"/>
            <w:shd w:val="clear" w:color="auto" w:fill="auto"/>
            <w:tcMar>
              <w:top w:w="100" w:type="dxa"/>
              <w:left w:w="100" w:type="dxa"/>
              <w:bottom w:w="100" w:type="dxa"/>
              <w:right w:w="100" w:type="dxa"/>
            </w:tcMar>
          </w:tcPr>
          <w:p w14:paraId="5DC1BC9B"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7455" w:type="dxa"/>
            <w:shd w:val="clear" w:color="auto" w:fill="auto"/>
            <w:tcMar>
              <w:top w:w="100" w:type="dxa"/>
              <w:left w:w="100" w:type="dxa"/>
              <w:bottom w:w="100" w:type="dxa"/>
              <w:right w:w="100" w:type="dxa"/>
            </w:tcMar>
          </w:tcPr>
          <w:p w14:paraId="6C6D774C"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be necessary for me to go through regular tests and exams to identify my progress rate. </w:t>
            </w:r>
          </w:p>
        </w:tc>
      </w:tr>
      <w:tr w:rsidR="0055299F" w14:paraId="3D7976A2" w14:textId="77777777">
        <w:tc>
          <w:tcPr>
            <w:tcW w:w="1905" w:type="dxa"/>
            <w:shd w:val="clear" w:color="auto" w:fill="auto"/>
            <w:tcMar>
              <w:top w:w="100" w:type="dxa"/>
              <w:left w:w="100" w:type="dxa"/>
              <w:bottom w:w="100" w:type="dxa"/>
              <w:right w:w="100" w:type="dxa"/>
            </w:tcMar>
          </w:tcPr>
          <w:p w14:paraId="4D08E900"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Achievable </w:t>
            </w:r>
          </w:p>
        </w:tc>
        <w:tc>
          <w:tcPr>
            <w:tcW w:w="7455" w:type="dxa"/>
            <w:shd w:val="clear" w:color="auto" w:fill="auto"/>
            <w:tcMar>
              <w:top w:w="100" w:type="dxa"/>
              <w:left w:w="100" w:type="dxa"/>
              <w:bottom w:w="100" w:type="dxa"/>
              <w:right w:w="100" w:type="dxa"/>
            </w:tcMar>
          </w:tcPr>
          <w:p w14:paraId="69DF7ADE"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need to maintain a proper schedule, including time segmentation for fitting necessary tasks to achieve the goals. </w:t>
            </w:r>
          </w:p>
        </w:tc>
      </w:tr>
      <w:tr w:rsidR="0055299F" w14:paraId="0AE6C6BF" w14:textId="77777777">
        <w:tc>
          <w:tcPr>
            <w:tcW w:w="1905" w:type="dxa"/>
            <w:shd w:val="clear" w:color="auto" w:fill="auto"/>
            <w:tcMar>
              <w:top w:w="100" w:type="dxa"/>
              <w:left w:w="100" w:type="dxa"/>
              <w:bottom w:w="100" w:type="dxa"/>
              <w:right w:w="100" w:type="dxa"/>
            </w:tcMar>
          </w:tcPr>
          <w:p w14:paraId="77C8F279"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w:t>
            </w:r>
          </w:p>
        </w:tc>
        <w:tc>
          <w:tcPr>
            <w:tcW w:w="7455" w:type="dxa"/>
            <w:shd w:val="clear" w:color="auto" w:fill="auto"/>
            <w:tcMar>
              <w:top w:w="100" w:type="dxa"/>
              <w:left w:w="100" w:type="dxa"/>
              <w:bottom w:w="100" w:type="dxa"/>
              <w:right w:w="100" w:type="dxa"/>
            </w:tcMar>
          </w:tcPr>
          <w:p w14:paraId="730B130D"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Identifying the relevance of objectives is crucial to make sure that the resources and efforts are being used for the right reason and towards the right direction (</w:t>
            </w:r>
            <w:r>
              <w:rPr>
                <w:rFonts w:ascii="Times New Roman" w:eastAsia="Times New Roman" w:hAnsi="Times New Roman" w:cs="Times New Roman"/>
                <w:color w:val="222222"/>
                <w:sz w:val="24"/>
                <w:szCs w:val="24"/>
              </w:rPr>
              <w:t>Grant, A.M., 2020</w:t>
            </w:r>
            <w:r>
              <w:rPr>
                <w:rFonts w:ascii="Times New Roman" w:eastAsia="Times New Roman" w:hAnsi="Times New Roman" w:cs="Times New Roman"/>
                <w:sz w:val="24"/>
                <w:szCs w:val="24"/>
              </w:rPr>
              <w:t xml:space="preserve">). As for my objectives, it has been set through evaluating the demands of the modern job environment. </w:t>
            </w:r>
          </w:p>
        </w:tc>
      </w:tr>
      <w:tr w:rsidR="0055299F" w14:paraId="433DDB36" w14:textId="77777777">
        <w:tc>
          <w:tcPr>
            <w:tcW w:w="1905" w:type="dxa"/>
            <w:shd w:val="clear" w:color="auto" w:fill="auto"/>
            <w:tcMar>
              <w:top w:w="100" w:type="dxa"/>
              <w:left w:w="100" w:type="dxa"/>
              <w:bottom w:w="100" w:type="dxa"/>
              <w:right w:w="100" w:type="dxa"/>
            </w:tcMar>
          </w:tcPr>
          <w:p w14:paraId="52634BF3"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Time-based </w:t>
            </w:r>
          </w:p>
        </w:tc>
        <w:tc>
          <w:tcPr>
            <w:tcW w:w="7455" w:type="dxa"/>
            <w:shd w:val="clear" w:color="auto" w:fill="auto"/>
            <w:tcMar>
              <w:top w:w="100" w:type="dxa"/>
              <w:left w:w="100" w:type="dxa"/>
              <w:bottom w:w="100" w:type="dxa"/>
              <w:right w:w="100" w:type="dxa"/>
            </w:tcMar>
          </w:tcPr>
          <w:p w14:paraId="46659CD1" w14:textId="77777777" w:rsidR="00B56816" w:rsidRDefault="00854E56" w:rsidP="006E57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clarified to me that at least three years will be necessary to </w:t>
            </w:r>
            <w:r>
              <w:rPr>
                <w:rFonts w:ascii="Times New Roman" w:eastAsia="Times New Roman" w:hAnsi="Times New Roman" w:cs="Times New Roman"/>
                <w:sz w:val="24"/>
                <w:szCs w:val="24"/>
              </w:rPr>
              <w:lastRenderedPageBreak/>
              <w:t xml:space="preserve">understand all the skill gaps. </w:t>
            </w:r>
          </w:p>
        </w:tc>
      </w:tr>
    </w:tbl>
    <w:p w14:paraId="370F85ED" w14:textId="77777777" w:rsidR="00B56816" w:rsidRDefault="00854E56" w:rsidP="006E57C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Conclusion</w:t>
      </w:r>
    </w:p>
    <w:p w14:paraId="6991B0BC"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overall process has been effective for me to understand the necessity to have accurate skills and certain additional ones to get opportunities in this present competitive environment. Despite the fact that I have adequately addressed the stages for identifying the gaps and setting SMART objectives, it would have been more efficient if I had taken assistance from my educators. On the other hand, it also has been clarified to me that learning style plays a crucial role in every aspect of skill development</w:t>
      </w:r>
      <w:r>
        <w:rPr>
          <w:rFonts w:ascii="Times New Roman" w:eastAsia="Times New Roman" w:hAnsi="Times New Roman" w:cs="Times New Roman"/>
          <w:sz w:val="24"/>
          <w:szCs w:val="24"/>
        </w:rPr>
        <w:t xml:space="preserve">. </w:t>
      </w:r>
    </w:p>
    <w:p w14:paraId="1535FBC2"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VARK learning model</w:t>
      </w:r>
      <w:r>
        <w:rPr>
          <w:rFonts w:ascii="Times New Roman" w:eastAsia="Times New Roman" w:hAnsi="Times New Roman" w:cs="Times New Roman"/>
          <w:sz w:val="24"/>
          <w:szCs w:val="24"/>
        </w:rPr>
        <w:t xml:space="preserve"> </w:t>
      </w:r>
    </w:p>
    <w:p w14:paraId="530804B0"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Visual:</w:t>
      </w:r>
      <w:r>
        <w:rPr>
          <w:rFonts w:ascii="Times New Roman" w:eastAsia="Times New Roman" w:hAnsi="Times New Roman" w:cs="Times New Roman"/>
          <w:sz w:val="24"/>
          <w:szCs w:val="24"/>
        </w:rPr>
        <w:t xml:space="preserve"> Visual learning style is one of the most effective ones, as visual presentation creates a more long-lasting impact on human brains compared to any other method (</w:t>
      </w:r>
      <w:r>
        <w:rPr>
          <w:rFonts w:ascii="Times New Roman" w:eastAsia="Times New Roman" w:hAnsi="Times New Roman" w:cs="Times New Roman"/>
          <w:color w:val="222222"/>
          <w:sz w:val="24"/>
          <w:szCs w:val="24"/>
        </w:rPr>
        <w:t>Luca et al., 2021</w:t>
      </w:r>
      <w:r>
        <w:rPr>
          <w:rFonts w:ascii="Times New Roman" w:eastAsia="Times New Roman" w:hAnsi="Times New Roman" w:cs="Times New Roman"/>
          <w:sz w:val="24"/>
          <w:szCs w:val="24"/>
        </w:rPr>
        <w:t xml:space="preserve">). Therefore, through using different illustrations, documentaries and others I will be able to enhance adaptability. </w:t>
      </w:r>
    </w:p>
    <w:p w14:paraId="75A8AB27"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Aural:</w:t>
      </w:r>
      <w:r>
        <w:rPr>
          <w:rFonts w:ascii="Times New Roman" w:eastAsia="Times New Roman" w:hAnsi="Times New Roman" w:cs="Times New Roman"/>
          <w:sz w:val="24"/>
          <w:szCs w:val="24"/>
        </w:rPr>
        <w:t xml:space="preserve"> Listening can help me control my irrelevant speaking quality while attending different lectures can offer me the required insight for developing skill-development strategies. </w:t>
      </w:r>
    </w:p>
    <w:p w14:paraId="62BAE17D"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Read and write:</w:t>
      </w:r>
      <w:r>
        <w:rPr>
          <w:rFonts w:ascii="Times New Roman" w:eastAsia="Times New Roman" w:hAnsi="Times New Roman" w:cs="Times New Roman"/>
          <w:sz w:val="24"/>
          <w:szCs w:val="24"/>
        </w:rPr>
        <w:t xml:space="preserve"> Reading and writing can help manage the habit of staying focused on a single topic and enhance nonverbal communication, which is crucial for the digital environment. </w:t>
      </w:r>
    </w:p>
    <w:p w14:paraId="36696F06"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Kinesthetic:</w:t>
      </w:r>
      <w:r>
        <w:rPr>
          <w:rFonts w:ascii="Times New Roman" w:eastAsia="Times New Roman" w:hAnsi="Times New Roman" w:cs="Times New Roman"/>
          <w:sz w:val="24"/>
          <w:szCs w:val="24"/>
        </w:rPr>
        <w:t xml:space="preserve"> Gathering practical and physical experience can help me get used to technological applicability, such as utilising IT skills. </w:t>
      </w:r>
    </w:p>
    <w:p w14:paraId="05D50144" w14:textId="77777777" w:rsidR="00B56816" w:rsidRDefault="00854E56" w:rsidP="006E57C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579E3723"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overall process has clarified certain things to me. For example, if I have to go through this similar phase again, I can analyse my skills according to the demands of the practical field. This way, it will be more effective to identify the skill gaps. However, this understanding has offered me the chance to develop a proper plan for skill development. </w:t>
      </w:r>
    </w:p>
    <w:p w14:paraId="6BB624B6"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Personal Development Plan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55299F" w14:paraId="52548C5A" w14:textId="77777777">
        <w:tc>
          <w:tcPr>
            <w:tcW w:w="1560" w:type="dxa"/>
            <w:shd w:val="clear" w:color="auto" w:fill="auto"/>
            <w:tcMar>
              <w:top w:w="100" w:type="dxa"/>
              <w:left w:w="100" w:type="dxa"/>
              <w:bottom w:w="100" w:type="dxa"/>
              <w:right w:w="100" w:type="dxa"/>
            </w:tcMar>
          </w:tcPr>
          <w:p w14:paraId="45AB42A4"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Goals </w:t>
            </w:r>
          </w:p>
        </w:tc>
        <w:tc>
          <w:tcPr>
            <w:tcW w:w="1560" w:type="dxa"/>
            <w:shd w:val="clear" w:color="auto" w:fill="auto"/>
            <w:tcMar>
              <w:top w:w="100" w:type="dxa"/>
              <w:left w:w="100" w:type="dxa"/>
              <w:bottom w:w="100" w:type="dxa"/>
              <w:right w:w="100" w:type="dxa"/>
            </w:tcMar>
          </w:tcPr>
          <w:p w14:paraId="56287667"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Initial phase </w:t>
            </w:r>
          </w:p>
        </w:tc>
        <w:tc>
          <w:tcPr>
            <w:tcW w:w="1560" w:type="dxa"/>
            <w:shd w:val="clear" w:color="auto" w:fill="auto"/>
            <w:tcMar>
              <w:top w:w="100" w:type="dxa"/>
              <w:left w:w="100" w:type="dxa"/>
              <w:bottom w:w="100" w:type="dxa"/>
              <w:right w:w="100" w:type="dxa"/>
            </w:tcMar>
          </w:tcPr>
          <w:p w14:paraId="69532BAD"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Required time </w:t>
            </w:r>
          </w:p>
        </w:tc>
        <w:tc>
          <w:tcPr>
            <w:tcW w:w="1560" w:type="dxa"/>
            <w:shd w:val="clear" w:color="auto" w:fill="auto"/>
            <w:tcMar>
              <w:top w:w="100" w:type="dxa"/>
              <w:left w:w="100" w:type="dxa"/>
              <w:bottom w:w="100" w:type="dxa"/>
              <w:right w:w="100" w:type="dxa"/>
            </w:tcMar>
          </w:tcPr>
          <w:p w14:paraId="36BF7905"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Barriers </w:t>
            </w:r>
          </w:p>
        </w:tc>
        <w:tc>
          <w:tcPr>
            <w:tcW w:w="1560" w:type="dxa"/>
            <w:shd w:val="clear" w:color="auto" w:fill="auto"/>
            <w:tcMar>
              <w:top w:w="100" w:type="dxa"/>
              <w:left w:w="100" w:type="dxa"/>
              <w:bottom w:w="100" w:type="dxa"/>
              <w:right w:w="100" w:type="dxa"/>
            </w:tcMar>
          </w:tcPr>
          <w:p w14:paraId="6A92813E"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Improvement phase </w:t>
            </w:r>
          </w:p>
        </w:tc>
        <w:tc>
          <w:tcPr>
            <w:tcW w:w="1560" w:type="dxa"/>
            <w:shd w:val="clear" w:color="auto" w:fill="auto"/>
            <w:tcMar>
              <w:top w:w="100" w:type="dxa"/>
              <w:left w:w="100" w:type="dxa"/>
              <w:bottom w:w="100" w:type="dxa"/>
              <w:right w:w="100" w:type="dxa"/>
            </w:tcMar>
          </w:tcPr>
          <w:p w14:paraId="11750BDB"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Additional support </w:t>
            </w:r>
          </w:p>
        </w:tc>
      </w:tr>
      <w:tr w:rsidR="0055299F" w14:paraId="30E9C39C" w14:textId="77777777">
        <w:tc>
          <w:tcPr>
            <w:tcW w:w="1560" w:type="dxa"/>
            <w:shd w:val="clear" w:color="auto" w:fill="auto"/>
            <w:tcMar>
              <w:top w:w="100" w:type="dxa"/>
              <w:left w:w="100" w:type="dxa"/>
              <w:bottom w:w="100" w:type="dxa"/>
              <w:right w:w="100" w:type="dxa"/>
            </w:tcMar>
          </w:tcPr>
          <w:p w14:paraId="10993097"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Adaptability </w:t>
            </w:r>
          </w:p>
        </w:tc>
        <w:tc>
          <w:tcPr>
            <w:tcW w:w="1560" w:type="dxa"/>
            <w:shd w:val="clear" w:color="auto" w:fill="auto"/>
            <w:tcMar>
              <w:top w:w="100" w:type="dxa"/>
              <w:left w:w="100" w:type="dxa"/>
              <w:bottom w:w="100" w:type="dxa"/>
              <w:right w:w="100" w:type="dxa"/>
            </w:tcMar>
          </w:tcPr>
          <w:p w14:paraId="5FE9C6CD"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first, I need to work on my </w:t>
            </w:r>
            <w:r>
              <w:rPr>
                <w:rFonts w:ascii="Times New Roman" w:eastAsia="Times New Roman" w:hAnsi="Times New Roman" w:cs="Times New Roman"/>
                <w:sz w:val="24"/>
                <w:szCs w:val="24"/>
              </w:rPr>
              <w:lastRenderedPageBreak/>
              <w:t xml:space="preserve">capability to accept things, whether it may hamper my belief. </w:t>
            </w:r>
          </w:p>
        </w:tc>
        <w:tc>
          <w:tcPr>
            <w:tcW w:w="1560" w:type="dxa"/>
            <w:shd w:val="clear" w:color="auto" w:fill="auto"/>
            <w:tcMar>
              <w:top w:w="100" w:type="dxa"/>
              <w:left w:w="100" w:type="dxa"/>
              <w:bottom w:w="100" w:type="dxa"/>
              <w:right w:w="100" w:type="dxa"/>
            </w:tcMar>
          </w:tcPr>
          <w:p w14:paraId="267C9E49"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 year </w:t>
            </w:r>
          </w:p>
        </w:tc>
        <w:tc>
          <w:tcPr>
            <w:tcW w:w="1560" w:type="dxa"/>
            <w:shd w:val="clear" w:color="auto" w:fill="auto"/>
            <w:tcMar>
              <w:top w:w="100" w:type="dxa"/>
              <w:left w:w="100" w:type="dxa"/>
              <w:bottom w:w="100" w:type="dxa"/>
              <w:right w:w="100" w:type="dxa"/>
            </w:tcMar>
          </w:tcPr>
          <w:p w14:paraId="15D11B02"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inheritance </w:t>
            </w:r>
          </w:p>
        </w:tc>
        <w:tc>
          <w:tcPr>
            <w:tcW w:w="1560" w:type="dxa"/>
            <w:shd w:val="clear" w:color="auto" w:fill="auto"/>
            <w:tcMar>
              <w:top w:w="100" w:type="dxa"/>
              <w:left w:w="100" w:type="dxa"/>
              <w:bottom w:w="100" w:type="dxa"/>
              <w:right w:w="100" w:type="dxa"/>
            </w:tcMar>
          </w:tcPr>
          <w:p w14:paraId="1205CFF4"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need to meet diverse people and </w:t>
            </w:r>
            <w:r>
              <w:rPr>
                <w:rFonts w:ascii="Times New Roman" w:eastAsia="Times New Roman" w:hAnsi="Times New Roman" w:cs="Times New Roman"/>
                <w:sz w:val="24"/>
                <w:szCs w:val="24"/>
              </w:rPr>
              <w:lastRenderedPageBreak/>
              <w:t xml:space="preserve">try to understand the different perceptions they have regarding the professional field. </w:t>
            </w:r>
          </w:p>
        </w:tc>
        <w:tc>
          <w:tcPr>
            <w:tcW w:w="1560" w:type="dxa"/>
            <w:shd w:val="clear" w:color="auto" w:fill="auto"/>
            <w:tcMar>
              <w:top w:w="100" w:type="dxa"/>
              <w:left w:w="100" w:type="dxa"/>
              <w:bottom w:w="100" w:type="dxa"/>
              <w:right w:w="100" w:type="dxa"/>
            </w:tcMar>
          </w:tcPr>
          <w:p w14:paraId="04078E46"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Guidance from educators.  </w:t>
            </w:r>
          </w:p>
        </w:tc>
      </w:tr>
      <w:tr w:rsidR="0055299F" w14:paraId="36CD5DE5" w14:textId="77777777">
        <w:tc>
          <w:tcPr>
            <w:tcW w:w="1560" w:type="dxa"/>
            <w:shd w:val="clear" w:color="auto" w:fill="auto"/>
            <w:tcMar>
              <w:top w:w="100" w:type="dxa"/>
              <w:left w:w="100" w:type="dxa"/>
              <w:bottom w:w="100" w:type="dxa"/>
              <w:right w:w="100" w:type="dxa"/>
            </w:tcMar>
          </w:tcPr>
          <w:p w14:paraId="130209A6"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knowledge </w:t>
            </w:r>
          </w:p>
        </w:tc>
        <w:tc>
          <w:tcPr>
            <w:tcW w:w="1560" w:type="dxa"/>
            <w:shd w:val="clear" w:color="auto" w:fill="auto"/>
            <w:tcMar>
              <w:top w:w="100" w:type="dxa"/>
              <w:left w:w="100" w:type="dxa"/>
              <w:bottom w:w="100" w:type="dxa"/>
              <w:right w:w="100" w:type="dxa"/>
            </w:tcMar>
          </w:tcPr>
          <w:p w14:paraId="5038CDD7"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have to start taking online or offline classes regarding IT skills, IoT and others. </w:t>
            </w:r>
          </w:p>
        </w:tc>
        <w:tc>
          <w:tcPr>
            <w:tcW w:w="1560" w:type="dxa"/>
            <w:shd w:val="clear" w:color="auto" w:fill="auto"/>
            <w:tcMar>
              <w:top w:w="100" w:type="dxa"/>
              <w:left w:w="100" w:type="dxa"/>
              <w:bottom w:w="100" w:type="dxa"/>
              <w:right w:w="100" w:type="dxa"/>
            </w:tcMar>
          </w:tcPr>
          <w:p w14:paraId="2E3D9536"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years </w:t>
            </w:r>
          </w:p>
        </w:tc>
        <w:tc>
          <w:tcPr>
            <w:tcW w:w="1560" w:type="dxa"/>
            <w:shd w:val="clear" w:color="auto" w:fill="auto"/>
            <w:tcMar>
              <w:top w:w="100" w:type="dxa"/>
              <w:left w:w="100" w:type="dxa"/>
              <w:bottom w:w="100" w:type="dxa"/>
              <w:right w:w="100" w:type="dxa"/>
            </w:tcMar>
          </w:tcPr>
          <w:p w14:paraId="0B9205DF"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Behavioural pattern </w:t>
            </w:r>
          </w:p>
        </w:tc>
        <w:tc>
          <w:tcPr>
            <w:tcW w:w="1560" w:type="dxa"/>
            <w:shd w:val="clear" w:color="auto" w:fill="auto"/>
            <w:tcMar>
              <w:top w:w="100" w:type="dxa"/>
              <w:left w:w="100" w:type="dxa"/>
              <w:bottom w:w="100" w:type="dxa"/>
              <w:right w:w="100" w:type="dxa"/>
            </w:tcMar>
          </w:tcPr>
          <w:p w14:paraId="7BF7F9E6"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need to maintain regular practice so I can get used to modern technologies. </w:t>
            </w:r>
          </w:p>
        </w:tc>
        <w:tc>
          <w:tcPr>
            <w:tcW w:w="1560" w:type="dxa"/>
            <w:shd w:val="clear" w:color="auto" w:fill="auto"/>
            <w:tcMar>
              <w:top w:w="100" w:type="dxa"/>
              <w:left w:w="100" w:type="dxa"/>
              <w:bottom w:w="100" w:type="dxa"/>
              <w:right w:w="100" w:type="dxa"/>
            </w:tcMar>
          </w:tcPr>
          <w:p w14:paraId="733AEE1A" w14:textId="77777777" w:rsidR="00B56816" w:rsidRDefault="00854E56" w:rsidP="006E57C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Guidance from friends and online tutorials. </w:t>
            </w:r>
          </w:p>
        </w:tc>
      </w:tr>
    </w:tbl>
    <w:p w14:paraId="7F97FD2B" w14:textId="77777777"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Overview </w:t>
      </w:r>
    </w:p>
    <w:p w14:paraId="04D858CE" w14:textId="77777777" w:rsidR="00B56816"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Concludingly, I can state that the phase of analysing personal skills was quite hectic for me, as it has offered me both positive and negative experiences. However, the more I have focused on the phases, the more I have gained knowledge regarding modern requirements to obtain opportunities, which has also highlighted certain new skills for me. </w:t>
      </w:r>
    </w:p>
    <w:p w14:paraId="7AD385D0" w14:textId="77777777" w:rsidR="006808C1" w:rsidRDefault="00854E56" w:rsidP="006E57C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FC1787F" w14:textId="77777777"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 list </w:t>
      </w:r>
    </w:p>
    <w:p w14:paraId="5BFBD4E7" w14:textId="77777777" w:rsidR="004B19D9"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Alhadabi, A. and Karpinski, A.C., (2020). Grit, self-efficacy, achievement orientation goals, and academic performance in University students. </w:t>
      </w:r>
      <w:r>
        <w:rPr>
          <w:rFonts w:ascii="Times New Roman" w:eastAsia="Times New Roman" w:hAnsi="Times New Roman" w:cs="Times New Roman"/>
          <w:i/>
          <w:color w:val="222222"/>
          <w:sz w:val="24"/>
          <w:szCs w:val="24"/>
          <w:highlight w:val="white"/>
        </w:rPr>
        <w:t>International Journal of Adolescence and Youth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(1), pp.519-535. </w:t>
      </w:r>
      <w:r>
        <w:rPr>
          <w:rFonts w:ascii="Times New Roman" w:eastAsia="Times New Roman" w:hAnsi="Times New Roman" w:cs="Times New Roman"/>
          <w:sz w:val="24"/>
          <w:szCs w:val="24"/>
        </w:rPr>
        <w:t xml:space="preserve">DOI: </w:t>
      </w:r>
      <w:hyperlink r:id="rId7">
        <w:r>
          <w:rPr>
            <w:rFonts w:ascii="Times New Roman" w:eastAsia="Times New Roman" w:hAnsi="Times New Roman" w:cs="Times New Roman"/>
            <w:color w:val="1155CC"/>
            <w:sz w:val="24"/>
            <w:szCs w:val="24"/>
            <w:u w:val="single"/>
          </w:rPr>
          <w:t>https://doi.org/10.1080/02673843.2019.1679202</w:t>
        </w:r>
      </w:hyperlink>
      <w:r>
        <w:rPr>
          <w:rFonts w:ascii="Times New Roman" w:eastAsia="Times New Roman" w:hAnsi="Times New Roman" w:cs="Times New Roman"/>
          <w:sz w:val="24"/>
          <w:szCs w:val="24"/>
        </w:rPr>
        <w:t xml:space="preserve"> </w:t>
      </w:r>
    </w:p>
    <w:p w14:paraId="5B46457F" w14:textId="77777777" w:rsidR="004B19D9" w:rsidRDefault="00854E56" w:rsidP="006E57C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AlShamsi</w:t>
      </w:r>
      <w:r>
        <w:rPr>
          <w:rFonts w:ascii="Times New Roman" w:eastAsia="Times New Roman" w:hAnsi="Times New Roman" w:cs="Times New Roman"/>
          <w:color w:val="222222"/>
          <w:sz w:val="24"/>
          <w:szCs w:val="24"/>
          <w:highlight w:val="white"/>
        </w:rPr>
        <w:t xml:space="preserve">, A., (2021). Cognitive and metacognitive skills on elementary school students: Mixed methods study. </w:t>
      </w:r>
      <w:r>
        <w:rPr>
          <w:rFonts w:ascii="Times New Roman" w:eastAsia="Times New Roman" w:hAnsi="Times New Roman" w:cs="Times New Roman"/>
          <w:i/>
          <w:color w:val="222222"/>
          <w:sz w:val="24"/>
          <w:szCs w:val="24"/>
          <w:highlight w:val="white"/>
        </w:rPr>
        <w:t>TESOL International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 xml:space="preserve">(6.1), pp.7-36. Available at: </w:t>
      </w:r>
      <w:hyperlink r:id="rId8" w:anchor="page=7">
        <w:r>
          <w:rPr>
            <w:rFonts w:ascii="Times New Roman" w:eastAsia="Times New Roman" w:hAnsi="Times New Roman" w:cs="Times New Roman"/>
            <w:color w:val="1155CC"/>
            <w:sz w:val="24"/>
            <w:szCs w:val="24"/>
            <w:highlight w:val="white"/>
            <w:u w:val="single"/>
          </w:rPr>
          <w:t>https://www.researchgate.net/profile/Aysha-Alshamsi-4/publication/353018470_Cognitive_and_Metacognitive_Skills_on_Elementary_School_Students_Mixed_Methods_Study/links/610343c2169a1a0103c724b4/Cognitive-and-Metacognitive-Skills-on-Elementary-School-Students-Mixed-Methods-Study.pdf#page=7</w:t>
        </w:r>
      </w:hyperlink>
      <w:r>
        <w:rPr>
          <w:rFonts w:ascii="Times New Roman" w:eastAsia="Times New Roman" w:hAnsi="Times New Roman" w:cs="Times New Roman"/>
          <w:color w:val="222222"/>
          <w:sz w:val="24"/>
          <w:szCs w:val="24"/>
          <w:highlight w:val="white"/>
        </w:rPr>
        <w:t xml:space="preserve"> </w:t>
      </w:r>
    </w:p>
    <w:p w14:paraId="7A7062BC" w14:textId="31E4F599" w:rsidR="006808C1" w:rsidRPr="00A40387" w:rsidRDefault="004B19D9" w:rsidP="006E57C8">
      <w:pPr>
        <w:spacing w:line="360" w:lineRule="auto"/>
        <w:jc w:val="both"/>
        <w:rPr>
          <w:rFonts w:ascii="Times New Roman" w:eastAsia="Times New Roman" w:hAnsi="Times New Roman" w:cs="Times New Roman"/>
          <w:sz w:val="28"/>
          <w:szCs w:val="28"/>
        </w:rPr>
      </w:pPr>
      <w:r w:rsidRPr="00A40387">
        <w:rPr>
          <w:rFonts w:ascii="Times New Roman" w:hAnsi="Times New Roman" w:cs="Times New Roman"/>
          <w:sz w:val="24"/>
          <w:szCs w:val="24"/>
        </w:rPr>
        <w:t xml:space="preserve">Channell, M. (2023) </w:t>
      </w:r>
      <w:r w:rsidRPr="00A40387">
        <w:rPr>
          <w:rFonts w:ascii="Times New Roman" w:hAnsi="Times New Roman" w:cs="Times New Roman"/>
          <w:i/>
          <w:iCs/>
          <w:sz w:val="24"/>
          <w:szCs w:val="24"/>
        </w:rPr>
        <w:t>Gibbs reflective cycle – A practical guide</w:t>
      </w:r>
      <w:r w:rsidRPr="00A40387">
        <w:rPr>
          <w:rFonts w:ascii="Times New Roman" w:hAnsi="Times New Roman" w:cs="Times New Roman"/>
          <w:sz w:val="24"/>
          <w:szCs w:val="24"/>
        </w:rPr>
        <w:t xml:space="preserve">, </w:t>
      </w:r>
      <w:r w:rsidRPr="00A40387">
        <w:rPr>
          <w:rFonts w:ascii="Times New Roman" w:hAnsi="Times New Roman" w:cs="Times New Roman"/>
          <w:i/>
          <w:iCs/>
          <w:sz w:val="24"/>
          <w:szCs w:val="24"/>
        </w:rPr>
        <w:t>TSW Training</w:t>
      </w:r>
      <w:r w:rsidRPr="00A40387">
        <w:rPr>
          <w:rFonts w:ascii="Times New Roman" w:hAnsi="Times New Roman" w:cs="Times New Roman"/>
          <w:sz w:val="24"/>
          <w:szCs w:val="24"/>
        </w:rPr>
        <w:t xml:space="preserve">. Available at: https://www.tsw.co.uk/blog/leadership-and-management/gibbs-reflective-cycle/ (Accessed: 30 May 2024). </w:t>
      </w:r>
    </w:p>
    <w:p w14:paraId="4488C3A7"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(2019) The Study Skills Handbook . Fifth edition. London :, Macmillan International Higher Education/Red Globe Press an imprint of Springer Nature Limited. </w:t>
      </w:r>
    </w:p>
    <w:p w14:paraId="4DC6B329"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Cottrell, S. (2021) Skills for success: personal development and employability . 4th edition. London :, Red Globe Press. </w:t>
      </w:r>
    </w:p>
    <w:p w14:paraId="5AD40F66"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Dweck, C.S. (2017) Mindset . Updated edition. London :, Robinson.</w:t>
      </w:r>
    </w:p>
    <w:p w14:paraId="145F9E4A"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Gallagher, K. (2022). Essential study and employment skills for business and management students . Fourth edition. Oxford :, Oxford University Press.</w:t>
      </w:r>
    </w:p>
    <w:p w14:paraId="33483561"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Grant, A.M., (2020). An integrated model of goal‐focused coaching: an evidence‐based framework for teaching and practice. </w:t>
      </w:r>
      <w:r>
        <w:rPr>
          <w:rFonts w:ascii="Times New Roman" w:eastAsia="Times New Roman" w:hAnsi="Times New Roman" w:cs="Times New Roman"/>
          <w:i/>
          <w:color w:val="222222"/>
          <w:sz w:val="24"/>
          <w:szCs w:val="24"/>
          <w:highlight w:val="white"/>
        </w:rPr>
        <w:t>Coaching researched: A coaching psychology reader</w:t>
      </w:r>
      <w:r>
        <w:rPr>
          <w:rFonts w:ascii="Times New Roman" w:eastAsia="Times New Roman" w:hAnsi="Times New Roman" w:cs="Times New Roman"/>
          <w:color w:val="222222"/>
          <w:sz w:val="24"/>
          <w:szCs w:val="24"/>
          <w:highlight w:val="white"/>
        </w:rPr>
        <w:t xml:space="preserve">, pp.115-139. </w:t>
      </w:r>
      <w:r>
        <w:rPr>
          <w:rFonts w:ascii="Times New Roman" w:eastAsia="Times New Roman" w:hAnsi="Times New Roman" w:cs="Times New Roman"/>
          <w:sz w:val="24"/>
          <w:szCs w:val="24"/>
        </w:rPr>
        <w:t xml:space="preserve">DOI: </w:t>
      </w:r>
      <w:hyperlink r:id="rId9">
        <w:r>
          <w:rPr>
            <w:rFonts w:ascii="Times New Roman" w:eastAsia="Times New Roman" w:hAnsi="Times New Roman" w:cs="Times New Roman"/>
            <w:color w:val="1155CC"/>
            <w:sz w:val="24"/>
            <w:szCs w:val="24"/>
            <w:u w:val="single"/>
          </w:rPr>
          <w:t>https://doi.org/10.1002/9781119656913.ch7</w:t>
        </w:r>
      </w:hyperlink>
      <w:r>
        <w:rPr>
          <w:rFonts w:ascii="Times New Roman" w:eastAsia="Times New Roman" w:hAnsi="Times New Roman" w:cs="Times New Roman"/>
          <w:sz w:val="24"/>
          <w:szCs w:val="24"/>
        </w:rPr>
        <w:t xml:space="preserve"> </w:t>
      </w:r>
    </w:p>
    <w:p w14:paraId="7434A26D"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Lee, K., Gjersoe, N., O'neill, S. and Barnett, J., (2020). Youth perceptions of climate change: A narrative synthesis. </w:t>
      </w:r>
      <w:r>
        <w:rPr>
          <w:rFonts w:ascii="Times New Roman" w:eastAsia="Times New Roman" w:hAnsi="Times New Roman" w:cs="Times New Roman"/>
          <w:i/>
          <w:color w:val="222222"/>
          <w:sz w:val="24"/>
          <w:szCs w:val="24"/>
          <w:highlight w:val="white"/>
        </w:rPr>
        <w:t>Wiley Interdisciplinary Reviews: Climate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(3), p.e641. </w:t>
      </w:r>
      <w:r>
        <w:rPr>
          <w:rFonts w:ascii="Times New Roman" w:eastAsia="Times New Roman" w:hAnsi="Times New Roman" w:cs="Times New Roman"/>
          <w:sz w:val="24"/>
          <w:szCs w:val="24"/>
        </w:rPr>
        <w:t xml:space="preserve">DOI: 10.1002/wcc.641 </w:t>
      </w:r>
    </w:p>
    <w:p w14:paraId="224827C9"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Luca, M., Barlacchi, G., Lepri, B. and Pappalardo, L., (2021). A survey on deep learning for human mobility. </w:t>
      </w:r>
      <w:r>
        <w:rPr>
          <w:rFonts w:ascii="Times New Roman" w:eastAsia="Times New Roman" w:hAnsi="Times New Roman" w:cs="Times New Roman"/>
          <w:i/>
          <w:color w:val="222222"/>
          <w:sz w:val="24"/>
          <w:szCs w:val="24"/>
          <w:highlight w:val="white"/>
        </w:rPr>
        <w:t>ACM Computing Surveys (CSUR)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 xml:space="preserve">(1), pp.1-44. </w:t>
      </w:r>
      <w:r>
        <w:rPr>
          <w:rFonts w:ascii="Times New Roman" w:eastAsia="Times New Roman" w:hAnsi="Times New Roman" w:cs="Times New Roman"/>
          <w:sz w:val="24"/>
          <w:szCs w:val="24"/>
        </w:rPr>
        <w:t xml:space="preserve">DOI:  </w:t>
      </w:r>
      <w:hyperlink r:id="rId10">
        <w:r>
          <w:rPr>
            <w:rFonts w:ascii="Times New Roman" w:eastAsia="Times New Roman" w:hAnsi="Times New Roman" w:cs="Times New Roman"/>
            <w:color w:val="1155CC"/>
            <w:sz w:val="24"/>
            <w:szCs w:val="24"/>
            <w:u w:val="single"/>
          </w:rPr>
          <w:t>https://doi.org/10.1145/nnnnnnn.nnnnnnn</w:t>
        </w:r>
      </w:hyperlink>
      <w:r>
        <w:rPr>
          <w:rFonts w:ascii="Times New Roman" w:eastAsia="Times New Roman" w:hAnsi="Times New Roman" w:cs="Times New Roman"/>
          <w:sz w:val="24"/>
          <w:szCs w:val="24"/>
        </w:rPr>
        <w:t xml:space="preserve"> </w:t>
      </w:r>
    </w:p>
    <w:p w14:paraId="452B0AFB"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P.J. Robertson, T. Hooley, and P. McCash (eds.) (2020) The Oxford handbook of career development / [electronic resource]. New York :, Oxford University Press. </w:t>
      </w:r>
    </w:p>
    <w:p w14:paraId="1F512B88"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Singh Dubey, R., Paul, J. and Tewari, V., (2022). The soft skills gap: a bottleneck in the talent supply in emerging economies.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(13), pp.2630-2661. </w:t>
      </w:r>
      <w:r>
        <w:rPr>
          <w:rFonts w:ascii="Times New Roman" w:eastAsia="Times New Roman" w:hAnsi="Times New Roman" w:cs="Times New Roman"/>
          <w:sz w:val="24"/>
          <w:szCs w:val="24"/>
        </w:rPr>
        <w:t xml:space="preserve">DOI: </w:t>
      </w:r>
      <w:hyperlink r:id="rId11">
        <w:r>
          <w:rPr>
            <w:rFonts w:ascii="Times New Roman" w:eastAsia="Times New Roman" w:hAnsi="Times New Roman" w:cs="Times New Roman"/>
            <w:color w:val="1155CC"/>
            <w:sz w:val="24"/>
            <w:szCs w:val="24"/>
            <w:u w:val="single"/>
          </w:rPr>
          <w:t>https://doi.org/10.1080/09585192.2020.1871399</w:t>
        </w:r>
      </w:hyperlink>
      <w:r>
        <w:rPr>
          <w:rFonts w:ascii="Times New Roman" w:eastAsia="Times New Roman" w:hAnsi="Times New Roman" w:cs="Times New Roman"/>
          <w:sz w:val="24"/>
          <w:szCs w:val="24"/>
        </w:rPr>
        <w:t xml:space="preserve"> </w:t>
      </w:r>
    </w:p>
    <w:p w14:paraId="07FFCCE9" w14:textId="77777777" w:rsidR="006808C1" w:rsidRDefault="00854E56" w:rsidP="006E57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Smale, B. (2015) How to succeed at university : an essential guide to academic skills, personal development and employability . Second edition. London :, SAGE. </w:t>
      </w:r>
    </w:p>
    <w:p w14:paraId="7B64CB93" w14:textId="77777777" w:rsidR="006808C1" w:rsidRDefault="00854E56" w:rsidP="006E57C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4E2CACC" w14:textId="77777777"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Appendices </w:t>
      </w:r>
    </w:p>
    <w:p w14:paraId="6B8AF2D0" w14:textId="77777777"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Appendix 1: Gibbs Reflective Cycle  </w:t>
      </w:r>
    </w:p>
    <w:p w14:paraId="4C91F552" w14:textId="77777777" w:rsidR="00B56816" w:rsidRDefault="00854E56" w:rsidP="006E57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66A8015" wp14:editId="3EC0471F">
            <wp:extent cx="4563591" cy="45635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4563591" cy="4563591"/>
                    </a:xfrm>
                    <a:prstGeom prst="rect">
                      <a:avLst/>
                    </a:prstGeom>
                  </pic:spPr>
                </pic:pic>
              </a:graphicData>
            </a:graphic>
          </wp:inline>
        </w:drawing>
      </w:r>
    </w:p>
    <w:p w14:paraId="167D2A07" w14:textId="001652AA" w:rsidR="00B56816" w:rsidRDefault="00854E56" w:rsidP="006E57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715537">
        <w:rPr>
          <w:rFonts w:ascii="Times New Roman" w:eastAsia="Times New Roman" w:hAnsi="Times New Roman" w:cs="Times New Roman"/>
          <w:b/>
          <w:sz w:val="24"/>
          <w:szCs w:val="24"/>
        </w:rPr>
        <w:t xml:space="preserve"> 1</w:t>
      </w:r>
      <w:r>
        <w:rPr>
          <w:rFonts w:ascii="Times New Roman" w:eastAsia="Times New Roman" w:hAnsi="Times New Roman" w:cs="Times New Roman"/>
          <w:b/>
          <w:sz w:val="24"/>
          <w:szCs w:val="24"/>
        </w:rPr>
        <w:t>: Gibbs Reflective Cycle</w:t>
      </w:r>
    </w:p>
    <w:p w14:paraId="5AC1FCD9" w14:textId="370BB5C1" w:rsidR="00B56816" w:rsidRDefault="00854E56" w:rsidP="006E57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r w:rsidR="00CE7ECE" w:rsidRPr="00A40387">
        <w:rPr>
          <w:rFonts w:ascii="Times New Roman" w:hAnsi="Times New Roman" w:cs="Times New Roman"/>
          <w:sz w:val="24"/>
          <w:szCs w:val="24"/>
        </w:rPr>
        <w:t>Channell, 2023</w:t>
      </w:r>
      <w:r>
        <w:rPr>
          <w:rFonts w:ascii="Times New Roman" w:eastAsia="Times New Roman" w:hAnsi="Times New Roman" w:cs="Times New Roman"/>
          <w:sz w:val="24"/>
          <w:szCs w:val="24"/>
        </w:rPr>
        <w:t>)</w:t>
      </w:r>
    </w:p>
    <w:p w14:paraId="6E6900F7" w14:textId="77777777" w:rsidR="006B1298" w:rsidRDefault="006B1298" w:rsidP="006E57C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5664958" w14:textId="18E6EEEF" w:rsidR="00B56816" w:rsidRDefault="00854E56" w:rsidP="006E57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Appendix 2: VARK learning model </w:t>
      </w:r>
    </w:p>
    <w:p w14:paraId="30188FB5" w14:textId="77777777" w:rsidR="00B56816" w:rsidRDefault="00854E56" w:rsidP="006E57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1755184" wp14:editId="3CC52C50">
            <wp:extent cx="5943600" cy="4483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3"/>
                    <a:stretch>
                      <a:fillRect/>
                    </a:stretch>
                  </pic:blipFill>
                  <pic:spPr>
                    <a:xfrm>
                      <a:off x="0" y="0"/>
                      <a:ext cx="5943600" cy="4483100"/>
                    </a:xfrm>
                    <a:prstGeom prst="rect">
                      <a:avLst/>
                    </a:prstGeom>
                  </pic:spPr>
                </pic:pic>
              </a:graphicData>
            </a:graphic>
          </wp:inline>
        </w:drawing>
      </w:r>
    </w:p>
    <w:p w14:paraId="394DEB52" w14:textId="5F02AFD4" w:rsidR="00B56816" w:rsidRDefault="00854E56" w:rsidP="006E57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715537">
        <w:rPr>
          <w:rFonts w:ascii="Times New Roman" w:eastAsia="Times New Roman" w:hAnsi="Times New Roman" w:cs="Times New Roman"/>
          <w:b/>
          <w:sz w:val="24"/>
          <w:szCs w:val="24"/>
        </w:rPr>
        <w:t xml:space="preserve"> 2</w:t>
      </w:r>
      <w:r>
        <w:rPr>
          <w:rFonts w:ascii="Times New Roman" w:eastAsia="Times New Roman" w:hAnsi="Times New Roman" w:cs="Times New Roman"/>
          <w:b/>
          <w:sz w:val="24"/>
          <w:szCs w:val="24"/>
        </w:rPr>
        <w:t>: VARK learning model</w:t>
      </w:r>
    </w:p>
    <w:p w14:paraId="7D497716" w14:textId="77777777" w:rsidR="00B56816" w:rsidRDefault="00854E56" w:rsidP="006E57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r>
        <w:rPr>
          <w:rFonts w:ascii="Times New Roman" w:eastAsia="Times New Roman" w:hAnsi="Times New Roman" w:cs="Times New Roman"/>
          <w:color w:val="222222"/>
          <w:sz w:val="24"/>
          <w:szCs w:val="24"/>
          <w:highlight w:val="white"/>
        </w:rPr>
        <w:t>AlShamsi, 2021</w:t>
      </w:r>
      <w:r>
        <w:rPr>
          <w:rFonts w:ascii="Times New Roman" w:eastAsia="Times New Roman" w:hAnsi="Times New Roman" w:cs="Times New Roman"/>
          <w:sz w:val="24"/>
          <w:szCs w:val="24"/>
        </w:rPr>
        <w:t>)</w:t>
      </w:r>
    </w:p>
    <w:sectPr w:rsidR="00B56816" w:rsidSect="006808C1">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2E83D" w14:textId="77777777" w:rsidR="00034216" w:rsidRDefault="00034216">
      <w:pPr>
        <w:spacing w:line="240" w:lineRule="auto"/>
      </w:pPr>
      <w:r>
        <w:separator/>
      </w:r>
    </w:p>
  </w:endnote>
  <w:endnote w:type="continuationSeparator" w:id="0">
    <w:p w14:paraId="544B4AFF" w14:textId="77777777" w:rsidR="00034216" w:rsidRDefault="000342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867064"/>
      <w:docPartObj>
        <w:docPartGallery w:val="Page Numbers (Bottom of Page)"/>
        <w:docPartUnique/>
      </w:docPartObj>
    </w:sdtPr>
    <w:sdtEndPr>
      <w:rPr>
        <w:noProof/>
      </w:rPr>
    </w:sdtEndPr>
    <w:sdtContent>
      <w:p w14:paraId="34EBD612" w14:textId="77777777" w:rsidR="006808C1" w:rsidRDefault="00854E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803792" w14:textId="77777777" w:rsidR="006808C1" w:rsidRDefault="00680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823B1" w14:textId="77777777" w:rsidR="00034216" w:rsidRDefault="00034216">
      <w:pPr>
        <w:spacing w:line="240" w:lineRule="auto"/>
      </w:pPr>
      <w:r>
        <w:separator/>
      </w:r>
    </w:p>
  </w:footnote>
  <w:footnote w:type="continuationSeparator" w:id="0">
    <w:p w14:paraId="3F5573D2" w14:textId="77777777" w:rsidR="00034216" w:rsidRDefault="000342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E2FFC"/>
    <w:multiLevelType w:val="multilevel"/>
    <w:tmpl w:val="05D638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9114B0"/>
    <w:multiLevelType w:val="multilevel"/>
    <w:tmpl w:val="9A461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00B6D50"/>
    <w:multiLevelType w:val="multilevel"/>
    <w:tmpl w:val="C98ED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F52496"/>
    <w:multiLevelType w:val="multilevel"/>
    <w:tmpl w:val="A6DCC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950087">
    <w:abstractNumId w:val="1"/>
  </w:num>
  <w:num w:numId="2" w16cid:durableId="1488352500">
    <w:abstractNumId w:val="3"/>
  </w:num>
  <w:num w:numId="3" w16cid:durableId="1366178475">
    <w:abstractNumId w:val="2"/>
  </w:num>
  <w:num w:numId="4" w16cid:durableId="1296789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6816"/>
    <w:rsid w:val="00034216"/>
    <w:rsid w:val="000E1AD2"/>
    <w:rsid w:val="002C755D"/>
    <w:rsid w:val="004A50D4"/>
    <w:rsid w:val="004B19D9"/>
    <w:rsid w:val="0055299F"/>
    <w:rsid w:val="006640C7"/>
    <w:rsid w:val="006808C1"/>
    <w:rsid w:val="00682B01"/>
    <w:rsid w:val="006B1298"/>
    <w:rsid w:val="006E57C8"/>
    <w:rsid w:val="006F3089"/>
    <w:rsid w:val="00715537"/>
    <w:rsid w:val="009C1372"/>
    <w:rsid w:val="00A40387"/>
    <w:rsid w:val="00B56816"/>
    <w:rsid w:val="00B70CBE"/>
    <w:rsid w:val="00BE696E"/>
    <w:rsid w:val="00C96E43"/>
    <w:rsid w:val="00CA52D2"/>
    <w:rsid w:val="00CE7ECE"/>
    <w:rsid w:val="00FB65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AE545"/>
  <w15:docId w15:val="{D1FFFDC8-CB13-49E1-8EED-82B90A370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808C1"/>
    <w:pPr>
      <w:tabs>
        <w:tab w:val="center" w:pos="4680"/>
        <w:tab w:val="right" w:pos="9360"/>
      </w:tabs>
      <w:spacing w:line="240" w:lineRule="auto"/>
    </w:pPr>
  </w:style>
  <w:style w:type="character" w:customStyle="1" w:styleId="HeaderChar">
    <w:name w:val="Header Char"/>
    <w:basedOn w:val="DefaultParagraphFont"/>
    <w:link w:val="Header"/>
    <w:uiPriority w:val="99"/>
    <w:rsid w:val="006808C1"/>
  </w:style>
  <w:style w:type="paragraph" w:styleId="Footer">
    <w:name w:val="footer"/>
    <w:basedOn w:val="Normal"/>
    <w:link w:val="FooterChar"/>
    <w:uiPriority w:val="99"/>
    <w:unhideWhenUsed/>
    <w:rsid w:val="006808C1"/>
    <w:pPr>
      <w:tabs>
        <w:tab w:val="center" w:pos="4680"/>
        <w:tab w:val="right" w:pos="9360"/>
      </w:tabs>
      <w:spacing w:line="240" w:lineRule="auto"/>
    </w:pPr>
  </w:style>
  <w:style w:type="character" w:customStyle="1" w:styleId="FooterChar">
    <w:name w:val="Footer Char"/>
    <w:basedOn w:val="DefaultParagraphFont"/>
    <w:link w:val="Footer"/>
    <w:uiPriority w:val="99"/>
    <w:rsid w:val="006808C1"/>
  </w:style>
  <w:style w:type="paragraph" w:styleId="NormalWeb">
    <w:name w:val="Normal (Web)"/>
    <w:basedOn w:val="Normal"/>
    <w:uiPriority w:val="99"/>
    <w:semiHidden/>
    <w:unhideWhenUsed/>
    <w:rsid w:val="004B19D9"/>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344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ysha-Alshamsi-4/publication/353018470_Cognitive_and_Metacognitive_Skills_on_Elementary_School_Students_Mixed_Methods_Study/links/610343c2169a1a0103c724b4/Cognitive-and-Metacognitive-Skills-on-Elementary-School-Students-Mixed-Methods-Study.pdf" TargetMode="External" /><Relationship Id="rId13"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hyperlink" Target="https://doi.org/10.1080/02673843.2019.1679202" TargetMode="External" /><Relationship Id="rId12" Type="http://schemas.openxmlformats.org/officeDocument/2006/relationships/image" Target="media/image1.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80/09585192.2020.1871399"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doi.org/10.1145/nnnnnnn.nnnnnnn" TargetMode="External" /><Relationship Id="rId4" Type="http://schemas.openxmlformats.org/officeDocument/2006/relationships/webSettings" Target="webSettings.xml" /><Relationship Id="rId9" Type="http://schemas.openxmlformats.org/officeDocument/2006/relationships/hyperlink" Target="https://doi.org/10.1002/9781119656913.ch7"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1992</Words>
  <Characters>11355</Characters>
  <Application>Microsoft Office Word</Application>
  <DocSecurity>0</DocSecurity>
  <Lines>94</Lines>
  <Paragraphs>26</Paragraphs>
  <ScaleCrop>false</ScaleCrop>
  <Company/>
  <LinksUpToDate>false</LinksUpToDate>
  <CharactersWithSpaces>13321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andradapanfil@yahoo.com</cp:lastModifiedBy>
  <cp:revision>2</cp:revision>
  <dcterms:created xsi:type="dcterms:W3CDTF">2024-06-02T17:53:00Z</dcterms:created>
  <dcterms:modified xsi:type="dcterms:W3CDTF">2024-06-02T17:53:00Z</dcterms:modified>
</cp:coreProperties>
</file>