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spacing w:before="0" w:after="0"/>
        <w:ind w:left="-180" w:right="-334"/>
        <w:rPr/>
      </w:pPr>
      <w:r>
        <w:rPr/>
        <w:drawing>
          <wp:inline distL="0" distT="0" distB="0" distR="0">
            <wp:extent cx="1908048" cy="635635"/>
            <wp:effectExtent l="0" t="0" r="0" b="0"/>
            <wp:docPr id="1026"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1908048" cy="635635"/>
                    </a:xfrm>
                    <a:prstGeom prst="rect">
                      <a:avLst/>
                    </a:prstGeom>
                  </pic:spPr>
                </pic:pic>
              </a:graphicData>
            </a:graphic>
          </wp:inline>
        </w:drawing>
      </w:r>
    </w:p>
    <w:p>
      <w:pPr>
        <w:spacing w:before="0" w:after="0"/>
        <w:ind w:left="-180" w:right="-334"/>
        <w:rPr/>
      </w:pPr>
    </w:p>
    <w:p>
      <w:pPr>
        <w:spacing w:before="0" w:after="0"/>
        <w:ind w:left="-180" w:right="-334"/>
        <w:rPr/>
      </w:pPr>
    </w:p>
    <w:p>
      <w:pPr>
        <w:spacing w:before="0" w:after="0"/>
        <w:ind w:left="-180" w:right="-334"/>
        <w:jc w:val="center"/>
        <w:rPr/>
      </w:pPr>
      <w:r>
        <w:rPr>
          <w:rFonts w:ascii="Arial" w:cs="Arial" w:hAnsi="Arial" w:hint="default"/>
          <w:b/>
          <w:bCs/>
          <w:sz w:val="28"/>
          <w:szCs w:val="28"/>
          <w:lang w:val="cy-GB"/>
        </w:rPr>
        <w:t>Postgraduate</w:t>
      </w:r>
      <w:r>
        <w:rPr>
          <w:rFonts w:ascii="Arial" w:cs="Arial" w:hAnsi="Arial" w:hint="default"/>
          <w:b/>
          <w:bCs/>
          <w:sz w:val="28"/>
          <w:szCs w:val="28"/>
          <w:lang w:val="cy-GB"/>
        </w:rPr>
        <w:t>/Distance</w:t>
      </w:r>
      <w:r>
        <w:rPr>
          <w:rFonts w:ascii="Arial" w:cs="Arial" w:hAnsi="Arial" w:hint="default"/>
          <w:b/>
          <w:bCs/>
          <w:sz w:val="28"/>
          <w:szCs w:val="28"/>
          <w:lang w:val="cy-GB"/>
        </w:rPr>
        <w:t xml:space="preserve"> </w:t>
      </w:r>
      <w:r>
        <w:rPr>
          <w:rFonts w:ascii="Arial" w:cs="Arial" w:hAnsi="Arial" w:hint="default"/>
          <w:b/>
          <w:bCs/>
          <w:sz w:val="28"/>
          <w:szCs w:val="28"/>
          <w:lang w:val="cy-GB"/>
        </w:rPr>
        <w:t>Learning</w:t>
      </w:r>
      <w:r>
        <w:rPr>
          <w:rFonts w:ascii="Arial" w:cs="Arial" w:hAnsi="Arial" w:hint="default"/>
          <w:b/>
          <w:bCs/>
          <w:sz w:val="28"/>
          <w:szCs w:val="28"/>
          <w:lang w:val="cy-GB"/>
        </w:rPr>
        <w:t xml:space="preserve"> </w:t>
      </w:r>
    </w:p>
    <w:p>
      <w:pPr>
        <w:spacing w:before="0" w:after="0"/>
        <w:ind w:left="-180" w:right="-334"/>
        <w:jc w:val="center"/>
        <w:rPr/>
      </w:pPr>
      <w:r>
        <w:rPr>
          <w:rFonts w:ascii="Arial" w:cs="Arial" w:hAnsi="Arial" w:hint="default"/>
          <w:b/>
          <w:bCs/>
          <w:sz w:val="28"/>
          <w:szCs w:val="28"/>
          <w:lang w:val="cy-GB"/>
        </w:rPr>
        <w:t>A</w:t>
      </w:r>
      <w:r>
        <w:rPr>
          <w:rFonts w:ascii="Arial" w:cs="Arial" w:hAnsi="Arial" w:hint="default"/>
          <w:b/>
          <w:bCs/>
          <w:sz w:val="28"/>
          <w:szCs w:val="28"/>
          <w:lang w:val="cy-GB"/>
        </w:rPr>
        <w:t>ssignment</w:t>
      </w:r>
      <w:r>
        <w:rPr>
          <w:rFonts w:ascii="Arial" w:cs="Arial" w:hAnsi="Arial" w:hint="default"/>
          <w:b/>
          <w:bCs/>
          <w:sz w:val="28"/>
          <w:szCs w:val="28"/>
          <w:lang w:val="cy-GB"/>
        </w:rPr>
        <w:t xml:space="preserve"> </w:t>
      </w:r>
      <w:r>
        <w:rPr>
          <w:rFonts w:ascii="Arial" w:cs="Arial" w:hAnsi="Arial" w:hint="default"/>
          <w:b/>
          <w:bCs/>
          <w:sz w:val="28"/>
          <w:szCs w:val="28"/>
          <w:lang w:val="cy-GB"/>
        </w:rPr>
        <w:t>coversheet</w:t>
      </w:r>
      <w:r>
        <w:rPr>
          <w:rFonts w:ascii="Arial" w:cs="Arial" w:hAnsi="Arial" w:hint="default"/>
          <w:b/>
          <w:bCs/>
          <w:sz w:val="28"/>
          <w:szCs w:val="28"/>
          <w:lang w:val="cy-GB"/>
        </w:rPr>
        <w:t xml:space="preserve"> </w:t>
      </w:r>
      <w:r>
        <w:rPr>
          <w:rFonts w:ascii="Arial" w:cs="Arial" w:hAnsi="Arial" w:hint="default"/>
          <w:b/>
          <w:bCs/>
          <w:sz w:val="28"/>
          <w:szCs w:val="28"/>
          <w:lang w:val="cy-GB"/>
        </w:rPr>
        <w:t>&amp;</w:t>
      </w:r>
      <w:r>
        <w:rPr>
          <w:rFonts w:ascii="Arial" w:cs="Arial" w:hAnsi="Arial" w:hint="default"/>
          <w:b/>
          <w:bCs/>
          <w:sz w:val="28"/>
          <w:szCs w:val="28"/>
          <w:lang w:val="cy-GB"/>
        </w:rPr>
        <w:t xml:space="preserve"> </w:t>
      </w:r>
      <w:r>
        <w:rPr>
          <w:rFonts w:ascii="Arial" w:cs="Arial" w:hAnsi="Arial" w:hint="default"/>
          <w:b/>
          <w:bCs/>
          <w:sz w:val="28"/>
          <w:szCs w:val="28"/>
          <w:lang w:val="cy-GB"/>
        </w:rPr>
        <w:t>feedback</w:t>
      </w:r>
      <w:r>
        <w:rPr>
          <w:rFonts w:ascii="Arial" w:cs="Arial" w:hAnsi="Arial" w:hint="default"/>
          <w:b/>
          <w:bCs/>
          <w:sz w:val="28"/>
          <w:szCs w:val="28"/>
          <w:lang w:val="cy-GB"/>
        </w:rPr>
        <w:t xml:space="preserve"> </w:t>
      </w:r>
      <w:r>
        <w:rPr>
          <w:rFonts w:ascii="Arial" w:cs="Arial" w:hAnsi="Arial" w:hint="default"/>
          <w:b/>
          <w:bCs/>
          <w:sz w:val="28"/>
          <w:szCs w:val="28"/>
          <w:lang w:val="cy-GB"/>
        </w:rPr>
        <w:t>form</w:t>
      </w:r>
    </w:p>
    <w:p>
      <w:pPr>
        <w:rPr/>
      </w:pPr>
    </w:p>
    <w:p>
      <w:pPr>
        <w:jc w:val="center"/>
        <w:rPr/>
      </w:pPr>
      <w:r>
        <w:rPr>
          <w:rFonts w:hint="default"/>
          <w:lang w:val="cy-GB"/>
        </w:rPr>
        <w:t>THIS</w:t>
      </w:r>
      <w:r>
        <w:rPr>
          <w:rFonts w:hint="default"/>
          <w:lang w:val="cy-GB"/>
        </w:rPr>
        <w:t xml:space="preserve"> </w:t>
      </w:r>
      <w:r>
        <w:rPr>
          <w:rFonts w:hint="default"/>
          <w:lang w:val="cy-GB"/>
        </w:rPr>
        <w:t>SHEET</w:t>
      </w:r>
      <w:r>
        <w:rPr>
          <w:rFonts w:hint="default"/>
          <w:lang w:val="cy-GB"/>
        </w:rPr>
        <w:t xml:space="preserve"> </w:t>
      </w:r>
      <w:r>
        <w:rPr>
          <w:rFonts w:hint="default"/>
          <w:lang w:val="cy-GB"/>
        </w:rPr>
        <w:t>MUST</w:t>
      </w:r>
      <w:r>
        <w:rPr>
          <w:rFonts w:hint="default"/>
          <w:lang w:val="cy-GB"/>
        </w:rPr>
        <w:t xml:space="preserve"> </w:t>
      </w:r>
      <w:r>
        <w:rPr>
          <w:rFonts w:hint="default"/>
          <w:lang w:val="cy-GB"/>
        </w:rPr>
        <w:t>BE</w:t>
      </w:r>
      <w:r>
        <w:rPr>
          <w:rFonts w:hint="default"/>
          <w:lang w:val="cy-GB"/>
        </w:rPr>
        <w:t xml:space="preserve"> </w:t>
      </w:r>
      <w:r>
        <w:rPr>
          <w:rFonts w:hint="default"/>
          <w:lang w:val="cy-GB"/>
        </w:rPr>
        <w:t>THE</w:t>
      </w:r>
      <w:r>
        <w:rPr>
          <w:rFonts w:hint="default"/>
          <w:lang w:val="cy-GB"/>
        </w:rPr>
        <w:t xml:space="preserve"> </w:t>
      </w:r>
      <w:r>
        <w:rPr>
          <w:rFonts w:hint="default"/>
          <w:lang w:val="cy-GB"/>
        </w:rPr>
        <w:t>FIRST</w:t>
      </w:r>
      <w:r>
        <w:rPr>
          <w:rFonts w:hint="default"/>
          <w:lang w:val="cy-GB"/>
        </w:rPr>
        <w:t xml:space="preserve"> </w:t>
      </w:r>
      <w:r>
        <w:rPr>
          <w:rFonts w:hint="default"/>
          <w:lang w:val="cy-GB"/>
        </w:rPr>
        <w:t>PAGE</w:t>
      </w:r>
      <w:r>
        <w:rPr>
          <w:rFonts w:hint="default"/>
          <w:lang w:val="cy-GB"/>
        </w:rPr>
        <w:t xml:space="preserve"> </w:t>
      </w:r>
      <w:r>
        <w:rPr>
          <w:rFonts w:hint="default"/>
          <w:lang w:val="cy-GB"/>
        </w:rPr>
        <w:t>OF</w:t>
      </w:r>
      <w:r>
        <w:rPr>
          <w:rFonts w:hint="default"/>
          <w:lang w:val="cy-GB"/>
        </w:rPr>
        <w:t xml:space="preserve"> </w:t>
      </w:r>
      <w:r>
        <w:rPr>
          <w:rFonts w:hint="default"/>
          <w:lang w:val="cy-GB"/>
        </w:rPr>
        <w:t>THE</w:t>
      </w:r>
      <w:r>
        <w:rPr>
          <w:rFonts w:hint="default"/>
          <w:lang w:val="cy-GB"/>
        </w:rPr>
        <w:t xml:space="preserve"> </w:t>
      </w:r>
      <w:r>
        <w:rPr>
          <w:rFonts w:hint="default"/>
          <w:lang w:val="cy-GB"/>
        </w:rPr>
        <w:t>ASSIGNMENT</w:t>
      </w:r>
      <w:r>
        <w:rPr>
          <w:rFonts w:hint="default"/>
          <w:lang w:val="cy-GB"/>
        </w:rPr>
        <w:t xml:space="preserve"> </w:t>
      </w:r>
      <w:r>
        <w:rPr>
          <w:rFonts w:hint="default"/>
          <w:lang w:val="cy-GB"/>
        </w:rPr>
        <w:t>YOU</w:t>
      </w:r>
      <w:r>
        <w:rPr>
          <w:rFonts w:hint="default"/>
          <w:lang w:val="cy-GB"/>
        </w:rPr>
        <w:t xml:space="preserve"> </w:t>
      </w:r>
      <w:r>
        <w:rPr>
          <w:rFonts w:hint="default"/>
          <w:lang w:val="cy-GB"/>
        </w:rPr>
        <w:t>ARE</w:t>
      </w:r>
      <w:r>
        <w:rPr>
          <w:rFonts w:hint="default"/>
          <w:lang w:val="cy-GB"/>
        </w:rPr>
        <w:t xml:space="preserve"> </w:t>
      </w:r>
      <w:r>
        <w:rPr>
          <w:rFonts w:hint="default"/>
          <w:lang w:val="cy-GB"/>
        </w:rPr>
        <w:t>SUBMITTING</w:t>
      </w:r>
      <w:r>
        <w:rPr>
          <w:rFonts w:hint="default"/>
          <w:lang w:val="cy-GB"/>
        </w:rPr>
        <w:t xml:space="preserve">  </w:t>
      </w:r>
      <w:r>
        <w:rPr>
          <w:rFonts w:hint="default"/>
          <w:lang w:val="cy-GB"/>
        </w:rPr>
        <w:t>(DO</w:t>
      </w:r>
      <w:r>
        <w:rPr>
          <w:rFonts w:hint="default"/>
          <w:lang w:val="cy-GB"/>
        </w:rPr>
        <w:t xml:space="preserve"> </w:t>
      </w:r>
      <w:r>
        <w:rPr>
          <w:rFonts w:hint="default"/>
          <w:lang w:val="cy-GB"/>
        </w:rPr>
        <w:t>NOT</w:t>
      </w:r>
      <w:r>
        <w:rPr>
          <w:rFonts w:hint="default"/>
          <w:lang w:val="cy-GB"/>
        </w:rPr>
        <w:t xml:space="preserve"> </w:t>
      </w:r>
      <w:r>
        <w:rPr>
          <w:rFonts w:hint="default"/>
          <w:lang w:val="cy-GB"/>
        </w:rPr>
        <w:t>SEND</w:t>
      </w:r>
      <w:r>
        <w:rPr>
          <w:rFonts w:hint="default"/>
          <w:lang w:val="cy-GB"/>
        </w:rPr>
        <w:t xml:space="preserve"> </w:t>
      </w:r>
      <w:r>
        <w:rPr>
          <w:rFonts w:hint="default"/>
          <w:lang w:val="cy-GB"/>
        </w:rPr>
        <w:t>AS</w:t>
      </w:r>
      <w:r>
        <w:rPr>
          <w:rFonts w:hint="default"/>
          <w:lang w:val="cy-GB"/>
        </w:rPr>
        <w:t xml:space="preserve"> </w:t>
      </w:r>
      <w:r>
        <w:rPr>
          <w:rFonts w:hint="default"/>
          <w:lang w:val="cy-GB"/>
        </w:rPr>
        <w:t>A</w:t>
      </w:r>
      <w:r>
        <w:rPr>
          <w:rFonts w:hint="default"/>
          <w:lang w:val="cy-GB"/>
        </w:rPr>
        <w:t xml:space="preserve"> </w:t>
      </w:r>
      <w:r>
        <w:rPr>
          <w:rFonts w:hint="default"/>
          <w:lang w:val="cy-GB"/>
        </w:rPr>
        <w:t>SEPARATE</w:t>
      </w:r>
      <w:r>
        <w:rPr>
          <w:rFonts w:hint="default"/>
          <w:lang w:val="cy-GB"/>
        </w:rPr>
        <w:t xml:space="preserve"> </w:t>
      </w:r>
      <w:r>
        <w:rPr>
          <w:rFonts w:hint="default"/>
          <w:lang w:val="cy-GB"/>
        </w:rPr>
        <w:t>FILE)</w:t>
      </w:r>
    </w:p>
    <w:p>
      <w:pPr>
        <w:jc w:val="center"/>
        <w:rPr/>
      </w:pPr>
    </w:p>
    <w:tbl>
      <w:tblPr>
        <w:jc w:val="left"/>
        <w:tblInd w:w="0" w:type="dxa"/>
        <w:tblCellMar>
          <w:top w:w="0" w:type="dxa"/>
          <w:left w:w="108" w:type="dxa"/>
          <w:bottom w:w="0" w:type="dxa"/>
          <w:right w:w="108" w:type="dxa"/>
        </w:tblCellMar>
      </w:tblPr>
      <w:tblGrid>
        <w:gridCol w:w="4788"/>
        <w:gridCol w:w="423"/>
        <w:gridCol w:w="1557"/>
        <w:gridCol w:w="285"/>
        <w:gridCol w:w="1802"/>
        <w:gridCol w:w="1"/>
      </w:tblGrid>
      <w:tr>
        <w:trPr>
          <w:wBefore w:w="0" w:type="dxa"/>
          <w:wAfter w:w="0" w:type="dxa"/>
          <w:cantSplit w:val="false"/>
          <w:trHeight w:val="614"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b/>
                <w:bCs/>
                <w:sz w:val="22"/>
                <w:szCs w:val="22"/>
              </w:rPr>
              <w:t>For</w:t>
            </w:r>
            <w:r>
              <w:rPr>
                <w:rFonts w:ascii="Arial" w:cs="Arial" w:hAnsi="Arial" w:hint="default"/>
                <w:b/>
                <w:bCs/>
                <w:sz w:val="22"/>
                <w:szCs w:val="22"/>
              </w:rPr>
              <w:t xml:space="preserve"> </w:t>
            </w:r>
            <w:r>
              <w:rPr>
                <w:rFonts w:ascii="Arial" w:cs="Arial" w:hAnsi="Arial" w:hint="default"/>
                <w:b/>
                <w:bCs/>
                <w:sz w:val="22"/>
                <w:szCs w:val="22"/>
              </w:rPr>
              <w:t>completion</w:t>
            </w:r>
            <w:r>
              <w:rPr>
                <w:rFonts w:ascii="Arial" w:cs="Arial" w:hAnsi="Arial" w:hint="default"/>
                <w:b/>
                <w:bCs/>
                <w:sz w:val="22"/>
                <w:szCs w:val="22"/>
              </w:rPr>
              <w:t xml:space="preserve"> </w:t>
            </w:r>
            <w:r>
              <w:rPr>
                <w:rFonts w:ascii="Arial" w:cs="Arial" w:hAnsi="Arial" w:hint="default"/>
                <w:b/>
                <w:bCs/>
                <w:sz w:val="22"/>
                <w:szCs w:val="22"/>
              </w:rPr>
              <w:t>by</w:t>
            </w:r>
            <w:r>
              <w:rPr>
                <w:rFonts w:ascii="Arial" w:cs="Arial" w:hAnsi="Arial" w:hint="default"/>
                <w:b/>
                <w:bCs/>
                <w:sz w:val="22"/>
                <w:szCs w:val="22"/>
              </w:rPr>
              <w:t xml:space="preserve"> </w:t>
            </w:r>
            <w:r>
              <w:rPr>
                <w:rFonts w:ascii="Arial" w:cs="Arial" w:hAnsi="Arial" w:hint="default"/>
                <w:b/>
                <w:bCs/>
                <w:sz w:val="22"/>
                <w:szCs w:val="22"/>
              </w:rPr>
              <w:t>the</w:t>
            </w:r>
            <w:r>
              <w:rPr>
                <w:rFonts w:ascii="Arial" w:cs="Arial" w:hAnsi="Arial" w:hint="default"/>
                <w:b/>
                <w:bCs/>
                <w:sz w:val="22"/>
                <w:szCs w:val="22"/>
              </w:rPr>
              <w:t xml:space="preserve"> </w:t>
            </w:r>
            <w:r>
              <w:rPr>
                <w:rFonts w:ascii="Arial" w:cs="Arial" w:hAnsi="Arial" w:hint="default"/>
                <w:b/>
                <w:bCs/>
                <w:sz w:val="22"/>
                <w:szCs w:val="22"/>
              </w:rPr>
              <w:t>student</w:t>
            </w:r>
            <w:r>
              <w:rPr>
                <w:rFonts w:ascii="Arial" w:cs="Arial" w:hAnsi="Arial" w:hint="default"/>
                <w:sz w:val="22"/>
                <w:szCs w:val="22"/>
              </w:rPr>
              <w:t>:</w:t>
            </w:r>
          </w:p>
        </w:tc>
      </w:tr>
      <w:tr>
        <w:tblPrEx/>
        <w:trPr>
          <w:wBefore w:w="0" w:type="dxa"/>
          <w:wAfter w:w="0" w:type="dxa"/>
          <w:cantSplit w:val="false"/>
          <w:trHeight w:val="71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4"/>
              <w:rPr>
                <w:rFonts w:ascii="Helvetica Neue LT 75 Kindle Bold" w:cs="Helvetica Neue LT 75 Kindle Bold" w:eastAsia="Helvetica Neue LT 75 Kindle Bold" w:hAnsi="Helvetica Neue LT 75 Kindle Bold"/>
                <w:sz w:val="32"/>
                <w:szCs w:val="32"/>
              </w:rPr>
            </w:pPr>
            <w:r>
              <w:rPr>
                <w:rFonts w:ascii="Arial" w:cs="Arial" w:hAnsi="Arial" w:hint="default"/>
                <w:sz w:val="22"/>
                <w:szCs w:val="22"/>
              </w:rPr>
              <w:t>Student</w:t>
            </w:r>
            <w:r>
              <w:rPr>
                <w:rFonts w:ascii="Arial" w:cs="Arial" w:hAnsi="Arial" w:hint="default"/>
                <w:sz w:val="22"/>
                <w:szCs w:val="22"/>
              </w:rPr>
              <w:t xml:space="preserve"> </w:t>
            </w:r>
            <w:r>
              <w:rPr>
                <w:rFonts w:ascii="Arial" w:cs="Arial" w:hAnsi="Arial" w:hint="default"/>
                <w:sz w:val="22"/>
                <w:szCs w:val="22"/>
              </w:rPr>
              <w:t>Na</w:t>
            </w:r>
            <w:r>
              <w:rPr>
                <w:rFonts w:ascii="Arial" w:cs="Arial" w:hAnsi="Arial" w:hint="default"/>
                <w:sz w:val="22"/>
                <w:szCs w:val="22"/>
              </w:rPr>
              <w:t>me:</w:t>
            </w:r>
            <w:r>
              <w:rPr>
                <w:rFonts w:ascii="Arial" w:cs="Arial" w:hAnsi="Arial" w:hint="default"/>
                <w:sz w:val="32"/>
                <w:szCs w:val="32"/>
                <w:lang w:val="en-GB"/>
              </w:rPr>
              <w:t>Catherine Hornby</w:t>
            </w:r>
          </w:p>
          <w:p>
            <w:pPr>
              <w:spacing w:before="0" w:after="0"/>
              <w:ind w:right="34"/>
              <w:rPr/>
            </w:pPr>
          </w:p>
          <w:p>
            <w:pPr>
              <w:spacing w:before="0" w:after="0"/>
              <w:ind w:right="34"/>
              <w:rPr>
                <w:sz w:val="32"/>
                <w:szCs w:val="32"/>
              </w:rPr>
            </w:pPr>
            <w:r>
              <w:rPr>
                <w:rFonts w:ascii="Arial" w:cs="Arial" w:hAnsi="Arial" w:hint="default"/>
                <w:sz w:val="22"/>
                <w:szCs w:val="22"/>
              </w:rPr>
              <w:t>Student</w:t>
            </w:r>
            <w:r>
              <w:rPr>
                <w:rFonts w:ascii="Arial" w:cs="Arial" w:hAnsi="Arial" w:hint="default"/>
                <w:sz w:val="22"/>
                <w:szCs w:val="22"/>
              </w:rPr>
              <w:t xml:space="preserve"> </w:t>
            </w:r>
            <w:r>
              <w:rPr>
                <w:rFonts w:ascii="Arial" w:cs="Arial" w:hAnsi="Arial" w:hint="default"/>
                <w:b/>
                <w:bCs/>
                <w:sz w:val="22"/>
                <w:szCs w:val="22"/>
                <w:u w:val="single"/>
              </w:rPr>
              <w:t>University</w:t>
            </w:r>
            <w:r>
              <w:rPr>
                <w:rFonts w:ascii="Arial" w:cs="Arial" w:hAnsi="Arial" w:hint="default"/>
                <w:sz w:val="22"/>
                <w:szCs w:val="22"/>
                <w:u w:val="single"/>
              </w:rPr>
              <w:t xml:space="preserve"> </w:t>
            </w:r>
            <w:r>
              <w:rPr>
                <w:rFonts w:ascii="Arial" w:cs="Arial" w:hAnsi="Arial" w:hint="default"/>
                <w:sz w:val="22"/>
                <w:szCs w:val="22"/>
              </w:rPr>
              <w:t>Email:</w:t>
            </w:r>
            <w:r>
              <w:rPr>
                <w:rFonts w:ascii="Arial" w:cs="Arial" w:hAnsi="Arial" w:hint="default"/>
                <w:sz w:val="22"/>
                <w:szCs w:val="22"/>
              </w:rPr>
              <w:t xml:space="preserve"> </w:t>
            </w:r>
            <w:r>
              <w:rPr>
                <w:rFonts w:ascii="Arial" w:cs="Arial" w:hAnsi="Arial" w:hint="default"/>
                <w:sz w:val="32"/>
                <w:szCs w:val="32"/>
                <w:lang w:val="en-GB"/>
              </w:rPr>
              <w:t>2700</w:t>
            </w:r>
            <w:r>
              <w:rPr>
                <w:rFonts w:ascii="Arial" w:cs="Arial" w:hAnsi="Arial" w:hint="default"/>
                <w:sz w:val="32"/>
                <w:szCs w:val="32"/>
                <w:lang w:val="en-GB"/>
              </w:rPr>
              <w:t>1103@student.uwtsd.ac</w:t>
            </w:r>
          </w:p>
        </w:tc>
      </w:tr>
      <w:tr>
        <w:tblPrEx/>
        <w:trPr>
          <w:gridAfter w:val="1"/>
          <w:wBefore w:w="0" w:type="dxa"/>
          <w:wAfter w:w="0" w:type="dxa"/>
          <w:cantSplit w:val="false"/>
          <w:trHeight w:val="849" w:hRule="atLeast"/>
          <w:tblHeader w:val="false"/>
          <w:jc w:val="left"/>
        </w:trPr>
        <w:tc>
          <w:tcPr>
            <w:tcW w:w="4788" w:type="dxa"/>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Module</w:t>
            </w:r>
            <w:r>
              <w:rPr>
                <w:rFonts w:ascii="Arial" w:cs="Arial" w:hAnsi="Arial" w:hint="default"/>
                <w:sz w:val="22"/>
                <w:szCs w:val="22"/>
              </w:rPr>
              <w:t xml:space="preserve"> </w:t>
            </w:r>
            <w:r>
              <w:rPr>
                <w:rFonts w:ascii="Arial" w:cs="Arial" w:hAnsi="Arial" w:hint="default"/>
                <w:sz w:val="22"/>
                <w:szCs w:val="22"/>
              </w:rPr>
              <w:t>code:</w:t>
            </w:r>
          </w:p>
          <w:p>
            <w:pPr>
              <w:spacing w:before="0" w:after="0"/>
              <w:ind w:right="34"/>
              <w:rPr>
                <w:sz w:val="32"/>
                <w:szCs w:val="32"/>
              </w:rPr>
            </w:pPr>
            <w:r>
              <w:rPr>
                <w:sz w:val="32"/>
                <w:szCs w:val="32"/>
                <w:lang w:val="en-GB"/>
              </w:rPr>
              <w:t>HPCA7015</w:t>
            </w:r>
          </w:p>
          <w:p>
            <w:pPr>
              <w:spacing w:before="0" w:after="0"/>
              <w:ind w:right="34"/>
              <w:rPr/>
            </w:pPr>
            <w:r>
              <w:rPr>
                <w:rFonts w:ascii="Arial" w:cs="Arial" w:hAnsi="Arial" w:hint="default"/>
                <w:sz w:val="22"/>
                <w:szCs w:val="22"/>
              </w:rPr>
              <w:t>Module</w:t>
            </w:r>
            <w:r>
              <w:rPr>
                <w:rFonts w:ascii="Arial" w:cs="Arial" w:hAnsi="Arial" w:hint="default"/>
                <w:sz w:val="22"/>
                <w:szCs w:val="22"/>
              </w:rPr>
              <w:t xml:space="preserve"> </w:t>
            </w:r>
            <w:r>
              <w:rPr>
                <w:rFonts w:ascii="Arial" w:cs="Arial" w:hAnsi="Arial" w:hint="default"/>
                <w:sz w:val="22"/>
                <w:szCs w:val="22"/>
              </w:rPr>
              <w:t>title:</w:t>
            </w:r>
          </w:p>
          <w:p>
            <w:pPr>
              <w:spacing w:before="0" w:after="0"/>
              <w:ind w:right="34"/>
              <w:rPr>
                <w:sz w:val="32"/>
                <w:szCs w:val="32"/>
              </w:rPr>
            </w:pPr>
            <w:r>
              <w:rPr>
                <w:sz w:val="32"/>
                <w:szCs w:val="32"/>
                <w:lang w:val="en-GB"/>
              </w:rPr>
              <w:t>Foundations in Cu</w:t>
            </w:r>
            <w:r>
              <w:rPr>
                <w:sz w:val="32"/>
                <w:szCs w:val="32"/>
                <w:lang w:val="en-GB"/>
              </w:rPr>
              <w:t>ltural Astronomy and Astrology</w:t>
            </w:r>
          </w:p>
          <w:p>
            <w:pPr>
              <w:spacing w:before="0" w:after="0"/>
              <w:ind w:right="34"/>
              <w:rPr/>
            </w:pPr>
          </w:p>
        </w:tc>
        <w:tc>
          <w:tcPr>
            <w:tcW w:w="2265" w:type="dxa"/>
            <w:gridSpan w:val="3"/>
            <w:tcBorders>
              <w:top w:val="single" w:sz="4" w:space="0" w:color="auto"/>
              <w:left w:val="single" w:sz="4" w:space="0" w:color="auto"/>
              <w:bottom w:val="single" w:sz="4" w:space="0" w:color="auto"/>
              <w:right w:val="single" w:sz="4" w:space="0" w:color="auto"/>
            </w:tcBorders>
          </w:tcPr>
          <w:p>
            <w:pPr>
              <w:spacing w:before="0" w:after="0"/>
              <w:ind w:right="34"/>
              <w:rPr>
                <w:rFonts w:ascii="Arial" w:cs="Arial" w:hAnsi="Arial" w:hint="default"/>
                <w:sz w:val="22"/>
                <w:szCs w:val="22"/>
              </w:rPr>
            </w:pPr>
            <w:r>
              <w:rPr>
                <w:rFonts w:ascii="Arial" w:cs="Arial" w:hAnsi="Arial" w:hint="default"/>
                <w:sz w:val="22"/>
                <w:szCs w:val="22"/>
              </w:rPr>
              <w:t>Student</w:t>
            </w:r>
            <w:r>
              <w:rPr>
                <w:rFonts w:ascii="Arial" w:cs="Arial" w:hAnsi="Arial" w:hint="default"/>
                <w:sz w:val="22"/>
                <w:szCs w:val="22"/>
              </w:rPr>
              <w:t xml:space="preserve"> </w:t>
            </w:r>
            <w:r>
              <w:rPr>
                <w:rFonts w:ascii="Arial" w:cs="Arial" w:hAnsi="Arial" w:hint="default"/>
                <w:sz w:val="22"/>
                <w:szCs w:val="22"/>
              </w:rPr>
              <w:t>ID</w:t>
            </w:r>
            <w:r>
              <w:rPr>
                <w:rFonts w:ascii="Arial" w:cs="Arial" w:hAnsi="Arial" w:hint="default"/>
                <w:sz w:val="22"/>
                <w:szCs w:val="22"/>
              </w:rPr>
              <w:t xml:space="preserve"> </w:t>
            </w:r>
            <w:r>
              <w:rPr>
                <w:rFonts w:ascii="Arial" w:cs="Arial" w:hAnsi="Arial" w:hint="default"/>
                <w:sz w:val="22"/>
                <w:szCs w:val="22"/>
              </w:rPr>
              <w:t>number:</w:t>
            </w:r>
          </w:p>
          <w:p>
            <w:pPr>
              <w:pStyle w:val="style0"/>
              <w:spacing w:before="0" w:after="0"/>
              <w:ind w:right="34"/>
              <w:rPr>
                <w:sz w:val="32"/>
                <w:szCs w:val="32"/>
              </w:rPr>
            </w:pPr>
            <w:r>
              <w:rPr>
                <w:rFonts w:ascii="Arial" w:cs="Arial" w:hAnsi="Arial" w:hint="default"/>
                <w:sz w:val="32"/>
                <w:szCs w:val="32"/>
                <w:lang w:val="en-GB"/>
              </w:rPr>
              <w:t>27001103</w:t>
            </w:r>
          </w:p>
        </w:tc>
        <w:tc>
          <w:tcPr>
            <w:tcW w:w="1802" w:type="dxa"/>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Educational</w:t>
            </w:r>
            <w:r>
              <w:rPr>
                <w:rFonts w:ascii="Arial" w:cs="Arial" w:hAnsi="Arial" w:hint="default"/>
                <w:sz w:val="22"/>
                <w:szCs w:val="22"/>
              </w:rPr>
              <w:t xml:space="preserve"> </w:t>
            </w:r>
            <w:r>
              <w:rPr>
                <w:rFonts w:ascii="Arial" w:cs="Arial" w:hAnsi="Arial" w:hint="default"/>
                <w:sz w:val="22"/>
                <w:szCs w:val="22"/>
              </w:rPr>
              <w:t>support</w:t>
            </w:r>
            <w:r>
              <w:rPr>
                <w:rFonts w:ascii="Arial" w:cs="Arial" w:hAnsi="Arial" w:hint="default"/>
                <w:sz w:val="22"/>
                <w:szCs w:val="22"/>
              </w:rPr>
              <w:t xml:space="preserve"> </w:t>
            </w:r>
            <w:r>
              <w:rPr>
                <w:rFonts w:ascii="Arial" w:cs="Arial" w:hAnsi="Arial" w:hint="default"/>
                <w:sz w:val="22"/>
                <w:szCs w:val="22"/>
              </w:rPr>
              <w:t>needs:</w:t>
            </w:r>
          </w:p>
          <w:p>
            <w:pPr>
              <w:spacing w:before="0" w:after="0"/>
              <w:ind w:right="34"/>
              <w:rPr/>
            </w:pPr>
            <w:r>
              <w:rPr>
                <w:rFonts w:ascii="Arial" w:cs="Arial" w:hAnsi="Arial" w:hint="default"/>
                <w:sz w:val="22"/>
                <w:szCs w:val="22"/>
              </w:rPr>
              <w:t>Yes/</w:t>
            </w:r>
          </w:p>
        </w:tc>
      </w:tr>
      <w:tr>
        <w:tblPrEx/>
        <w:trPr>
          <w:wBefore w:w="0" w:type="dxa"/>
          <w:wAfter w:w="0" w:type="dxa"/>
          <w:cantSplit w:val="false"/>
          <w:trHeight w:val="1139"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Assignment</w:t>
            </w:r>
            <w:r>
              <w:rPr>
                <w:rFonts w:ascii="Arial" w:cs="Arial" w:hAnsi="Arial" w:hint="default"/>
                <w:sz w:val="22"/>
                <w:szCs w:val="22"/>
              </w:rPr>
              <w:t xml:space="preserve"> </w:t>
            </w:r>
            <w:r>
              <w:rPr>
                <w:rFonts w:ascii="Arial" w:cs="Arial" w:hAnsi="Arial" w:hint="default"/>
                <w:sz w:val="22"/>
                <w:szCs w:val="22"/>
              </w:rPr>
              <w:t>title:</w:t>
            </w:r>
          </w:p>
          <w:p>
            <w:pPr>
              <w:spacing w:before="0" w:after="0"/>
              <w:ind w:right="34"/>
              <w:rPr>
                <w:sz w:val="32"/>
                <w:szCs w:val="32"/>
              </w:rPr>
            </w:pPr>
            <w:r>
              <w:rPr>
                <w:sz w:val="32"/>
                <w:szCs w:val="32"/>
                <w:lang w:val="en-GB"/>
              </w:rPr>
              <w:t>Compare and Contrast Two Sky Myths from Two Different cultures</w:t>
            </w:r>
          </w:p>
          <w:p>
            <w:pPr>
              <w:spacing w:before="0" w:after="0"/>
              <w:ind w:right="34"/>
              <w:rPr/>
            </w:pPr>
          </w:p>
          <w:p>
            <w:pPr>
              <w:spacing w:before="0" w:after="0"/>
              <w:ind w:right="34"/>
              <w:rPr/>
            </w:pPr>
            <w:r>
              <w:rPr>
                <w:rFonts w:ascii="Arial" w:cs="Arial" w:hAnsi="Arial" w:hint="default"/>
                <w:sz w:val="22"/>
                <w:szCs w:val="22"/>
              </w:rPr>
              <w:t>Assignment</w:t>
            </w:r>
            <w:r>
              <w:rPr>
                <w:rFonts w:ascii="Arial" w:cs="Arial" w:hAnsi="Arial" w:hint="default"/>
                <w:sz w:val="22"/>
                <w:szCs w:val="22"/>
              </w:rPr>
              <w:t xml:space="preserve"> </w:t>
            </w:r>
            <w:r>
              <w:rPr>
                <w:rFonts w:ascii="Arial" w:cs="Arial" w:hAnsi="Arial" w:hint="default"/>
                <w:sz w:val="22"/>
                <w:szCs w:val="22"/>
              </w:rPr>
              <w:t>due</w:t>
            </w:r>
            <w:r>
              <w:rPr>
                <w:rFonts w:ascii="Arial" w:cs="Arial" w:hAnsi="Arial" w:hint="default"/>
                <w:sz w:val="22"/>
                <w:szCs w:val="22"/>
              </w:rPr>
              <w:t xml:space="preserve"> </w:t>
            </w:r>
            <w:r>
              <w:rPr>
                <w:rFonts w:ascii="Arial" w:cs="Arial" w:hAnsi="Arial" w:hint="default"/>
                <w:sz w:val="22"/>
                <w:szCs w:val="22"/>
              </w:rPr>
              <w:t>date:</w:t>
            </w:r>
            <w:r>
              <w:rPr>
                <w:rFonts w:ascii="Arial" w:cs="Arial" w:hAnsi="Arial" w:hint="default"/>
                <w:sz w:val="22"/>
                <w:szCs w:val="22"/>
                <w:lang w:val="en-GB"/>
              </w:rPr>
              <w:t xml:space="preserve"> 18/1/2024</w:t>
            </w:r>
          </w:p>
        </w:tc>
      </w:tr>
      <w:tr>
        <w:tblPrEx/>
        <w:trPr>
          <w:wBefore w:w="0" w:type="dxa"/>
          <w:wAfter w:w="0" w:type="dxa"/>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rPr/>
            </w:pPr>
            <w:r>
              <w:rPr>
                <w:rFonts w:ascii="Arial" w:cs="Arial" w:hAnsi="Arial" w:hint="default"/>
                <w:sz w:val="22"/>
                <w:szCs w:val="22"/>
              </w:rPr>
              <w:t>This</w:t>
            </w:r>
            <w:r>
              <w:rPr>
                <w:rFonts w:ascii="Arial" w:cs="Arial" w:hAnsi="Arial" w:hint="default"/>
                <w:sz w:val="22"/>
                <w:szCs w:val="22"/>
              </w:rPr>
              <w:t xml:space="preserve"> </w:t>
            </w:r>
            <w:r>
              <w:rPr>
                <w:rFonts w:ascii="Arial" w:cs="Arial" w:hAnsi="Arial" w:hint="default"/>
                <w:sz w:val="22"/>
                <w:szCs w:val="22"/>
              </w:rPr>
              <w:t>assignment</w:t>
            </w:r>
            <w:r>
              <w:rPr>
                <w:rFonts w:ascii="Arial" w:cs="Arial" w:hAnsi="Arial" w:hint="default"/>
                <w:sz w:val="22"/>
                <w:szCs w:val="22"/>
              </w:rPr>
              <w:t xml:space="preserve"> </w:t>
            </w:r>
            <w:r>
              <w:rPr>
                <w:rFonts w:ascii="Arial" w:cs="Arial" w:hAnsi="Arial" w:hint="default"/>
                <w:sz w:val="22"/>
                <w:szCs w:val="22"/>
              </w:rPr>
              <w:t>is</w:t>
            </w:r>
            <w:r>
              <w:rPr>
                <w:rFonts w:ascii="Arial" w:cs="Arial" w:hAnsi="Arial" w:hint="default"/>
                <w:sz w:val="22"/>
                <w:szCs w:val="22"/>
              </w:rPr>
              <w:t xml:space="preserve"> </w:t>
            </w:r>
            <w:r>
              <w:rPr>
                <w:rFonts w:ascii="Arial" w:cs="Arial" w:hAnsi="Arial" w:hint="default"/>
                <w:sz w:val="22"/>
                <w:szCs w:val="22"/>
              </w:rPr>
              <w:t>for</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1</w:t>
            </w:r>
            <w:r>
              <w:rPr>
                <w:rFonts w:ascii="Arial" w:cs="Arial" w:hAnsi="Arial" w:hint="default"/>
                <w:sz w:val="22"/>
                <w:szCs w:val="22"/>
                <w:vertAlign w:val="superscript"/>
              </w:rPr>
              <w:t>st</w:t>
            </w:r>
            <w:r>
              <w:rPr>
                <w:rFonts w:ascii="Arial" w:cs="Arial" w:hAnsi="Arial" w:hint="default"/>
                <w:sz w:val="22"/>
                <w:szCs w:val="22"/>
                <w:vertAlign w:val="superscript"/>
              </w:rPr>
              <w:t xml:space="preserve"> </w:t>
            </w:r>
            <w:bookmarkStart w:id="0" w:name="Check13"/>
            <w:r>
              <w:rPr>
                <w:rFonts w:ascii="Arial" w:cs="Arial" w:hAnsi="Arial" w:hint="default"/>
                <w:sz w:val="22"/>
                <w:szCs w:val="22"/>
              </w:rPr>
              <w:t xml:space="preserve">    </w:t>
            </w:r>
            <w:bookmarkEnd w:id="0"/>
            <w:r>
              <w:rPr>
                <w:rFonts w:ascii="Arial" w:cs="Arial" w:hAnsi="Arial" w:hint="default"/>
                <w:sz w:val="22"/>
                <w:szCs w:val="22"/>
              </w:rPr>
              <w:t>2</w:t>
            </w:r>
            <w:r>
              <w:rPr>
                <w:rFonts w:ascii="Arial" w:cs="Arial" w:hAnsi="Arial" w:hint="default"/>
                <w:sz w:val="22"/>
                <w:szCs w:val="22"/>
                <w:vertAlign w:val="superscript"/>
              </w:rPr>
              <w:t>nd</w:t>
            </w:r>
            <w:r>
              <w:rPr>
                <w:rFonts w:ascii="Arial" w:cs="Arial" w:hAnsi="Arial" w:hint="default"/>
                <w:sz w:val="22"/>
                <w:szCs w:val="22"/>
              </w:rPr>
              <w:t xml:space="preserve"> </w:t>
            </w:r>
            <w:r>
              <w:rPr>
                <w:rFonts w:ascii="Arial" w:cs="Arial" w:hAnsi="Arial" w:hint="default"/>
                <w:sz w:val="22"/>
                <w:szCs w:val="22"/>
                <w:lang w:val="en-GB"/>
              </w:rPr>
              <w:t>X</w:t>
            </w:r>
            <w:r>
              <w:rPr>
                <w:rFonts w:ascii="Arial" w:cs="Arial" w:hAnsi="Arial" w:hint="default"/>
                <w:sz w:val="22"/>
                <w:szCs w:val="22"/>
              </w:rPr>
              <w:t xml:space="preserve"> </w:t>
            </w:r>
            <w:bookmarkStart w:id="1" w:name="Check14"/>
            <w:r>
              <w:rPr>
                <w:rFonts w:ascii="Arial" w:cs="Arial" w:hAnsi="Arial" w:hint="default"/>
                <w:sz w:val="22"/>
                <w:szCs w:val="22"/>
              </w:rPr>
              <w:t xml:space="preserve">     </w:t>
            </w:r>
            <w:bookmarkEnd w:id="1"/>
            <w:r>
              <w:rPr>
                <w:rFonts w:ascii="Arial" w:cs="Arial" w:hAnsi="Arial" w:hint="default"/>
                <w:sz w:val="22"/>
                <w:szCs w:val="22"/>
              </w:rPr>
              <w:t>3</w:t>
            </w:r>
            <w:r>
              <w:rPr>
                <w:rFonts w:ascii="Arial" w:cs="Arial" w:hAnsi="Arial" w:hint="default"/>
                <w:sz w:val="22"/>
                <w:szCs w:val="22"/>
                <w:vertAlign w:val="superscript"/>
              </w:rPr>
              <w:t>rd</w:t>
            </w:r>
            <w:r>
              <w:rPr>
                <w:rFonts w:ascii="Arial" w:cs="Arial" w:hAnsi="Arial" w:hint="default"/>
                <w:sz w:val="22"/>
                <w:szCs w:val="22"/>
              </w:rPr>
              <w:t xml:space="preserve">  </w:t>
            </w:r>
            <w:bookmarkStart w:id="2" w:name="Check15"/>
            <w:r>
              <w:rPr>
                <w:rFonts w:ascii="Arial" w:cs="Arial" w:hAnsi="Arial" w:hint="default"/>
                <w:sz w:val="22"/>
                <w:szCs w:val="22"/>
              </w:rPr>
              <w:t xml:space="preserve">      </w:t>
            </w:r>
            <w:bookmarkEnd w:id="2"/>
            <w:r>
              <w:rPr>
                <w:rFonts w:ascii="Arial" w:cs="Arial" w:hAnsi="Arial" w:hint="default"/>
                <w:sz w:val="22"/>
                <w:szCs w:val="22"/>
              </w:rPr>
              <w:t>4</w:t>
            </w:r>
            <w:r>
              <w:rPr>
                <w:rFonts w:ascii="Arial" w:cs="Arial" w:hAnsi="Arial" w:hint="default"/>
                <w:sz w:val="22"/>
                <w:szCs w:val="22"/>
                <w:vertAlign w:val="superscript"/>
              </w:rPr>
              <w:t>th</w:t>
            </w:r>
            <w:r>
              <w:rPr>
                <w:rFonts w:ascii="Arial" w:cs="Arial" w:hAnsi="Arial" w:hint="default"/>
                <w:sz w:val="22"/>
                <w:szCs w:val="22"/>
              </w:rPr>
              <w:t xml:space="preserve"> </w:t>
            </w:r>
            <w:bookmarkStart w:id="3" w:name="Check16"/>
            <w:r>
              <w:rPr>
                <w:rFonts w:ascii="Arial" w:cs="Arial" w:hAnsi="Arial" w:hint="default"/>
                <w:sz w:val="22"/>
                <w:szCs w:val="22"/>
              </w:rPr>
              <w:t xml:space="preserve">      </w:t>
            </w:r>
            <w:bookmarkEnd w:id="3"/>
            <w:r>
              <w:rPr>
                <w:rFonts w:ascii="Arial" w:cs="Arial" w:hAnsi="Arial" w:hint="default"/>
                <w:sz w:val="22"/>
                <w:szCs w:val="22"/>
              </w:rPr>
              <w:t>5</w:t>
            </w:r>
            <w:r>
              <w:rPr>
                <w:rFonts w:ascii="Arial" w:cs="Arial" w:hAnsi="Arial" w:hint="default"/>
                <w:sz w:val="22"/>
                <w:szCs w:val="22"/>
                <w:vertAlign w:val="superscript"/>
              </w:rPr>
              <w:t>th</w:t>
            </w:r>
            <w:r>
              <w:rPr>
                <w:rFonts w:ascii="Arial" w:cs="Arial" w:hAnsi="Arial" w:hint="default"/>
                <w:sz w:val="22"/>
                <w:szCs w:val="22"/>
              </w:rPr>
              <w:t xml:space="preserve"> </w:t>
            </w:r>
            <w:bookmarkStart w:id="4" w:name="Check17"/>
            <w:r>
              <w:rPr>
                <w:rFonts w:ascii="Arial" w:cs="Arial" w:hAnsi="Arial" w:hint="default"/>
                <w:sz w:val="22"/>
                <w:szCs w:val="22"/>
              </w:rPr>
              <w:t xml:space="preserve">      </w:t>
            </w:r>
            <w:bookmarkEnd w:id="4"/>
            <w:r>
              <w:rPr>
                <w:rFonts w:ascii="Arial" w:cs="Arial" w:hAnsi="Arial" w:hint="default"/>
                <w:sz w:val="22"/>
                <w:szCs w:val="22"/>
              </w:rPr>
              <w:t>6</w:t>
            </w:r>
            <w:r>
              <w:rPr>
                <w:rFonts w:ascii="Arial" w:cs="Arial" w:hAnsi="Arial" w:hint="default"/>
                <w:sz w:val="22"/>
                <w:szCs w:val="22"/>
                <w:vertAlign w:val="superscript"/>
              </w:rPr>
              <w:t>th</w:t>
            </w:r>
            <w:r>
              <w:rPr>
                <w:rFonts w:ascii="Arial" w:cs="Arial" w:hAnsi="Arial" w:hint="default"/>
                <w:sz w:val="22"/>
                <w:szCs w:val="22"/>
              </w:rPr>
              <w:t xml:space="preserve"> </w:t>
            </w:r>
            <w:bookmarkStart w:id="5" w:name="Check18"/>
            <w:r>
              <w:rPr>
                <w:rFonts w:ascii="Arial" w:cs="Arial" w:hAnsi="Arial" w:hint="default"/>
                <w:b/>
                <w:bCs/>
                <w:sz w:val="22"/>
                <w:szCs w:val="22"/>
              </w:rPr>
              <w:t xml:space="preserve">   </w:t>
            </w:r>
            <w:bookmarkEnd w:id="5"/>
            <w:r>
              <w:rPr>
                <w:rFonts w:ascii="Arial" w:cs="Arial" w:hAnsi="Arial" w:hint="default"/>
                <w:sz w:val="22"/>
                <w:szCs w:val="22"/>
              </w:rPr>
              <w:t>module</w:t>
            </w:r>
            <w:r>
              <w:rPr>
                <w:rFonts w:ascii="Arial" w:cs="Arial" w:hAnsi="Arial" w:hint="default"/>
                <w:sz w:val="22"/>
                <w:szCs w:val="22"/>
              </w:rPr>
              <w:t xml:space="preserve"> </w:t>
            </w:r>
            <w:r>
              <w:rPr>
                <w:rFonts w:ascii="Arial" w:cs="Arial" w:hAnsi="Arial" w:hint="default"/>
                <w:sz w:val="22"/>
                <w:szCs w:val="22"/>
              </w:rPr>
              <w:t>of</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degre</w:t>
            </w:r>
            <w:r>
              <w:rPr>
                <w:rFonts w:ascii="Arial" w:cs="Arial" w:hAnsi="Arial" w:hint="default"/>
                <w:sz w:val="22"/>
                <w:szCs w:val="22"/>
              </w:rPr>
              <w:t>e</w:t>
            </w:r>
          </w:p>
        </w:tc>
      </w:tr>
      <w:tr>
        <w:tblPrEx/>
        <w:trPr>
          <w:wBefore w:w="0" w:type="dxa"/>
          <w:wAfter w:w="0" w:type="dxa"/>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shd w:val="clear" w:color="ffffff" w:fill="d9d9d9"/>
          </w:tcPr>
          <w:p>
            <w:pPr>
              <w:spacing w:before="0" w:after="0"/>
              <w:ind w:right="34"/>
              <w:rPr>
                <w:sz w:val="32"/>
                <w:szCs w:val="32"/>
              </w:rPr>
            </w:pPr>
            <w:r>
              <w:rPr>
                <w:rFonts w:ascii="Arial" w:cs="Arial" w:hAnsi="Arial" w:hint="default"/>
                <w:sz w:val="22"/>
                <w:szCs w:val="22"/>
              </w:rPr>
              <w:t>I</w:t>
            </w:r>
            <w:r>
              <w:rPr>
                <w:rFonts w:ascii="Arial" w:cs="Arial" w:hAnsi="Arial" w:hint="default"/>
                <w:sz w:val="22"/>
                <w:szCs w:val="22"/>
              </w:rPr>
              <w:t xml:space="preserve"> </w:t>
            </w:r>
            <w:r>
              <w:rPr>
                <w:rFonts w:ascii="Arial" w:cs="Arial" w:hAnsi="Arial" w:hint="default"/>
                <w:sz w:val="22"/>
                <w:szCs w:val="22"/>
              </w:rPr>
              <w:t>confirm</w:t>
            </w:r>
            <w:r>
              <w:rPr>
                <w:rFonts w:ascii="Arial" w:cs="Arial" w:hAnsi="Arial" w:hint="default"/>
                <w:sz w:val="22"/>
                <w:szCs w:val="22"/>
              </w:rPr>
              <w:t xml:space="preserve"> </w:t>
            </w:r>
            <w:r>
              <w:rPr>
                <w:rFonts w:ascii="Arial" w:cs="Arial" w:hAnsi="Arial" w:hint="default"/>
                <w:sz w:val="22"/>
                <w:szCs w:val="22"/>
              </w:rPr>
              <w:t>that</w:t>
            </w:r>
            <w:r>
              <w:rPr>
                <w:rFonts w:ascii="Arial" w:cs="Arial" w:hAnsi="Arial" w:hint="default"/>
                <w:sz w:val="22"/>
                <w:szCs w:val="22"/>
              </w:rPr>
              <w:t xml:space="preserve"> </w:t>
            </w:r>
            <w:r>
              <w:rPr>
                <w:rFonts w:ascii="Arial" w:cs="Arial" w:hAnsi="Arial" w:hint="default"/>
                <w:sz w:val="22"/>
                <w:szCs w:val="22"/>
              </w:rPr>
              <w:t>this</w:t>
            </w:r>
            <w:r>
              <w:rPr>
                <w:rFonts w:ascii="Arial" w:cs="Arial" w:hAnsi="Arial" w:hint="default"/>
                <w:sz w:val="22"/>
                <w:szCs w:val="22"/>
              </w:rPr>
              <w:t xml:space="preserve"> </w:t>
            </w:r>
            <w:r>
              <w:rPr>
                <w:rFonts w:ascii="Arial" w:cs="Arial" w:hAnsi="Arial" w:hint="default"/>
                <w:sz w:val="22"/>
                <w:szCs w:val="22"/>
              </w:rPr>
              <w:t>is</w:t>
            </w:r>
            <w:r>
              <w:rPr>
                <w:rFonts w:ascii="Arial" w:cs="Arial" w:hAnsi="Arial" w:hint="default"/>
                <w:sz w:val="22"/>
                <w:szCs w:val="22"/>
              </w:rPr>
              <w:t xml:space="preserve"> </w:t>
            </w:r>
            <w:r>
              <w:rPr>
                <w:rFonts w:ascii="Arial" w:cs="Arial" w:hAnsi="Arial" w:hint="default"/>
                <w:sz w:val="22"/>
                <w:szCs w:val="22"/>
              </w:rPr>
              <w:t>my</w:t>
            </w:r>
            <w:r>
              <w:rPr>
                <w:rFonts w:ascii="Arial" w:cs="Arial" w:hAnsi="Arial" w:hint="default"/>
                <w:sz w:val="22"/>
                <w:szCs w:val="22"/>
              </w:rPr>
              <w:t xml:space="preserve"> </w:t>
            </w:r>
            <w:r>
              <w:rPr>
                <w:rFonts w:ascii="Arial" w:cs="Arial" w:hAnsi="Arial" w:hint="default"/>
                <w:sz w:val="22"/>
                <w:szCs w:val="22"/>
              </w:rPr>
              <w:t>original</w:t>
            </w:r>
            <w:r>
              <w:rPr>
                <w:rFonts w:ascii="Arial" w:cs="Arial" w:hAnsi="Arial" w:hint="default"/>
                <w:sz w:val="22"/>
                <w:szCs w:val="22"/>
              </w:rPr>
              <w:t xml:space="preserve"> </w:t>
            </w:r>
            <w:r>
              <w:rPr>
                <w:rFonts w:ascii="Arial" w:cs="Arial" w:hAnsi="Arial" w:hint="default"/>
                <w:sz w:val="22"/>
                <w:szCs w:val="22"/>
              </w:rPr>
              <w:t>work</w:t>
            </w:r>
            <w:r>
              <w:rPr>
                <w:rFonts w:ascii="Arial" w:cs="Arial" w:hAnsi="Arial" w:hint="default"/>
                <w:sz w:val="22"/>
                <w:szCs w:val="22"/>
              </w:rPr>
              <w:t xml:space="preserve"> </w:t>
            </w:r>
            <w:r>
              <w:rPr>
                <w:rFonts w:ascii="Arial" w:cs="Arial" w:hAnsi="Arial" w:hint="default"/>
                <w:sz w:val="22"/>
                <w:szCs w:val="22"/>
              </w:rPr>
              <w:t>and</w:t>
            </w:r>
            <w:r>
              <w:rPr>
                <w:rFonts w:ascii="Arial" w:cs="Arial" w:hAnsi="Arial" w:hint="default"/>
                <w:sz w:val="22"/>
                <w:szCs w:val="22"/>
              </w:rPr>
              <w:t xml:space="preserve"> </w:t>
            </w:r>
            <w:r>
              <w:rPr>
                <w:rFonts w:ascii="Arial" w:cs="Arial" w:hAnsi="Arial" w:hint="default"/>
                <w:sz w:val="22"/>
                <w:szCs w:val="22"/>
              </w:rPr>
              <w:t>that</w:t>
            </w:r>
            <w:r>
              <w:rPr>
                <w:rFonts w:ascii="Arial" w:cs="Arial" w:hAnsi="Arial" w:hint="default"/>
                <w:sz w:val="22"/>
                <w:szCs w:val="22"/>
              </w:rPr>
              <w:t xml:space="preserve"> </w:t>
            </w:r>
            <w:r>
              <w:rPr>
                <w:rFonts w:ascii="Arial" w:cs="Arial" w:hAnsi="Arial" w:hint="default"/>
                <w:sz w:val="22"/>
                <w:szCs w:val="22"/>
              </w:rPr>
              <w:t>I</w:t>
            </w:r>
            <w:r>
              <w:rPr>
                <w:rFonts w:ascii="Arial" w:cs="Arial" w:hAnsi="Arial" w:hint="default"/>
                <w:sz w:val="22"/>
                <w:szCs w:val="22"/>
              </w:rPr>
              <w:t xml:space="preserve"> </w:t>
            </w:r>
            <w:r>
              <w:rPr>
                <w:rFonts w:ascii="Arial" w:cs="Arial" w:hAnsi="Arial" w:hint="default"/>
                <w:sz w:val="22"/>
                <w:szCs w:val="22"/>
              </w:rPr>
              <w:t>have</w:t>
            </w:r>
            <w:r>
              <w:rPr>
                <w:rFonts w:ascii="Arial" w:cs="Arial" w:hAnsi="Arial" w:hint="default"/>
                <w:sz w:val="22"/>
                <w:szCs w:val="22"/>
              </w:rPr>
              <w:t xml:space="preserve"> </w:t>
            </w:r>
            <w:r>
              <w:rPr>
                <w:rFonts w:ascii="Arial" w:cs="Arial" w:hAnsi="Arial" w:hint="default"/>
                <w:sz w:val="22"/>
                <w:szCs w:val="22"/>
              </w:rPr>
              <w:t>adhered</w:t>
            </w:r>
            <w:r>
              <w:rPr>
                <w:rFonts w:ascii="Arial" w:cs="Arial" w:hAnsi="Arial" w:hint="default"/>
                <w:sz w:val="22"/>
                <w:szCs w:val="22"/>
              </w:rPr>
              <w:t xml:space="preserve"> </w:t>
            </w:r>
            <w:r>
              <w:rPr>
                <w:rFonts w:ascii="Arial" w:cs="Arial" w:hAnsi="Arial" w:hint="default"/>
                <w:sz w:val="22"/>
                <w:szCs w:val="22"/>
              </w:rPr>
              <w:t>to</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University</w:t>
            </w:r>
            <w:r>
              <w:rPr>
                <w:rFonts w:ascii="Arial" w:cs="Arial" w:hAnsi="Arial" w:hint="default"/>
                <w:sz w:val="22"/>
                <w:szCs w:val="22"/>
              </w:rPr>
              <w:t xml:space="preserve"> </w:t>
            </w:r>
            <w:r>
              <w:rPr>
                <w:rFonts w:ascii="Arial" w:cs="Arial" w:hAnsi="Arial" w:hint="default"/>
                <w:sz w:val="22"/>
                <w:szCs w:val="22"/>
              </w:rPr>
              <w:t>policy</w:t>
            </w:r>
            <w:r>
              <w:rPr>
                <w:rFonts w:ascii="Arial" w:cs="Arial" w:hAnsi="Arial" w:hint="default"/>
                <w:sz w:val="22"/>
                <w:szCs w:val="22"/>
              </w:rPr>
              <w:t xml:space="preserve"> </w:t>
            </w:r>
            <w:r>
              <w:rPr>
                <w:rFonts w:ascii="Arial" w:cs="Arial" w:hAnsi="Arial" w:hint="default"/>
                <w:sz w:val="22"/>
                <w:szCs w:val="22"/>
              </w:rPr>
              <w:t>on</w:t>
            </w:r>
            <w:r>
              <w:rPr>
                <w:rFonts w:ascii="Arial" w:cs="Arial" w:hAnsi="Arial" w:hint="default"/>
                <w:sz w:val="22"/>
                <w:szCs w:val="22"/>
              </w:rPr>
              <w:t xml:space="preserve"> </w:t>
            </w:r>
            <w:r>
              <w:rPr>
                <w:rFonts w:ascii="Arial" w:cs="Arial" w:hAnsi="Arial" w:hint="default"/>
                <w:sz w:val="22"/>
                <w:szCs w:val="22"/>
              </w:rPr>
              <w:t>plagiarism.</w:t>
            </w:r>
          </w:p>
          <w:p>
            <w:pPr>
              <w:spacing w:before="0" w:after="0"/>
              <w:ind w:right="34"/>
              <w:rPr/>
            </w:pPr>
            <w:r>
              <w:rPr>
                <w:rFonts w:ascii="Arial" w:cs="Arial" w:hAnsi="Arial" w:hint="default"/>
                <w:sz w:val="22"/>
                <w:szCs w:val="22"/>
              </w:rPr>
              <w:t>Signed</w:t>
            </w:r>
            <w:r>
              <w:rPr>
                <w:rFonts w:ascii="Arial" w:cs="Arial" w:hAnsi="Arial" w:hint="default"/>
                <w:sz w:val="22"/>
                <w:szCs w:val="22"/>
                <w:lang w:val="en-GB"/>
              </w:rPr>
              <w:t xml:space="preserve">  </w:t>
            </w:r>
            <w:r>
              <w:rPr>
                <w:rFonts w:ascii="Arial" w:cs="Arial" w:hAnsi="Arial" w:hint="default"/>
                <w:sz w:val="32"/>
                <w:szCs w:val="32"/>
                <w:lang w:val="en-GB"/>
              </w:rPr>
              <w:t>C. Hornby</w:t>
            </w:r>
            <w:r>
              <w:rPr>
                <w:rFonts w:ascii="Arial" w:cs="Arial" w:hAnsi="Arial" w:hint="default"/>
                <w:sz w:val="22"/>
                <w:szCs w:val="22"/>
              </w:rPr>
              <w:t></w:t>
            </w:r>
            <w:r>
              <w:rPr>
                <w:rFonts w:ascii="Arial" w:cs="Arial" w:hAnsi="Arial" w:hint="default"/>
                <w:sz w:val="22"/>
                <w:szCs w:val="22"/>
              </w:rPr>
              <w:t></w:t>
            </w:r>
          </w:p>
          <w:p>
            <w:pPr>
              <w:spacing w:before="0" w:after="0"/>
              <w:ind w:right="34"/>
              <w:rPr/>
            </w:pPr>
            <w:r>
              <w:rPr>
                <w:rFonts w:ascii="Calibri" w:cs="Tahoma" w:hAnsi="Calibri" w:hint="default"/>
                <w:b/>
                <w:bCs/>
                <w:sz w:val="24"/>
                <w:szCs w:val="24"/>
              </w:rPr>
              <w:t>Email</w:t>
            </w:r>
            <w:r>
              <w:rPr>
                <w:rFonts w:ascii="Calibri" w:cs="Tahoma" w:hAnsi="Calibri" w:hint="default"/>
                <w:b/>
                <w:bCs/>
                <w:sz w:val="24"/>
                <w:szCs w:val="24"/>
              </w:rPr>
              <w:t xml:space="preserve"> </w:t>
            </w:r>
            <w:r>
              <w:rPr>
                <w:rFonts w:ascii="Calibri" w:cs="Tahoma" w:hAnsi="Calibri" w:hint="default"/>
                <w:b/>
                <w:bCs/>
                <w:sz w:val="24"/>
                <w:szCs w:val="24"/>
              </w:rPr>
              <w:t>submission:</w:t>
            </w:r>
            <w:r>
              <w:rPr>
                <w:rFonts w:ascii="Calibri" w:cs="Tahoma" w:hAnsi="Calibri" w:hint="default"/>
                <w:b/>
                <w:bCs/>
                <w:sz w:val="24"/>
                <w:szCs w:val="24"/>
              </w:rPr>
              <w:t>if</w:t>
            </w:r>
            <w:r>
              <w:rPr>
                <w:rFonts w:ascii="Calibri" w:cs="Tahoma" w:hAnsi="Calibri" w:hint="default"/>
                <w:b/>
                <w:bCs/>
                <w:sz w:val="24"/>
                <w:szCs w:val="24"/>
              </w:rPr>
              <w:t xml:space="preserve"> </w:t>
            </w:r>
            <w:r>
              <w:rPr>
                <w:rFonts w:ascii="Calibri" w:cs="Tahoma" w:hAnsi="Calibri" w:hint="default"/>
                <w:b/>
                <w:bCs/>
                <w:sz w:val="24"/>
                <w:szCs w:val="24"/>
              </w:rPr>
              <w:t>you</w:t>
            </w:r>
            <w:r>
              <w:rPr>
                <w:rFonts w:ascii="Calibri" w:cs="Tahoma" w:hAnsi="Calibri" w:hint="default"/>
                <w:b/>
                <w:bCs/>
                <w:sz w:val="24"/>
                <w:szCs w:val="24"/>
              </w:rPr>
              <w:t xml:space="preserve"> </w:t>
            </w:r>
            <w:r>
              <w:rPr>
                <w:rFonts w:ascii="Calibri" w:cs="Tahoma" w:hAnsi="Calibri" w:hint="default"/>
                <w:b/>
                <w:bCs/>
                <w:sz w:val="24"/>
                <w:szCs w:val="24"/>
              </w:rPr>
              <w:t>are</w:t>
            </w:r>
            <w:r>
              <w:rPr>
                <w:rFonts w:ascii="Calibri" w:cs="Tahoma" w:hAnsi="Calibri" w:hint="default"/>
                <w:b/>
                <w:bCs/>
                <w:sz w:val="24"/>
                <w:szCs w:val="24"/>
              </w:rPr>
              <w:t xml:space="preserve"> </w:t>
            </w:r>
            <w:r>
              <w:rPr>
                <w:rFonts w:ascii="Calibri" w:cs="Tahoma" w:hAnsi="Calibri" w:hint="default"/>
                <w:b/>
                <w:bCs/>
                <w:sz w:val="24"/>
                <w:szCs w:val="24"/>
              </w:rPr>
              <w:t>submitting</w:t>
            </w:r>
            <w:r>
              <w:rPr>
                <w:rFonts w:ascii="Calibri" w:cs="Tahoma" w:hAnsi="Calibri" w:hint="default"/>
                <w:b/>
                <w:bCs/>
                <w:sz w:val="24"/>
                <w:szCs w:val="24"/>
              </w:rPr>
              <w:t xml:space="preserve"> </w:t>
            </w:r>
            <w:r>
              <w:rPr>
                <w:rFonts w:ascii="Calibri" w:cs="Tahoma" w:hAnsi="Calibri" w:hint="default"/>
                <w:b/>
                <w:bCs/>
                <w:sz w:val="24"/>
                <w:szCs w:val="24"/>
              </w:rPr>
              <w:t>this</w:t>
            </w:r>
            <w:r>
              <w:rPr>
                <w:rFonts w:ascii="Calibri" w:cs="Tahoma" w:hAnsi="Calibri" w:hint="default"/>
                <w:b/>
                <w:bCs/>
                <w:sz w:val="24"/>
                <w:szCs w:val="24"/>
              </w:rPr>
              <w:t xml:space="preserve"> </w:t>
            </w:r>
            <w:r>
              <w:rPr>
                <w:rFonts w:ascii="Calibri" w:cs="Tahoma" w:hAnsi="Calibri" w:hint="default"/>
                <w:b/>
                <w:bCs/>
                <w:sz w:val="24"/>
                <w:szCs w:val="24"/>
              </w:rPr>
              <w:t>form</w:t>
            </w:r>
            <w:r>
              <w:rPr>
                <w:rFonts w:ascii="Calibri" w:cs="Tahoma" w:hAnsi="Calibri" w:hint="default"/>
                <w:b/>
                <w:bCs/>
                <w:sz w:val="24"/>
                <w:szCs w:val="24"/>
              </w:rPr>
              <w:t xml:space="preserve"> </w:t>
            </w:r>
            <w:r>
              <w:rPr>
                <w:rFonts w:ascii="Calibri" w:cs="Tahoma" w:hAnsi="Calibri" w:hint="default"/>
                <w:b/>
                <w:bCs/>
                <w:sz w:val="24"/>
                <w:szCs w:val="24"/>
              </w:rPr>
              <w:t>via</w:t>
            </w:r>
            <w:r>
              <w:rPr>
                <w:rFonts w:ascii="Calibri" w:cs="Tahoma" w:hAnsi="Calibri" w:hint="default"/>
                <w:b/>
                <w:bCs/>
                <w:sz w:val="24"/>
                <w:szCs w:val="24"/>
              </w:rPr>
              <w:t xml:space="preserve"> </w:t>
            </w:r>
            <w:r>
              <w:rPr>
                <w:rFonts w:ascii="Calibri" w:cs="Tahoma" w:hAnsi="Calibri" w:hint="default"/>
                <w:b/>
                <w:bCs/>
                <w:sz w:val="24"/>
                <w:szCs w:val="24"/>
              </w:rPr>
              <w:t>email,</w:t>
            </w:r>
            <w:r>
              <w:rPr>
                <w:rFonts w:ascii="Calibri" w:cs="Tahoma" w:hAnsi="Calibri" w:hint="default"/>
                <w:b/>
                <w:bCs/>
                <w:sz w:val="24"/>
                <w:szCs w:val="24"/>
              </w:rPr>
              <w:t xml:space="preserve"> </w:t>
            </w:r>
            <w:r>
              <w:rPr>
                <w:rFonts w:ascii="Calibri" w:cs="Tahoma" w:hAnsi="Calibri" w:hint="default"/>
                <w:b/>
                <w:bCs/>
                <w:sz w:val="24"/>
                <w:szCs w:val="24"/>
              </w:rPr>
              <w:t>please</w:t>
            </w:r>
            <w:r>
              <w:rPr>
                <w:rFonts w:ascii="Calibri" w:cs="Tahoma" w:hAnsi="Calibri" w:hint="default"/>
                <w:b/>
                <w:bCs/>
                <w:sz w:val="24"/>
                <w:szCs w:val="24"/>
              </w:rPr>
              <w:t xml:space="preserve"> </w:t>
            </w:r>
            <w:r>
              <w:rPr>
                <w:rFonts w:ascii="Calibri" w:cs="Tahoma" w:hAnsi="Calibri" w:hint="default"/>
                <w:b/>
                <w:bCs/>
                <w:sz w:val="24"/>
                <w:szCs w:val="24"/>
              </w:rPr>
              <w:t>tick</w:t>
            </w:r>
            <w:r>
              <w:rPr>
                <w:rFonts w:ascii="Calibri" w:cs="Tahoma" w:hAnsi="Calibri" w:hint="default"/>
                <w:b/>
                <w:bCs/>
                <w:sz w:val="24"/>
                <w:szCs w:val="24"/>
              </w:rPr>
              <w:t xml:space="preserve"> </w:t>
            </w:r>
            <w:r>
              <w:rPr>
                <w:rFonts w:ascii="Calibri" w:cs="Tahoma" w:hAnsi="Calibri" w:hint="default"/>
                <w:b/>
                <w:bCs/>
                <w:sz w:val="24"/>
                <w:szCs w:val="24"/>
              </w:rPr>
              <w:t>this</w:t>
            </w:r>
            <w:r>
              <w:rPr>
                <w:rFonts w:ascii="Calibri" w:cs="Tahoma" w:hAnsi="Calibri" w:hint="default"/>
                <w:b/>
                <w:bCs/>
                <w:sz w:val="24"/>
                <w:szCs w:val="24"/>
              </w:rPr>
              <w:t xml:space="preserve"> </w:t>
            </w:r>
            <w:r>
              <w:rPr>
                <w:rFonts w:ascii="Calibri" w:cs="Tahoma" w:hAnsi="Calibri" w:hint="default"/>
                <w:b/>
                <w:bCs/>
                <w:sz w:val="24"/>
                <w:szCs w:val="24"/>
              </w:rPr>
              <w:t>box</w:t>
            </w:r>
            <w:r>
              <w:rPr>
                <w:rFonts w:ascii="Calibri" w:cs="Tahoma" w:hAnsi="Calibri" w:hint="default"/>
                <w:b/>
                <w:bCs/>
                <w:sz w:val="24"/>
                <w:szCs w:val="24"/>
              </w:rPr>
              <w:t xml:space="preserve"> </w:t>
            </w:r>
            <w:r>
              <w:rPr>
                <w:rFonts w:ascii="Calibri" w:cs="Calibri" w:hAnsi="Calibri" w:hint="default"/>
                <w:b/>
                <w:bCs/>
                <w:sz w:val="44"/>
                <w:szCs w:val="44"/>
              </w:rPr>
              <w:t>□</w:t>
            </w:r>
            <w:r>
              <w:rPr>
                <w:rFonts w:ascii="Calibri" w:cs="Calibri" w:hAnsi="Calibri" w:hint="default"/>
                <w:b/>
                <w:bCs/>
                <w:sz w:val="44"/>
                <w:szCs w:val="44"/>
                <w:lang w:val="en-GB"/>
              </w:rPr>
              <w:t>X</w:t>
            </w:r>
          </w:p>
          <w:p>
            <w:pPr>
              <w:spacing w:before="0" w:after="0"/>
              <w:ind w:right="34"/>
              <w:rPr/>
            </w:pPr>
            <w:r>
              <w:rPr>
                <w:rFonts w:ascii="Calibri" w:cs="Tahoma" w:hAnsi="Calibri" w:hint="default"/>
                <w:b/>
                <w:bCs/>
                <w:sz w:val="24"/>
                <w:szCs w:val="24"/>
              </w:rPr>
              <w:t>(as</w:t>
            </w:r>
            <w:r>
              <w:rPr>
                <w:rFonts w:ascii="Calibri" w:cs="Tahoma" w:hAnsi="Calibri" w:hint="default"/>
                <w:b/>
                <w:bCs/>
                <w:sz w:val="24"/>
                <w:szCs w:val="24"/>
              </w:rPr>
              <w:t xml:space="preserve"> </w:t>
            </w:r>
            <w:r>
              <w:rPr>
                <w:rFonts w:ascii="Calibri" w:cs="Tahoma" w:hAnsi="Calibri" w:hint="default"/>
                <w:b/>
                <w:bCs/>
                <w:sz w:val="24"/>
                <w:szCs w:val="24"/>
              </w:rPr>
              <w:t>a</w:t>
            </w:r>
            <w:r>
              <w:rPr>
                <w:rFonts w:ascii="Calibri" w:cs="Tahoma" w:hAnsi="Calibri" w:hint="default"/>
                <w:b/>
                <w:bCs/>
                <w:sz w:val="24"/>
                <w:szCs w:val="24"/>
              </w:rPr>
              <w:t xml:space="preserve"> </w:t>
            </w:r>
            <w:r>
              <w:rPr>
                <w:rFonts w:ascii="Calibri" w:cs="Tahoma" w:hAnsi="Calibri" w:hint="default"/>
                <w:b/>
                <w:bCs/>
                <w:sz w:val="24"/>
                <w:szCs w:val="24"/>
              </w:rPr>
              <w:t>substitute</w:t>
            </w:r>
            <w:r>
              <w:rPr>
                <w:rFonts w:ascii="Calibri" w:cs="Tahoma" w:hAnsi="Calibri" w:hint="default"/>
                <w:b/>
                <w:bCs/>
                <w:sz w:val="24"/>
                <w:szCs w:val="24"/>
              </w:rPr>
              <w:t xml:space="preserve"> </w:t>
            </w:r>
            <w:r>
              <w:rPr>
                <w:rFonts w:ascii="Calibri" w:cs="Tahoma" w:hAnsi="Calibri" w:hint="default"/>
                <w:b/>
                <w:bCs/>
                <w:sz w:val="24"/>
                <w:szCs w:val="24"/>
              </w:rPr>
              <w:t>for</w:t>
            </w:r>
            <w:r>
              <w:rPr>
                <w:rFonts w:ascii="Calibri" w:cs="Tahoma" w:hAnsi="Calibri" w:hint="default"/>
                <w:b/>
                <w:bCs/>
                <w:sz w:val="24"/>
                <w:szCs w:val="24"/>
              </w:rPr>
              <w:t xml:space="preserve"> </w:t>
            </w:r>
            <w:r>
              <w:rPr>
                <w:rFonts w:ascii="Calibri" w:cs="Tahoma" w:hAnsi="Calibri" w:hint="default"/>
                <w:b/>
                <w:bCs/>
                <w:sz w:val="24"/>
                <w:szCs w:val="24"/>
              </w:rPr>
              <w:t>your</w:t>
            </w:r>
            <w:r>
              <w:rPr>
                <w:rFonts w:ascii="Calibri" w:cs="Tahoma" w:hAnsi="Calibri" w:hint="default"/>
                <w:b/>
                <w:bCs/>
                <w:sz w:val="24"/>
                <w:szCs w:val="24"/>
              </w:rPr>
              <w:t xml:space="preserve"> </w:t>
            </w:r>
            <w:r>
              <w:rPr>
                <w:rFonts w:ascii="Calibri" w:cs="Tahoma" w:hAnsi="Calibri" w:hint="default"/>
                <w:b/>
                <w:bCs/>
                <w:sz w:val="24"/>
                <w:szCs w:val="24"/>
              </w:rPr>
              <w:t>signature)</w:t>
            </w:r>
            <w:r>
              <w:rPr>
                <w:rFonts w:ascii="Calibri" w:cs="Tahoma" w:hAnsi="Calibri" w:hint="default"/>
                <w:b/>
                <w:bCs/>
                <w:sz w:val="24"/>
                <w:szCs w:val="24"/>
              </w:rPr>
              <w:t xml:space="preserve"> </w:t>
            </w:r>
            <w:r>
              <w:rPr>
                <w:rFonts w:ascii="Calibri" w:cs="Tahoma" w:hAnsi="Calibri" w:hint="default"/>
                <w:b/>
                <w:bCs/>
                <w:sz w:val="24"/>
                <w:szCs w:val="24"/>
              </w:rPr>
              <w:t>to</w:t>
            </w:r>
            <w:r>
              <w:rPr>
                <w:rFonts w:ascii="Calibri" w:cs="Tahoma" w:hAnsi="Calibri" w:hint="default"/>
                <w:b/>
                <w:bCs/>
                <w:sz w:val="24"/>
                <w:szCs w:val="24"/>
              </w:rPr>
              <w:t xml:space="preserve"> </w:t>
            </w:r>
            <w:r>
              <w:rPr>
                <w:rFonts w:ascii="Calibri" w:cs="Tahoma" w:hAnsi="Calibri" w:hint="default"/>
                <w:b/>
                <w:bCs/>
                <w:sz w:val="24"/>
                <w:szCs w:val="24"/>
              </w:rPr>
              <w:t>confirm</w:t>
            </w:r>
            <w:r>
              <w:rPr>
                <w:rFonts w:ascii="Calibri" w:cs="Tahoma" w:hAnsi="Calibri" w:hint="default"/>
                <w:b/>
                <w:bCs/>
                <w:sz w:val="24"/>
                <w:szCs w:val="24"/>
              </w:rPr>
              <w:t xml:space="preserve"> </w:t>
            </w:r>
            <w:r>
              <w:rPr>
                <w:rFonts w:ascii="Calibri" w:cs="Tahoma" w:hAnsi="Calibri" w:hint="default"/>
                <w:b/>
                <w:bCs/>
                <w:sz w:val="24"/>
                <w:szCs w:val="24"/>
              </w:rPr>
              <w:t>that</w:t>
            </w:r>
            <w:r>
              <w:rPr>
                <w:rFonts w:ascii="Calibri" w:cs="Tahoma" w:hAnsi="Calibri" w:hint="default"/>
                <w:b/>
                <w:bCs/>
                <w:sz w:val="24"/>
                <w:szCs w:val="24"/>
              </w:rPr>
              <w:t xml:space="preserve"> </w:t>
            </w:r>
            <w:r>
              <w:rPr>
                <w:rFonts w:ascii="Calibri" w:cs="Tahoma" w:hAnsi="Calibri" w:hint="default"/>
                <w:b/>
                <w:bCs/>
                <w:sz w:val="24"/>
                <w:szCs w:val="24"/>
              </w:rPr>
              <w:t>you</w:t>
            </w:r>
            <w:r>
              <w:rPr>
                <w:rFonts w:ascii="Calibri" w:cs="Tahoma" w:hAnsi="Calibri" w:hint="default"/>
                <w:b/>
                <w:bCs/>
                <w:sz w:val="24"/>
                <w:szCs w:val="24"/>
              </w:rPr>
              <w:t xml:space="preserve"> </w:t>
            </w:r>
            <w:r>
              <w:rPr>
                <w:rFonts w:ascii="Calibri" w:cs="Tahoma" w:hAnsi="Calibri" w:hint="default"/>
                <w:b/>
                <w:bCs/>
                <w:sz w:val="24"/>
                <w:szCs w:val="24"/>
              </w:rPr>
              <w:t>agree</w:t>
            </w:r>
            <w:r>
              <w:rPr>
                <w:rFonts w:ascii="Calibri" w:cs="Tahoma" w:hAnsi="Calibri" w:hint="default"/>
                <w:b/>
                <w:bCs/>
                <w:sz w:val="24"/>
                <w:szCs w:val="24"/>
              </w:rPr>
              <w:t xml:space="preserve"> </w:t>
            </w:r>
            <w:r>
              <w:rPr>
                <w:rFonts w:ascii="Calibri" w:cs="Tahoma" w:hAnsi="Calibri" w:hint="default"/>
                <w:b/>
                <w:bCs/>
                <w:sz w:val="24"/>
                <w:szCs w:val="24"/>
              </w:rPr>
              <w:t>to</w:t>
            </w:r>
            <w:r>
              <w:rPr>
                <w:rFonts w:ascii="Calibri" w:cs="Tahoma" w:hAnsi="Calibri" w:hint="default"/>
                <w:b/>
                <w:bCs/>
                <w:sz w:val="24"/>
                <w:szCs w:val="24"/>
              </w:rPr>
              <w:t xml:space="preserve"> </w:t>
            </w:r>
            <w:r>
              <w:rPr>
                <w:rFonts w:ascii="Calibri" w:cs="Tahoma" w:hAnsi="Calibri" w:hint="default"/>
                <w:b/>
                <w:bCs/>
                <w:sz w:val="24"/>
                <w:szCs w:val="24"/>
              </w:rPr>
              <w:t>the</w:t>
            </w:r>
            <w:r>
              <w:rPr>
                <w:rFonts w:ascii="Calibri" w:cs="Tahoma" w:hAnsi="Calibri" w:hint="default"/>
                <w:b/>
                <w:bCs/>
                <w:sz w:val="24"/>
                <w:szCs w:val="24"/>
              </w:rPr>
              <w:t xml:space="preserve"> </w:t>
            </w:r>
            <w:r>
              <w:rPr>
                <w:rFonts w:ascii="Calibri" w:cs="Tahoma" w:hAnsi="Calibri" w:hint="default"/>
                <w:b/>
                <w:bCs/>
                <w:sz w:val="24"/>
                <w:szCs w:val="24"/>
              </w:rPr>
              <w:t>above</w:t>
            </w:r>
            <w:r>
              <w:rPr>
                <w:rFonts w:ascii="Calibri" w:cs="Tahoma" w:hAnsi="Calibri" w:hint="default"/>
                <w:b/>
                <w:bCs/>
                <w:sz w:val="24"/>
                <w:szCs w:val="24"/>
              </w:rPr>
              <w:t xml:space="preserve"> </w:t>
            </w:r>
            <w:r>
              <w:rPr>
                <w:rFonts w:ascii="Calibri" w:cs="Tahoma" w:hAnsi="Calibri" w:hint="default"/>
                <w:b/>
                <w:bCs/>
                <w:sz w:val="24"/>
                <w:szCs w:val="24"/>
              </w:rPr>
              <w:t>declaration.</w:t>
            </w:r>
          </w:p>
        </w:tc>
      </w:tr>
      <w:tr>
        <w:tblPrEx/>
        <w:trPr>
          <w:wBefore w:w="0" w:type="dxa"/>
          <w:wAfter w:w="0" w:type="dxa"/>
          <w:cantSplit w:val="false"/>
          <w:trHeight w:val="3972"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b/>
              </w:rPr>
              <w:t>Assignment</w:t>
            </w:r>
            <w:r>
              <w:rPr>
                <w:rFonts w:ascii="Arial" w:hAnsi="Arial" w:hint="default"/>
                <w:b/>
              </w:rPr>
              <w:t xml:space="preserve"> </w:t>
            </w:r>
            <w:r>
              <w:rPr>
                <w:rFonts w:ascii="Arial" w:hAnsi="Arial" w:hint="default"/>
                <w:b/>
              </w:rPr>
              <w:t>Mark</w:t>
            </w:r>
          </w:p>
          <w:tbl>
            <w:tblPr>
              <w:jc w:val="left"/>
              <w:tblInd w:w="0" w:type="dxa"/>
              <w:tblCellMar>
                <w:top w:w="0" w:type="dxa"/>
                <w:left w:w="108" w:type="dxa"/>
                <w:bottom w:w="0" w:type="dxa"/>
                <w:right w:w="108" w:type="dxa"/>
              </w:tblCellMar>
            </w:tblPr>
            <w:tblGrid>
              <w:gridCol w:w="6970"/>
              <w:gridCol w:w="1660"/>
            </w:tblGrid>
            <w:tr>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sz w:val="20"/>
                      <w:szCs w:val="20"/>
                    </w:rPr>
                    <w:t>1</w:t>
                  </w:r>
                  <w:r>
                    <w:rPr>
                      <w:rFonts w:ascii="Arial" w:hAnsi="Arial" w:hint="default"/>
                      <w:sz w:val="20"/>
                      <w:szCs w:val="20"/>
                      <w:vertAlign w:val="superscript"/>
                    </w:rPr>
                    <w:t>st</w:t>
                  </w:r>
                  <w:r>
                    <w:rPr>
                      <w:rFonts w:ascii="Arial" w:hAnsi="Arial" w:hint="default"/>
                      <w:sz w:val="20"/>
                      <w:szCs w:val="20"/>
                    </w:rPr>
                    <w:t xml:space="preserve"> </w:t>
                  </w:r>
                  <w:r>
                    <w:rPr>
                      <w:rFonts w:ascii="Arial" w:hAnsi="Arial" w:hint="default"/>
                      <w:sz w:val="20"/>
                      <w:szCs w:val="20"/>
                    </w:rPr>
                    <w:t>Marker’s</w:t>
                  </w:r>
                  <w:r>
                    <w:rPr>
                      <w:rFonts w:ascii="Arial" w:hAnsi="Arial" w:hint="default"/>
                      <w:sz w:val="20"/>
                      <w:szCs w:val="20"/>
                    </w:rPr>
                    <w:t xml:space="preserve"> </w:t>
                  </w:r>
                  <w:r>
                    <w:rPr>
                      <w:rFonts w:ascii="Arial" w:hAnsi="Arial" w:hint="default"/>
                      <w:sz w:val="20"/>
                      <w:szCs w:val="20"/>
                    </w:rPr>
                    <w:t>Provisional</w:t>
                  </w:r>
                  <w:r>
                    <w:rPr>
                      <w:rFonts w:ascii="Arial" w:hAnsi="Arial" w:hint="default"/>
                      <w:sz w:val="20"/>
                      <w:szCs w:val="20"/>
                    </w:rPr>
                    <w:t xml:space="preserve"> </w:t>
                  </w:r>
                  <w:r>
                    <w:rPr>
                      <w:rFonts w:ascii="Arial" w:hAnsi="Arial" w:hint="default"/>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sz w:val="20"/>
                      <w:szCs w:val="20"/>
                    </w:rPr>
                    <w:t>2</w:t>
                  </w:r>
                  <w:r>
                    <w:rPr>
                      <w:rFonts w:ascii="Arial" w:hAnsi="Arial" w:hint="default"/>
                      <w:sz w:val="20"/>
                      <w:szCs w:val="20"/>
                      <w:vertAlign w:val="superscript"/>
                    </w:rPr>
                    <w:t>nd</w:t>
                  </w:r>
                  <w:r>
                    <w:rPr>
                      <w:rFonts w:ascii="Arial" w:hAnsi="Arial" w:hint="default"/>
                      <w:sz w:val="20"/>
                      <w:szCs w:val="20"/>
                    </w:rPr>
                    <w:t xml:space="preserve"> </w:t>
                  </w:r>
                  <w:r>
                    <w:rPr>
                      <w:rFonts w:ascii="Arial" w:hAnsi="Arial" w:hint="default"/>
                      <w:sz w:val="20"/>
                      <w:szCs w:val="20"/>
                    </w:rPr>
                    <w:t>Marker</w:t>
                  </w:r>
                  <w:r>
                    <w:rPr>
                      <w:rFonts w:ascii="Arial" w:hAnsi="Arial" w:hint="default"/>
                      <w:sz w:val="20"/>
                      <w:szCs w:val="20"/>
                    </w:rPr>
                    <w:t>’s/Moderator’s</w:t>
                  </w:r>
                  <w:r>
                    <w:rPr>
                      <w:rFonts w:ascii="Arial" w:hAnsi="Arial" w:hint="default"/>
                      <w:sz w:val="20"/>
                      <w:szCs w:val="20"/>
                    </w:rPr>
                    <w:t xml:space="preserve"> </w:t>
                  </w:r>
                  <w:r>
                    <w:rPr>
                      <w:rFonts w:ascii="Arial" w:hAnsi="Arial" w:hint="default"/>
                      <w:sz w:val="20"/>
                      <w:szCs w:val="20"/>
                    </w:rPr>
                    <w:t>provisional</w:t>
                  </w:r>
                  <w:r>
                    <w:rPr>
                      <w:rFonts w:ascii="Arial" w:hAnsi="Arial" w:hint="default"/>
                      <w:sz w:val="20"/>
                      <w:szCs w:val="20"/>
                    </w:rPr>
                    <w:t xml:space="preserve"> </w:t>
                  </w:r>
                  <w:r>
                    <w:rPr>
                      <w:rFonts w:ascii="Arial" w:hAnsi="Arial" w:hint="default"/>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sz w:val="20"/>
                      <w:szCs w:val="20"/>
                    </w:rPr>
                    <w:t>External</w:t>
                  </w:r>
                  <w:r>
                    <w:rPr>
                      <w:rFonts w:ascii="Arial" w:hAnsi="Arial" w:hint="default"/>
                      <w:sz w:val="20"/>
                      <w:szCs w:val="20"/>
                    </w:rPr>
                    <w:t xml:space="preserve"> </w:t>
                  </w:r>
                  <w:r>
                    <w:rPr>
                      <w:rFonts w:ascii="Arial" w:hAnsi="Arial" w:hint="default"/>
                      <w:sz w:val="20"/>
                      <w:szCs w:val="20"/>
                    </w:rPr>
                    <w:t>Examiner’s</w:t>
                  </w:r>
                  <w:r>
                    <w:rPr>
                      <w:rFonts w:ascii="Arial" w:hAnsi="Arial" w:hint="default"/>
                      <w:sz w:val="20"/>
                      <w:szCs w:val="20"/>
                    </w:rPr>
                    <w:t xml:space="preserve"> </w:t>
                  </w:r>
                  <w:r>
                    <w:rPr>
                      <w:rFonts w:ascii="Arial" w:hAnsi="Arial" w:hint="default"/>
                      <w:sz w:val="20"/>
                      <w:szCs w:val="20"/>
                    </w:rPr>
                    <w:t>mark</w:t>
                  </w:r>
                  <w:r>
                    <w:rPr>
                      <w:rFonts w:ascii="Arial" w:hAnsi="Arial" w:hint="default"/>
                      <w:sz w:val="20"/>
                      <w:szCs w:val="20"/>
                    </w:rPr>
                    <w:t xml:space="preserve"> </w:t>
                  </w:r>
                  <w:r>
                    <w:rPr>
                      <w:rFonts w:ascii="Arial" w:hAnsi="Arial" w:hint="default"/>
                      <w:sz w:val="20"/>
                      <w:szCs w:val="20"/>
                    </w:rPr>
                    <w:t>(if</w:t>
                  </w:r>
                  <w:r>
                    <w:rPr>
                      <w:rFonts w:ascii="Arial" w:hAnsi="Arial" w:hint="default"/>
                      <w:sz w:val="20"/>
                      <w:szCs w:val="20"/>
                    </w:rPr>
                    <w:t xml:space="preserve"> </w:t>
                  </w:r>
                  <w:r>
                    <w:rPr>
                      <w:rFonts w:ascii="Arial" w:hAnsi="Arial" w:hint="default"/>
                      <w:sz w:val="20"/>
                      <w:szCs w:val="20"/>
                    </w:rPr>
                    <w:t>relevant)</w:t>
                  </w:r>
                </w:p>
              </w:tc>
              <w:tc>
                <w:tcPr>
                  <w:tcW w:w="1660" w:type="dxa"/>
                  <w:tcBorders>
                    <w:top w:val="single" w:sz="4" w:space="0" w:color="auto"/>
                    <w:left w:val="single" w:sz="4" w:space="0" w:color="auto"/>
                    <w:bottom w:val="single" w:sz="4" w:space="0" w:color="auto"/>
                    <w:right w:val="single" w:sz="4" w:space="0" w:color="auto"/>
                  </w:tcBorders>
                </w:tcPr>
                <w:p>
                  <w:pPr>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b/>
                      <w:sz w:val="20"/>
                      <w:szCs w:val="20"/>
                    </w:rPr>
                    <w:t>Final</w:t>
                  </w:r>
                  <w:r>
                    <w:rPr>
                      <w:rFonts w:ascii="Arial" w:hAnsi="Arial" w:hint="default"/>
                      <w:b/>
                      <w:sz w:val="20"/>
                      <w:szCs w:val="20"/>
                    </w:rPr>
                    <w:t xml:space="preserve"> </w:t>
                  </w:r>
                  <w:r>
                    <w:rPr>
                      <w:rFonts w:ascii="Arial" w:hAnsi="Arial" w:hint="default"/>
                      <w:b/>
                      <w:sz w:val="20"/>
                      <w:szCs w:val="20"/>
                    </w:rPr>
                    <w:t>Mark</w:t>
                  </w:r>
                </w:p>
                <w:p>
                  <w:pPr>
                    <w:rPr/>
                  </w:pPr>
                </w:p>
              </w:tc>
              <w:tc>
                <w:tcPr>
                  <w:tcW w:w="1660" w:type="dxa"/>
                  <w:tcBorders>
                    <w:top w:val="single" w:sz="4" w:space="0" w:color="auto"/>
                    <w:left w:val="single" w:sz="4" w:space="0" w:color="auto"/>
                    <w:bottom w:val="single" w:sz="4" w:space="0" w:color="auto"/>
                    <w:right w:val="single" w:sz="4" w:space="0" w:color="auto"/>
                  </w:tcBorders>
                </w:tcPr>
                <w:p>
                  <w:pPr>
                    <w:rPr/>
                  </w:pPr>
                </w:p>
              </w:tc>
            </w:tr>
          </w:tbl>
          <w:p>
            <w:pPr>
              <w:spacing w:before="0" w:after="0"/>
              <w:ind w:left="142" w:right="34"/>
              <w:rPr/>
            </w:pPr>
          </w:p>
          <w:p>
            <w:pPr>
              <w:spacing w:before="0" w:after="0"/>
              <w:ind w:left="142" w:right="34"/>
              <w:rPr/>
            </w:pPr>
            <w:r>
              <w:rPr>
                <w:rFonts w:ascii="Arial" w:cs="Arial" w:hAnsi="Arial" w:hint="default"/>
                <w:b/>
                <w:bCs/>
                <w:sz w:val="22"/>
                <w:szCs w:val="22"/>
              </w:rPr>
              <w:t>NB.</w:t>
            </w:r>
            <w:r>
              <w:rPr>
                <w:rFonts w:ascii="Arial" w:cs="Arial" w:hAnsi="Arial" w:hint="default"/>
                <w:sz w:val="22"/>
                <w:szCs w:val="22"/>
              </w:rPr>
              <w:t xml:space="preserve">  </w:t>
            </w:r>
            <w:r>
              <w:rPr>
                <w:rFonts w:ascii="Arial" w:cs="Arial" w:hAnsi="Arial" w:hint="default"/>
                <w:sz w:val="22"/>
                <w:szCs w:val="22"/>
              </w:rPr>
              <w:t>All</w:t>
            </w:r>
            <w:r>
              <w:rPr>
                <w:rFonts w:ascii="Arial" w:cs="Arial" w:hAnsi="Arial" w:hint="default"/>
                <w:sz w:val="22"/>
                <w:szCs w:val="22"/>
              </w:rPr>
              <w:t xml:space="preserve"> </w:t>
            </w:r>
            <w:r>
              <w:rPr>
                <w:rFonts w:ascii="Arial" w:cs="Arial" w:hAnsi="Arial" w:hint="default"/>
                <w:sz w:val="22"/>
                <w:szCs w:val="22"/>
              </w:rPr>
              <w:t>ma</w:t>
            </w:r>
            <w:r>
              <w:rPr>
                <w:rFonts w:ascii="Arial" w:cs="Arial" w:hAnsi="Arial" w:hint="default"/>
                <w:sz w:val="22"/>
                <w:szCs w:val="22"/>
              </w:rPr>
              <w:t>rks</w:t>
            </w:r>
            <w:r>
              <w:rPr>
                <w:rFonts w:ascii="Arial" w:cs="Arial" w:hAnsi="Arial" w:hint="default"/>
                <w:sz w:val="22"/>
                <w:szCs w:val="22"/>
              </w:rPr>
              <w:t xml:space="preserve"> </w:t>
            </w:r>
            <w:r>
              <w:rPr>
                <w:rFonts w:ascii="Arial" w:cs="Arial" w:hAnsi="Arial" w:hint="default"/>
                <w:sz w:val="22"/>
                <w:szCs w:val="22"/>
              </w:rPr>
              <w:t>are</w:t>
            </w:r>
            <w:r>
              <w:rPr>
                <w:rFonts w:ascii="Arial" w:cs="Arial" w:hAnsi="Arial" w:hint="default"/>
                <w:sz w:val="22"/>
                <w:szCs w:val="22"/>
              </w:rPr>
              <w:t xml:space="preserve"> </w:t>
            </w:r>
            <w:r>
              <w:rPr>
                <w:rFonts w:ascii="Arial" w:cs="Arial" w:hAnsi="Arial" w:hint="default"/>
                <w:sz w:val="22"/>
                <w:szCs w:val="22"/>
              </w:rPr>
              <w:t>provisional</w:t>
            </w:r>
            <w:r>
              <w:rPr>
                <w:rFonts w:ascii="Arial" w:cs="Arial" w:hAnsi="Arial" w:hint="default"/>
                <w:sz w:val="22"/>
                <w:szCs w:val="22"/>
              </w:rPr>
              <w:t xml:space="preserve"> </w:t>
            </w:r>
            <w:r>
              <w:rPr>
                <w:rFonts w:ascii="Arial" w:cs="Arial" w:hAnsi="Arial" w:hint="default"/>
                <w:sz w:val="22"/>
                <w:szCs w:val="22"/>
              </w:rPr>
              <w:t>until</w:t>
            </w:r>
            <w:r>
              <w:rPr>
                <w:rFonts w:ascii="Arial" w:cs="Arial" w:hAnsi="Arial" w:hint="default"/>
                <w:sz w:val="22"/>
                <w:szCs w:val="22"/>
              </w:rPr>
              <w:t xml:space="preserve"> </w:t>
            </w:r>
            <w:r>
              <w:rPr>
                <w:rFonts w:ascii="Arial" w:cs="Arial" w:hAnsi="Arial" w:hint="default"/>
                <w:sz w:val="22"/>
                <w:szCs w:val="22"/>
              </w:rPr>
              <w:t>confirmed</w:t>
            </w:r>
            <w:r>
              <w:rPr>
                <w:rFonts w:ascii="Arial" w:cs="Arial" w:hAnsi="Arial" w:hint="default"/>
                <w:sz w:val="22"/>
                <w:szCs w:val="22"/>
              </w:rPr>
              <w:t xml:space="preserve"> </w:t>
            </w:r>
            <w:r>
              <w:rPr>
                <w:rFonts w:ascii="Arial" w:cs="Arial" w:hAnsi="Arial" w:hint="default"/>
                <w:sz w:val="22"/>
                <w:szCs w:val="22"/>
              </w:rPr>
              <w:t>by</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F</w:t>
            </w:r>
            <w:r>
              <w:rPr>
                <w:rFonts w:ascii="Arial" w:cs="Arial" w:hAnsi="Arial" w:hint="default"/>
                <w:sz w:val="22"/>
                <w:szCs w:val="22"/>
              </w:rPr>
              <w:t>inal</w:t>
            </w:r>
            <w:r>
              <w:rPr>
                <w:rFonts w:ascii="Arial" w:cs="Arial" w:hAnsi="Arial" w:hint="default"/>
                <w:sz w:val="22"/>
                <w:szCs w:val="22"/>
              </w:rPr>
              <w:t xml:space="preserve"> </w:t>
            </w:r>
            <w:r>
              <w:rPr>
                <w:rFonts w:ascii="Arial" w:cs="Arial" w:hAnsi="Arial" w:hint="default"/>
                <w:sz w:val="22"/>
                <w:szCs w:val="22"/>
              </w:rPr>
              <w:t>E</w:t>
            </w:r>
            <w:r>
              <w:rPr>
                <w:rFonts w:ascii="Arial" w:cs="Arial" w:hAnsi="Arial" w:hint="default"/>
                <w:sz w:val="22"/>
                <w:szCs w:val="22"/>
              </w:rPr>
              <w:t>xamination</w:t>
            </w:r>
            <w:r>
              <w:rPr>
                <w:rFonts w:ascii="Arial" w:cs="Arial" w:hAnsi="Arial" w:hint="default"/>
                <w:sz w:val="22"/>
                <w:szCs w:val="22"/>
              </w:rPr>
              <w:t xml:space="preserve"> </w:t>
            </w:r>
            <w:r>
              <w:rPr>
                <w:rFonts w:ascii="Arial" w:cs="Arial" w:hAnsi="Arial" w:hint="default"/>
                <w:sz w:val="22"/>
                <w:szCs w:val="22"/>
              </w:rPr>
              <w:t>Board.</w:t>
            </w:r>
          </w:p>
          <w:p>
            <w:pPr>
              <w:spacing w:before="0" w:after="0"/>
              <w:rPr/>
            </w:pPr>
          </w:p>
          <w:p>
            <w:pPr>
              <w:spacing w:before="0" w:after="0"/>
              <w:rPr/>
            </w:pPr>
          </w:p>
          <w:p>
            <w:pPr>
              <w:spacing w:before="0" w:after="0"/>
              <w:rPr/>
            </w:pPr>
          </w:p>
          <w:p>
            <w:pPr>
              <w:spacing w:before="0" w:after="0"/>
              <w:rPr/>
            </w:pPr>
          </w:p>
          <w:p>
            <w:pPr>
              <w:spacing w:before="0" w:after="0"/>
              <w:rPr/>
            </w:pPr>
          </w:p>
          <w:p>
            <w:pPr>
              <w:spacing w:before="0" w:after="0"/>
              <w:rPr/>
            </w:pPr>
            <w:r>
              <w:rPr>
                <w:rFonts w:ascii="Arial" w:cs="Arial" w:hAnsi="Arial" w:hint="default"/>
                <w:b/>
                <w:bCs/>
                <w:sz w:val="22"/>
                <w:szCs w:val="22"/>
              </w:rPr>
              <w:t>For</w:t>
            </w:r>
            <w:r>
              <w:rPr>
                <w:rFonts w:ascii="Arial" w:cs="Arial" w:hAnsi="Arial" w:hint="default"/>
                <w:b/>
                <w:bCs/>
                <w:sz w:val="22"/>
                <w:szCs w:val="22"/>
              </w:rPr>
              <w:t xml:space="preserve"> </w:t>
            </w:r>
            <w:r>
              <w:rPr>
                <w:rFonts w:ascii="Arial" w:cs="Arial" w:hAnsi="Arial" w:hint="default"/>
                <w:b/>
                <w:bCs/>
                <w:sz w:val="22"/>
                <w:szCs w:val="22"/>
              </w:rPr>
              <w:t>completion</w:t>
            </w:r>
            <w:r>
              <w:rPr>
                <w:rFonts w:ascii="Arial" w:cs="Arial" w:hAnsi="Arial" w:hint="default"/>
                <w:b/>
                <w:bCs/>
                <w:sz w:val="22"/>
                <w:szCs w:val="22"/>
              </w:rPr>
              <w:t xml:space="preserve"> </w:t>
            </w:r>
            <w:r>
              <w:rPr>
                <w:rFonts w:ascii="Arial" w:cs="Arial" w:hAnsi="Arial" w:hint="default"/>
                <w:b/>
                <w:bCs/>
                <w:sz w:val="22"/>
                <w:szCs w:val="22"/>
              </w:rPr>
              <w:t>by</w:t>
            </w:r>
            <w:r>
              <w:rPr>
                <w:rFonts w:ascii="Arial" w:cs="Arial" w:hAnsi="Arial" w:hint="default"/>
                <w:b/>
                <w:bCs/>
                <w:sz w:val="22"/>
                <w:szCs w:val="22"/>
              </w:rPr>
              <w:t xml:space="preserve"> </w:t>
            </w:r>
            <w:r>
              <w:rPr>
                <w:rFonts w:ascii="Arial" w:cs="Arial" w:hAnsi="Arial" w:hint="default"/>
                <w:b/>
                <w:bCs/>
                <w:sz w:val="22"/>
                <w:szCs w:val="22"/>
              </w:rPr>
              <w:t>M</w:t>
            </w:r>
            <w:r>
              <w:rPr>
                <w:rFonts w:ascii="Arial" w:cs="Arial" w:hAnsi="Arial" w:hint="default"/>
                <w:b/>
                <w:bCs/>
                <w:sz w:val="22"/>
                <w:szCs w:val="22"/>
              </w:rPr>
              <w:t>arker</w:t>
            </w:r>
            <w:r>
              <w:rPr>
                <w:rFonts w:ascii="Arial" w:cs="Arial" w:hAnsi="Arial" w:hint="default"/>
                <w:b/>
                <w:bCs/>
                <w:sz w:val="22"/>
                <w:szCs w:val="22"/>
              </w:rPr>
              <w:t xml:space="preserve"> </w:t>
            </w:r>
            <w:r>
              <w:rPr>
                <w:rFonts w:ascii="Arial" w:cs="Arial" w:hAnsi="Arial" w:hint="default"/>
                <w:b/>
                <w:bCs/>
                <w:sz w:val="22"/>
                <w:szCs w:val="22"/>
              </w:rPr>
              <w:t>1</w:t>
            </w:r>
            <w:r>
              <w:rPr>
                <w:rFonts w:ascii="Arial" w:cs="Arial" w:hAnsi="Arial" w:hint="default"/>
                <w:b/>
                <w:bCs/>
                <w:sz w:val="22"/>
                <w:szCs w:val="22"/>
              </w:rPr>
              <w:t xml:space="preserve"> </w:t>
            </w:r>
            <w:r>
              <w:rPr>
                <w:rFonts w:ascii="Arial" w:cs="Arial" w:hAnsi="Arial" w:hint="default"/>
                <w:b/>
                <w:bCs/>
                <w:sz w:val="22"/>
                <w:szCs w:val="22"/>
              </w:rPr>
              <w:t>:</w:t>
            </w:r>
          </w:p>
          <w:p>
            <w:pPr>
              <w:rPr/>
            </w:pPr>
            <w:r>
              <w:rPr>
                <w:rFonts w:ascii="Arial" w:cs="Arial" w:hAnsi="Arial" w:hint="default"/>
                <w:sz w:val="22"/>
                <w:szCs w:val="22"/>
              </w:rPr>
              <w:t>Comments</w:t>
            </w:r>
            <w:r>
              <w:rPr>
                <w:rFonts w:ascii="Arial" w:cs="Arial" w:hAnsi="Arial" w:hint="default"/>
                <w:sz w:val="22"/>
                <w:szCs w:val="22"/>
              </w:rPr>
              <w:t>:</w:t>
            </w:r>
          </w:p>
          <w:p>
            <w:pPr>
              <w:rPr/>
            </w:pPr>
          </w:p>
        </w:tc>
      </w:tr>
      <w:tr>
        <w:tblPrEx/>
        <w:trPr>
          <w:wBefore w:w="0" w:type="dxa"/>
          <w:wAfter w:w="0" w:type="dxa"/>
          <w:cantSplit w:val="false"/>
          <w:trHeight w:val="492" w:hRule="atLeast"/>
          <w:tblHeader w:val="false"/>
          <w:jc w:val="left"/>
        </w:trPr>
        <w:tc>
          <w:tcPr>
            <w:tcW w:w="6768" w:type="dxa"/>
            <w:gridSpan w:val="3"/>
            <w:tcBorders>
              <w:top w:val="single" w:sz="4" w:space="0" w:color="auto"/>
              <w:left w:val="single" w:sz="4" w:space="0" w:color="auto"/>
              <w:bottom w:val="single" w:sz="4" w:space="0" w:color="auto"/>
              <w:right w:val="single" w:sz="4" w:space="0" w:color="auto"/>
            </w:tcBorders>
          </w:tcPr>
          <w:p>
            <w:pPr>
              <w:ind w:left="142" w:right="34"/>
              <w:rPr/>
            </w:pPr>
            <w:r>
              <w:rPr>
                <w:rFonts w:ascii="Arial" w:cs="Arial" w:hAnsi="Arial" w:hint="default"/>
                <w:sz w:val="22"/>
                <w:szCs w:val="22"/>
              </w:rPr>
              <w:t>M</w:t>
            </w:r>
            <w:r>
              <w:rPr>
                <w:rFonts w:ascii="Arial" w:cs="Arial" w:hAnsi="Arial" w:hint="default"/>
                <w:sz w:val="22"/>
                <w:szCs w:val="22"/>
              </w:rPr>
              <w:t>arker</w:t>
            </w:r>
            <w:r>
              <w:rPr>
                <w:rFonts w:ascii="Arial" w:cs="Arial" w:hAnsi="Arial" w:hint="default"/>
                <w:sz w:val="22"/>
                <w:szCs w:val="22"/>
              </w:rPr>
              <w:t>s</w:t>
            </w:r>
            <w:r>
              <w:rPr>
                <w:rFonts w:ascii="Arial" w:cs="Arial" w:hAnsi="Arial" w:hint="default"/>
                <w:sz w:val="22"/>
                <w:szCs w:val="22"/>
              </w:rPr>
              <w:t xml:space="preserve"> </w:t>
            </w:r>
            <w:r>
              <w:rPr>
                <w:rFonts w:ascii="Arial" w:cs="Arial" w:hAnsi="Arial" w:hint="default"/>
                <w:sz w:val="22"/>
                <w:szCs w:val="22"/>
              </w:rPr>
              <w:t>signatur</w:t>
            </w:r>
            <w:r>
              <w:rPr>
                <w:rFonts w:ascii="Arial" w:cs="Arial" w:hAnsi="Arial" w:hint="default"/>
                <w:sz w:val="22"/>
                <w:szCs w:val="22"/>
              </w:rPr>
              <w:t>e:</w:t>
            </w:r>
          </w:p>
        </w:tc>
        <w:tc>
          <w:tcPr>
            <w:tcW w:w="2088" w:type="dxa"/>
            <w:gridSpan w:val="3"/>
            <w:tcBorders>
              <w:top w:val="single" w:sz="4" w:space="0" w:color="auto"/>
              <w:left w:val="single" w:sz="4" w:space="0" w:color="auto"/>
              <w:bottom w:val="single" w:sz="4" w:space="0" w:color="auto"/>
              <w:right w:val="single" w:sz="4" w:space="0" w:color="auto"/>
            </w:tcBorders>
          </w:tcPr>
          <w:p>
            <w:pPr>
              <w:spacing w:after="0"/>
              <w:ind w:left="142" w:right="34"/>
              <w:rPr/>
            </w:pPr>
            <w:r>
              <w:rPr>
                <w:rFonts w:ascii="Arial" w:cs="Arial" w:hAnsi="Arial" w:hint="default"/>
                <w:sz w:val="22"/>
                <w:szCs w:val="22"/>
              </w:rPr>
              <w:t>D</w:t>
            </w:r>
            <w:r>
              <w:rPr>
                <w:rFonts w:ascii="Arial" w:cs="Arial" w:hAnsi="Arial" w:hint="default"/>
                <w:sz w:val="22"/>
                <w:szCs w:val="22"/>
              </w:rPr>
              <w:t>ate</w:t>
            </w:r>
            <w:r>
              <w:rPr>
                <w:rFonts w:ascii="Arial" w:cs="Arial" w:hAnsi="Arial" w:hint="default"/>
                <w:sz w:val="22"/>
                <w:szCs w:val="22"/>
              </w:rPr>
              <w:t>:</w:t>
            </w:r>
          </w:p>
        </w:tc>
      </w:tr>
      <w:tr>
        <w:tblPrEx/>
        <w:trPr>
          <w:wBefore w:w="0" w:type="dxa"/>
          <w:wAfter w:w="0" w:type="dxa"/>
          <w:cantSplit w:val="false"/>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34"/>
              <w:rPr/>
            </w:pPr>
          </w:p>
          <w:p>
            <w:pPr>
              <w:spacing w:before="0" w:after="0"/>
              <w:ind w:right="-334"/>
              <w:rPr/>
            </w:pPr>
            <w:r>
              <w:rPr>
                <w:rFonts w:ascii="Arial" w:cs="Arial" w:hAnsi="Arial" w:hint="default"/>
                <w:b/>
                <w:bCs/>
                <w:sz w:val="22"/>
                <w:szCs w:val="22"/>
              </w:rPr>
              <w:t>For</w:t>
            </w:r>
            <w:r>
              <w:rPr>
                <w:rFonts w:ascii="Arial" w:cs="Arial" w:hAnsi="Arial" w:hint="default"/>
                <w:b/>
                <w:bCs/>
                <w:sz w:val="22"/>
                <w:szCs w:val="22"/>
              </w:rPr>
              <w:t xml:space="preserve"> </w:t>
            </w:r>
            <w:r>
              <w:rPr>
                <w:rFonts w:ascii="Arial" w:cs="Arial" w:hAnsi="Arial" w:hint="default"/>
                <w:b/>
                <w:bCs/>
                <w:sz w:val="22"/>
                <w:szCs w:val="22"/>
              </w:rPr>
              <w:t>completion</w:t>
            </w:r>
            <w:r>
              <w:rPr>
                <w:rFonts w:ascii="Arial" w:cs="Arial" w:hAnsi="Arial" w:hint="default"/>
                <w:b/>
                <w:bCs/>
                <w:sz w:val="22"/>
                <w:szCs w:val="22"/>
              </w:rPr>
              <w:t xml:space="preserve"> </w:t>
            </w:r>
            <w:r>
              <w:rPr>
                <w:rFonts w:ascii="Arial" w:cs="Arial" w:hAnsi="Arial" w:hint="default"/>
                <w:b/>
                <w:bCs/>
                <w:sz w:val="22"/>
                <w:szCs w:val="22"/>
              </w:rPr>
              <w:t>by</w:t>
            </w:r>
            <w:r>
              <w:rPr>
                <w:rFonts w:ascii="Arial" w:cs="Arial" w:hAnsi="Arial" w:hint="default"/>
                <w:b/>
                <w:bCs/>
                <w:sz w:val="22"/>
                <w:szCs w:val="22"/>
              </w:rPr>
              <w:t xml:space="preserve"> </w:t>
            </w:r>
            <w:r>
              <w:rPr>
                <w:rFonts w:ascii="Arial" w:cs="Arial" w:hAnsi="Arial" w:hint="default"/>
                <w:b/>
                <w:bCs/>
                <w:sz w:val="22"/>
                <w:szCs w:val="22"/>
              </w:rPr>
              <w:t>M</w:t>
            </w:r>
            <w:r>
              <w:rPr>
                <w:rFonts w:ascii="Arial" w:cs="Arial" w:hAnsi="Arial" w:hint="default"/>
                <w:b/>
                <w:bCs/>
                <w:sz w:val="22"/>
                <w:szCs w:val="22"/>
              </w:rPr>
              <w:t>arker</w:t>
            </w:r>
            <w:r>
              <w:rPr>
                <w:rFonts w:ascii="Arial" w:cs="Arial" w:hAnsi="Arial" w:hint="default"/>
                <w:b/>
                <w:bCs/>
                <w:sz w:val="22"/>
                <w:szCs w:val="22"/>
              </w:rPr>
              <w:t xml:space="preserve"> </w:t>
            </w:r>
            <w:r>
              <w:rPr>
                <w:rFonts w:ascii="Arial" w:cs="Arial" w:hAnsi="Arial" w:hint="default"/>
                <w:b/>
                <w:bCs/>
                <w:sz w:val="22"/>
                <w:szCs w:val="22"/>
              </w:rPr>
              <w:t>2</w:t>
            </w:r>
            <w:r>
              <w:rPr>
                <w:rFonts w:ascii="Arial" w:cs="Arial" w:hAnsi="Arial" w:hint="default"/>
                <w:b/>
                <w:bCs/>
                <w:sz w:val="22"/>
                <w:szCs w:val="22"/>
              </w:rPr>
              <w:t>/M</w:t>
            </w:r>
            <w:r>
              <w:rPr>
                <w:rFonts w:ascii="Arial" w:cs="Arial" w:hAnsi="Arial" w:hint="default"/>
                <w:b/>
                <w:bCs/>
                <w:sz w:val="22"/>
                <w:szCs w:val="22"/>
              </w:rPr>
              <w:t>oderator</w:t>
            </w:r>
            <w:r>
              <w:rPr>
                <w:rFonts w:ascii="Arial" w:cs="Arial" w:hAnsi="Arial" w:hint="default"/>
                <w:b/>
                <w:bCs/>
                <w:sz w:val="22"/>
                <w:szCs w:val="22"/>
              </w:rPr>
              <w:t>:</w:t>
            </w:r>
          </w:p>
          <w:p>
            <w:pPr>
              <w:spacing w:before="0" w:after="0"/>
              <w:ind w:right="-334"/>
              <w:rPr/>
            </w:pPr>
          </w:p>
          <w:p>
            <w:pPr>
              <w:spacing w:before="0" w:after="0"/>
              <w:ind w:right="-334"/>
              <w:rPr/>
            </w:pPr>
            <w:r>
              <w:rPr>
                <w:rFonts w:ascii="Arial" w:cs="Arial" w:hAnsi="Arial" w:hint="default"/>
                <w:sz w:val="22"/>
                <w:szCs w:val="22"/>
              </w:rPr>
              <w:t>Comments:</w:t>
            </w: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spacing w:before="0" w:after="0"/>
              <w:ind w:right="-334"/>
              <w:rPr/>
            </w:pPr>
            <w:r>
              <w:rPr>
                <w:rFonts w:ascii="Arial" w:cs="Arial" w:hAnsi="Arial" w:hint="default"/>
                <w:sz w:val="22"/>
                <w:szCs w:val="22"/>
              </w:rPr>
              <w:t>Markers</w:t>
            </w:r>
            <w:r>
              <w:rPr>
                <w:rFonts w:ascii="Arial" w:cs="Arial" w:hAnsi="Arial" w:hint="default"/>
                <w:sz w:val="22"/>
                <w:szCs w:val="22"/>
              </w:rPr>
              <w:t xml:space="preserve"> </w:t>
            </w:r>
            <w:r>
              <w:rPr>
                <w:rFonts w:ascii="Arial" w:cs="Arial" w:hAnsi="Arial" w:hint="default"/>
                <w:sz w:val="22"/>
                <w:szCs w:val="22"/>
              </w:rPr>
              <w:t>Signature</w:t>
            </w:r>
            <w:r>
              <w:rPr>
                <w:rFonts w:ascii="Arial" w:cs="Arial" w:hAnsi="Arial" w:hint="default"/>
                <w:sz w:val="22"/>
                <w:szCs w:val="22"/>
              </w:rPr>
              <w:t>:</w:t>
            </w:r>
          </w:p>
        </w:tc>
        <w:tc>
          <w:tcPr>
            <w:tcW w:w="3645" w:type="dxa"/>
            <w:gridSpan w:val="4"/>
            <w:tcBorders>
              <w:top w:val="single" w:sz="4" w:space="0" w:color="auto"/>
              <w:left w:val="single" w:sz="4" w:space="0" w:color="auto"/>
              <w:bottom w:val="single" w:sz="4" w:space="0" w:color="auto"/>
              <w:right w:val="single" w:sz="4" w:space="0" w:color="auto"/>
            </w:tcBorders>
          </w:tcPr>
          <w:p>
            <w:pPr>
              <w:spacing w:before="0" w:after="0"/>
              <w:ind w:right="-334"/>
              <w:rPr/>
            </w:pPr>
            <w:r>
              <w:rPr>
                <w:rFonts w:ascii="Arial" w:cs="Arial" w:hAnsi="Arial" w:hint="default"/>
                <w:sz w:val="22"/>
                <w:szCs w:val="22"/>
              </w:rPr>
              <w:t>Date:</w:t>
            </w:r>
          </w:p>
        </w:tc>
      </w:tr>
      <w:tr>
        <w:tblPrEx/>
        <w:trPr>
          <w:wBefore w:w="0" w:type="dxa"/>
          <w:wAfter w:w="0" w:type="dxa"/>
          <w:cantSplit w:val="false"/>
          <w:trHeight w:val="720"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rPr/>
            </w:pPr>
            <w:r>
              <w:rPr>
                <w:rFonts w:ascii="Arial" w:cs="Arial" w:hAnsi="Arial" w:hint="default"/>
                <w:b/>
                <w:bCs/>
                <w:sz w:val="22"/>
                <w:szCs w:val="22"/>
              </w:rPr>
              <w:t>External</w:t>
            </w:r>
            <w:r>
              <w:rPr>
                <w:rFonts w:ascii="Arial" w:cs="Arial" w:hAnsi="Arial" w:hint="default"/>
                <w:b/>
                <w:bCs/>
                <w:sz w:val="22"/>
                <w:szCs w:val="22"/>
              </w:rPr>
              <w:t xml:space="preserve"> </w:t>
            </w:r>
            <w:r>
              <w:rPr>
                <w:rFonts w:ascii="Arial" w:cs="Arial" w:hAnsi="Arial" w:hint="default"/>
                <w:b/>
                <w:bCs/>
                <w:sz w:val="22"/>
                <w:szCs w:val="22"/>
              </w:rPr>
              <w:t>Examiners</w:t>
            </w:r>
            <w:r>
              <w:rPr>
                <w:rFonts w:ascii="Arial" w:cs="Arial" w:hAnsi="Arial" w:hint="default"/>
                <w:b/>
                <w:bCs/>
                <w:sz w:val="22"/>
                <w:szCs w:val="22"/>
              </w:rPr>
              <w:t xml:space="preserve"> </w:t>
            </w:r>
            <w:r>
              <w:rPr>
                <w:rFonts w:ascii="Arial" w:cs="Arial" w:hAnsi="Arial" w:hint="default"/>
                <w:b/>
                <w:bCs/>
                <w:sz w:val="22"/>
                <w:szCs w:val="22"/>
              </w:rPr>
              <w:t>comments</w:t>
            </w:r>
            <w:r>
              <w:rPr>
                <w:rFonts w:ascii="Arial" w:cs="Arial" w:hAnsi="Arial" w:hint="default"/>
                <w:b/>
                <w:bCs/>
                <w:sz w:val="22"/>
                <w:szCs w:val="22"/>
              </w:rPr>
              <w:t xml:space="preserve"> </w:t>
            </w:r>
            <w:r>
              <w:rPr>
                <w:rFonts w:ascii="Arial" w:cs="Arial" w:hAnsi="Arial" w:hint="default"/>
                <w:b/>
                <w:bCs/>
                <w:sz w:val="22"/>
                <w:szCs w:val="22"/>
              </w:rPr>
              <w:t>(if</w:t>
            </w:r>
            <w:r>
              <w:rPr>
                <w:rFonts w:ascii="Arial" w:cs="Arial" w:hAnsi="Arial" w:hint="default"/>
                <w:b/>
                <w:bCs/>
                <w:sz w:val="22"/>
                <w:szCs w:val="22"/>
              </w:rPr>
              <w:t xml:space="preserve"> </w:t>
            </w:r>
            <w:r>
              <w:rPr>
                <w:rFonts w:ascii="Arial" w:cs="Arial" w:hAnsi="Arial" w:hint="default"/>
                <w:b/>
                <w:bCs/>
                <w:sz w:val="22"/>
                <w:szCs w:val="22"/>
              </w:rPr>
              <w:t>relevant)</w:t>
            </w: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rPr/>
            </w:pPr>
            <w:r>
              <w:rPr>
                <w:rFonts w:ascii="Arial" w:cs="Arial" w:hAnsi="Arial" w:hint="default"/>
                <w:sz w:val="22"/>
                <w:szCs w:val="22"/>
              </w:rPr>
              <w:t>External</w:t>
            </w:r>
            <w:r>
              <w:rPr>
                <w:rFonts w:ascii="Arial" w:cs="Arial" w:hAnsi="Arial" w:hint="default"/>
                <w:sz w:val="22"/>
                <w:szCs w:val="22"/>
              </w:rPr>
              <w:t xml:space="preserve"> </w:t>
            </w:r>
            <w:r>
              <w:rPr>
                <w:rFonts w:ascii="Arial" w:cs="Arial" w:hAnsi="Arial" w:hint="default"/>
                <w:sz w:val="22"/>
                <w:szCs w:val="22"/>
              </w:rPr>
              <w:t>Examiners</w:t>
            </w:r>
            <w:r>
              <w:rPr>
                <w:rFonts w:ascii="Arial" w:cs="Arial" w:hAnsi="Arial" w:hint="default"/>
                <w:sz w:val="22"/>
                <w:szCs w:val="22"/>
              </w:rPr>
              <w:t xml:space="preserve"> </w:t>
            </w:r>
            <w:r>
              <w:rPr>
                <w:rFonts w:ascii="Arial" w:cs="Arial" w:hAnsi="Arial" w:hint="default"/>
                <w:sz w:val="22"/>
                <w:szCs w:val="22"/>
              </w:rPr>
              <w:t>Signature:</w:t>
            </w:r>
          </w:p>
        </w:tc>
        <w:tc>
          <w:tcPr>
            <w:tcW w:w="3645" w:type="dxa"/>
            <w:gridSpan w:val="4"/>
            <w:tcBorders>
              <w:top w:val="single" w:sz="4" w:space="0" w:color="auto"/>
              <w:left w:val="single" w:sz="4" w:space="0" w:color="auto"/>
              <w:bottom w:val="single" w:sz="4" w:space="0" w:color="auto"/>
              <w:right w:val="single" w:sz="4" w:space="0" w:color="auto"/>
            </w:tcBorders>
          </w:tcPr>
          <w:p>
            <w:pPr>
              <w:rPr/>
            </w:pPr>
            <w:r>
              <w:rPr>
                <w:rFonts w:ascii="Arial" w:cs="Arial" w:hAnsi="Arial" w:hint="default"/>
                <w:sz w:val="22"/>
                <w:szCs w:val="22"/>
              </w:rPr>
              <w:t>Date:</w:t>
            </w:r>
          </w:p>
        </w:tc>
      </w:tr>
    </w:tbl>
    <w:p>
      <w:pPr>
        <w:spacing w:before="0" w:after="0"/>
        <w:ind w:right="-334"/>
        <w:rPr/>
      </w:pPr>
    </w:p>
    <w:p>
      <w:pPr>
        <w:pStyle w:val="style4099"/>
        <w:spacing w:lineRule="auto" w:line="360"/>
        <w:jc w:val="center"/>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lang w:val="en-US"/>
        </w:rPr>
      </w:pPr>
    </w:p>
    <w:p>
      <w:pPr>
        <w:pStyle w:val="style4099"/>
        <w:spacing w:lineRule="auto" w:line="360"/>
        <w:jc w:val="center"/>
        <w:rPr/>
      </w:pPr>
      <w:r>
        <w:rPr>
          <w:lang w:val="en-US"/>
        </w:rPr>
        <w:t xml:space="preserve">Compare and Contrast Two Sky Myths from Two Different Cultures </w:t>
      </w:r>
    </w:p>
    <w:p>
      <w:pPr>
        <w:pStyle w:val="style4099"/>
        <w:spacing w:lineRule="auto" w:line="360"/>
        <w:jc w:val="center"/>
        <w:rPr/>
      </w:pPr>
    </w:p>
    <w:p>
      <w:pPr>
        <w:pStyle w:val="style4099"/>
        <w:spacing w:lineRule="auto" w:line="360"/>
        <w:rPr/>
      </w:pPr>
      <w:r>
        <w:rPr>
          <w:lang w:val="en-US"/>
        </w:rPr>
        <w:t xml:space="preserve">The New Larousse Encyclopedia of Mythology has an Introduction penned by Robert Graves. He is especially qualified for this task, due to his own catalogue of scholarly works, including </w:t>
      </w:r>
      <w:r>
        <w:rPr>
          <w:lang w:val="en-US"/>
        </w:rPr>
        <w:t>“</w:t>
      </w:r>
      <w:r>
        <w:rPr>
          <w:lang w:val="en-US"/>
        </w:rPr>
        <w:t>the first modern dictionary of Greek mythology, The Greek Myths.</w:t>
      </w:r>
      <w:r>
        <w:rPr>
          <w:lang w:val="en-US"/>
        </w:rPr>
        <w:t>”</w:t>
      </w:r>
      <w:r>
        <w:rPr>
          <w:vertAlign w:val="superscript"/>
        </w:rPr>
        <w:footnoteReference w:id="1"/>
      </w:r>
      <w:r>
        <w:rPr>
          <w:lang w:val="en-US"/>
        </w:rPr>
        <w:t xml:space="preserve"> Indeed, Robert Graves is sometimes viewed as the </w:t>
      </w:r>
      <w:r>
        <w:rPr>
          <w:lang w:val="en-US"/>
        </w:rPr>
        <w:t>‘</w:t>
      </w:r>
      <w:r>
        <w:rPr>
          <w:lang w:val="en-US"/>
        </w:rPr>
        <w:t>author</w:t>
      </w:r>
      <w:r>
        <w:rPr>
          <w:lang w:val="en-US"/>
        </w:rPr>
        <w:t xml:space="preserve">’ </w:t>
      </w:r>
      <w:r>
        <w:rPr>
          <w:lang w:val="en-US"/>
        </w:rPr>
        <w:t>of the Greek myths in a modern sense.</w:t>
      </w:r>
    </w:p>
    <w:p>
      <w:pPr>
        <w:pStyle w:val="style4099"/>
        <w:spacing w:lineRule="auto" w:line="360"/>
        <w:rPr/>
      </w:pPr>
    </w:p>
    <w:p>
      <w:pPr>
        <w:pStyle w:val="style4099"/>
        <w:spacing w:lineRule="auto" w:line="360"/>
        <w:rPr/>
      </w:pPr>
      <w:r>
        <w:rPr>
          <w:lang w:val="en-US"/>
        </w:rPr>
        <w:t>Graves opens his Introduction with the following statement:</w:t>
      </w:r>
    </w:p>
    <w:p>
      <w:pPr>
        <w:pStyle w:val="style4099"/>
        <w:spacing w:lineRule="auto" w:line="360"/>
        <w:rPr/>
      </w:pPr>
    </w:p>
    <w:p>
      <w:pPr>
        <w:pStyle w:val="style4099"/>
        <w:spacing w:lineRule="auto" w:line="360"/>
        <w:jc w:val="center"/>
        <w:rPr/>
      </w:pPr>
      <w:r>
        <w:rPr>
          <w:lang w:val="en-US"/>
        </w:rPr>
        <w:t>“</w:t>
      </w:r>
      <w:r>
        <w:rPr>
          <w:lang w:val="en-US"/>
        </w:rPr>
        <w:t>Mythology is the study of whatever religious or heroic legends are so foreign to a student</w:t>
      </w:r>
      <w:r>
        <w:rPr>
          <w:lang w:val="en-US"/>
        </w:rPr>
        <w:t>’</w:t>
      </w:r>
      <w:r>
        <w:rPr>
          <w:lang w:val="en-US"/>
        </w:rPr>
        <w:t xml:space="preserve">s experience that he cannot believe them to be true. Hence the English adjective </w:t>
      </w:r>
      <w:r>
        <w:rPr>
          <w:lang w:val="en-US"/>
        </w:rPr>
        <w:t>‘</w:t>
      </w:r>
      <w:r>
        <w:rPr>
          <w:lang w:val="en-US"/>
        </w:rPr>
        <w:t>mythical</w:t>
      </w:r>
      <w:r>
        <w:rPr>
          <w:lang w:val="en-US"/>
        </w:rPr>
        <w:t>’</w:t>
      </w:r>
      <w:r>
        <w:rPr>
          <w:lang w:val="en-US"/>
        </w:rPr>
        <w:t xml:space="preserve">, meaning </w:t>
      </w:r>
      <w:r>
        <w:rPr>
          <w:lang w:val="en-US"/>
        </w:rPr>
        <w:t>‘</w:t>
      </w:r>
      <w:r>
        <w:rPr>
          <w:lang w:val="en-US"/>
        </w:rPr>
        <w:t>incredible</w:t>
      </w:r>
      <w:r>
        <w:rPr>
          <w:lang w:val="en-US"/>
        </w:rPr>
        <w:t>’”</w:t>
      </w:r>
      <w:r>
        <w:rPr>
          <w:lang w:val="en-US"/>
        </w:rPr>
        <w:t>.</w:t>
      </w:r>
      <w:r>
        <w:rPr>
          <w:vertAlign w:val="superscript"/>
        </w:rPr>
        <w:footnoteReference w:id="2"/>
      </w:r>
    </w:p>
    <w:p>
      <w:pPr>
        <w:pStyle w:val="style4099"/>
        <w:spacing w:lineRule="auto" w:line="360"/>
        <w:jc w:val="center"/>
        <w:rPr/>
      </w:pPr>
    </w:p>
    <w:p>
      <w:pPr>
        <w:pStyle w:val="style4099"/>
        <w:spacing w:lineRule="auto" w:line="360"/>
        <w:rPr/>
      </w:pPr>
      <w:r>
        <w:rPr>
          <w:lang w:val="en-US"/>
        </w:rPr>
        <w:t xml:space="preserve">Factoring in the notorious difficulty in defining </w:t>
      </w:r>
      <w:r>
        <w:rPr>
          <w:lang w:val="en-US"/>
        </w:rPr>
        <w:t>‘</w:t>
      </w:r>
      <w:r>
        <w:rPr>
          <w:lang w:val="en-US"/>
        </w:rPr>
        <w:t>mythology</w:t>
      </w:r>
      <w:r>
        <w:rPr>
          <w:lang w:val="en-US"/>
        </w:rPr>
        <w:t>’</w:t>
      </w:r>
      <w:r>
        <w:rPr>
          <w:lang w:val="en-US"/>
        </w:rPr>
        <w:t>, Graves</w:t>
      </w:r>
      <w:r>
        <w:rPr>
          <w:lang w:val="en-US"/>
        </w:rPr>
        <w:t>’</w:t>
      </w:r>
      <w:r>
        <w:rPr>
          <w:lang w:val="en-US"/>
        </w:rPr>
        <w:t>s opening statement seems like a reasonable starting point. He goes on to speculate on the functions of myth, stating that:</w:t>
      </w:r>
    </w:p>
    <w:p>
      <w:pPr>
        <w:pStyle w:val="style4099"/>
        <w:spacing w:lineRule="auto" w:line="360"/>
        <w:rPr/>
      </w:pPr>
    </w:p>
    <w:p>
      <w:pPr>
        <w:pStyle w:val="style4099"/>
        <w:spacing w:lineRule="auto" w:line="360"/>
        <w:jc w:val="center"/>
        <w:rPr>
          <w:sz w:val="36"/>
          <w:szCs w:val="36"/>
        </w:rPr>
      </w:pPr>
      <w:r>
        <w:rPr>
          <w:sz w:val="28"/>
          <w:szCs w:val="28"/>
          <w:lang w:val="en-US"/>
        </w:rPr>
        <w:t>“</w:t>
      </w:r>
      <w:r>
        <w:rPr>
          <w:sz w:val="36"/>
          <w:szCs w:val="36"/>
          <w:lang w:val="en-US"/>
        </w:rPr>
        <w:t xml:space="preserve">Myth has two main functions. The first is to answer the sort of awkward questions that children ask, such as: </w:t>
      </w:r>
      <w:r>
        <w:rPr>
          <w:sz w:val="36"/>
          <w:szCs w:val="36"/>
          <w:lang w:val="en-US"/>
        </w:rPr>
        <w:t>‘</w:t>
      </w:r>
      <w:r>
        <w:rPr>
          <w:sz w:val="36"/>
          <w:szCs w:val="36"/>
          <w:lang w:val="en-US"/>
        </w:rPr>
        <w:t>Who made the world? How will it end? Who was the first man? Where do souls go after death?</w:t>
      </w:r>
      <w:r>
        <w:rPr>
          <w:sz w:val="36"/>
          <w:szCs w:val="36"/>
          <w:lang w:val="en-US"/>
        </w:rPr>
        <w:t xml:space="preserve">’ … </w:t>
      </w:r>
      <w:r>
        <w:rPr>
          <w:sz w:val="36"/>
          <w:szCs w:val="36"/>
          <w:lang w:val="en-US"/>
        </w:rPr>
        <w:t>The second function of myth is to justify an existing social system and account for traditional rites and customs.</w:t>
      </w:r>
      <w:r>
        <w:rPr>
          <w:sz w:val="36"/>
          <w:szCs w:val="36"/>
          <w:lang w:val="en-US"/>
        </w:rPr>
        <w:t>”</w:t>
      </w:r>
      <w:r>
        <w:rPr>
          <w:sz w:val="36"/>
          <w:szCs w:val="36"/>
          <w:vertAlign w:val="superscript"/>
        </w:rPr>
        <w:footnoteReference w:id="3"/>
      </w:r>
    </w:p>
    <w:p>
      <w:pPr>
        <w:pStyle w:val="style4099"/>
        <w:spacing w:lineRule="auto" w:line="360"/>
        <w:jc w:val="center"/>
        <w:rPr>
          <w:sz w:val="36"/>
          <w:szCs w:val="36"/>
        </w:rPr>
      </w:pPr>
    </w:p>
    <w:p>
      <w:pPr>
        <w:pStyle w:val="style4099"/>
        <w:spacing w:lineRule="auto" w:line="360"/>
        <w:rPr>
          <w:sz w:val="28"/>
          <w:szCs w:val="28"/>
        </w:rPr>
      </w:pPr>
      <w:r>
        <w:rPr>
          <w:sz w:val="36"/>
          <w:szCs w:val="36"/>
          <w:lang w:val="en-US"/>
        </w:rPr>
        <w:t xml:space="preserve">Graves thus favours aetiology; the use of myths to explain phenomena; both physical and social. This approach certainly fits with sky myths, as they can be utilised to account for both the movements of the sky and the calendar that humans use in conjunction with it. Barry P. Powell also applies aetiology in his definitions of </w:t>
      </w:r>
      <w:r>
        <w:rPr>
          <w:sz w:val="36"/>
          <w:szCs w:val="36"/>
          <w:lang w:val="en-US"/>
        </w:rPr>
        <w:t>‘</w:t>
      </w:r>
      <w:r>
        <w:rPr>
          <w:sz w:val="36"/>
          <w:szCs w:val="36"/>
          <w:lang w:val="en-US"/>
        </w:rPr>
        <w:t>myth</w:t>
      </w:r>
      <w:r>
        <w:rPr>
          <w:sz w:val="36"/>
          <w:szCs w:val="36"/>
          <w:lang w:val="en-US"/>
        </w:rPr>
        <w:t>’</w:t>
      </w:r>
      <w:r>
        <w:rPr>
          <w:sz w:val="36"/>
          <w:szCs w:val="36"/>
          <w:lang w:val="en-US"/>
        </w:rPr>
        <w:t>, indicating that this is a popular approach. Furthermore, he sub-divides myths into the three main categories of divine myth, legend and folktale.</w:t>
      </w:r>
      <w:r>
        <w:rPr>
          <w:sz w:val="36"/>
          <w:szCs w:val="36"/>
          <w:vertAlign w:val="superscript"/>
        </w:rPr>
        <w:footnoteReference w:id="4"/>
      </w:r>
      <w:r>
        <w:rPr>
          <w:sz w:val="36"/>
          <w:szCs w:val="36"/>
          <w:lang w:val="en-US"/>
        </w:rPr>
        <w:t xml:space="preserve"> The two myths focused on in this essay are both classified as divine myths, (along with some other sky myths) due to featuring the gods as characters.</w:t>
      </w:r>
    </w:p>
    <w:p>
      <w:pPr>
        <w:pStyle w:val="style4099"/>
        <w:spacing w:lineRule="auto" w:line="360"/>
        <w:rPr/>
      </w:pPr>
    </w:p>
    <w:p>
      <w:pPr>
        <w:pStyle w:val="style4099"/>
        <w:spacing w:lineRule="auto" w:line="360"/>
        <w:rPr/>
      </w:pPr>
      <w:r>
        <w:rPr>
          <w:lang w:val="en-US"/>
        </w:rPr>
        <w:t xml:space="preserve">This essay will examine the Ancient Greek myth of Orion, focusing on his transformation from giant to constellation, as well as the Ancient Egyptian myth of Thoth gambling with the moon. The former has multiple variants, due to featuring in numerous written sources. The latter is more constant and has only one major source. </w:t>
      </w:r>
    </w:p>
    <w:p>
      <w:pPr>
        <w:pStyle w:val="style4099"/>
        <w:spacing w:lineRule="auto" w:line="360"/>
        <w:rPr/>
      </w:pPr>
    </w:p>
    <w:p>
      <w:pPr>
        <w:pStyle w:val="style4099"/>
        <w:spacing w:lineRule="auto" w:line="360"/>
        <w:rPr/>
      </w:pPr>
      <w:r>
        <w:rPr>
          <w:lang w:val="en-US"/>
        </w:rPr>
        <w:t>The source for this Thoth myth is Plutarch</w:t>
      </w:r>
      <w:r>
        <w:rPr>
          <w:lang w:val="en-US"/>
        </w:rPr>
        <w:t>’</w:t>
      </w:r>
      <w:r>
        <w:rPr>
          <w:lang w:val="en-US"/>
        </w:rPr>
        <w:t>s Moralia. It features in the section entitled Osiris and Isis, the home of his Ancient Egyptian material. Besides being a sky myth, Thoth gambling with the moon is also a calendar myth, as its narrative contains and explains a change to the calendar.</w:t>
      </w:r>
      <w:r>
        <w:rPr>
          <w:lang w:val="en-US"/>
        </w:rPr>
        <w:t xml:space="preserve"> The aetiology of this story is to explain how the lunar and solar calendars became synced up in Ancient Egypt, due to the problematic five day discrepancy between them. The myth is alternatively titled </w:t>
      </w:r>
      <w:r>
        <w:rPr>
          <w:lang w:val="en-US"/>
        </w:rPr>
        <w:t>“</w:t>
      </w:r>
      <w:r>
        <w:rPr>
          <w:lang w:val="en-US"/>
        </w:rPr>
        <w:t>The Days Upon the Year.</w:t>
      </w:r>
      <w:r>
        <w:rPr>
          <w:lang w:val="en-US"/>
        </w:rPr>
        <w:t>”</w:t>
      </w:r>
      <w:r>
        <w:rPr>
          <w:vertAlign w:val="superscript"/>
          <w:lang w:val="en-US"/>
        </w:rPr>
        <w:footnoteReference w:id="5"/>
      </w:r>
    </w:p>
    <w:p>
      <w:pPr>
        <w:pStyle w:val="style4099"/>
        <w:spacing w:lineRule="auto" w:line="360"/>
        <w:rPr/>
      </w:pPr>
    </w:p>
    <w:p>
      <w:pPr>
        <w:pStyle w:val="style4099"/>
        <w:spacing w:lineRule="auto" w:line="360"/>
        <w:rPr/>
      </w:pPr>
      <w:r>
        <w:rPr>
          <w:lang w:val="en-US"/>
        </w:rPr>
        <w:t>Due to the popular syncretism of his day, Plutarch applied Greek God names to the Egyptian Gods featured in the story. Thus, Nut and Geb, deities of the sky and earth respectively, are named as the titans Rhea and Cronus, while the Sun God Ra and Moon God Khonsu are simply the sun and moon. Thoth himself is equated with Hermes. This association seems to have been fairly culturally universal. Campion notes that:</w:t>
      </w:r>
    </w:p>
    <w:p>
      <w:pPr>
        <w:pStyle w:val="style4099"/>
        <w:spacing w:lineRule="auto" w:line="360"/>
        <w:rPr/>
      </w:pPr>
    </w:p>
    <w:p>
      <w:pPr>
        <w:pStyle w:val="style4099"/>
        <w:spacing w:lineRule="auto" w:line="360"/>
        <w:jc w:val="center"/>
        <w:rPr/>
      </w:pPr>
      <w:r>
        <w:rPr>
          <w:lang w:val="en-US"/>
        </w:rPr>
        <w:t>“</w:t>
      </w:r>
      <w:r>
        <w:rPr>
          <w:lang w:val="en-US"/>
        </w:rPr>
        <w:t>there was considerable religious syncretism and, for example, both Egyptians and Greeks appeared to agree on the identification of the Egyptian god Thoth with the Greek Hermes.</w:t>
      </w:r>
      <w:r>
        <w:rPr>
          <w:lang w:val="en-US"/>
        </w:rPr>
        <w:t>”</w:t>
      </w:r>
      <w:r>
        <w:rPr>
          <w:lang w:val="en-US"/>
        </w:rPr>
        <w:t>.</w:t>
      </w:r>
      <w:r>
        <w:rPr>
          <w:vertAlign w:val="superscript"/>
        </w:rPr>
        <w:footnoteReference w:id="6"/>
      </w:r>
    </w:p>
    <w:p>
      <w:pPr>
        <w:pStyle w:val="style4099"/>
        <w:spacing w:lineRule="auto" w:line="360"/>
        <w:rPr/>
      </w:pPr>
    </w:p>
    <w:p>
      <w:pPr>
        <w:pStyle w:val="style4099"/>
        <w:spacing w:lineRule="auto" w:line="360"/>
        <w:rPr/>
      </w:pPr>
      <w:r>
        <w:rPr>
          <w:lang w:val="en-US"/>
        </w:rPr>
        <w:t>However, the new generation of gods, born during this story have their Egyptian names. For purposes of clarity and consistency, this essay will apply Egyptian names to the deities in this myth.</w:t>
      </w:r>
    </w:p>
    <w:p>
      <w:pPr>
        <w:pStyle w:val="style4099"/>
        <w:spacing w:lineRule="auto" w:line="360"/>
        <w:rPr/>
      </w:pPr>
    </w:p>
    <w:p>
      <w:pPr>
        <w:pStyle w:val="style4099"/>
        <w:spacing w:lineRule="auto" w:line="360"/>
        <w:rPr/>
      </w:pPr>
      <w:r>
        <w:rPr>
          <w:lang w:val="en-US"/>
        </w:rPr>
        <w:t>This essay has now reached the point where it is necessary to briefly paraphrase Plutarch in his telling of the myth. It opens with the Sun God Ra objecting to the love affair of the Sky Goddess Nut and the Earth God Geb and her resulting pregnancy. He therefore laid a divine curse on her to prevent her from giving birth on any day of the year</w:t>
      </w:r>
      <w:r>
        <w:rPr>
          <w:lang w:val="en-US"/>
        </w:rPr>
        <w:t xml:space="preserve"> (still totalling 360 days at this point in mythic history)</w:t>
      </w:r>
      <w:r>
        <w:rPr>
          <w:lang w:val="en-US"/>
        </w:rPr>
        <w:t>. As a solar deity who personified the sun and thus made the days occur, he presumably expected the curse to be fulfilled. It is significant that the supreme ruler of the gods in Ancient Egypt was the Sun God. It exemplifies the importance the society placed upon the sun. In his chapter on Ancient Egypt in the book Astrology and Cosmology in the World</w:t>
      </w:r>
      <w:r>
        <w:rPr>
          <w:lang w:val="en-US"/>
        </w:rPr>
        <w:t>’</w:t>
      </w:r>
      <w:r>
        <w:rPr>
          <w:lang w:val="en-US"/>
        </w:rPr>
        <w:t xml:space="preserve">s Religions, Campion names it as </w:t>
      </w:r>
      <w:r>
        <w:rPr>
          <w:lang w:val="en-US"/>
        </w:rPr>
        <w:t>‘</w:t>
      </w:r>
      <w:r>
        <w:rPr>
          <w:lang w:val="en-US"/>
        </w:rPr>
        <w:t>The Solar Society</w:t>
      </w:r>
      <w:r>
        <w:rPr>
          <w:lang w:val="en-US"/>
        </w:rPr>
        <w:t xml:space="preserve">’ </w:t>
      </w:r>
      <w:r>
        <w:rPr>
          <w:lang w:val="en-US"/>
        </w:rPr>
        <w:t xml:space="preserve">in the heading, adding supporting secondary evidence. He additionally notes that: </w:t>
      </w:r>
      <w:r>
        <w:rPr>
          <w:lang w:val="en-US"/>
        </w:rPr>
        <w:t>“</w:t>
      </w:r>
      <w:r>
        <w:rPr>
          <w:lang w:val="en-US"/>
        </w:rPr>
        <w:t>The moon was only slightly less important than the sun.</w:t>
      </w:r>
      <w:r>
        <w:rPr>
          <w:lang w:val="en-US"/>
        </w:rPr>
        <w:t>”</w:t>
      </w:r>
      <w:r>
        <w:rPr>
          <w:lang w:val="en-US"/>
        </w:rPr>
        <w:t>.</w:t>
      </w:r>
      <w:r>
        <w:rPr>
          <w:vertAlign w:val="superscript"/>
        </w:rPr>
        <w:footnoteReference w:id="7"/>
      </w:r>
      <w:r>
        <w:rPr>
          <w:lang w:val="en-US"/>
        </w:rPr>
        <w:t xml:space="preserve"> A similar thought seems to have struck Tho</w:t>
      </w:r>
      <w:r>
        <w:rPr>
          <w:lang w:val="en-US"/>
        </w:rPr>
        <w:t>th</w:t>
      </w:r>
      <w:r>
        <w:rPr>
          <w:lang w:val="en-US"/>
        </w:rPr>
        <w:t xml:space="preserve"> within the story. Due to conflict with the Sun; one of the controllers of time, Nut had the serious problem of a stalled pregnancy. Thoth, God of Wisdom, among other areas, decided to intervene by enlisting the aid of the Moon; the other controller of time. He accomplished this by gambling with the Moon God, eventually winning a seventieth part of the Moon</w:t>
      </w:r>
      <w:r>
        <w:rPr>
          <w:lang w:val="en-US"/>
        </w:rPr>
        <w:t>’</w:t>
      </w:r>
      <w:r>
        <w:rPr>
          <w:lang w:val="en-US"/>
        </w:rPr>
        <w:t>s total illumination. This totalled five days, which were</w:t>
      </w:r>
      <w:r>
        <w:rPr>
          <w:lang w:val="en-US"/>
        </w:rPr>
        <w:t xml:space="preserve"> exempt from Ra</w:t>
      </w:r>
      <w:r>
        <w:rPr>
          <w:lang w:val="en-US"/>
        </w:rPr>
        <w:t>’</w:t>
      </w:r>
      <w:r>
        <w:rPr>
          <w:lang w:val="en-US"/>
        </w:rPr>
        <w:t xml:space="preserve">s curse and were </w:t>
      </w:r>
      <w:r>
        <w:rPr>
          <w:lang w:val="en-US"/>
        </w:rPr>
        <w:t xml:space="preserve">subsequently added to the pre-existing calendar of 360 days. </w:t>
      </w:r>
      <w:r>
        <w:rPr>
          <w:lang w:val="en-US"/>
        </w:rPr>
        <w:t xml:space="preserve">It is noteworthy that:  </w:t>
      </w:r>
      <w:r>
        <w:rPr>
          <w:lang w:val="en-US"/>
        </w:rPr>
        <w:t>“</w:t>
      </w:r>
      <w:r>
        <w:rPr>
          <w:lang w:val="en-US"/>
        </w:rPr>
        <w:t>The ancient Egyptians were in fact the earliest people to adjust their calendar to a length of 365 days.</w:t>
      </w:r>
      <w:r>
        <w:rPr>
          <w:lang w:val="en-US"/>
        </w:rPr>
        <w:t xml:space="preserve">” </w:t>
      </w:r>
      <w:r>
        <w:rPr>
          <w:vertAlign w:val="superscript"/>
          <w:lang w:val="en-US"/>
        </w:rPr>
        <w:footnoteReference w:id="8"/>
      </w:r>
      <w:r>
        <w:rPr>
          <w:lang w:val="en-US"/>
        </w:rPr>
        <w:t xml:space="preserve"> They could therefore be viewed as progressive managers of their calendar, in spite of continuing to experience problems, due to not adjusting for leap years. The five n</w:t>
      </w:r>
      <w:r>
        <w:rPr>
          <w:lang w:val="en-US"/>
        </w:rPr>
        <w:t xml:space="preserve">ew days enabled five new gods to be born, one on each successive day. Plutarch states that: </w:t>
      </w:r>
      <w:r>
        <w:rPr>
          <w:lang w:val="en-US"/>
        </w:rPr>
        <w:t>“</w:t>
      </w:r>
      <w:r>
        <w:rPr>
          <w:lang w:val="en-US"/>
        </w:rPr>
        <w:t>The Egyptians even now call these five days intercalated and celebrate them as the birthdays of the gods.</w:t>
      </w:r>
      <w:r>
        <w:rPr>
          <w:lang w:val="en-US"/>
        </w:rPr>
        <w:t>”</w:t>
      </w:r>
      <w:r>
        <w:rPr>
          <w:lang w:val="en-US"/>
        </w:rPr>
        <w:t>.</w:t>
      </w:r>
      <w:r>
        <w:rPr>
          <w:vertAlign w:val="superscript"/>
        </w:rPr>
        <w:footnoteReference w:id="9"/>
      </w:r>
    </w:p>
    <w:p>
      <w:pPr>
        <w:pStyle w:val="style4099"/>
        <w:spacing w:lineRule="auto" w:line="360"/>
        <w:rPr/>
      </w:pPr>
      <w:r>
        <w:rPr>
          <w:lang w:val="en-US"/>
        </w:rPr>
        <w:t>Osiris was born on the first day, which seems fitting, as he was destined to become the first legendary King of Egypt and ultimately ruler of the Underworld. Plutarch emphasises the centrality of his male title character, declaring that:</w:t>
      </w:r>
    </w:p>
    <w:p>
      <w:pPr>
        <w:pStyle w:val="style4099"/>
        <w:spacing w:lineRule="auto" w:line="360"/>
        <w:rPr/>
      </w:pPr>
    </w:p>
    <w:p>
      <w:pPr>
        <w:pStyle w:val="style4099"/>
        <w:spacing w:lineRule="auto" w:line="360"/>
        <w:jc w:val="center"/>
        <w:rPr/>
      </w:pPr>
      <w:r>
        <w:rPr>
          <w:lang w:val="en-US"/>
        </w:rPr>
        <w:t>“</w:t>
      </w:r>
      <w:r>
        <w:rPr>
          <w:lang w:val="en-US"/>
        </w:rPr>
        <w:t xml:space="preserve">on the first of these days Osiris was born, and at the hour of his birth a voice issued forth saying, </w:t>
      </w:r>
      <w:r>
        <w:rPr>
          <w:lang w:val="en-US"/>
        </w:rPr>
        <w:t>‘</w:t>
      </w:r>
      <w:r>
        <w:rPr>
          <w:lang w:val="en-US"/>
        </w:rPr>
        <w:t>The Lord of All advances to the light</w:t>
      </w:r>
      <w:r>
        <w:rPr>
          <w:lang w:val="en-US"/>
        </w:rPr>
        <w:t>’”</w:t>
      </w:r>
      <w:r>
        <w:rPr>
          <w:vertAlign w:val="superscript"/>
        </w:rPr>
        <w:footnoteReference w:id="10"/>
      </w:r>
    </w:p>
    <w:p>
      <w:pPr>
        <w:pStyle w:val="style4099"/>
        <w:spacing w:lineRule="auto" w:line="360"/>
        <w:jc w:val="center"/>
        <w:rPr/>
      </w:pPr>
    </w:p>
    <w:p>
      <w:pPr>
        <w:pStyle w:val="style4099"/>
        <w:spacing w:lineRule="auto" w:line="360"/>
        <w:rPr/>
      </w:pPr>
      <w:r>
        <w:rPr>
          <w:lang w:val="en-US"/>
        </w:rPr>
        <w:t>Osiris is also important to this essay, as he is a character - along with Orion himself - who contributes to the two myths interconnecting. This point will be revisited. The additional gods, born in succession over the remaining four days, were, in chronological order: Horus the Elder, Seth, Isis and Nephthys. Isis, in addition to being a major Egyptian goddess, is a character who features in the myth of Io. This story begins in Greece and ultimately ends in Egypt. It is therefore arguably both Greek and Egyptian. The myth of Io is thus comparable with the two myths focused on in this essay, as, by interconnecting, they too, contribute to bridging the gap between the two ancient cultures of Greece and Egypt. Plutarch himself did the same, as emphasised by his previously mentioned use of syncretism. Furthermore, he connected the two cultures purely by virtue of himself; both who he was and what he did. Plutarch was an Ancient Greek biographer and essayist, who lived in the first and second centuries A. D.. In addition to his writings, he was known for his extensive travels, including to Egypt and for being a priest of Apollo at Delphi. David Sacks states that Plutarch:</w:t>
      </w:r>
    </w:p>
    <w:p>
      <w:pPr>
        <w:pStyle w:val="style4099"/>
        <w:spacing w:lineRule="auto" w:line="360"/>
        <w:rPr/>
      </w:pPr>
    </w:p>
    <w:p>
      <w:pPr>
        <w:pStyle w:val="style4099"/>
        <w:spacing w:lineRule="auto" w:line="360"/>
        <w:jc w:val="center"/>
        <w:rPr/>
      </w:pPr>
      <w:r>
        <w:rPr>
          <w:lang w:val="en-US"/>
        </w:rPr>
        <w:t>“</w:t>
      </w:r>
      <w:r>
        <w:rPr>
          <w:lang w:val="en-US"/>
        </w:rPr>
        <w:t>lived in Greece but was also a Roman citizen, and may have held the local Roman post of procurator. He traveled, read, and wrote widely, and for the last 30 years of his life was a priest at the god Apollo</w:t>
      </w:r>
      <w:r>
        <w:rPr>
          <w:lang w:val="en-US"/>
        </w:rPr>
        <w:t>’</w:t>
      </w:r>
      <w:r>
        <w:rPr>
          <w:lang w:val="en-US"/>
        </w:rPr>
        <w:t>s shrine at Delphi. Plutarch embodies the Greek-Roman assimilation under the Roman Empire.</w:t>
      </w:r>
      <w:r>
        <w:rPr>
          <w:lang w:val="en-US"/>
        </w:rPr>
        <w:t>”</w:t>
      </w:r>
      <w:r>
        <w:rPr>
          <w:vertAlign w:val="superscript"/>
        </w:rPr>
        <w:footnoteReference w:id="11"/>
      </w:r>
    </w:p>
    <w:p>
      <w:pPr>
        <w:pStyle w:val="style4099"/>
        <w:spacing w:lineRule="auto" w:line="360"/>
        <w:rPr/>
      </w:pPr>
    </w:p>
    <w:p>
      <w:pPr>
        <w:pStyle w:val="style4099"/>
        <w:spacing w:lineRule="auto" w:line="360"/>
        <w:rPr/>
      </w:pPr>
      <w:r>
        <w:rPr>
          <w:lang w:val="en-US"/>
        </w:rPr>
        <w:t xml:space="preserve">  Thus, three major ancient cultures are united in the person of Plutarch, as he was arguably both Greek and Roman, and wrote about Egypt. Plutarch</w:t>
      </w:r>
      <w:r>
        <w:rPr>
          <w:lang w:val="en-US"/>
        </w:rPr>
        <w:t>’</w:t>
      </w:r>
      <w:r>
        <w:rPr>
          <w:lang w:val="en-US"/>
        </w:rPr>
        <w:t>s voyages abroad and subsequent writings about other cultures could classify him as a travel writer, in the manner of Pausanias. Although his travels in Egypt grant some credence to his written versions of their myths, the fact remains that Plutarch was Greek, and his nationality and background was bound to somewhat influence his tellings of them. This factor of Greek authors writing about Egypt could partially account for the apparent overlaps between the two mythologies.</w:t>
      </w:r>
    </w:p>
    <w:p>
      <w:pPr>
        <w:pStyle w:val="style4099"/>
        <w:spacing w:lineRule="auto" w:line="360"/>
        <w:rPr/>
      </w:pPr>
    </w:p>
    <w:p>
      <w:pPr>
        <w:pStyle w:val="style4099"/>
        <w:spacing w:lineRule="auto" w:line="360"/>
        <w:rPr/>
      </w:pPr>
      <w:r>
        <w:rPr>
          <w:lang w:val="en-US"/>
        </w:rPr>
        <w:t xml:space="preserve">The overlap of </w:t>
      </w:r>
      <w:r>
        <w:rPr>
          <w:lang w:val="en-US"/>
        </w:rPr>
        <w:t xml:space="preserve">arguably the </w:t>
      </w:r>
      <w:r>
        <w:rPr>
          <w:lang w:val="en-US"/>
        </w:rPr>
        <w:t>most relevance is the similarity between the Thoth gambling with the moon myth and the birth of Artemis and Apollo myth. Plutarch would certainly have known the latter, and his memories of it may well have influenced his telling of the Egyptian myth. Both stories involve a pregnant goddess who has restrictions placed on the matter of her giving birth, compelling her to find a loophole in order to accomplish the task. In Egypt, this was a loophole of time, requiring additional days, not part of the previous calendar to be created. In Greece, it is a loophole of place instead, as Leto was forbidden from giving birth on the mainland or on any island. The loophole place chosen was the isle of Delos, not considered an island, due to not being connected to the ocean floor. Neither was it the mainland, being distinct from it.</w:t>
      </w:r>
      <w:r>
        <w:rPr>
          <w:vertAlign w:val="superscript"/>
        </w:rPr>
        <w:footnoteReference w:id="12"/>
      </w:r>
      <w:r>
        <w:rPr>
          <w:lang w:val="en-US"/>
        </w:rPr>
        <w:t xml:space="preserve"> The aforementioned David Sacks states in his summary of this myth that:</w:t>
      </w:r>
    </w:p>
    <w:p>
      <w:pPr>
        <w:pStyle w:val="style4099"/>
        <w:spacing w:lineRule="auto" w:line="360"/>
        <w:rPr/>
      </w:pPr>
    </w:p>
    <w:p>
      <w:pPr>
        <w:pStyle w:val="style4099"/>
        <w:spacing w:lineRule="auto" w:line="360"/>
        <w:jc w:val="center"/>
        <w:rPr/>
      </w:pPr>
      <w:r>
        <w:rPr>
          <w:lang w:val="en-US"/>
        </w:rPr>
        <w:t>“</w:t>
      </w:r>
      <w:r>
        <w:rPr>
          <w:lang w:val="en-US"/>
        </w:rPr>
        <w:t>Leto fled from</w:t>
      </w:r>
      <w:r>
        <w:rPr>
          <w:lang w:val="en-US"/>
        </w:rPr>
        <w:t xml:space="preserve">… </w:t>
      </w:r>
      <w:r>
        <w:rPr>
          <w:lang w:val="en-US"/>
        </w:rPr>
        <w:t>Hera and found refuge on the island of Delos. There she gave birth to the divine twins, Artemis and Apollo</w:t>
      </w:r>
      <w:r>
        <w:rPr>
          <w:lang w:val="en-US"/>
        </w:rPr>
        <w:t>”</w:t>
      </w:r>
      <w:r>
        <w:rPr>
          <w:lang w:val="en-US"/>
        </w:rPr>
        <w:t>.</w:t>
      </w:r>
      <w:r>
        <w:rPr>
          <w:vertAlign w:val="superscript"/>
        </w:rPr>
        <w:footnoteReference w:id="13"/>
      </w:r>
    </w:p>
    <w:p>
      <w:pPr>
        <w:pStyle w:val="style4099"/>
        <w:spacing w:lineRule="auto" w:line="360"/>
        <w:jc w:val="center"/>
        <w:rPr/>
      </w:pPr>
    </w:p>
    <w:p>
      <w:pPr>
        <w:pStyle w:val="style4099"/>
        <w:spacing w:lineRule="auto" w:line="360"/>
        <w:rPr/>
      </w:pPr>
      <w:r>
        <w:rPr>
          <w:lang w:val="en-US"/>
        </w:rPr>
        <w:t xml:space="preserve">In addition to its comparative interest, the birth of the divine twins myth is worth considering in order to bring Artemis into focus. As with Thoth in the previous myth, Artemis is also a lunar </w:t>
      </w:r>
      <w:r>
        <w:rPr>
          <w:lang w:val="en-US"/>
        </w:rPr>
        <w:t>deity.</w:t>
      </w:r>
      <w:r>
        <w:rPr>
          <w:lang w:val="en-US"/>
        </w:rPr>
        <w:t xml:space="preserve"> Furthermore, she is usually the killer of Orion in most tellings and in one version, also his lover, to use the term loosely. </w:t>
      </w:r>
      <w:r>
        <w:rPr>
          <w:lang w:val="en-US"/>
        </w:rPr>
        <w:t xml:space="preserve">In this telling, Artemis and Orion have become hunting companions. They are romantically close enough for Artemis to consider marrying him. Her twin, Apollo, fearing for his sister's divine virginity, sets her up to inadvertently kill him, by challenging her to fire an arrow at an identified object on the horizon. Known to Apollo but unbeknownst to Artemis, said object is Orion, in the sea, many miles away. Not one to decline a challenge, Artemis employs her legendary archery skills and kills Orion with a single arrow. On discovery of his identity, Artemis is stricken with grief, and hangs his body in the sky as a constellation in memorial. The story suggests that Apollo may have had stronger eyesight than his twin Artemis. As he personified the sun, which was considered to have view of everything, he quite possibly did. Artemis, being the moon, had perhaps a dinner view. Orion, meanwhile, met his end in the sea; in the realm of his father, Poseidon. He was subsequently transferred to the sky. This forms another link to Egyptian mythology. The Ancient Egyptians considered their sky gods to sail through the sky, as they themselves sailed across the Nile. </w:t>
      </w:r>
      <w:r>
        <w:rPr>
          <w:lang w:val="en-US"/>
        </w:rPr>
        <w:t xml:space="preserve">This version seems to be the most popular modern retelling of the story; possibly due to the perennial </w:t>
      </w:r>
      <w:r>
        <w:rPr>
          <w:lang w:val="en-US"/>
        </w:rPr>
        <w:t>‘</w:t>
      </w:r>
      <w:r>
        <w:rPr>
          <w:lang w:val="en-US"/>
        </w:rPr>
        <w:t>star-crossed lovers</w:t>
      </w:r>
      <w:r>
        <w:rPr>
          <w:lang w:val="en-US"/>
        </w:rPr>
        <w:t xml:space="preserve">’ </w:t>
      </w:r>
      <w:r>
        <w:rPr>
          <w:lang w:val="en-US"/>
        </w:rPr>
        <w:t>angle.</w:t>
      </w:r>
    </w:p>
    <w:p>
      <w:pPr>
        <w:pStyle w:val="style4099"/>
        <w:spacing w:lineRule="auto" w:line="360"/>
        <w:rPr>
          <w:lang w:val="en-US"/>
        </w:rPr>
      </w:pPr>
    </w:p>
    <w:p>
      <w:pPr>
        <w:pStyle w:val="style4099"/>
        <w:spacing w:lineRule="auto" w:line="360"/>
        <w:rPr/>
      </w:pPr>
      <w:r>
        <w:rPr>
          <w:lang w:val="en-US"/>
        </w:rPr>
        <w:t xml:space="preserve"> Close to his previous quotation, Sacks states that: </w:t>
      </w:r>
      <w:r>
        <w:rPr>
          <w:lang w:val="en-US"/>
        </w:rPr>
        <w:t>“</w:t>
      </w:r>
      <w:r>
        <w:rPr>
          <w:lang w:val="en-US"/>
        </w:rPr>
        <w:t>Artemis</w:t>
      </w:r>
      <w:r>
        <w:rPr>
          <w:lang w:val="en-US"/>
        </w:rPr>
        <w:t xml:space="preserve">… </w:t>
      </w:r>
      <w:r>
        <w:rPr>
          <w:lang w:val="en-US"/>
        </w:rPr>
        <w:t>shot the enormous hunter Orion, whose body now hangs as a constellation in the sky.</w:t>
      </w:r>
      <w:r>
        <w:rPr>
          <w:lang w:val="en-US"/>
        </w:rPr>
        <w:t>”</w:t>
      </w:r>
      <w:r>
        <w:rPr>
          <w:lang w:val="en-US"/>
        </w:rPr>
        <w:t>.</w:t>
      </w:r>
      <w:r>
        <w:rPr>
          <w:vertAlign w:val="superscript"/>
        </w:rPr>
        <w:footnoteReference w:id="14"/>
      </w:r>
      <w:r>
        <w:rPr>
          <w:lang w:val="en-US"/>
        </w:rPr>
        <w:t xml:space="preserve"> Orion</w:t>
      </w:r>
      <w:r>
        <w:rPr>
          <w:lang w:val="en-US"/>
        </w:rPr>
        <w:t>’</w:t>
      </w:r>
      <w:r>
        <w:rPr>
          <w:lang w:val="en-US"/>
        </w:rPr>
        <w:t xml:space="preserve">s own entry contains slightly more information, in the form of listing a few potential motives for the goddess to kill him, culminating in the assertion that: </w:t>
      </w:r>
      <w:r>
        <w:rPr>
          <w:lang w:val="en-US"/>
        </w:rPr>
        <w:t>“</w:t>
      </w:r>
      <w:r>
        <w:rPr>
          <w:lang w:val="en-US"/>
        </w:rPr>
        <w:t>In any case, his huge corpse was set in the sky as the constellation Orion.</w:t>
      </w:r>
      <w:r>
        <w:rPr>
          <w:lang w:val="en-US"/>
        </w:rPr>
        <w:t>”</w:t>
      </w:r>
      <w:r>
        <w:rPr>
          <w:lang w:val="en-US"/>
        </w:rPr>
        <w:t>.</w:t>
      </w:r>
      <w:r>
        <w:rPr>
          <w:vertAlign w:val="superscript"/>
        </w:rPr>
        <w:footnoteReference w:id="15"/>
      </w:r>
    </w:p>
    <w:p>
      <w:pPr>
        <w:pStyle w:val="style4099"/>
        <w:spacing w:lineRule="auto" w:line="360"/>
        <w:rPr/>
      </w:pPr>
      <w:r>
        <w:rPr>
          <w:lang w:val="en-US"/>
        </w:rPr>
        <w:t>Secondary critics thus, tend to give emphasis to Orion's size; focusing on his being a giant.</w:t>
      </w:r>
      <w:r>
        <w:rPr>
          <w:lang w:val="en-US"/>
        </w:rPr>
        <w:t xml:space="preserve"> This</w:t>
      </w:r>
      <w:r>
        <w:rPr>
          <w:lang w:val="en-US"/>
        </w:rPr>
        <w:t xml:space="preserve"> may well be connected to his divine paternity, as Poseidon had at least two other sons who were giants, in addition to fathering centaurs. Nevertheless, Orion was not sufficiently large to be recognisable to Artemis across a great distance. Becoming a constellation presumably largely fixed this problem, especially on clear nights, and may have been part of the reason for this transformation. Interestingly, like the centaur in the Odyssey, Orion is another son of Poseidon who is blinded during the course of his story. However, by the time of his death, his sight had been restored; a feat of healing unusual even for Greek Mythology.</w:t>
      </w:r>
    </w:p>
    <w:p>
      <w:pPr>
        <w:pStyle w:val="style4099"/>
        <w:spacing w:lineRule="auto" w:line="360"/>
        <w:rPr/>
      </w:pPr>
    </w:p>
    <w:p>
      <w:pPr>
        <w:pStyle w:val="style4099"/>
        <w:spacing w:lineRule="auto" w:line="360"/>
        <w:rPr/>
      </w:pPr>
      <w:r>
        <w:rPr>
          <w:lang w:val="en-US"/>
        </w:rPr>
        <w:t>Thus, as a living being, Orion had possession of his sight, and perhaps a renewed appreciation for it, after having previously been blinded. As a constellation, he was and is extremely visible, even more than is usual. His position on the celestial equator makes him visible to the whole world, light and weather permitting. This differentiates him from many constellations, which are only visible in one hemisphere or the other. Further supporting evidence for Orion's universal visibility can be found in the book Ancient Astronomy, which features material on him from multiple cultures.</w:t>
      </w:r>
      <w:r>
        <w:rPr>
          <w:vertAlign w:val="superscript"/>
          <w:lang w:val="en-US"/>
        </w:rPr>
        <w:footnoteReference w:id="16"/>
      </w:r>
      <w:r>
        <w:rPr>
          <w:lang w:val="en-US"/>
        </w:rPr>
        <w:t xml:space="preserve"> The book includes information on Ancient India, which viewed the figure as a king shot with an arrow, which seems remarkably similar to the Greek version. Additionally, it has Ancient Egypt material, which equates the God Osiris with the constellation Orion; linking together the two central myths of this essay. This point will be revisited.</w:t>
      </w:r>
    </w:p>
    <w:p>
      <w:pPr>
        <w:pStyle w:val="style4099"/>
        <w:spacing w:lineRule="auto" w:line="360"/>
        <w:rPr/>
      </w:pPr>
    </w:p>
    <w:p>
      <w:pPr>
        <w:pStyle w:val="style4099"/>
        <w:spacing w:lineRule="auto" w:line="360"/>
        <w:rPr/>
      </w:pPr>
      <w:r>
        <w:rPr>
          <w:lang w:val="en-US"/>
        </w:rPr>
        <w:t xml:space="preserve">It is not really surprising that many stories and summaries about Orion tend to </w:t>
      </w:r>
      <w:r>
        <w:rPr>
          <w:lang w:val="en-US"/>
        </w:rPr>
        <w:t>‘</w:t>
      </w:r>
      <w:r>
        <w:rPr>
          <w:lang w:val="en-US"/>
        </w:rPr>
        <w:t>begin at the end</w:t>
      </w:r>
      <w:r>
        <w:rPr>
          <w:lang w:val="en-US"/>
        </w:rPr>
        <w:t>’</w:t>
      </w:r>
      <w:r>
        <w:rPr>
          <w:lang w:val="en-US"/>
        </w:rPr>
        <w:t>, so to speak, focusing on the ultimate outcome. After all, Orion ending up as a constellation, meaning dead, but granted some honour, is the story</w:t>
      </w:r>
      <w:r>
        <w:rPr>
          <w:lang w:val="en-US"/>
        </w:rPr>
        <w:t>’</w:t>
      </w:r>
      <w:r>
        <w:rPr>
          <w:lang w:val="en-US"/>
        </w:rPr>
        <w:t xml:space="preserve">s </w:t>
      </w:r>
      <w:r>
        <w:rPr>
          <w:lang w:val="en-US"/>
        </w:rPr>
        <w:t>“</w:t>
      </w:r>
      <w:r>
        <w:rPr>
          <w:lang w:val="en-US"/>
        </w:rPr>
        <w:t>foregone conclusion</w:t>
      </w:r>
      <w:r>
        <w:rPr>
          <w:lang w:val="en-US"/>
        </w:rPr>
        <w:t>”</w:t>
      </w:r>
      <w:r>
        <w:rPr>
          <w:lang w:val="en-US"/>
        </w:rPr>
        <w:t>, as Shakespeare puts it in Macbeth. Shakespeare incidentally used Plutarch in his research, indicating that he considered him a reliable source. Orion being a constellation is of primary importance. He was recognised as a person or a hunter many centuries before the establishment of Ancient Greek society. Evidence for this is in the artworks in the form of star charts, including cave paintings. These comprise some of the earliest surviving art works in existence.</w:t>
      </w:r>
      <w:r>
        <w:rPr>
          <w:vertAlign w:val="superscript"/>
        </w:rPr>
        <w:footnoteReference w:id="17"/>
      </w:r>
      <w:r>
        <w:rPr>
          <w:lang w:val="en-US"/>
        </w:rPr>
        <w:t xml:space="preserve"> Orion is a </w:t>
      </w:r>
      <w:r>
        <w:rPr>
          <w:lang w:val="en-US"/>
        </w:rPr>
        <w:t>notable</w:t>
      </w:r>
      <w:r>
        <w:rPr>
          <w:lang w:val="en-US"/>
        </w:rPr>
        <w:t xml:space="preserve"> constellation, being one of the few to closely resemble itself, meaning a great hunter, if only through his distinctive belt. Indeed, for similar reasons, he is the only constellation that this author has ever been able to recognise. It has therefore been an interesting experience to trace his mythical life and death.</w:t>
      </w:r>
    </w:p>
    <w:p>
      <w:pPr>
        <w:pStyle w:val="style4099"/>
        <w:spacing w:lineRule="auto" w:line="360"/>
        <w:rPr/>
      </w:pPr>
    </w:p>
    <w:p>
      <w:pPr>
        <w:pStyle w:val="style4099"/>
        <w:spacing w:lineRule="auto" w:line="360"/>
        <w:rPr/>
      </w:pPr>
      <w:r>
        <w:rPr>
          <w:lang w:val="en-US"/>
        </w:rPr>
        <w:t>Orion is most often referenced as a constellation. However, it is possible to trace a mythical life and death</w:t>
      </w:r>
      <w:r>
        <w:rPr>
          <w:lang w:val="en-US"/>
        </w:rPr>
        <w:t xml:space="preserve">  (or several versions thereof) </w:t>
      </w:r>
      <w:r>
        <w:rPr>
          <w:lang w:val="en-US"/>
        </w:rPr>
        <w:t>through literary sources. He features in the Iliad as one of several constellations decorating Achilles</w:t>
      </w:r>
      <w:r>
        <w:rPr>
          <w:lang w:val="en-US"/>
        </w:rPr>
        <w:t xml:space="preserve">’ </w:t>
      </w:r>
      <w:r>
        <w:rPr>
          <w:lang w:val="en-US"/>
        </w:rPr>
        <w:t>shield. This means that he makes an appearance in the oldest surviving works of literature, as well as artworks. In the Iliad</w:t>
      </w:r>
      <w:r>
        <w:rPr>
          <w:lang w:val="en-US"/>
        </w:rPr>
        <w:t>’</w:t>
      </w:r>
      <w:r>
        <w:rPr>
          <w:lang w:val="en-US"/>
        </w:rPr>
        <w:t>s sequel of sorts, the Odyssey, Orion is upgraded to an actual character in the narrative, rather than being confined to background ekphrasis. Odysseus encounters him in Hades and he is stated to have been killed by Artemis. Additionally he is shown hunting all the animals he killed in life. This presumably is a reference to the version of the myth in which Orion bragged that he could kill all the animals in the world and was killed for this threat (or idle boast) by either Artemis or Demeter.</w:t>
      </w:r>
    </w:p>
    <w:p>
      <w:pPr>
        <w:pStyle w:val="style4099"/>
        <w:spacing w:lineRule="auto" w:line="360"/>
        <w:rPr/>
      </w:pPr>
    </w:p>
    <w:p>
      <w:pPr>
        <w:pStyle w:val="style4099"/>
        <w:spacing w:lineRule="auto" w:line="360"/>
        <w:rPr/>
      </w:pPr>
      <w:r>
        <w:rPr>
          <w:lang w:val="en-US"/>
        </w:rPr>
        <w:t>In other versions, Orion is punished for actual or attempted violence, rather than the threats of it. For sexual assault and attempts thereof, he is first blinded and then killed. Interestingly, his sight is restored between the two events, by staring directly into the sun. It was presumably Helios, the Greek Sun God, but the connections between this myth and the Egyptian one suggest that it could have been Ra himself.</w:t>
      </w:r>
    </w:p>
    <w:p>
      <w:pPr>
        <w:pStyle w:val="style4099"/>
        <w:spacing w:lineRule="auto" w:line="360"/>
        <w:rPr/>
      </w:pPr>
    </w:p>
    <w:p>
      <w:pPr>
        <w:pStyle w:val="style4099"/>
        <w:spacing w:lineRule="auto" w:line="360"/>
        <w:rPr>
          <w:lang w:val="en-US"/>
        </w:rPr>
      </w:pPr>
      <w:r>
        <w:rPr>
          <w:lang w:val="en-US"/>
        </w:rPr>
        <w:t>Artemis</w:t>
      </w:r>
      <w:r>
        <w:rPr>
          <w:lang w:val="en-US"/>
        </w:rPr>
        <w:t>’</w:t>
      </w:r>
      <w:r>
        <w:rPr>
          <w:lang w:val="en-US"/>
        </w:rPr>
        <w:t xml:space="preserve">s reasons for killing Orion can include self-defence, or defence of her nymphs, depending on who he attacks, which varies across different versions. Such motivation could be considered brave. Alternatively, her motive can be smaller scale, bordering the petty. One </w:t>
      </w:r>
      <w:r>
        <w:rPr>
          <w:lang w:val="en-US"/>
        </w:rPr>
        <w:t>account</w:t>
      </w:r>
      <w:r>
        <w:rPr>
          <w:lang w:val="en-US"/>
        </w:rPr>
        <w:t xml:space="preserve"> has Orion challenging Artemis to a shot put contest and being killed soon after by a shot put to the head. This version is vaguely reminiscent of the love story of </w:t>
      </w:r>
      <w:r>
        <w:rPr>
          <w:lang w:val="en-US"/>
        </w:rPr>
        <w:t>Apollo and Hyacinthus</w:t>
      </w:r>
      <w:r>
        <w:rPr>
          <w:lang w:val="en-US"/>
        </w:rPr>
        <w:t>, which began with romance and ended with fatal sporting injuries.</w:t>
      </w:r>
      <w:r>
        <w:rPr>
          <w:lang w:val="en-US"/>
        </w:rPr>
        <w:t xml:space="preserve"> It is interesting that the divine twins can sometimes feature in parallel stories involving love and athletics.</w:t>
      </w:r>
      <w:r>
        <w:rPr>
          <w:lang w:val="en-US"/>
        </w:rPr>
        <w:t xml:space="preserve"> In Artemis</w:t>
      </w:r>
      <w:r>
        <w:rPr>
          <w:lang w:val="en-US"/>
        </w:rPr>
        <w:t>’</w:t>
      </w:r>
      <w:r>
        <w:rPr>
          <w:lang w:val="en-US"/>
        </w:rPr>
        <w:t>s version, it is not entirely clear whether Orion</w:t>
      </w:r>
      <w:r>
        <w:rPr>
          <w:lang w:val="en-US"/>
        </w:rPr>
        <w:t>’</w:t>
      </w:r>
      <w:r>
        <w:rPr>
          <w:lang w:val="en-US"/>
        </w:rPr>
        <w:t>s death happens in a sporting accident or by the wilful malice of Artemis, who was offended by the challenge. Alternatively, in some versions, she, or another goddess sends a giant scorpion to kill him. In this story, the scorpion accompanies Orion to the Heavens, making their chase continual</w:t>
      </w:r>
      <w:r>
        <w:rPr>
          <w:lang w:val="en-US"/>
        </w:rPr>
        <w:t>, and becoming the constellation Scorpio. Barry B. Powell states that: "Scorpio was produced by Earth to kill the hunter Orion, who had boasted that there was nothing he could not kill".</w:t>
      </w:r>
      <w:r>
        <w:rPr>
          <w:vertAlign w:val="superscript"/>
          <w:lang w:val="en-US"/>
        </w:rPr>
        <w:footnoteReference w:id="18"/>
      </w:r>
      <w:r>
        <w:rPr>
          <w:lang w:val="en-US"/>
        </w:rPr>
        <w:t xml:space="preserve"> Thus, this ending fits with the version of the myth in which Orion brags about his hunting skills and threatens a large number of animals. Additionally, the utilisation of the Earth as a deity is a further connection between this myth and the Egyptian story, which featured Geb, the Earth God as a character. This brings the essay to the long anticipated point of combining the two main myths together.</w:t>
      </w:r>
    </w:p>
    <w:p>
      <w:pPr>
        <w:pStyle w:val="style4099"/>
        <w:spacing w:lineRule="auto" w:line="360"/>
        <w:rPr>
          <w:lang w:val="en-US"/>
        </w:rPr>
      </w:pPr>
    </w:p>
    <w:p>
      <w:pPr>
        <w:pStyle w:val="style4099"/>
        <w:spacing w:lineRule="auto" w:line="360"/>
        <w:rPr>
          <w:lang w:val="en-US"/>
        </w:rPr>
      </w:pPr>
      <w:r>
        <w:rPr>
          <w:lang w:val="en-US"/>
        </w:rPr>
        <w:t>In her 1984 book, Gods of Ancient Egypt, Barbara Watterson states in relation to Osiris</w:t>
      </w:r>
      <w:r>
        <w:rPr>
          <w:lang w:val="en-US"/>
        </w:rPr>
        <w:t>’</w:t>
      </w:r>
      <w:r>
        <w:rPr>
          <w:lang w:val="en-US"/>
        </w:rPr>
        <w:t xml:space="preserve">s </w:t>
      </w:r>
      <w:r>
        <w:rPr>
          <w:lang w:val="en-US"/>
        </w:rPr>
        <w:t>“</w:t>
      </w:r>
      <w:r>
        <w:rPr>
          <w:lang w:val="en-US"/>
        </w:rPr>
        <w:t>rise from an obscure prehistoric fertility god to the Egyptian God of the Dead</w:t>
      </w:r>
      <w:r>
        <w:rPr>
          <w:lang w:val="en-US"/>
        </w:rPr>
        <w:t xml:space="preserve">”  </w:t>
      </w:r>
      <w:r>
        <w:rPr>
          <w:lang w:val="en-US"/>
        </w:rPr>
        <w:t xml:space="preserve">that </w:t>
      </w:r>
      <w:r>
        <w:rPr>
          <w:lang w:val="en-US"/>
        </w:rPr>
        <w:t>“</w:t>
      </w:r>
      <w:r>
        <w:rPr>
          <w:lang w:val="en-US"/>
        </w:rPr>
        <w:t>at Heliopolis, Osiris was regarded as a sky god. Sometimes, he was said to be the moon; at other times, the constellation Orion.</w:t>
      </w:r>
      <w:r>
        <w:rPr>
          <w:lang w:val="en-US"/>
        </w:rPr>
        <w:t>”</w:t>
      </w:r>
      <w:r>
        <w:rPr>
          <w:vertAlign w:val="superscript"/>
          <w:lang w:val="en-US"/>
        </w:rPr>
        <w:footnoteReference w:id="19"/>
      </w:r>
    </w:p>
    <w:p>
      <w:pPr>
        <w:pStyle w:val="style4099"/>
        <w:spacing w:lineRule="auto" w:line="360"/>
        <w:rPr>
          <w:lang w:val="en-US"/>
        </w:rPr>
      </w:pPr>
      <w:r>
        <w:rPr>
          <w:lang w:val="en-US"/>
        </w:rPr>
        <w:t xml:space="preserve">Thus, Osiris is brought into closer association with Thoth; the Moon God who enabled his birth, and becomes equated with Orion. This connection between them is supported in the Ancient Astronomy book. It refers on multiple occasions to both </w:t>
      </w:r>
      <w:r>
        <w:rPr>
          <w:lang w:val="en-US"/>
        </w:rPr>
        <w:t>“</w:t>
      </w:r>
      <w:r>
        <w:rPr>
          <w:lang w:val="en-US"/>
        </w:rPr>
        <w:t>Orion/ Osiris</w:t>
      </w:r>
      <w:r>
        <w:rPr>
          <w:lang w:val="en-US"/>
        </w:rPr>
        <w:t xml:space="preserve">” </w:t>
      </w:r>
      <w:r>
        <w:rPr>
          <w:lang w:val="en-US"/>
        </w:rPr>
        <w:t xml:space="preserve">and </w:t>
      </w:r>
      <w:r>
        <w:rPr>
          <w:lang w:val="en-US"/>
        </w:rPr>
        <w:t>“</w:t>
      </w:r>
      <w:r>
        <w:rPr>
          <w:lang w:val="en-US"/>
        </w:rPr>
        <w:t>Osiris/ Orion</w:t>
      </w:r>
      <w:r>
        <w:rPr>
          <w:lang w:val="en-US"/>
        </w:rPr>
        <w:t>”</w:t>
      </w:r>
      <w:r>
        <w:rPr>
          <w:lang w:val="en-US"/>
        </w:rPr>
        <w:t>, thus conflating the two characters.</w:t>
      </w:r>
      <w:r>
        <w:rPr>
          <w:vertAlign w:val="superscript"/>
          <w:lang w:val="en-US"/>
        </w:rPr>
        <w:footnoteReference w:id="20"/>
      </w:r>
      <w:r>
        <w:rPr>
          <w:lang w:val="en-US"/>
        </w:rPr>
        <w:t xml:space="preserve"> The book additionally states that: </w:t>
      </w:r>
      <w:r>
        <w:rPr>
          <w:lang w:val="en-US"/>
        </w:rPr>
        <w:t>“</w:t>
      </w:r>
      <w:r>
        <w:rPr>
          <w:lang w:val="en-US"/>
        </w:rPr>
        <w:t>Egyptian kings and the Egyptian people also paid homage to Osiris, who is linked to the constellation of Orion.</w:t>
      </w:r>
      <w:r>
        <w:rPr>
          <w:lang w:val="en-US"/>
        </w:rPr>
        <w:t>”</w:t>
      </w:r>
      <w:r>
        <w:rPr>
          <w:vertAlign w:val="superscript"/>
          <w:lang w:val="en-US"/>
        </w:rPr>
        <w:footnoteReference w:id="21"/>
      </w:r>
    </w:p>
    <w:p>
      <w:pPr>
        <w:pStyle w:val="style4099"/>
        <w:spacing w:lineRule="auto" w:line="360"/>
        <w:rPr>
          <w:lang w:val="en-US"/>
        </w:rPr>
      </w:pPr>
      <w:r>
        <w:rPr>
          <w:lang w:val="en-US"/>
        </w:rPr>
        <w:t xml:space="preserve">Thus, the link between the characters is confirmed, in addition to their status as important being specified, even among kings. Sky myth therefore, continues to spread its influence. This influence can, additionally, spread into the realm of the architectural. The Ancient Astronomy book also includes architectural theory; combining </w:t>
      </w:r>
      <w:r>
        <w:rPr>
          <w:lang w:val="en-US"/>
        </w:rPr>
        <w:t>“</w:t>
      </w:r>
      <w:r>
        <w:rPr>
          <w:lang w:val="en-US"/>
        </w:rPr>
        <w:t>The Pyramids of Giza and the Belt Stars of Osiris</w:t>
      </w:r>
      <w:r>
        <w:rPr>
          <w:lang w:val="en-US"/>
        </w:rPr>
        <w:t>”</w:t>
      </w:r>
      <w:r>
        <w:rPr>
          <w:vertAlign w:val="superscript"/>
          <w:lang w:val="en-US"/>
        </w:rPr>
        <w:footnoteReference w:id="22"/>
      </w:r>
      <w:r>
        <w:rPr>
          <w:lang w:val="en-US"/>
        </w:rPr>
        <w:t>, to quote the book</w:t>
      </w:r>
      <w:r>
        <w:rPr>
          <w:lang w:val="en-US"/>
        </w:rPr>
        <w:t>’</w:t>
      </w:r>
      <w:r>
        <w:rPr>
          <w:lang w:val="en-US"/>
        </w:rPr>
        <w:t>s own subheading. This subheading, in itself, provides further evidence for the conflation of Osiris with Orion, since Osiris is granted Orion</w:t>
      </w:r>
      <w:r>
        <w:rPr>
          <w:lang w:val="en-US"/>
        </w:rPr>
        <w:t>’</w:t>
      </w:r>
      <w:r>
        <w:rPr>
          <w:lang w:val="en-US"/>
        </w:rPr>
        <w:t xml:space="preserve">s very belt, which is probably the most famous and striking factor of his constellation form. This section of the book connects </w:t>
      </w:r>
      <w:r>
        <w:rPr>
          <w:lang w:val="en-US"/>
        </w:rPr>
        <w:t>“</w:t>
      </w:r>
      <w:r>
        <w:rPr>
          <w:lang w:val="en-US"/>
        </w:rPr>
        <w:t>the three great Egyptian pyramids of Giza</w:t>
      </w:r>
      <w:r>
        <w:rPr>
          <w:lang w:val="en-US"/>
        </w:rPr>
        <w:t>”</w:t>
      </w:r>
      <w:r>
        <w:rPr>
          <w:vertAlign w:val="superscript"/>
          <w:lang w:val="en-US"/>
        </w:rPr>
        <w:footnoteReference w:id="23"/>
      </w:r>
      <w:r>
        <w:rPr>
          <w:lang w:val="en-US"/>
        </w:rPr>
        <w:t xml:space="preserve"> with </w:t>
      </w:r>
      <w:r>
        <w:rPr>
          <w:lang w:val="en-US"/>
        </w:rPr>
        <w:t>“</w:t>
      </w:r>
      <w:r>
        <w:rPr>
          <w:lang w:val="en-US"/>
        </w:rPr>
        <w:t>the three belt stars of the constellation of Orion and thus the house of Osiris</w:t>
      </w:r>
      <w:r>
        <w:rPr>
          <w:lang w:val="en-US"/>
        </w:rPr>
        <w:t>”</w:t>
      </w:r>
      <w:r>
        <w:rPr>
          <w:vertAlign w:val="superscript"/>
          <w:lang w:val="en-US"/>
        </w:rPr>
        <w:footnoteReference w:id="24"/>
      </w:r>
      <w:r>
        <w:rPr>
          <w:lang w:val="en-US"/>
        </w:rPr>
        <w:t xml:space="preserve">, naming the former as </w:t>
      </w:r>
      <w:r>
        <w:rPr>
          <w:lang w:val="en-US"/>
        </w:rPr>
        <w:t>“</w:t>
      </w:r>
      <w:r>
        <w:rPr>
          <w:lang w:val="en-US"/>
        </w:rPr>
        <w:t>a terrestrial map of the heavens</w:t>
      </w:r>
      <w:r>
        <w:rPr>
          <w:lang w:val="en-US"/>
        </w:rPr>
        <w:t>”</w:t>
      </w:r>
      <w:r>
        <w:rPr>
          <w:lang w:val="en-US"/>
        </w:rPr>
        <w:t>.</w:t>
      </w:r>
      <w:r>
        <w:rPr>
          <w:vertAlign w:val="superscript"/>
          <w:lang w:val="en-US"/>
        </w:rPr>
        <w:footnoteReference w:id="25"/>
      </w:r>
      <w:r>
        <w:rPr>
          <w:lang w:val="en-US"/>
        </w:rPr>
        <w:t xml:space="preserve"> An illustration is included to emphasise the claim. It features an image of Orion as an Egyptian, showing the stars comprising his form, and the said pyramids directly below him.  A version of this picture appears on the cover of the book. It was therefore chosen to represent the book as a whole, indicating that it was considered striking or convincing or both. </w:t>
      </w:r>
    </w:p>
    <w:p>
      <w:pPr>
        <w:pStyle w:val="style4099"/>
        <w:spacing w:lineRule="auto" w:line="360"/>
        <w:rPr>
          <w:lang w:val="en-US"/>
        </w:rPr>
      </w:pPr>
    </w:p>
    <w:p>
      <w:pPr>
        <w:pStyle w:val="style4099"/>
        <w:spacing w:lineRule="auto" w:line="360"/>
        <w:rPr>
          <w:lang w:val="en-US"/>
        </w:rPr>
      </w:pPr>
      <w:r>
        <w:rPr>
          <w:lang w:val="en-US"/>
        </w:rPr>
        <w:t>It is fitting that the consideration of the Ancient Astronomy book should end with its cover. Comparably with Orion</w:t>
      </w:r>
      <w:r>
        <w:rPr>
          <w:lang w:val="en-US"/>
        </w:rPr>
        <w:t>’</w:t>
      </w:r>
      <w:r>
        <w:rPr>
          <w:lang w:val="en-US"/>
        </w:rPr>
        <w:t>s story beginning at the end, with its inevitable outcome, it ends at the beginning. A similar circularity occurs when these two sky myths are studied together. One myth can tell the story of the birth of a god (or five), while another can narrate the death and metamorphosis of a giant, yet they can culminate in the same place; out in the desert at the Great Pyramids of Giza, with Orion sparkling directly overhead in the sky. Perhaps the stories not being tied to a specific location is exactly the point of the sky myths, due to the eternity of the sky superseding both time and space. This could account for the multiple sky myths in which the dead are transferred to the sky, whether they have a new constellation to loosely resemble them, or a portion of an existing one, in which to rest their soul, such as the belt of Orion. This could explain why Osiris and Orion seem to have essentially become the same being, post death, they now share the constellation. However, the sky</w:t>
      </w:r>
      <w:r>
        <w:rPr>
          <w:lang w:val="en-US"/>
        </w:rPr>
        <w:t>’</w:t>
      </w:r>
      <w:r>
        <w:rPr>
          <w:lang w:val="en-US"/>
        </w:rPr>
        <w:t xml:space="preserve">s relationship with time seems to be more complicated than existing beyond it, at least in some cases. After all, Thoth was able to literally create more time out of the sky when he needed it. This is impressive, even for a god. After all, it arguably saved the lives of six other gods (the five siblings and their mother, who seemed to be in danger, if gods can be thus). The mother was literally the sky. Perhaps Thoth was worried about her falling if she was not delivered from her situation. It is well known now from the Chicken Little story how calamitous a falling sky can be. Even the residents of a country lacking in chickens, as Ancient Egypt seemed to be, could probably imagine it. Furthermore, they benefited from the improvement to their calendar, as well as safeguarding the sky. Suffice it to conclude that studying two sky myths in detail has led this author to a renewed understanding of the expression </w:t>
      </w:r>
      <w:r>
        <w:rPr>
          <w:lang w:val="en-US"/>
        </w:rPr>
        <w:t>“</w:t>
      </w:r>
      <w:r>
        <w:rPr>
          <w:lang w:val="en-US"/>
        </w:rPr>
        <w:t>The sky</w:t>
      </w:r>
      <w:r>
        <w:rPr>
          <w:lang w:val="en-US"/>
        </w:rPr>
        <w:t>’</w:t>
      </w:r>
      <w:r>
        <w:rPr>
          <w:lang w:val="en-US"/>
        </w:rPr>
        <w:t>s the limit!</w:t>
      </w:r>
      <w:r>
        <w:rPr>
          <w:lang w:val="en-US"/>
        </w:rPr>
        <w:t xml:space="preserve">” </w:t>
      </w:r>
      <w:r>
        <w:rPr>
          <w:lang w:val="en-US"/>
        </w:rPr>
        <w:t>No longer clich</w:t>
      </w:r>
      <w:r>
        <w:rPr>
          <w:lang w:val="en-US"/>
        </w:rPr>
        <w:t>é</w:t>
      </w:r>
      <w:r>
        <w:rPr>
          <w:lang w:val="en-US"/>
        </w:rPr>
        <w:t>, but now a true inspiration. The (mythical) sky can create memorials that achieve immortality of sorts, transmute a giant to a god and even create new dates for the calendar, which is more time. To those who are mortal, and still locked in time, the latter might be most impressive of all. Thus thanks may be due to Thoth.</w:t>
      </w: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rPr>
          <w:lang w:val="en-US"/>
        </w:rPr>
      </w:pPr>
    </w:p>
    <w:p>
      <w:pPr>
        <w:pStyle w:val="style4099"/>
        <w:spacing w:lineRule="auto" w:line="360"/>
        <w:jc w:val="center"/>
        <w:rPr>
          <w:lang w:val="en-GB"/>
        </w:rPr>
      </w:pPr>
      <w:r>
        <w:rPr>
          <w:lang w:val="en-GB"/>
        </w:rPr>
        <w:t>Bibliography</w:t>
      </w:r>
    </w:p>
    <w:p>
      <w:pPr>
        <w:pStyle w:val="style4099"/>
        <w:spacing w:lineRule="auto" w:line="360"/>
        <w:jc w:val="center"/>
        <w:rPr>
          <w:lang w:val="en-GB"/>
        </w:rPr>
      </w:pPr>
    </w:p>
    <w:p>
      <w:pPr>
        <w:pStyle w:val="style4099"/>
        <w:spacing w:lineRule="auto" w:line="360"/>
        <w:jc w:val="left"/>
        <w:rPr>
          <w:lang w:val="en-GB"/>
        </w:rPr>
      </w:pPr>
      <w:r>
        <w:rPr>
          <w:lang w:val="en-GB"/>
        </w:rPr>
        <w:t xml:space="preserve">Y.P. Aggarwal </w:t>
      </w:r>
      <w:r>
        <w:rPr>
          <w:lang w:val="en-GB"/>
        </w:rPr>
        <w:t>et al, Ancient Astronomy, (Cambridge: Cosmology Science Publishers, 2011, Kindle Edition)</w:t>
      </w:r>
    </w:p>
    <w:p>
      <w:pPr>
        <w:pStyle w:val="style4099"/>
        <w:spacing w:lineRule="auto" w:line="360"/>
        <w:jc w:val="left"/>
        <w:rPr>
          <w:lang w:val="en-GB"/>
        </w:rPr>
      </w:pPr>
    </w:p>
    <w:p>
      <w:pPr>
        <w:pStyle w:val="style4099"/>
        <w:spacing w:lineRule="auto" w:line="360"/>
        <w:jc w:val="left"/>
        <w:rPr>
          <w:lang w:val="en-GB"/>
        </w:rPr>
      </w:pPr>
      <w:r>
        <w:rPr>
          <w:lang w:val="en-GB"/>
        </w:rPr>
        <w:t>R. Aldington and D. Ames translators, New Larousse Encyclopedia of Mythology, (Hamlyn Publishing Group, 1959)</w:t>
      </w:r>
    </w:p>
    <w:p>
      <w:pPr>
        <w:pStyle w:val="style4099"/>
        <w:spacing w:lineRule="auto" w:line="360"/>
        <w:jc w:val="center"/>
        <w:rPr>
          <w:lang w:val="en-US"/>
        </w:rPr>
      </w:pPr>
    </w:p>
    <w:p>
      <w:pPr>
        <w:pStyle w:val="style4099"/>
        <w:spacing w:lineRule="auto" w:line="360"/>
        <w:jc w:val="left"/>
        <w:rPr>
          <w:lang w:val="en-GB"/>
        </w:rPr>
      </w:pPr>
      <w:r>
        <w:rPr>
          <w:lang w:val="en-GB"/>
        </w:rPr>
        <w:t>Campion, N., Astrology and Cosmology in the World</w:t>
      </w:r>
      <w:r>
        <w:rPr>
          <w:lang w:val="en-GB"/>
        </w:rPr>
        <w:t>'s Religio</w:t>
      </w:r>
      <w:r>
        <w:rPr>
          <w:lang w:val="en-GB"/>
        </w:rPr>
        <w:t>ns, (New York University Press</w:t>
      </w:r>
      <w:r>
        <w:rPr>
          <w:lang w:val="en-GB"/>
        </w:rPr>
        <w:t>, 201</w:t>
      </w:r>
      <w:r>
        <w:rPr>
          <w:lang w:val="en-GB"/>
        </w:rPr>
        <w:t>2, Kindle Edition)</w:t>
      </w:r>
    </w:p>
    <w:p>
      <w:pPr>
        <w:pStyle w:val="style4099"/>
        <w:spacing w:lineRule="auto" w:line="360"/>
        <w:jc w:val="left"/>
        <w:rPr>
          <w:lang w:val="en-GB"/>
        </w:rPr>
      </w:pPr>
    </w:p>
    <w:p>
      <w:pPr>
        <w:pStyle w:val="style4099"/>
        <w:spacing w:lineRule="auto" w:line="360"/>
        <w:jc w:val="left"/>
        <w:rPr>
          <w:lang w:val="en-GB"/>
        </w:rPr>
      </w:pPr>
      <w:r>
        <w:rPr>
          <w:lang w:val="en-GB"/>
        </w:rPr>
        <w:t>Gah</w:t>
      </w:r>
      <w:r>
        <w:rPr>
          <w:lang w:val="en-GB"/>
        </w:rPr>
        <w:t>lin, L., Egypt: Gods, Myths and Religion, (Lorenz Books, 2001)</w:t>
      </w:r>
    </w:p>
    <w:p>
      <w:pPr>
        <w:pStyle w:val="style4099"/>
        <w:spacing w:lineRule="auto" w:line="360"/>
        <w:jc w:val="left"/>
        <w:rPr>
          <w:lang w:val="en-GB"/>
        </w:rPr>
      </w:pPr>
    </w:p>
    <w:p>
      <w:pPr>
        <w:pStyle w:val="style4099"/>
        <w:spacing w:lineRule="auto" w:line="360"/>
        <w:jc w:val="left"/>
        <w:rPr>
          <w:lang w:val="en-GB"/>
        </w:rPr>
      </w:pPr>
      <w:r>
        <w:rPr>
          <w:lang w:val="en-GB"/>
        </w:rPr>
        <w:t xml:space="preserve">Graves, R., The Greek Myths: The Complete and Definitive Edition, (Penguin </w:t>
      </w:r>
      <w:r>
        <w:rPr>
          <w:lang w:val="en-GB"/>
        </w:rPr>
        <w:t>Books, 1960, Kindle Edition)</w:t>
      </w:r>
    </w:p>
    <w:p>
      <w:pPr>
        <w:pStyle w:val="style4099"/>
        <w:spacing w:lineRule="auto" w:line="360"/>
        <w:jc w:val="left"/>
        <w:rPr>
          <w:lang w:val="en-GB"/>
        </w:rPr>
      </w:pPr>
    </w:p>
    <w:p>
      <w:pPr>
        <w:pStyle w:val="style4099"/>
        <w:spacing w:lineRule="auto" w:line="360"/>
        <w:jc w:val="left"/>
        <w:rPr>
          <w:lang w:val="en-GB"/>
        </w:rPr>
      </w:pPr>
      <w:r>
        <w:rPr>
          <w:lang w:val="en-GB"/>
        </w:rPr>
        <w:t xml:space="preserve">March, J., Dictionary of Classical </w:t>
      </w:r>
      <w:r>
        <w:rPr>
          <w:lang w:val="en-GB"/>
        </w:rPr>
        <w:t>Mythology, (Oxford: Oxbow Books, 1998, Kindle Edition)</w:t>
      </w:r>
    </w:p>
    <w:p>
      <w:pPr>
        <w:pStyle w:val="style4099"/>
        <w:spacing w:lineRule="auto" w:line="360"/>
        <w:jc w:val="left"/>
        <w:rPr>
          <w:lang w:val="en-GB"/>
        </w:rPr>
      </w:pPr>
    </w:p>
    <w:p>
      <w:pPr>
        <w:pStyle w:val="style4099"/>
        <w:spacing w:lineRule="auto" w:line="360"/>
        <w:jc w:val="left"/>
        <w:rPr>
          <w:lang w:val="en-GB"/>
        </w:rPr>
      </w:pPr>
      <w:r>
        <w:rPr>
          <w:lang w:val="en-GB"/>
        </w:rPr>
        <w:t>Powell, B. B., Classical Myth, (Pearson Education Limited, 2015, Kindle Edition)</w:t>
      </w:r>
    </w:p>
    <w:p>
      <w:pPr>
        <w:pStyle w:val="style4099"/>
        <w:spacing w:lineRule="auto" w:line="360"/>
        <w:jc w:val="left"/>
        <w:rPr>
          <w:lang w:val="en-GB"/>
        </w:rPr>
      </w:pPr>
    </w:p>
    <w:p>
      <w:pPr>
        <w:pStyle w:val="style4099"/>
        <w:spacing w:lineRule="auto" w:line="360"/>
        <w:jc w:val="left"/>
        <w:rPr>
          <w:lang w:val="en-GB"/>
        </w:rPr>
      </w:pPr>
      <w:r>
        <w:rPr>
          <w:lang w:val="en-GB"/>
        </w:rPr>
        <w:t>Sacks, D., Encyclopedia of the Ancient Greek World, (London: Constable and Co</w:t>
      </w:r>
      <w:r>
        <w:rPr>
          <w:lang w:val="en-GB"/>
        </w:rPr>
        <w:t>mpany Limited, 1995)</w:t>
      </w:r>
    </w:p>
    <w:p>
      <w:pPr>
        <w:pStyle w:val="style4099"/>
        <w:spacing w:lineRule="auto" w:line="360"/>
        <w:jc w:val="left"/>
        <w:rPr>
          <w:lang w:val="en-US"/>
        </w:rPr>
      </w:pPr>
    </w:p>
    <w:p>
      <w:pPr>
        <w:pStyle w:val="style4099"/>
        <w:spacing w:lineRule="auto" w:line="360"/>
        <w:jc w:val="left"/>
        <w:rPr>
          <w:lang w:val="en-US"/>
        </w:rPr>
      </w:pPr>
    </w:p>
    <w:p>
      <w:pPr>
        <w:pStyle w:val="style4099"/>
        <w:spacing w:lineRule="auto" w:line="360"/>
        <w:rPr>
          <w:lang w:val="en-US"/>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rPr/>
      </w:pPr>
    </w:p>
    <w:p>
      <w:pPr>
        <w:pStyle w:val="style4099"/>
        <w:spacing w:lineRule="auto" w:line="360"/>
        <w:jc w:val="center"/>
        <w:rPr/>
      </w:pPr>
    </w:p>
    <w:sectPr>
      <w:headerReference w:type="default" r:id="rId3"/>
      <w:footerReference w:type="default" r:id="rId4"/>
      <w:pgSz w:w="11900" w:h="16840" w:orient="portrait"/>
      <w:pgMar w:top="1134" w:right="1134" w:bottom="1417" w:left="1134" w:header="709" w:footer="850" w:gutter="0"/>
      <w:pgNumType w:start="1"/>
      <w:bidi w:val="fals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1"/>
    <w:family w:val="swiss"/>
    <w:pitch w:val="default"/>
    <w:sig w:usb0="00007A87" w:usb1="80000000" w:usb2="00000008" w:usb3="00000000" w:csb0="400001FF" w:csb1="FFFF0000"/>
  </w:font>
  <w:font w:name="Trebuchet MS">
    <w:altName w:val="Times New Roman"/>
    <w:panose1 w:val="02020603050005020304"/>
    <w:charset w:val="00"/>
    <w:family w:val="roman"/>
    <w:pitch w:val="variable"/>
    <w:sig w:usb0="20007A87" w:usb1="80000000" w:usb2="00000008" w:usb3="00000000" w:csb0="000001FF" w:csb1="00000000"/>
  </w:font>
  <w:font w:name="Tahoma">
    <w:altName w:val="Times New Roman"/>
    <w:panose1 w:val="02020603050005020304"/>
    <w:charset w:val="00"/>
    <w:family w:val="roman"/>
    <w:pitch w:val="variable"/>
    <w:sig w:usb0="20007A87" w:usb1="80000000" w:usb2="00000008" w:usb3="00000000" w:csb0="000001FF" w:csb1="00000000"/>
  </w:font>
  <w:font w:name="Calibri">
    <w:altName w:val="Calibri"/>
    <w:panose1 w:val="020f0502020004030204"/>
    <w:charset w:val="7a"/>
    <w:family w:val="swiss"/>
    <w:pitch w:val="default"/>
    <w:sig w:usb0="E10002FF" w:usb1="4000ACFF" w:usb2="00000009" w:usb3="00000000" w:csb0="2000019F" w:csb1="00000000"/>
  </w:font>
  <w:font w:name="Helvetica Neue LT 75 Kindle Bold">
    <w:altName w:val="Times New Roman"/>
    <w:panose1 w:val="02020603050005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right"/>
      <w:rPr/>
    </w:pPr>
    <w:r>
      <w:rPr/>
      <w:fldChar w:fldCharType="begin"/>
    </w:r>
    <w:r>
      <w:rP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Introduction, R. Graves, The Greek Myths: The Complete and Definitive Edition, (Penguin Books, 1992, Kindle Edition)</w:t>
      </w:r>
    </w:p>
  </w:footnote>
  <w:footnote w:id="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R. Aldington and D. Ames translators, New Larousse Encyclopedia of Mythology, (London: Hamlyn Publishing Group, 1959)</w:t>
      </w:r>
    </w:p>
  </w:footnote>
  <w:footnote w:id="3">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B. B., Classical Myth, (Pearson Education Limited, 2015, Kindle Edition)</w:t>
      </w:r>
    </w:p>
  </w:footnote>
  <w:footnote w:id="5">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L. Gahlin, Egypt: Gods, Myths and Religion (Lorenz Books, 2001)</w:t>
      </w:r>
    </w:p>
  </w:footnote>
  <w:footnote w:id="6">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N. Campion., </w:t>
      </w:r>
      <w:r>
        <w:rPr>
          <w:rFonts w:cs="Arial Unicode MS" w:eastAsia="Arial Unicode MS" w:hint="default"/>
          <w:sz w:val="28"/>
          <w:szCs w:val="28"/>
          <w:lang w:val="en-US"/>
        </w:rPr>
        <w:t>“</w:t>
      </w:r>
      <w:r>
        <w:rPr>
          <w:rFonts w:cs="Arial Unicode MS" w:eastAsia="Arial Unicode MS"/>
          <w:sz w:val="28"/>
          <w:szCs w:val="28"/>
          <w:lang w:val="en-US"/>
        </w:rPr>
        <w:t>Was There a Ptolemaic Revolution in Ancient Egyptian Astronomy? Souls, Stars and Cosmology</w:t>
      </w:r>
      <w:r>
        <w:rPr>
          <w:rFonts w:cs="Arial Unicode MS" w:eastAsia="Arial Unicode MS" w:hint="default"/>
          <w:sz w:val="28"/>
          <w:szCs w:val="28"/>
          <w:lang w:val="en-US"/>
        </w:rPr>
        <w:t>”</w:t>
      </w:r>
      <w:r>
        <w:rPr>
          <w:rFonts w:cs="Arial Unicode MS" w:eastAsia="Arial Unicode MS"/>
          <w:sz w:val="28"/>
          <w:szCs w:val="28"/>
          <w:lang w:val="en-US"/>
        </w:rPr>
        <w:t>, in Y. P. Aggarwal et al, Ancient Astronomy, (Cambridge: Cosmology Science Publishers, 2011, Kindle Edition)</w:t>
      </w:r>
    </w:p>
  </w:footnote>
  <w:footnote w:id="7">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N. Campion, Astrology and Cosmology in the World</w:t>
      </w:r>
      <w:r>
        <w:rPr>
          <w:rFonts w:cs="Arial Unicode MS" w:eastAsia="Arial Unicode MS" w:hint="default"/>
          <w:sz w:val="28"/>
          <w:szCs w:val="28"/>
          <w:lang w:val="en-US"/>
        </w:rPr>
        <w:t>’</w:t>
      </w:r>
      <w:r>
        <w:rPr>
          <w:rFonts w:cs="Arial Unicode MS" w:eastAsia="Arial Unicode MS"/>
          <w:sz w:val="28"/>
          <w:szCs w:val="28"/>
          <w:lang w:val="en-US"/>
        </w:rPr>
        <w:t>s Religions (New York University Press, 2012, Kindle Edition)</w:t>
      </w:r>
    </w:p>
  </w:footnote>
  <w:footnote w:id="8">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(Gahlin, 2004)</w:t>
      </w:r>
    </w:p>
  </w:footnote>
  <w:footnote w:id="9">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Plutarch, Moralia, Complete Works of Plutarch ebook </w:t>
      </w:r>
    </w:p>
  </w:footnote>
  <w:footnote w:id="10">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1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D. Sacks, Encyclopedia of the Ancient Greek World, p.190, (London: Constable and Company Limited, 1995)</w:t>
      </w:r>
    </w:p>
  </w:footnote>
  <w:footnote w:id="1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K. Kerenyi, The Gods of the Greeks, (1951)</w:t>
      </w:r>
    </w:p>
  </w:footnote>
  <w:footnote w:id="13">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D. Sacks, Encyclopedia of the Ancient Greek World (London: Constable and Company Limited, 1995)</w:t>
      </w:r>
    </w:p>
  </w:footnote>
  <w:footnote w:id="1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15">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16">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Y. P. Aggarwal, Ancient Astronomy, (Cambridge: Cosmology Science Publishers, 2011, Kindle Edition)</w:t>
      </w:r>
    </w:p>
  </w:footnote>
  <w:footnote w:id="17">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Y. P. Aggarwal et al, Ancient Astronomy, (Cambridge: Cosmology Science Publishers, 2011, Kindle Edition)</w:t>
      </w:r>
    </w:p>
  </w:footnote>
  <w:footnote w:id="18">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B. B. Powell, Classical Myth, (Pearson Education Limited, 2015, Kindle Edition)</w:t>
      </w:r>
    </w:p>
  </w:footnote>
  <w:footnote w:id="19">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B. Watterson, Gods of Ancient Egypt, (London: B. T. Batsford Ltd., 1984)</w:t>
      </w:r>
    </w:p>
  </w:footnote>
  <w:footnote w:id="20">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Y. P. Aggarwal, Ancient Astronomy, (Cambridge: Cosmology Science Publishers, 2011, Kindle Edition)</w:t>
      </w:r>
    </w:p>
  </w:footnote>
  <w:footnote w:id="2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2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23">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2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 w:id="25">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Ibid </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tabs>
        <w:tab w:val="clear" w:pos="9020"/>
      </w:tabs>
      <w:rPr/>
    </w:pPr>
    <w:r>
      <w:rPr>
        <w:sz w:val="36"/>
        <w:szCs w:val="36"/>
      </w:rPr>
      <w:tab/>
    </w:r>
    <w:r>
      <w:rPr>
        <w:sz w:val="36"/>
        <w:szCs w:val="36"/>
        <w:lang w:val="en-US"/>
      </w:rPr>
      <w:t>Catherine Hornby- 27001103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print"/>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t" w:comments="t" w:insDel="t" w:formatting="f"/>
  <w:defaultTabStop w:val="720"/>
  <w:hyphenationZone w:val="false"/>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b w:val="false"/>
        <w:bCs w:val="false"/>
        <w:i w:val="false"/>
        <w:iCs w:val="false"/>
        <w:caps w:val="false"/>
        <w:smallCaps w:val="false"/>
        <w:outline w:val="false"/>
        <w:emboss w:val="false"/>
        <w:imprint w:val="false"/>
        <w:vanish w:val="false"/>
        <w:color w:val="auto"/>
        <w:spacing w:val="0"/>
        <w:w w:val="100"/>
        <w:kern w:val="0"/>
        <w:position w:val="0"/>
        <w:sz w:val="20"/>
        <w:szCs w:val="20"/>
        <w:u w:val="none" w:color="auto"/>
        <w:bdr w:val="nil"/>
        <w:vertAlign w:val="baseline"/>
      </w:rPr>
    </w:rPrDefault>
    <w:pPrDefault>
      <w:pPr>
        <w:keepNext w:val="false"/>
        <w:keepLines w:val="false"/>
        <w:pageBreakBefore w:val="false"/>
        <w:framePr w:h="0" w:hRule="exact" w:w="0" w:hSpace="0" w:vSpace="0" w:vAnchor="margin" w:xAlign="left" w:yAlign="inline" w:anchorLock="false"/>
        <w:widowControl/>
        <w:numPr>
          <w:ilvl w:val="0"/>
          <w:numId w:val="0"/>
        </w:numPr>
        <w:suppressLineNumbers w:val="false"/>
        <w:pBdr>
          <w:left w:val="nil"/>
          <w:right w:val="nil"/>
          <w:top w:val="nil"/>
          <w:bottom w:val="nil"/>
          <w:bar w:val="nil"/>
          <w:between w:val="nil"/>
        </w:pBdr>
        <w:shd w:val="clear" w:color="auto" w:fill="auto"/>
        <w:suppressAutoHyphens w:val="false"/>
        <w:spacing w:before="0" w:beforeAutospacing="false" w:after="0" w:afterAutospacing="false" w:lineRule="auto" w:line="240"/>
        <w:ind w:left="0" w:right="0" w:firstLine="0"/>
        <w:jc w:val="left"/>
        <w:outlineLvl w:val="9"/>
      </w:pPr>
    </w:pPrDefault>
  </w:docDefaults>
  <w:style w:type="paragraph" w:default="1" w:styleId="style0">
    <w:name w:val="Normal"/>
    <w:next w:val="style0"/>
    <w:pPr/>
    <w:rPr>
      <w:sz w:val="24"/>
      <w:szCs w:val="24"/>
      <w:lang w:val="en-US" w:bidi="ar-SA" w:eastAsia="en-US"/>
    </w:rPr>
  </w:style>
  <w:style w:type="character" w:default="1" w:styleId="style65">
    <w:name w:val="Default Paragraph Font"/>
    <w:next w:val="style65"/>
  </w:style>
  <w:style w:type="character" w:styleId="style85">
    <w:name w:val="Hyperlink"/>
    <w:next w:val="style85"/>
    <w:rPr>
      <w:u w:val="single"/>
    </w:rPr>
  </w:style>
  <w:style w:type="table" w:customStyle="1" w:styleId="style4097">
    <w:name w:val="Table Normal"/>
    <w:next w:val="style4097"/>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customStyle="1" w:styleId="style4098">
    <w:name w:val="Header &amp; Footer A"/>
    <w:next w:val="style4098"/>
    <w:pPr>
      <w:keepNext w:val="false"/>
      <w:keepLines w:val="false"/>
      <w:pageBreakBefore w:val="false"/>
      <w:widowControl/>
      <w:shd w:val="clear" w:color="auto" w:fill="auto"/>
      <w:tabs>
        <w:tab w:val="right" w:leader="none" w:pos="9020"/>
      </w:tabs>
      <w:suppressAutoHyphens w:val="false"/>
      <w:bidi w:val="false"/>
      <w:spacing w:before="0" w:after="0" w:lineRule="auto" w:line="240"/>
      <w:ind w:left="0" w:right="0" w:firstLine="0"/>
      <w:jc w:val="left"/>
      <w:outlineLvl w:val="9"/>
    </w:pPr>
    <w:rPr>
      <w:rFonts w:ascii="Arial Rounded MT Bold" w:cs="Arial Unicode MS" w:eastAsia="Arial Unicode MS" w:hAnsi="Arial Rounded MT Bold"/>
      <w:b w:val="false"/>
      <w:bCs w:val="false"/>
      <w:i w:val="false"/>
      <w:iCs w:val="false"/>
      <w:caps w:val="false"/>
      <w:smallCaps w:val="false"/>
      <w:outline w:val="false"/>
      <w:color w:val="000000"/>
      <w:spacing w:val="0"/>
      <w:kern w:val="0"/>
      <w:position w:val="0"/>
      <w:sz w:val="40"/>
      <w:szCs w:val="40"/>
      <w:u w:val="none" w:color="000000"/>
      <w:shd w:val="nil" w:color="auto" w:fill="auto"/>
      <w:vertAlign w:val="baseline"/>
      <w14:textOutline>
        <w14:noFill/>
      </w14:textOutline>
    </w:rPr>
  </w:style>
  <w:style w:type="paragraph" w:styleId="style31">
    <w:name w:val="header"/>
    <w:next w:val="style31"/>
    <w:pPr>
      <w:keepNext w:val="false"/>
      <w:keepLines w:val="false"/>
      <w:pageBreakBefore w:val="false"/>
      <w:widowControl/>
      <w:shd w:val="clear" w:color="auto" w:fill="auto"/>
      <w:tabs>
        <w:tab w:val="center" w:leader="none" w:pos="4320"/>
        <w:tab w:val="right" w:leader="none" w:pos="8640"/>
      </w:tabs>
      <w:suppressAutoHyphens w:val="false"/>
      <w:bidi w:val="false"/>
      <w:spacing w:before="0" w:after="0" w:lineRule="auto" w:line="240"/>
      <w:ind w:left="0" w:right="0" w:firstLine="0"/>
      <w:jc w:val="left"/>
      <w:outlineLvl w:val="9"/>
    </w:pPr>
    <w:rPr>
      <w:rFonts w:ascii="Times New Roman" w:cs="Times New Roman" w:eastAsia="Times New Roman" w:hAnsi="Times New Roman"/>
      <w:b w:val="false"/>
      <w:bCs w:val="false"/>
      <w:i w:val="false"/>
      <w:iCs w:val="false"/>
      <w:caps w:val="false"/>
      <w:smallCaps w:val="false"/>
      <w:outline w:val="false"/>
      <w:color w:val="000000"/>
      <w:spacing w:val="0"/>
      <w:kern w:val="0"/>
      <w:position w:val="0"/>
      <w:sz w:val="24"/>
      <w:szCs w:val="24"/>
      <w:u w:val="none" w:color="000000"/>
      <w:shd w:val="nil" w:color="auto" w:fill="auto"/>
      <w:vertAlign w:val="baseline"/>
      <w:lang w:val="en-US"/>
    </w:rPr>
  </w:style>
  <w:style w:type="paragraph" w:customStyle="1" w:styleId="style4099">
    <w:name w:val="Body A"/>
    <w:next w:val="style4099"/>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Arial Rounded MT Bold" w:cs="Arial Rounded MT Bold" w:eastAsia="Arial Rounded MT Bold" w:hAnsi="Arial Rounded MT Bold"/>
      <w:b w:val="false"/>
      <w:bCs w:val="false"/>
      <w:i w:val="false"/>
      <w:iCs w:val="false"/>
      <w:caps w:val="false"/>
      <w:smallCaps w:val="false"/>
      <w:outline w:val="false"/>
      <w:color w:val="000000"/>
      <w:spacing w:val="0"/>
      <w:kern w:val="0"/>
      <w:position w:val="0"/>
      <w:sz w:val="36"/>
      <w:szCs w:val="36"/>
      <w:u w:val="none" w:color="000000"/>
      <w:shd w:val="nil" w:color="auto" w:fill="auto"/>
      <w:vertAlign w:val="baseline"/>
      <w14:textOutline>
        <w14:noFill/>
      </w14:textOutline>
    </w:rPr>
  </w:style>
  <w:style w:type="paragraph" w:customStyle="1" w:styleId="style4100">
    <w:name w:val="Footnote A"/>
    <w:next w:val="style4100"/>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Arial Rounded MT Bold" w:cs="Arial Rounded MT Bold" w:eastAsia="Arial Rounded MT Bold" w:hAnsi="Arial Rounded MT Bold"/>
      <w:b w:val="false"/>
      <w:bCs w:val="false"/>
      <w:i w:val="false"/>
      <w:iCs w:val="false"/>
      <w:caps w:val="false"/>
      <w:smallCaps w:val="false"/>
      <w:outline w:val="false"/>
      <w:color w:val="000000"/>
      <w:spacing w:val="0"/>
      <w:kern w:val="0"/>
      <w:position w:val="0"/>
      <w:sz w:val="36"/>
      <w:szCs w:val="36"/>
      <w:u w:val="none" w:color="000000"/>
      <w:shd w:val="nil" w:color="auto" w:fill="auto"/>
      <w:vertAlign w:val="baseline"/>
      <w14:textOutline>
        <w14:noFill/>
      </w14:textOutlin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9" Type="http://schemas.openxmlformats.org/officeDocument/2006/relationships/theme" Target="theme/theme1.xml"/><Relationship Id="rId5"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4081</Words>
  <Characters>20715</Characters>
  <Application>WPS Office</Application>
  <Paragraphs>264</Paragraphs>
  <CharactersWithSpaces>24776</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2024-01-25T23:48:19Z</dcterms:created>
  <dc:creator>WPS Office</dc:creator>
  <lastModifiedBy>KFMUWI</lastModifiedBy>
  <dcterms:modified xsi:type="dcterms:W3CDTF">2024-01-25T23:48:19Z</dcterms:modified>
</coreProperties>
</file>

<file path=docProps/custom.xml><?xml version="1.0" encoding="utf-8"?>
<Properties xmlns="http://schemas.openxmlformats.org/officeDocument/2006/custom-properties" xmlns:vt="http://schemas.openxmlformats.org/officeDocument/2006/docPropsVTypes"/>
</file>