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C5F62" w14:textId="77777777" w:rsidR="007D529A" w:rsidRPr="009219E1" w:rsidRDefault="007D529A" w:rsidP="007D529A">
      <w:pPr>
        <w:spacing w:line="259" w:lineRule="auto"/>
        <w:rPr>
          <w:b/>
          <w:bCs/>
          <w:u w:val="single"/>
        </w:rPr>
      </w:pPr>
      <w:r w:rsidRPr="009219E1">
        <w:rPr>
          <w:b/>
          <w:bCs/>
          <w:u w:val="single"/>
        </w:rPr>
        <w:drawing>
          <wp:inline distT="0" distB="0" distL="0" distR="0" wp14:anchorId="6A1CA940" wp14:editId="6895EE5D">
            <wp:extent cx="2032000" cy="704850"/>
            <wp:effectExtent l="0" t="0" r="6350" b="0"/>
            <wp:docPr id="186460666"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465704"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32000" cy="704850"/>
                    </a:xfrm>
                    <a:prstGeom prst="rect">
                      <a:avLst/>
                    </a:prstGeom>
                    <a:noFill/>
                    <a:ln>
                      <a:noFill/>
                    </a:ln>
                  </pic:spPr>
                </pic:pic>
              </a:graphicData>
            </a:graphic>
          </wp:inline>
        </w:drawing>
      </w:r>
    </w:p>
    <w:p w14:paraId="6F040924" w14:textId="77777777" w:rsidR="007D529A" w:rsidRPr="009219E1" w:rsidRDefault="007D529A" w:rsidP="007D529A">
      <w:pPr>
        <w:spacing w:line="259" w:lineRule="auto"/>
        <w:rPr>
          <w:b/>
          <w:bCs/>
          <w:u w:val="single"/>
        </w:rPr>
      </w:pPr>
    </w:p>
    <w:p w14:paraId="08DFA26B" w14:textId="77777777" w:rsidR="007D529A" w:rsidRPr="009219E1" w:rsidRDefault="007D529A" w:rsidP="007D529A">
      <w:pPr>
        <w:spacing w:line="259" w:lineRule="auto"/>
        <w:rPr>
          <w:b/>
          <w:bCs/>
          <w:u w:val="single"/>
        </w:rPr>
      </w:pPr>
      <w:r w:rsidRPr="009219E1">
        <w:rPr>
          <w:b/>
          <w:bCs/>
          <w:u w:val="single"/>
        </w:rPr>
        <w:t>GRADUATE CERTIFICATE in Consolidation of Social Work Practice</w:t>
      </w:r>
    </w:p>
    <w:p w14:paraId="06668B90" w14:textId="77777777" w:rsidR="007D529A" w:rsidRPr="009219E1" w:rsidRDefault="007D529A" w:rsidP="007D529A">
      <w:pPr>
        <w:spacing w:line="259" w:lineRule="auto"/>
        <w:rPr>
          <w:b/>
          <w:bCs/>
          <w:u w:val="single"/>
        </w:rPr>
      </w:pPr>
      <w:r w:rsidRPr="009219E1">
        <w:rPr>
          <w:b/>
          <w:bCs/>
          <w:u w:val="single"/>
        </w:rPr>
        <w:t>LEVEL 6 - 60 Credits</w:t>
      </w:r>
    </w:p>
    <w:p w14:paraId="2704B8A1" w14:textId="77777777" w:rsidR="007D529A" w:rsidRPr="009219E1" w:rsidRDefault="007D529A" w:rsidP="007D529A">
      <w:pPr>
        <w:spacing w:line="259" w:lineRule="auto"/>
        <w:rPr>
          <w:b/>
          <w:bCs/>
          <w:u w:val="single"/>
        </w:rPr>
      </w:pPr>
      <w:r w:rsidRPr="009219E1">
        <w:rPr>
          <w:b/>
          <w:bCs/>
          <w:u w:val="single"/>
        </w:rPr>
        <w:t>BMPF6044</w:t>
      </w:r>
    </w:p>
    <w:p w14:paraId="7B2BBD7E" w14:textId="77777777" w:rsidR="007D529A" w:rsidRPr="009219E1" w:rsidRDefault="007D529A" w:rsidP="007D529A">
      <w:pPr>
        <w:spacing w:line="259" w:lineRule="auto"/>
        <w:rPr>
          <w:b/>
          <w:bCs/>
          <w:u w:val="single"/>
        </w:rPr>
      </w:pPr>
    </w:p>
    <w:p w14:paraId="58119624" w14:textId="77777777" w:rsidR="007D529A" w:rsidRPr="009219E1" w:rsidRDefault="007D529A" w:rsidP="007D529A">
      <w:pPr>
        <w:spacing w:line="259" w:lineRule="auto"/>
        <w:rPr>
          <w:b/>
          <w:bCs/>
          <w:u w:val="single"/>
        </w:rPr>
      </w:pPr>
    </w:p>
    <w:p w14:paraId="35B9B739" w14:textId="77777777" w:rsidR="007D529A" w:rsidRPr="009219E1" w:rsidRDefault="007D529A" w:rsidP="007D529A">
      <w:pPr>
        <w:spacing w:line="259" w:lineRule="auto"/>
        <w:rPr>
          <w:b/>
          <w:bCs/>
          <w:u w:val="single"/>
        </w:rPr>
      </w:pPr>
      <w:r w:rsidRPr="009219E1">
        <w:rPr>
          <w:b/>
          <w:bCs/>
          <w:u w:val="single"/>
        </w:rPr>
        <w:t>LEARNER PORTFOLIO</w:t>
      </w:r>
    </w:p>
    <w:p w14:paraId="30B6DEDF" w14:textId="77777777" w:rsidR="007D529A" w:rsidRPr="009219E1" w:rsidRDefault="007D529A" w:rsidP="007D529A">
      <w:pPr>
        <w:spacing w:line="259" w:lineRule="auto"/>
        <w:rPr>
          <w:b/>
          <w:bCs/>
          <w:u w:val="single"/>
        </w:rPr>
      </w:pPr>
      <w:r w:rsidRPr="009219E1">
        <w:rPr>
          <w:b/>
          <w:bCs/>
          <w:u w:val="single"/>
        </w:rPr>
        <w:t>(PORTH AGORED and UNIVERSITY OF WALES TRINITY SAINT DAVID)</w:t>
      </w:r>
    </w:p>
    <w:p w14:paraId="7290F0B1" w14:textId="77777777" w:rsidR="007D529A" w:rsidRPr="009219E1" w:rsidRDefault="007D529A" w:rsidP="007D529A">
      <w:pPr>
        <w:spacing w:line="259" w:lineRule="auto"/>
        <w:rPr>
          <w:b/>
          <w:bCs/>
          <w:u w:val="single"/>
        </w:rPr>
      </w:pPr>
    </w:p>
    <w:p w14:paraId="3D6EB4C8" w14:textId="77777777" w:rsidR="007D529A" w:rsidRPr="009219E1" w:rsidRDefault="007D529A" w:rsidP="007D529A">
      <w:pPr>
        <w:spacing w:line="259" w:lineRule="auto"/>
        <w:rPr>
          <w:b/>
          <w:bCs/>
          <w:u w:val="single"/>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7D529A" w:rsidRPr="009219E1" w14:paraId="3443999B" w14:textId="77777777" w:rsidTr="00871B3F">
        <w:tc>
          <w:tcPr>
            <w:tcW w:w="9209" w:type="dxa"/>
            <w:tcBorders>
              <w:top w:val="single" w:sz="4" w:space="0" w:color="auto"/>
              <w:left w:val="single" w:sz="4" w:space="0" w:color="auto"/>
              <w:bottom w:val="single" w:sz="4" w:space="0" w:color="auto"/>
              <w:right w:val="single" w:sz="4" w:space="0" w:color="auto"/>
            </w:tcBorders>
          </w:tcPr>
          <w:p w14:paraId="5B1A2782" w14:textId="77777777" w:rsidR="007D529A" w:rsidRDefault="007D529A" w:rsidP="00871B3F">
            <w:pPr>
              <w:rPr>
                <w:b/>
                <w:bCs/>
                <w:u w:val="single"/>
              </w:rPr>
            </w:pPr>
            <w:r w:rsidRPr="009219E1">
              <w:rPr>
                <w:b/>
                <w:bCs/>
                <w:u w:val="single"/>
              </w:rPr>
              <w:t>Learner’s name:</w:t>
            </w:r>
          </w:p>
          <w:p w14:paraId="156A91AD" w14:textId="77777777" w:rsidR="007D529A" w:rsidRPr="009219E1" w:rsidRDefault="007D529A" w:rsidP="00871B3F">
            <w:pPr>
              <w:spacing w:line="259" w:lineRule="auto"/>
            </w:pPr>
            <w:r w:rsidRPr="009219E1">
              <w:t xml:space="preserve"> Olivia Legname </w:t>
            </w:r>
          </w:p>
          <w:p w14:paraId="34635F75" w14:textId="77777777" w:rsidR="007D529A" w:rsidRPr="009219E1" w:rsidRDefault="007D529A" w:rsidP="00871B3F">
            <w:pPr>
              <w:spacing w:line="259" w:lineRule="auto"/>
              <w:rPr>
                <w:b/>
                <w:bCs/>
                <w:u w:val="single"/>
              </w:rPr>
            </w:pPr>
          </w:p>
          <w:p w14:paraId="6351DB87" w14:textId="77777777" w:rsidR="007D529A" w:rsidRPr="009219E1" w:rsidRDefault="007D529A" w:rsidP="00871B3F">
            <w:pPr>
              <w:spacing w:line="259" w:lineRule="auto"/>
              <w:rPr>
                <w:b/>
                <w:bCs/>
                <w:u w:val="single"/>
              </w:rPr>
            </w:pPr>
            <w:r w:rsidRPr="009219E1">
              <w:rPr>
                <w:b/>
                <w:bCs/>
                <w:u w:val="single"/>
              </w:rPr>
              <w:t>Email address:</w:t>
            </w:r>
          </w:p>
          <w:p w14:paraId="565FA395" w14:textId="77777777" w:rsidR="007D529A" w:rsidRPr="009219E1" w:rsidRDefault="007D529A" w:rsidP="00871B3F">
            <w:pPr>
              <w:spacing w:line="259" w:lineRule="auto"/>
            </w:pPr>
            <w:r w:rsidRPr="009219E1">
              <w:t xml:space="preserve">2435065@student.uwtsd.ac.uk                                 </w:t>
            </w:r>
          </w:p>
          <w:p w14:paraId="2E13674B" w14:textId="77777777" w:rsidR="007D529A" w:rsidRDefault="007D529A" w:rsidP="00871B3F">
            <w:pPr>
              <w:rPr>
                <w:b/>
                <w:bCs/>
                <w:u w:val="single"/>
              </w:rPr>
            </w:pPr>
            <w:r w:rsidRPr="009219E1">
              <w:rPr>
                <w:b/>
                <w:bCs/>
                <w:u w:val="single"/>
              </w:rPr>
              <w:t>Learner’s University Registration Number:</w:t>
            </w:r>
          </w:p>
          <w:p w14:paraId="396E6BC2" w14:textId="77777777" w:rsidR="007D529A" w:rsidRPr="009219E1" w:rsidRDefault="007D529A" w:rsidP="00871B3F">
            <w:pPr>
              <w:spacing w:line="259" w:lineRule="auto"/>
            </w:pPr>
            <w:r w:rsidRPr="009219E1">
              <w:t>2435065</w:t>
            </w:r>
          </w:p>
          <w:p w14:paraId="5C28BE34" w14:textId="77777777" w:rsidR="007D529A" w:rsidRPr="009219E1" w:rsidRDefault="007D529A" w:rsidP="00871B3F">
            <w:pPr>
              <w:spacing w:line="259" w:lineRule="auto"/>
              <w:rPr>
                <w:b/>
                <w:bCs/>
                <w:u w:val="single"/>
              </w:rPr>
            </w:pPr>
          </w:p>
          <w:p w14:paraId="2215AABB" w14:textId="77777777" w:rsidR="007D529A" w:rsidRPr="009219E1" w:rsidRDefault="007D529A" w:rsidP="00871B3F">
            <w:pPr>
              <w:spacing w:line="259" w:lineRule="auto"/>
              <w:rPr>
                <w:b/>
                <w:bCs/>
                <w:u w:val="single"/>
              </w:rPr>
            </w:pPr>
            <w:r w:rsidRPr="009219E1">
              <w:rPr>
                <w:b/>
                <w:bCs/>
                <w:u w:val="single"/>
              </w:rPr>
              <w:t>Cohort: 21 onwards</w:t>
            </w:r>
          </w:p>
        </w:tc>
      </w:tr>
    </w:tbl>
    <w:p w14:paraId="2068A8B3" w14:textId="77777777" w:rsidR="007D529A" w:rsidRPr="009219E1" w:rsidRDefault="007D529A" w:rsidP="007D529A">
      <w:pPr>
        <w:spacing w:line="259" w:lineRule="auto"/>
        <w:rPr>
          <w:b/>
          <w:bCs/>
          <w:u w:val="single"/>
        </w:rPr>
      </w:pPr>
      <w:r w:rsidRPr="009219E1">
        <w:rPr>
          <w:b/>
          <w:bCs/>
          <w:u w:val="single"/>
        </w:rPr>
        <w:t xml:space="preserve"> </w:t>
      </w:r>
    </w:p>
    <w:p w14:paraId="6AE5A536" w14:textId="77777777" w:rsidR="007D529A" w:rsidRDefault="007D529A" w:rsidP="00A91D11">
      <w:pPr>
        <w:rPr>
          <w:b/>
          <w:bCs/>
          <w:u w:val="single"/>
        </w:rPr>
      </w:pPr>
    </w:p>
    <w:p w14:paraId="257C47C4" w14:textId="77777777" w:rsidR="007D529A" w:rsidRDefault="007D529A" w:rsidP="00A91D11">
      <w:pPr>
        <w:rPr>
          <w:b/>
          <w:bCs/>
          <w:u w:val="single"/>
        </w:rPr>
      </w:pPr>
    </w:p>
    <w:p w14:paraId="61593F87" w14:textId="77777777" w:rsidR="007D529A" w:rsidRDefault="007D529A" w:rsidP="00A91D11">
      <w:pPr>
        <w:rPr>
          <w:b/>
          <w:bCs/>
          <w:u w:val="single"/>
        </w:rPr>
      </w:pPr>
    </w:p>
    <w:p w14:paraId="331F4682" w14:textId="77777777" w:rsidR="007D529A" w:rsidRDefault="007D529A" w:rsidP="00A91D11">
      <w:pPr>
        <w:rPr>
          <w:b/>
          <w:bCs/>
          <w:u w:val="single"/>
        </w:rPr>
      </w:pPr>
    </w:p>
    <w:p w14:paraId="3374F9B5" w14:textId="77777777" w:rsidR="007D529A" w:rsidRDefault="007D529A" w:rsidP="00A91D11">
      <w:pPr>
        <w:rPr>
          <w:b/>
          <w:bCs/>
          <w:u w:val="single"/>
        </w:rPr>
      </w:pPr>
    </w:p>
    <w:p w14:paraId="54BF4CCB" w14:textId="77777777" w:rsidR="007D529A" w:rsidRDefault="007D529A" w:rsidP="00A91D11">
      <w:pPr>
        <w:rPr>
          <w:b/>
          <w:bCs/>
          <w:u w:val="single"/>
        </w:rPr>
      </w:pPr>
    </w:p>
    <w:p w14:paraId="297D9DE4" w14:textId="3DCF4CBA" w:rsidR="00A34034" w:rsidRPr="00A34034" w:rsidRDefault="00A34034" w:rsidP="00A91D11">
      <w:pPr>
        <w:rPr>
          <w:b/>
          <w:bCs/>
          <w:u w:val="single"/>
        </w:rPr>
      </w:pPr>
      <w:r w:rsidRPr="00A34034">
        <w:rPr>
          <w:b/>
          <w:bCs/>
          <w:u w:val="single"/>
        </w:rPr>
        <w:lastRenderedPageBreak/>
        <w:t xml:space="preserve">Task 4- Adult Safeguarding legislation and policy </w:t>
      </w:r>
    </w:p>
    <w:p w14:paraId="599EC614" w14:textId="77777777" w:rsidR="00A34034" w:rsidRDefault="00A34034" w:rsidP="00E14D48">
      <w:pPr>
        <w:jc w:val="both"/>
      </w:pPr>
    </w:p>
    <w:p w14:paraId="7B069AC0" w14:textId="309E5C58" w:rsidR="00A91D11" w:rsidRDefault="008619CA" w:rsidP="00E14D48">
      <w:pPr>
        <w:jc w:val="both"/>
      </w:pPr>
      <w:r>
        <w:t>The safeguarding of adults is primarily held accountable by the Social Services and Well-being Act 2014 (SSWA 14)</w:t>
      </w:r>
      <w:r w:rsidR="007D0901">
        <w:t>, specifically Part 7.</w:t>
      </w:r>
      <w:r w:rsidR="00CE2387">
        <w:t xml:space="preserve"> This Act came into force in 2016 and has lead health and social care towards improving the well-being of adults receiving care and support from services. </w:t>
      </w:r>
      <w:r w:rsidR="007D0901">
        <w:t xml:space="preserve"> Section 126 within part 7 </w:t>
      </w:r>
      <w:r w:rsidR="00776C90">
        <w:t xml:space="preserve">of the SSWA14 </w:t>
      </w:r>
      <w:r w:rsidR="004E71BC">
        <w:t xml:space="preserve">defines an adult at risk </w:t>
      </w:r>
      <w:r w:rsidR="00AD474B">
        <w:t>as an adult who is ‘</w:t>
      </w:r>
      <w:r w:rsidR="00AD474B" w:rsidRPr="00AD474B">
        <w:t>(a)is experiencing or is at risk of abuse or neglect,</w:t>
      </w:r>
      <w:r w:rsidR="00AD474B">
        <w:t xml:space="preserve"> </w:t>
      </w:r>
      <w:r w:rsidR="00AD474B" w:rsidRPr="00AD474B">
        <w:t>(b)has needs for care and support (whether or not the authority is meeting any of those needs), and</w:t>
      </w:r>
      <w:r w:rsidR="00AD474B">
        <w:t xml:space="preserve"> </w:t>
      </w:r>
      <w:r w:rsidR="00AD474B" w:rsidRPr="00AD474B">
        <w:t>(c)as a result of those needs is unable to protect himself or herself against the abuse or neglect or the risk of it.</w:t>
      </w:r>
      <w:r w:rsidR="00AD474B">
        <w:t>’ (Legislation.GOV, 2016)</w:t>
      </w:r>
      <w:r w:rsidR="00CE2387">
        <w:t>. This definition helps to determine if an adult meets the criteria for intervention from statutory services.</w:t>
      </w:r>
      <w:r w:rsidR="00235851">
        <w:t xml:space="preserve"> </w:t>
      </w:r>
      <w:r w:rsidR="00A91D11">
        <w:t xml:space="preserve">Section 128 of the </w:t>
      </w:r>
      <w:r w:rsidR="00235851">
        <w:t>SSWA14 places a duty on professionals to report adults at risk to the appropriate services and professionals, as well as a duty to make appropriate enquiries regarding support and intervention</w:t>
      </w:r>
      <w:r w:rsidR="00A91D11">
        <w:t xml:space="preserve"> and ensures that safeguarding is upheld by </w:t>
      </w:r>
      <w:r w:rsidR="00251114">
        <w:t>everyone (</w:t>
      </w:r>
      <w:r w:rsidR="00A91D11">
        <w:t>Social Care Wales, 2025)</w:t>
      </w:r>
      <w:r w:rsidR="00251114">
        <w:t>.</w:t>
      </w:r>
    </w:p>
    <w:p w14:paraId="0C490F64" w14:textId="232B765A" w:rsidR="00245685" w:rsidRDefault="00245685" w:rsidP="00245685">
      <w:pPr>
        <w:jc w:val="both"/>
      </w:pPr>
      <w:r>
        <w:t>The Wales Safeguarding Procedures 2019 offer guidance</w:t>
      </w:r>
      <w:r w:rsidR="00D667EB">
        <w:t xml:space="preserve"> and a framework</w:t>
      </w:r>
      <w:r>
        <w:t xml:space="preserve"> on safeguarding processes, upholding and applying law throughout practice and the responsibilities of every service in relation to safeguarding. These procedures are in place to ensure that every service across Wales is working under the same regulation and policy to help promote consistency and support that is both person centred and strength based. Professionals are able to access these procedures online or now on the Safeguarding Wales app that lays out policy and procedure step by step making it easy to follow and find exactly what you need. It has been advised that all professionals within social care have this app downloaded on their device (Safeguarding Wales, 2026).</w:t>
      </w:r>
    </w:p>
    <w:p w14:paraId="295DBDDA" w14:textId="77777777" w:rsidR="00245685" w:rsidRDefault="00245685" w:rsidP="00E14D48">
      <w:pPr>
        <w:jc w:val="both"/>
      </w:pPr>
    </w:p>
    <w:p w14:paraId="6E652C6A" w14:textId="09776AD3" w:rsidR="00A91D11" w:rsidRDefault="00251114" w:rsidP="00E14D48">
      <w:pPr>
        <w:jc w:val="both"/>
      </w:pPr>
      <w:r>
        <w:t>Working alongside the SSWA14 is the Mental Capacity Act 2005 (MCA05). This legislation allows professionals to assess the capacity of individuals and provide support in decision making whilst upholding the individuals autonomy. The MCA05 states that Professionals are to presume an individual has capacity until it is determined otherwise. Adults are entitled to make any decision regardless of if professionals may deem it unwise.</w:t>
      </w:r>
      <w:r w:rsidR="00746CF7">
        <w:t xml:space="preserve"> The Mental Health Act 1983 (MHA83) works alongside the MCA05 as it allows professionals to provide support where it has been deemed an individual does not have capacity. MHA83 is referred to when an individual is deemed to be at risk of harm to themselves or others. MHA83 places a duty on professionals to </w:t>
      </w:r>
      <w:r w:rsidR="0061541A">
        <w:t xml:space="preserve">assess individuals after hospital admission and provide appropriate support and intervention. </w:t>
      </w:r>
    </w:p>
    <w:p w14:paraId="3893B7BB" w14:textId="15B2E8D8" w:rsidR="0061541A" w:rsidRPr="0061541A" w:rsidRDefault="0061541A" w:rsidP="0061541A">
      <w:pPr>
        <w:pStyle w:val="NoSpacing"/>
        <w:rPr>
          <w:color w:val="000000" w:themeColor="text1"/>
        </w:rPr>
      </w:pPr>
      <w:r w:rsidRPr="0061541A">
        <w:rPr>
          <w:color w:val="000000" w:themeColor="text1"/>
        </w:rPr>
        <w:t xml:space="preserve">The Mental Health (Wales) Measure 2010 (MHWM10) coincides with the MCA05 and ensures that any service providing mental health support is focused on the individual and provides person centred support. MHWM10 consists of 6 parts (Law Wales, 2024) </w:t>
      </w:r>
    </w:p>
    <w:p w14:paraId="689BB5A0" w14:textId="77777777" w:rsidR="0061541A" w:rsidRDefault="0061541A" w:rsidP="00E14D48">
      <w:pPr>
        <w:jc w:val="both"/>
      </w:pPr>
    </w:p>
    <w:p w14:paraId="3C30A99A" w14:textId="3EEAF977" w:rsidR="00110C6B" w:rsidRPr="00110C6B" w:rsidRDefault="00110C6B" w:rsidP="00E14D48">
      <w:pPr>
        <w:jc w:val="both"/>
        <w:rPr>
          <w:b/>
          <w:bCs/>
          <w:u w:val="single"/>
          <w:lang w:val="en-US"/>
        </w:rPr>
      </w:pPr>
      <w:r w:rsidRPr="00110C6B">
        <w:rPr>
          <w:b/>
          <w:bCs/>
          <w:u w:val="single"/>
          <w:lang w:val="en-US"/>
        </w:rPr>
        <w:t xml:space="preserve">The differences between adult’s and children’s safeguarding </w:t>
      </w:r>
    </w:p>
    <w:p w14:paraId="10127535" w14:textId="77777777" w:rsidR="00110C6B" w:rsidRDefault="00110C6B" w:rsidP="00E14D48">
      <w:pPr>
        <w:jc w:val="both"/>
        <w:rPr>
          <w:lang w:val="en-US"/>
        </w:rPr>
      </w:pPr>
    </w:p>
    <w:p w14:paraId="6344B97F" w14:textId="3AECC250" w:rsidR="00110C6B" w:rsidRDefault="00B77203" w:rsidP="00110C6B">
      <w:pPr>
        <w:jc w:val="both"/>
        <w:rPr>
          <w:lang w:val="en-US"/>
        </w:rPr>
      </w:pPr>
      <w:r>
        <w:rPr>
          <w:lang w:val="en-US"/>
        </w:rPr>
        <w:t xml:space="preserve">Safeguarding legislation within Wales </w:t>
      </w:r>
      <w:r w:rsidR="00CE40D0">
        <w:rPr>
          <w:lang w:val="en-US"/>
        </w:rPr>
        <w:t>has</w:t>
      </w:r>
      <w:r>
        <w:rPr>
          <w:lang w:val="en-US"/>
        </w:rPr>
        <w:t xml:space="preserve"> a clear distinction between the safeguarding</w:t>
      </w:r>
      <w:r w:rsidR="00F805AC">
        <w:rPr>
          <w:lang w:val="en-US"/>
        </w:rPr>
        <w:t xml:space="preserve"> </w:t>
      </w:r>
      <w:r>
        <w:rPr>
          <w:lang w:val="en-US"/>
        </w:rPr>
        <w:t>of children and adults.</w:t>
      </w:r>
      <w:r w:rsidR="00110C6B" w:rsidRPr="00110C6B">
        <w:rPr>
          <w:lang w:val="en-US"/>
        </w:rPr>
        <w:t xml:space="preserve"> </w:t>
      </w:r>
      <w:r w:rsidR="00110C6B">
        <w:rPr>
          <w:lang w:val="en-US"/>
        </w:rPr>
        <w:t xml:space="preserve">In Wales </w:t>
      </w:r>
      <w:r w:rsidR="00AC475B">
        <w:rPr>
          <w:lang w:val="en-US"/>
        </w:rPr>
        <w:t>adult</w:t>
      </w:r>
      <w:r w:rsidR="00110C6B">
        <w:rPr>
          <w:lang w:val="en-US"/>
        </w:rPr>
        <w:t xml:space="preserve"> safeguarding falls under Part 7 of the Social Services and Well-being Act 2014 (SSWBA) which holds focus on adults who are defined as an ‘adult at risk’ and have a need for care and support affecting their ability to safeguard themselves from risk. Unlike children’s safeguarding, safeguarding an adult comes under framework that prioritizes choice and autonomy. If an adult is deemed to have capacity, they have the right to make decisions that </w:t>
      </w:r>
      <w:proofErr w:type="gramStart"/>
      <w:r w:rsidR="00110C6B">
        <w:rPr>
          <w:lang w:val="en-US"/>
        </w:rPr>
        <w:t>us</w:t>
      </w:r>
      <w:proofErr w:type="gramEnd"/>
      <w:r w:rsidR="00110C6B">
        <w:rPr>
          <w:lang w:val="en-US"/>
        </w:rPr>
        <w:t xml:space="preserve"> as professionals may deem as ‘unwise’.  If adults hold capacity, they can decline support therefore professionals cannot step in and provide interventions and support without specific criteria being met. Alongside </w:t>
      </w:r>
      <w:proofErr w:type="gramStart"/>
      <w:r w:rsidR="00110C6B">
        <w:rPr>
          <w:lang w:val="en-US"/>
        </w:rPr>
        <w:t>law</w:t>
      </w:r>
      <w:proofErr w:type="gramEnd"/>
      <w:r w:rsidR="00110C6B">
        <w:rPr>
          <w:lang w:val="en-US"/>
        </w:rPr>
        <w:t xml:space="preserve"> such as the Mental Capacity Act 2005 an </w:t>
      </w:r>
      <w:proofErr w:type="gramStart"/>
      <w:r w:rsidR="00110C6B">
        <w:rPr>
          <w:lang w:val="en-US"/>
        </w:rPr>
        <w:t>adults</w:t>
      </w:r>
      <w:proofErr w:type="gramEnd"/>
      <w:r w:rsidR="00110C6B">
        <w:rPr>
          <w:lang w:val="en-US"/>
        </w:rPr>
        <w:t xml:space="preserve"> right to self-determine needs to be considered when completing assessments and intervention.</w:t>
      </w:r>
    </w:p>
    <w:p w14:paraId="409DEECB" w14:textId="77777777" w:rsidR="00826DDF" w:rsidRDefault="00826DDF" w:rsidP="00E14D48">
      <w:pPr>
        <w:jc w:val="both"/>
        <w:rPr>
          <w:lang w:val="en-US"/>
        </w:rPr>
      </w:pPr>
    </w:p>
    <w:p w14:paraId="7350908D" w14:textId="341661E8" w:rsidR="00E14D48" w:rsidRPr="00F805AC" w:rsidRDefault="00B77203" w:rsidP="00E14D48">
      <w:pPr>
        <w:jc w:val="both"/>
        <w:rPr>
          <w:lang w:val="en-US"/>
        </w:rPr>
      </w:pPr>
      <w:r>
        <w:rPr>
          <w:lang w:val="en-US"/>
        </w:rPr>
        <w:t xml:space="preserve"> </w:t>
      </w:r>
      <w:r w:rsidR="002D77F2">
        <w:rPr>
          <w:lang w:val="en-US"/>
        </w:rPr>
        <w:t xml:space="preserve">Part 7 of SSWBA14 and </w:t>
      </w:r>
      <w:r>
        <w:rPr>
          <w:lang w:val="en-US"/>
        </w:rPr>
        <w:t xml:space="preserve">The Children Act 1989 ensures every local authority has a statutory duty to safeguard and protect a child’s welfare. The Children Act 1989 states that the welfare of the child is paramount (legislation.gov, 2026). If a child is believed to be at risk of </w:t>
      </w:r>
      <w:r w:rsidR="00CE40D0">
        <w:rPr>
          <w:lang w:val="en-US"/>
        </w:rPr>
        <w:t>harm,</w:t>
      </w:r>
      <w:r>
        <w:rPr>
          <w:lang w:val="en-US"/>
        </w:rPr>
        <w:t xml:space="preserve"> </w:t>
      </w:r>
      <w:r w:rsidRPr="00E14D48">
        <w:rPr>
          <w:color w:val="000000" w:themeColor="text1"/>
          <w:lang w:val="en-US"/>
        </w:rPr>
        <w:t>children’s legislation overrides adult safeguarding</w:t>
      </w:r>
      <w:r w:rsidR="00E14D48">
        <w:rPr>
          <w:color w:val="000000" w:themeColor="text1"/>
          <w:lang w:val="en-US"/>
        </w:rPr>
        <w:t xml:space="preserve"> meaning that an </w:t>
      </w:r>
      <w:r w:rsidR="00AC475B">
        <w:rPr>
          <w:color w:val="000000" w:themeColor="text1"/>
          <w:lang w:val="en-US"/>
        </w:rPr>
        <w:t xml:space="preserve">adult’s </w:t>
      </w:r>
      <w:r w:rsidR="00E14D48">
        <w:rPr>
          <w:color w:val="000000" w:themeColor="text1"/>
          <w:lang w:val="en-US"/>
        </w:rPr>
        <w:t xml:space="preserve">right to refuse social care’s involvement is overridden </w:t>
      </w:r>
      <w:proofErr w:type="gramStart"/>
      <w:r w:rsidR="00E14D48">
        <w:rPr>
          <w:color w:val="000000" w:themeColor="text1"/>
          <w:lang w:val="en-US"/>
        </w:rPr>
        <w:t>in order to</w:t>
      </w:r>
      <w:proofErr w:type="gramEnd"/>
      <w:r w:rsidR="00E14D48">
        <w:rPr>
          <w:color w:val="000000" w:themeColor="text1"/>
          <w:lang w:val="en-US"/>
        </w:rPr>
        <w:t xml:space="preserve"> protect the child</w:t>
      </w:r>
      <w:r>
        <w:rPr>
          <w:lang w:val="en-US"/>
        </w:rPr>
        <w:t xml:space="preserve">. </w:t>
      </w:r>
      <w:r w:rsidR="00B33176">
        <w:rPr>
          <w:lang w:val="en-US"/>
        </w:rPr>
        <w:t xml:space="preserve"> </w:t>
      </w:r>
      <w:r w:rsidR="00CE40D0">
        <w:rPr>
          <w:lang w:val="en-US"/>
        </w:rPr>
        <w:t xml:space="preserve">Local authorities gain the right to investigate if they believe a child is at risk regardless of any adult within the family. </w:t>
      </w:r>
      <w:r w:rsidR="00E222D4">
        <w:rPr>
          <w:lang w:val="en-US"/>
        </w:rPr>
        <w:t xml:space="preserve">It is presumed that children cannot safeguard themselves from </w:t>
      </w:r>
      <w:r w:rsidR="00564525">
        <w:rPr>
          <w:lang w:val="en-US"/>
        </w:rPr>
        <w:t xml:space="preserve">abuse, neglect or risk and require the local authority to protect their welfare. Children cannot decline professional intervention </w:t>
      </w:r>
      <w:r w:rsidR="000B225B">
        <w:rPr>
          <w:lang w:val="en-US"/>
        </w:rPr>
        <w:t xml:space="preserve">although adults can decline intervention in support so long as there is not a child at risk. </w:t>
      </w:r>
      <w:r w:rsidR="007B1415">
        <w:rPr>
          <w:lang w:val="en-US"/>
        </w:rPr>
        <w:t xml:space="preserve"> Gillick competency states that a child under sixteen can be seen as ‘Gillick competent’ meaning they are felt to be mature enough to make decisions that affect them and understand the implications of such decisions (NSPCC, 2022)</w:t>
      </w:r>
      <w:r w:rsidR="00700698">
        <w:rPr>
          <w:lang w:val="en-US"/>
        </w:rPr>
        <w:t>, however safeguarding issues deemed to put the child at risk of harm still override this.</w:t>
      </w:r>
      <w:r w:rsidR="00E14D48">
        <w:rPr>
          <w:lang w:val="en-US"/>
        </w:rPr>
        <w:t xml:space="preserve"> </w:t>
      </w:r>
      <w:r w:rsidR="00746CF7">
        <w:rPr>
          <w:lang w:val="en-US"/>
        </w:rPr>
        <w:t xml:space="preserve">Part 7 of the SSWBA and Section 47 of The Children Act 1989 are mandatory however services given under </w:t>
      </w:r>
      <w:proofErr w:type="spellStart"/>
      <w:r w:rsidR="00746CF7">
        <w:rPr>
          <w:lang w:val="en-US"/>
        </w:rPr>
        <w:t>part</w:t>
      </w:r>
      <w:proofErr w:type="spellEnd"/>
      <w:r w:rsidR="00746CF7">
        <w:rPr>
          <w:lang w:val="en-US"/>
        </w:rPr>
        <w:t xml:space="preserve"> 3 and 4 of SSWBA require consent meaning that a child can refuse this support. </w:t>
      </w:r>
    </w:p>
    <w:p w14:paraId="4E02CD53" w14:textId="77777777" w:rsidR="00826DDF" w:rsidRDefault="00A805DC" w:rsidP="00E14D48">
      <w:pPr>
        <w:jc w:val="both"/>
        <w:rPr>
          <w:lang w:val="en-US"/>
        </w:rPr>
      </w:pPr>
      <w:r>
        <w:rPr>
          <w:lang w:val="en-US"/>
        </w:rPr>
        <w:t xml:space="preserve">Although both adults and children’s legislation share similar safeguarding principles and are held accountable by the same safeguarding procedures the legislative </w:t>
      </w:r>
      <w:r w:rsidR="006F63FF">
        <w:rPr>
          <w:lang w:val="en-US"/>
        </w:rPr>
        <w:t xml:space="preserve">procedures clearly state the differences, contrasts and expectations put on professionals within each sector of social care. </w:t>
      </w:r>
    </w:p>
    <w:p w14:paraId="3703BE03" w14:textId="3B65A4C8" w:rsidR="00826DDF" w:rsidRDefault="00826DDF" w:rsidP="00E14D48">
      <w:pPr>
        <w:jc w:val="both"/>
        <w:rPr>
          <w:lang w:val="en-US"/>
        </w:rPr>
      </w:pPr>
      <w:r>
        <w:rPr>
          <w:lang w:val="en-US"/>
        </w:rPr>
        <w:t xml:space="preserve">Another key difference is that adults cannot be placed into care or be provided with care and support without consent unless they are deemed to lack capacity. Children can be </w:t>
      </w:r>
      <w:r>
        <w:rPr>
          <w:lang w:val="en-US"/>
        </w:rPr>
        <w:lastRenderedPageBreak/>
        <w:t xml:space="preserve">placed under care orders and placed into care if it is deemed, they are at significant risk of harm. </w:t>
      </w:r>
    </w:p>
    <w:p w14:paraId="7B9B9B39" w14:textId="77777777" w:rsidR="00826DDF" w:rsidRDefault="00826DDF" w:rsidP="00E14D48">
      <w:pPr>
        <w:jc w:val="both"/>
        <w:rPr>
          <w:lang w:val="en-US"/>
        </w:rPr>
      </w:pPr>
    </w:p>
    <w:p w14:paraId="5FA18FE2" w14:textId="5C8BD5F2" w:rsidR="0068178A" w:rsidRDefault="006F63FF" w:rsidP="00E14D48">
      <w:pPr>
        <w:jc w:val="both"/>
        <w:rPr>
          <w:lang w:val="en-US"/>
        </w:rPr>
      </w:pPr>
      <w:r>
        <w:rPr>
          <w:lang w:val="en-US"/>
        </w:rPr>
        <w:t>In summary, children’s safeguarding holds the protection and welfare of the child as a priority. Adult’s safeguarding balances protection of an adult with their individual autonomy and ensures that any support provided is justified under adult law.</w:t>
      </w:r>
    </w:p>
    <w:p w14:paraId="19B4E3CA" w14:textId="77777777" w:rsidR="00AD24A1" w:rsidRDefault="00AD24A1" w:rsidP="00AD24A1">
      <w:pPr>
        <w:rPr>
          <w:color w:val="FF0000"/>
        </w:rPr>
      </w:pPr>
    </w:p>
    <w:p w14:paraId="760FCA1F" w14:textId="77777777" w:rsidR="00E14D48" w:rsidRPr="00AD24A1" w:rsidRDefault="00E14D48" w:rsidP="00AD24A1">
      <w:pPr>
        <w:rPr>
          <w:color w:val="FF0000"/>
        </w:rPr>
      </w:pPr>
    </w:p>
    <w:p w14:paraId="754AB928" w14:textId="77777777" w:rsidR="00AD24A1" w:rsidRPr="00AD24A1" w:rsidRDefault="00AD24A1" w:rsidP="00AD24A1"/>
    <w:p w14:paraId="329421DC" w14:textId="77777777" w:rsidR="00AD24A1" w:rsidRPr="00CA1DE1" w:rsidRDefault="00AD24A1">
      <w:pPr>
        <w:rPr>
          <w:lang w:val="en-US"/>
        </w:rPr>
      </w:pPr>
    </w:p>
    <w:sectPr w:rsidR="00AD24A1" w:rsidRPr="00CA1D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F5045" w14:textId="77777777" w:rsidR="00CA6F13" w:rsidRDefault="00CA6F13" w:rsidP="009E3555">
      <w:pPr>
        <w:spacing w:after="0" w:line="240" w:lineRule="auto"/>
      </w:pPr>
      <w:r>
        <w:separator/>
      </w:r>
    </w:p>
  </w:endnote>
  <w:endnote w:type="continuationSeparator" w:id="0">
    <w:p w14:paraId="4459C346" w14:textId="77777777" w:rsidR="00CA6F13" w:rsidRDefault="00CA6F13" w:rsidP="009E35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01603" w14:textId="77777777" w:rsidR="00CA6F13" w:rsidRDefault="00CA6F13" w:rsidP="009E3555">
      <w:pPr>
        <w:spacing w:after="0" w:line="240" w:lineRule="auto"/>
      </w:pPr>
      <w:r>
        <w:separator/>
      </w:r>
    </w:p>
  </w:footnote>
  <w:footnote w:type="continuationSeparator" w:id="0">
    <w:p w14:paraId="6A1232C1" w14:textId="77777777" w:rsidR="00CA6F13" w:rsidRDefault="00CA6F13" w:rsidP="009E35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0979"/>
    <w:multiLevelType w:val="hybridMultilevel"/>
    <w:tmpl w:val="29C83A3C"/>
    <w:lvl w:ilvl="0" w:tplc="78980436">
      <w:start w:val="1"/>
      <w:numFmt w:val="bullet"/>
      <w:lvlText w:val="•"/>
      <w:lvlJc w:val="left"/>
      <w:pPr>
        <w:tabs>
          <w:tab w:val="num" w:pos="720"/>
        </w:tabs>
        <w:ind w:left="720" w:hanging="360"/>
      </w:pPr>
      <w:rPr>
        <w:rFonts w:ascii="Arial" w:hAnsi="Arial" w:hint="default"/>
      </w:rPr>
    </w:lvl>
    <w:lvl w:ilvl="1" w:tplc="D5A25B8E" w:tentative="1">
      <w:start w:val="1"/>
      <w:numFmt w:val="bullet"/>
      <w:lvlText w:val="•"/>
      <w:lvlJc w:val="left"/>
      <w:pPr>
        <w:tabs>
          <w:tab w:val="num" w:pos="1440"/>
        </w:tabs>
        <w:ind w:left="1440" w:hanging="360"/>
      </w:pPr>
      <w:rPr>
        <w:rFonts w:ascii="Arial" w:hAnsi="Arial" w:hint="default"/>
      </w:rPr>
    </w:lvl>
    <w:lvl w:ilvl="2" w:tplc="E118D6C8" w:tentative="1">
      <w:start w:val="1"/>
      <w:numFmt w:val="bullet"/>
      <w:lvlText w:val="•"/>
      <w:lvlJc w:val="left"/>
      <w:pPr>
        <w:tabs>
          <w:tab w:val="num" w:pos="2160"/>
        </w:tabs>
        <w:ind w:left="2160" w:hanging="360"/>
      </w:pPr>
      <w:rPr>
        <w:rFonts w:ascii="Arial" w:hAnsi="Arial" w:hint="default"/>
      </w:rPr>
    </w:lvl>
    <w:lvl w:ilvl="3" w:tplc="619ACEB8" w:tentative="1">
      <w:start w:val="1"/>
      <w:numFmt w:val="bullet"/>
      <w:lvlText w:val="•"/>
      <w:lvlJc w:val="left"/>
      <w:pPr>
        <w:tabs>
          <w:tab w:val="num" w:pos="2880"/>
        </w:tabs>
        <w:ind w:left="2880" w:hanging="360"/>
      </w:pPr>
      <w:rPr>
        <w:rFonts w:ascii="Arial" w:hAnsi="Arial" w:hint="default"/>
      </w:rPr>
    </w:lvl>
    <w:lvl w:ilvl="4" w:tplc="ECCCD718" w:tentative="1">
      <w:start w:val="1"/>
      <w:numFmt w:val="bullet"/>
      <w:lvlText w:val="•"/>
      <w:lvlJc w:val="left"/>
      <w:pPr>
        <w:tabs>
          <w:tab w:val="num" w:pos="3600"/>
        </w:tabs>
        <w:ind w:left="3600" w:hanging="360"/>
      </w:pPr>
      <w:rPr>
        <w:rFonts w:ascii="Arial" w:hAnsi="Arial" w:hint="default"/>
      </w:rPr>
    </w:lvl>
    <w:lvl w:ilvl="5" w:tplc="4FDAB964" w:tentative="1">
      <w:start w:val="1"/>
      <w:numFmt w:val="bullet"/>
      <w:lvlText w:val="•"/>
      <w:lvlJc w:val="left"/>
      <w:pPr>
        <w:tabs>
          <w:tab w:val="num" w:pos="4320"/>
        </w:tabs>
        <w:ind w:left="4320" w:hanging="360"/>
      </w:pPr>
      <w:rPr>
        <w:rFonts w:ascii="Arial" w:hAnsi="Arial" w:hint="default"/>
      </w:rPr>
    </w:lvl>
    <w:lvl w:ilvl="6" w:tplc="B66E2160" w:tentative="1">
      <w:start w:val="1"/>
      <w:numFmt w:val="bullet"/>
      <w:lvlText w:val="•"/>
      <w:lvlJc w:val="left"/>
      <w:pPr>
        <w:tabs>
          <w:tab w:val="num" w:pos="5040"/>
        </w:tabs>
        <w:ind w:left="5040" w:hanging="360"/>
      </w:pPr>
      <w:rPr>
        <w:rFonts w:ascii="Arial" w:hAnsi="Arial" w:hint="default"/>
      </w:rPr>
    </w:lvl>
    <w:lvl w:ilvl="7" w:tplc="B434A056" w:tentative="1">
      <w:start w:val="1"/>
      <w:numFmt w:val="bullet"/>
      <w:lvlText w:val="•"/>
      <w:lvlJc w:val="left"/>
      <w:pPr>
        <w:tabs>
          <w:tab w:val="num" w:pos="5760"/>
        </w:tabs>
        <w:ind w:left="5760" w:hanging="360"/>
      </w:pPr>
      <w:rPr>
        <w:rFonts w:ascii="Arial" w:hAnsi="Arial" w:hint="default"/>
      </w:rPr>
    </w:lvl>
    <w:lvl w:ilvl="8" w:tplc="8820B11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8275389"/>
    <w:multiLevelType w:val="multilevel"/>
    <w:tmpl w:val="E8025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9682DE4"/>
    <w:multiLevelType w:val="multilevel"/>
    <w:tmpl w:val="9B661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24085318">
    <w:abstractNumId w:val="0"/>
  </w:num>
  <w:num w:numId="2" w16cid:durableId="1387995090">
    <w:abstractNumId w:val="2"/>
  </w:num>
  <w:num w:numId="3" w16cid:durableId="18950055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178A"/>
    <w:rsid w:val="00026A91"/>
    <w:rsid w:val="00063FB0"/>
    <w:rsid w:val="000B225B"/>
    <w:rsid w:val="000D3F1A"/>
    <w:rsid w:val="000F5F8F"/>
    <w:rsid w:val="000F7FA8"/>
    <w:rsid w:val="00100BBB"/>
    <w:rsid w:val="00110C6B"/>
    <w:rsid w:val="001439E6"/>
    <w:rsid w:val="0017236F"/>
    <w:rsid w:val="0019178F"/>
    <w:rsid w:val="0019214C"/>
    <w:rsid w:val="001B6D11"/>
    <w:rsid w:val="00235851"/>
    <w:rsid w:val="00244F51"/>
    <w:rsid w:val="00245685"/>
    <w:rsid w:val="00251114"/>
    <w:rsid w:val="002D053D"/>
    <w:rsid w:val="002D77F2"/>
    <w:rsid w:val="002E6702"/>
    <w:rsid w:val="004E1979"/>
    <w:rsid w:val="004E71BC"/>
    <w:rsid w:val="00556A6F"/>
    <w:rsid w:val="00564525"/>
    <w:rsid w:val="005C1DC9"/>
    <w:rsid w:val="005D48B8"/>
    <w:rsid w:val="005D52E2"/>
    <w:rsid w:val="006131F8"/>
    <w:rsid w:val="0061541A"/>
    <w:rsid w:val="0068178A"/>
    <w:rsid w:val="006958A2"/>
    <w:rsid w:val="006B10F0"/>
    <w:rsid w:val="006F63FF"/>
    <w:rsid w:val="00700698"/>
    <w:rsid w:val="00724F46"/>
    <w:rsid w:val="00746CF7"/>
    <w:rsid w:val="00756B7A"/>
    <w:rsid w:val="00776C90"/>
    <w:rsid w:val="007B1415"/>
    <w:rsid w:val="007D0901"/>
    <w:rsid w:val="007D0960"/>
    <w:rsid w:val="007D529A"/>
    <w:rsid w:val="007F4183"/>
    <w:rsid w:val="00826DDF"/>
    <w:rsid w:val="00837182"/>
    <w:rsid w:val="008619CA"/>
    <w:rsid w:val="0089677C"/>
    <w:rsid w:val="008D67E8"/>
    <w:rsid w:val="00990A77"/>
    <w:rsid w:val="009B6A61"/>
    <w:rsid w:val="009B754A"/>
    <w:rsid w:val="009E3555"/>
    <w:rsid w:val="009E70C5"/>
    <w:rsid w:val="00A34034"/>
    <w:rsid w:val="00A805DC"/>
    <w:rsid w:val="00A91D11"/>
    <w:rsid w:val="00A95127"/>
    <w:rsid w:val="00AC475B"/>
    <w:rsid w:val="00AD24A1"/>
    <w:rsid w:val="00AD474B"/>
    <w:rsid w:val="00AD5512"/>
    <w:rsid w:val="00B33176"/>
    <w:rsid w:val="00B77203"/>
    <w:rsid w:val="00B87D21"/>
    <w:rsid w:val="00B95E0A"/>
    <w:rsid w:val="00BA21E4"/>
    <w:rsid w:val="00BF5060"/>
    <w:rsid w:val="00C27F0F"/>
    <w:rsid w:val="00CA1DE1"/>
    <w:rsid w:val="00CA6F13"/>
    <w:rsid w:val="00CB3B9A"/>
    <w:rsid w:val="00CE2387"/>
    <w:rsid w:val="00CE40D0"/>
    <w:rsid w:val="00D667EB"/>
    <w:rsid w:val="00D9057A"/>
    <w:rsid w:val="00DD6167"/>
    <w:rsid w:val="00E14D48"/>
    <w:rsid w:val="00E222D4"/>
    <w:rsid w:val="00E869A3"/>
    <w:rsid w:val="00E93A69"/>
    <w:rsid w:val="00EC5ACC"/>
    <w:rsid w:val="00EF0E8A"/>
    <w:rsid w:val="00F66BF4"/>
    <w:rsid w:val="00F80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3BE68"/>
  <w15:chartTrackingRefBased/>
  <w15:docId w15:val="{4CA1A05B-0509-43F2-9BD9-63C5FCB38D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17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817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817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817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817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817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817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817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817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7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17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17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17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17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17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17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17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178A"/>
    <w:rPr>
      <w:rFonts w:eastAsiaTheme="majorEastAsia" w:cstheme="majorBidi"/>
      <w:color w:val="272727" w:themeColor="text1" w:themeTint="D8"/>
    </w:rPr>
  </w:style>
  <w:style w:type="paragraph" w:styleId="Title">
    <w:name w:val="Title"/>
    <w:basedOn w:val="Normal"/>
    <w:next w:val="Normal"/>
    <w:link w:val="TitleChar"/>
    <w:uiPriority w:val="10"/>
    <w:qFormat/>
    <w:rsid w:val="006817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17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17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817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178A"/>
    <w:pPr>
      <w:spacing w:before="160"/>
      <w:jc w:val="center"/>
    </w:pPr>
    <w:rPr>
      <w:i/>
      <w:iCs/>
      <w:color w:val="404040" w:themeColor="text1" w:themeTint="BF"/>
    </w:rPr>
  </w:style>
  <w:style w:type="character" w:customStyle="1" w:styleId="QuoteChar">
    <w:name w:val="Quote Char"/>
    <w:basedOn w:val="DefaultParagraphFont"/>
    <w:link w:val="Quote"/>
    <w:uiPriority w:val="29"/>
    <w:rsid w:val="0068178A"/>
    <w:rPr>
      <w:i/>
      <w:iCs/>
      <w:color w:val="404040" w:themeColor="text1" w:themeTint="BF"/>
    </w:rPr>
  </w:style>
  <w:style w:type="paragraph" w:styleId="ListParagraph">
    <w:name w:val="List Paragraph"/>
    <w:basedOn w:val="Normal"/>
    <w:uiPriority w:val="34"/>
    <w:qFormat/>
    <w:rsid w:val="0068178A"/>
    <w:pPr>
      <w:ind w:left="720"/>
      <w:contextualSpacing/>
    </w:pPr>
  </w:style>
  <w:style w:type="character" w:styleId="IntenseEmphasis">
    <w:name w:val="Intense Emphasis"/>
    <w:basedOn w:val="DefaultParagraphFont"/>
    <w:uiPriority w:val="21"/>
    <w:qFormat/>
    <w:rsid w:val="0068178A"/>
    <w:rPr>
      <w:i/>
      <w:iCs/>
      <w:color w:val="0F4761" w:themeColor="accent1" w:themeShade="BF"/>
    </w:rPr>
  </w:style>
  <w:style w:type="paragraph" w:styleId="IntenseQuote">
    <w:name w:val="Intense Quote"/>
    <w:basedOn w:val="Normal"/>
    <w:next w:val="Normal"/>
    <w:link w:val="IntenseQuoteChar"/>
    <w:uiPriority w:val="30"/>
    <w:qFormat/>
    <w:rsid w:val="006817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8178A"/>
    <w:rPr>
      <w:i/>
      <w:iCs/>
      <w:color w:val="0F4761" w:themeColor="accent1" w:themeShade="BF"/>
    </w:rPr>
  </w:style>
  <w:style w:type="character" w:styleId="IntenseReference">
    <w:name w:val="Intense Reference"/>
    <w:basedOn w:val="DefaultParagraphFont"/>
    <w:uiPriority w:val="32"/>
    <w:qFormat/>
    <w:rsid w:val="0068178A"/>
    <w:rPr>
      <w:b/>
      <w:bCs/>
      <w:smallCaps/>
      <w:color w:val="0F4761" w:themeColor="accent1" w:themeShade="BF"/>
      <w:spacing w:val="5"/>
    </w:rPr>
  </w:style>
  <w:style w:type="paragraph" w:styleId="Header">
    <w:name w:val="header"/>
    <w:basedOn w:val="Normal"/>
    <w:link w:val="HeaderChar"/>
    <w:uiPriority w:val="99"/>
    <w:unhideWhenUsed/>
    <w:rsid w:val="009E35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555"/>
  </w:style>
  <w:style w:type="paragraph" w:styleId="Footer">
    <w:name w:val="footer"/>
    <w:basedOn w:val="Normal"/>
    <w:link w:val="FooterChar"/>
    <w:uiPriority w:val="99"/>
    <w:unhideWhenUsed/>
    <w:rsid w:val="009E35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555"/>
  </w:style>
  <w:style w:type="character" w:styleId="Hyperlink">
    <w:name w:val="Hyperlink"/>
    <w:basedOn w:val="DefaultParagraphFont"/>
    <w:uiPriority w:val="99"/>
    <w:unhideWhenUsed/>
    <w:rsid w:val="00B77203"/>
    <w:rPr>
      <w:color w:val="467886" w:themeColor="hyperlink"/>
      <w:u w:val="single"/>
    </w:rPr>
  </w:style>
  <w:style w:type="character" w:styleId="UnresolvedMention">
    <w:name w:val="Unresolved Mention"/>
    <w:basedOn w:val="DefaultParagraphFont"/>
    <w:uiPriority w:val="99"/>
    <w:semiHidden/>
    <w:unhideWhenUsed/>
    <w:rsid w:val="00B77203"/>
    <w:rPr>
      <w:color w:val="605E5C"/>
      <w:shd w:val="clear" w:color="auto" w:fill="E1DFDD"/>
    </w:rPr>
  </w:style>
  <w:style w:type="character" w:styleId="FollowedHyperlink">
    <w:name w:val="FollowedHyperlink"/>
    <w:basedOn w:val="DefaultParagraphFont"/>
    <w:uiPriority w:val="99"/>
    <w:semiHidden/>
    <w:unhideWhenUsed/>
    <w:rsid w:val="00A91D11"/>
    <w:rPr>
      <w:color w:val="96607D" w:themeColor="followedHyperlink"/>
      <w:u w:val="single"/>
    </w:rPr>
  </w:style>
  <w:style w:type="paragraph" w:styleId="NoSpacing">
    <w:name w:val="No Spacing"/>
    <w:uiPriority w:val="1"/>
    <w:qFormat/>
    <w:rsid w:val="00E14D4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1315</TotalTime>
  <Pages>4</Pages>
  <Words>1024</Words>
  <Characters>5484</Characters>
  <Application>Microsoft Office Word</Application>
  <DocSecurity>0</DocSecurity>
  <Lines>111</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Legname</dc:creator>
  <cp:keywords/>
  <dc:description/>
  <cp:lastModifiedBy>Olivia Legname</cp:lastModifiedBy>
  <cp:revision>12</cp:revision>
  <dcterms:created xsi:type="dcterms:W3CDTF">2026-01-25T12:09:00Z</dcterms:created>
  <dcterms:modified xsi:type="dcterms:W3CDTF">2026-02-23T13:37:00Z</dcterms:modified>
</cp:coreProperties>
</file>