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015FCC1" w14:textId="77777777" w:rsidR="0053796F" w:rsidRDefault="0053796F" w:rsidP="00546691">
      <w:pPr>
        <w:spacing w:line="360" w:lineRule="auto"/>
        <w:jc w:val="center"/>
        <w:rPr>
          <w:rFonts w:cs="Times New Roman"/>
          <w:b/>
          <w:sz w:val="40"/>
          <w:szCs w:val="24"/>
        </w:rPr>
      </w:pPr>
    </w:p>
    <w:p w14:paraId="29A934D2" w14:textId="77777777" w:rsidR="0053796F" w:rsidRDefault="0053796F" w:rsidP="00546691">
      <w:pPr>
        <w:spacing w:line="360" w:lineRule="auto"/>
        <w:jc w:val="center"/>
        <w:rPr>
          <w:rFonts w:cs="Times New Roman"/>
          <w:b/>
          <w:sz w:val="40"/>
          <w:szCs w:val="24"/>
        </w:rPr>
      </w:pPr>
    </w:p>
    <w:p w14:paraId="1E45BB7F" w14:textId="568E3C39" w:rsidR="00184D99" w:rsidRPr="00546691" w:rsidRDefault="00F06508" w:rsidP="00546691">
      <w:pPr>
        <w:spacing w:line="360" w:lineRule="auto"/>
        <w:jc w:val="center"/>
        <w:rPr>
          <w:rFonts w:cs="Times New Roman"/>
          <w:b/>
          <w:sz w:val="40"/>
          <w:szCs w:val="24"/>
        </w:rPr>
      </w:pPr>
      <w:r w:rsidRPr="00546691">
        <w:rPr>
          <w:rFonts w:cs="Times New Roman"/>
          <w:b/>
          <w:sz w:val="40"/>
          <w:szCs w:val="24"/>
        </w:rPr>
        <w:t>MBA - Master of Business Administration</w:t>
      </w:r>
    </w:p>
    <w:p w14:paraId="7436B4A6" w14:textId="77777777" w:rsidR="00F06508" w:rsidRPr="00546691" w:rsidRDefault="00F06508" w:rsidP="00546691">
      <w:pPr>
        <w:spacing w:line="360" w:lineRule="auto"/>
        <w:jc w:val="center"/>
        <w:rPr>
          <w:rFonts w:cs="Times New Roman"/>
          <w:b/>
          <w:sz w:val="40"/>
          <w:szCs w:val="24"/>
        </w:rPr>
      </w:pPr>
      <w:r w:rsidRPr="00546691">
        <w:rPr>
          <w:rFonts w:cs="Times New Roman"/>
          <w:b/>
          <w:sz w:val="40"/>
          <w:szCs w:val="24"/>
        </w:rPr>
        <w:t>Corporate Finance</w:t>
      </w:r>
    </w:p>
    <w:p w14:paraId="71BD4960" w14:textId="77777777" w:rsidR="00F06508" w:rsidRDefault="00F06508" w:rsidP="00546691">
      <w:pPr>
        <w:spacing w:line="360" w:lineRule="auto"/>
        <w:jc w:val="center"/>
        <w:rPr>
          <w:rFonts w:cs="Times New Roman"/>
          <w:b/>
          <w:sz w:val="40"/>
          <w:szCs w:val="24"/>
        </w:rPr>
      </w:pPr>
      <w:r w:rsidRPr="00546691">
        <w:rPr>
          <w:rFonts w:cs="Times New Roman"/>
          <w:b/>
          <w:sz w:val="40"/>
          <w:szCs w:val="24"/>
        </w:rPr>
        <w:t>LCMB7005</w:t>
      </w:r>
    </w:p>
    <w:p w14:paraId="2D164369" w14:textId="77777777" w:rsidR="0053796F" w:rsidRDefault="0053796F" w:rsidP="00546691">
      <w:pPr>
        <w:spacing w:line="360" w:lineRule="auto"/>
        <w:jc w:val="center"/>
        <w:rPr>
          <w:rFonts w:cs="Times New Roman"/>
          <w:b/>
          <w:sz w:val="40"/>
          <w:szCs w:val="24"/>
        </w:rPr>
      </w:pPr>
    </w:p>
    <w:p w14:paraId="784D3668" w14:textId="77777777" w:rsidR="0053796F" w:rsidRDefault="0053796F" w:rsidP="0053796F">
      <w:pPr>
        <w:spacing w:line="360" w:lineRule="auto"/>
        <w:rPr>
          <w:rFonts w:cs="Times New Roman"/>
          <w:b/>
          <w:sz w:val="40"/>
          <w:szCs w:val="24"/>
        </w:rPr>
      </w:pPr>
    </w:p>
    <w:p w14:paraId="6FBD787C" w14:textId="77777777" w:rsidR="0053796F" w:rsidRDefault="0053796F" w:rsidP="00546691">
      <w:pPr>
        <w:spacing w:line="360" w:lineRule="auto"/>
        <w:jc w:val="center"/>
        <w:rPr>
          <w:rFonts w:cs="Times New Roman"/>
          <w:b/>
          <w:sz w:val="40"/>
          <w:szCs w:val="24"/>
        </w:rPr>
      </w:pPr>
    </w:p>
    <w:p w14:paraId="48AA3D36" w14:textId="77777777" w:rsidR="0053796F" w:rsidRDefault="0053796F" w:rsidP="00546691">
      <w:pPr>
        <w:spacing w:line="360" w:lineRule="auto"/>
        <w:jc w:val="center"/>
        <w:rPr>
          <w:rFonts w:cs="Times New Roman"/>
          <w:b/>
          <w:sz w:val="40"/>
          <w:szCs w:val="24"/>
        </w:rPr>
      </w:pPr>
    </w:p>
    <w:p w14:paraId="4B360311" w14:textId="77777777" w:rsidR="0053796F" w:rsidRDefault="0053796F" w:rsidP="00546691">
      <w:pPr>
        <w:spacing w:line="360" w:lineRule="auto"/>
        <w:jc w:val="center"/>
        <w:rPr>
          <w:rFonts w:cs="Times New Roman"/>
          <w:b/>
          <w:sz w:val="40"/>
          <w:szCs w:val="24"/>
        </w:rPr>
      </w:pPr>
    </w:p>
    <w:p w14:paraId="636BB3FE" w14:textId="77777777" w:rsidR="0053796F" w:rsidRDefault="0053796F" w:rsidP="00546691">
      <w:pPr>
        <w:spacing w:line="360" w:lineRule="auto"/>
        <w:jc w:val="center"/>
        <w:rPr>
          <w:rFonts w:cs="Times New Roman"/>
          <w:b/>
          <w:sz w:val="40"/>
          <w:szCs w:val="24"/>
        </w:rPr>
      </w:pPr>
    </w:p>
    <w:p w14:paraId="57D32EAE" w14:textId="77777777" w:rsidR="0053796F" w:rsidRDefault="0053796F" w:rsidP="00546691">
      <w:pPr>
        <w:spacing w:line="360" w:lineRule="auto"/>
        <w:jc w:val="center"/>
        <w:rPr>
          <w:rFonts w:cs="Times New Roman"/>
          <w:b/>
          <w:sz w:val="40"/>
          <w:szCs w:val="24"/>
        </w:rPr>
      </w:pPr>
    </w:p>
    <w:p w14:paraId="70792C22" w14:textId="23AD365E" w:rsidR="0053796F" w:rsidRDefault="0053796F" w:rsidP="0053796F">
      <w:pPr>
        <w:spacing w:line="360" w:lineRule="auto"/>
        <w:jc w:val="right"/>
        <w:rPr>
          <w:rFonts w:cs="Times New Roman"/>
          <w:b/>
          <w:sz w:val="40"/>
          <w:szCs w:val="24"/>
        </w:rPr>
      </w:pPr>
      <w:r>
        <w:rPr>
          <w:rFonts w:cs="Times New Roman"/>
          <w:b/>
          <w:sz w:val="40"/>
          <w:szCs w:val="24"/>
        </w:rPr>
        <w:t xml:space="preserve">Student: </w:t>
      </w:r>
      <w:r w:rsidRPr="0053796F">
        <w:rPr>
          <w:rFonts w:cs="Times New Roman"/>
          <w:bCs/>
          <w:sz w:val="40"/>
          <w:szCs w:val="24"/>
        </w:rPr>
        <w:t>Lizbet Halison Munteanu Gamboa</w:t>
      </w:r>
    </w:p>
    <w:p w14:paraId="1E1719D5" w14:textId="068DAD55" w:rsidR="0053796F" w:rsidRDefault="0053796F" w:rsidP="0053796F">
      <w:pPr>
        <w:spacing w:line="360" w:lineRule="auto"/>
        <w:jc w:val="right"/>
        <w:rPr>
          <w:rFonts w:cs="Times New Roman"/>
          <w:b/>
          <w:sz w:val="40"/>
          <w:szCs w:val="24"/>
        </w:rPr>
      </w:pPr>
      <w:r>
        <w:rPr>
          <w:rFonts w:cs="Times New Roman"/>
          <w:b/>
          <w:sz w:val="40"/>
          <w:szCs w:val="24"/>
        </w:rPr>
        <w:t>Student ID :</w:t>
      </w:r>
      <w:r w:rsidRPr="0053796F">
        <w:rPr>
          <w:rFonts w:cs="Times New Roman"/>
          <w:bCs/>
          <w:sz w:val="40"/>
          <w:szCs w:val="24"/>
        </w:rPr>
        <w:t>2019783</w:t>
      </w:r>
    </w:p>
    <w:p w14:paraId="0CAB85B0" w14:textId="0EBA0DA5" w:rsidR="0053796F" w:rsidRDefault="0053796F" w:rsidP="0053796F">
      <w:pPr>
        <w:spacing w:line="360" w:lineRule="auto"/>
        <w:jc w:val="right"/>
        <w:rPr>
          <w:rFonts w:cs="Times New Roman"/>
          <w:b/>
          <w:sz w:val="40"/>
          <w:szCs w:val="24"/>
        </w:rPr>
      </w:pPr>
      <w:r>
        <w:rPr>
          <w:rFonts w:cs="Times New Roman"/>
          <w:b/>
          <w:sz w:val="40"/>
          <w:szCs w:val="24"/>
        </w:rPr>
        <w:t xml:space="preserve">Academic year: </w:t>
      </w:r>
      <w:r w:rsidRPr="0053796F">
        <w:rPr>
          <w:rFonts w:cs="Times New Roman"/>
          <w:bCs/>
          <w:sz w:val="40"/>
          <w:szCs w:val="24"/>
        </w:rPr>
        <w:t>2024/2025</w:t>
      </w:r>
    </w:p>
    <w:p w14:paraId="4FDCBE73" w14:textId="23CA69E5" w:rsidR="00F06508" w:rsidRPr="0053796F" w:rsidRDefault="0053796F" w:rsidP="0053796F">
      <w:pPr>
        <w:spacing w:line="360" w:lineRule="auto"/>
        <w:jc w:val="right"/>
        <w:rPr>
          <w:rFonts w:cs="Times New Roman"/>
          <w:b/>
          <w:sz w:val="40"/>
          <w:szCs w:val="24"/>
        </w:rPr>
      </w:pPr>
      <w:r>
        <w:rPr>
          <w:rFonts w:cs="Times New Roman"/>
          <w:b/>
          <w:sz w:val="40"/>
          <w:szCs w:val="24"/>
        </w:rPr>
        <w:t xml:space="preserve">Lecturer’s name: </w:t>
      </w:r>
      <w:r w:rsidRPr="0053796F">
        <w:rPr>
          <w:rFonts w:cs="Times New Roman"/>
          <w:bCs/>
          <w:sz w:val="40"/>
          <w:szCs w:val="24"/>
        </w:rPr>
        <w:t>Jia Mia</w:t>
      </w:r>
      <w:r>
        <w:rPr>
          <w:rFonts w:cs="Times New Roman"/>
          <w:bCs/>
          <w:sz w:val="40"/>
          <w:szCs w:val="24"/>
        </w:rPr>
        <w:t>o</w:t>
      </w:r>
    </w:p>
    <w:p w14:paraId="3489B4F7" w14:textId="3DBC9DA8" w:rsidR="00AB7AF7" w:rsidRPr="005C3BEB" w:rsidRDefault="00AB7AF7" w:rsidP="005C3BEB">
      <w:pPr>
        <w:spacing w:line="360" w:lineRule="auto"/>
        <w:jc w:val="both"/>
        <w:rPr>
          <w:rFonts w:cs="Times New Roman"/>
          <w:szCs w:val="24"/>
        </w:rPr>
      </w:pPr>
    </w:p>
    <w:sdt>
      <w:sdtPr>
        <w:rPr>
          <w:rFonts w:ascii="Times New Roman" w:eastAsiaTheme="minorHAnsi" w:hAnsi="Times New Roman" w:cs="Times New Roman"/>
          <w:color w:val="auto"/>
          <w:sz w:val="24"/>
          <w:szCs w:val="24"/>
          <w:lang w:val="en-GB"/>
        </w:rPr>
        <w:id w:val="1015579089"/>
        <w:docPartObj>
          <w:docPartGallery w:val="Table of Contents"/>
          <w:docPartUnique/>
        </w:docPartObj>
      </w:sdtPr>
      <w:sdtEndPr>
        <w:rPr>
          <w:b/>
          <w:bCs/>
          <w:noProof/>
        </w:rPr>
      </w:sdtEndPr>
      <w:sdtContent>
        <w:p w14:paraId="21F0422C" w14:textId="77777777" w:rsidR="00DC6803" w:rsidRPr="005C3BEB" w:rsidRDefault="00DC6803" w:rsidP="005C3BEB">
          <w:pPr>
            <w:pStyle w:val="TOCHeading"/>
            <w:spacing w:line="360" w:lineRule="auto"/>
            <w:jc w:val="both"/>
            <w:rPr>
              <w:rFonts w:ascii="Times New Roman" w:hAnsi="Times New Roman" w:cs="Times New Roman"/>
              <w:color w:val="auto"/>
              <w:sz w:val="24"/>
              <w:szCs w:val="24"/>
            </w:rPr>
          </w:pPr>
          <w:r w:rsidRPr="005C3BEB">
            <w:rPr>
              <w:rFonts w:ascii="Times New Roman" w:hAnsi="Times New Roman" w:cs="Times New Roman"/>
              <w:color w:val="auto"/>
              <w:sz w:val="24"/>
              <w:szCs w:val="24"/>
            </w:rPr>
            <w:t>Table of Contents</w:t>
          </w:r>
        </w:p>
        <w:p w14:paraId="19274EAE" w14:textId="77777777" w:rsidR="000464BE" w:rsidRDefault="00FA74DA">
          <w:pPr>
            <w:pStyle w:val="TOC1"/>
            <w:tabs>
              <w:tab w:val="right" w:leader="dot" w:pos="9016"/>
            </w:tabs>
            <w:rPr>
              <w:rFonts w:asciiTheme="minorHAnsi" w:eastAsiaTheme="minorEastAsia" w:hAnsiTheme="minorHAnsi"/>
              <w:noProof/>
              <w:sz w:val="22"/>
              <w:lang w:val="en-US"/>
            </w:rPr>
          </w:pPr>
          <w:r w:rsidRPr="005C3BEB">
            <w:rPr>
              <w:rFonts w:cs="Times New Roman"/>
              <w:szCs w:val="24"/>
            </w:rPr>
            <w:fldChar w:fldCharType="begin"/>
          </w:r>
          <w:r w:rsidR="00DC6803" w:rsidRPr="005C3BEB">
            <w:rPr>
              <w:rFonts w:cs="Times New Roman"/>
              <w:szCs w:val="24"/>
            </w:rPr>
            <w:instrText xml:space="preserve"> TOC \o "1-3" \h \z \u </w:instrText>
          </w:r>
          <w:r w:rsidRPr="005C3BEB">
            <w:rPr>
              <w:rFonts w:cs="Times New Roman"/>
              <w:szCs w:val="24"/>
            </w:rPr>
            <w:fldChar w:fldCharType="separate"/>
          </w:r>
          <w:hyperlink w:anchor="_Toc174875577" w:history="1">
            <w:r w:rsidR="000464BE" w:rsidRPr="00EE6418">
              <w:rPr>
                <w:rStyle w:val="Hyperlink"/>
                <w:rFonts w:cs="Times New Roman"/>
                <w:noProof/>
              </w:rPr>
              <w:t>PART A: INTRODUCTION</w:t>
            </w:r>
            <w:r w:rsidR="000464BE">
              <w:rPr>
                <w:noProof/>
                <w:webHidden/>
              </w:rPr>
              <w:tab/>
            </w:r>
            <w:r w:rsidR="000464BE">
              <w:rPr>
                <w:noProof/>
                <w:webHidden/>
              </w:rPr>
              <w:fldChar w:fldCharType="begin"/>
            </w:r>
            <w:r w:rsidR="000464BE">
              <w:rPr>
                <w:noProof/>
                <w:webHidden/>
              </w:rPr>
              <w:instrText xml:space="preserve"> PAGEREF _Toc174875577 \h </w:instrText>
            </w:r>
            <w:r w:rsidR="000464BE">
              <w:rPr>
                <w:noProof/>
                <w:webHidden/>
              </w:rPr>
            </w:r>
            <w:r w:rsidR="000464BE">
              <w:rPr>
                <w:noProof/>
                <w:webHidden/>
              </w:rPr>
              <w:fldChar w:fldCharType="separate"/>
            </w:r>
            <w:r w:rsidR="000464BE">
              <w:rPr>
                <w:noProof/>
                <w:webHidden/>
              </w:rPr>
              <w:t>3</w:t>
            </w:r>
            <w:r w:rsidR="000464BE">
              <w:rPr>
                <w:noProof/>
                <w:webHidden/>
              </w:rPr>
              <w:fldChar w:fldCharType="end"/>
            </w:r>
          </w:hyperlink>
        </w:p>
        <w:p w14:paraId="140221A3" w14:textId="77777777" w:rsidR="000464BE" w:rsidRDefault="0053796F">
          <w:pPr>
            <w:pStyle w:val="TOC1"/>
            <w:tabs>
              <w:tab w:val="right" w:leader="dot" w:pos="9016"/>
            </w:tabs>
            <w:rPr>
              <w:rFonts w:asciiTheme="minorHAnsi" w:eastAsiaTheme="minorEastAsia" w:hAnsiTheme="minorHAnsi"/>
              <w:noProof/>
              <w:sz w:val="22"/>
              <w:lang w:val="en-US"/>
            </w:rPr>
          </w:pPr>
          <w:hyperlink w:anchor="_Toc174875578" w:history="1">
            <w:r w:rsidR="000464BE" w:rsidRPr="00EE6418">
              <w:rPr>
                <w:rStyle w:val="Hyperlink"/>
                <w:rFonts w:cs="Times New Roman"/>
                <w:noProof/>
              </w:rPr>
              <w:t>B: FINANCIAL PERFORMANCE AND ALTERNATE CAPITAL STRUCTURE CONSIDERATIONS</w:t>
            </w:r>
            <w:r w:rsidR="000464BE">
              <w:rPr>
                <w:noProof/>
                <w:webHidden/>
              </w:rPr>
              <w:tab/>
            </w:r>
            <w:r w:rsidR="000464BE">
              <w:rPr>
                <w:noProof/>
                <w:webHidden/>
              </w:rPr>
              <w:fldChar w:fldCharType="begin"/>
            </w:r>
            <w:r w:rsidR="000464BE">
              <w:rPr>
                <w:noProof/>
                <w:webHidden/>
              </w:rPr>
              <w:instrText xml:space="preserve"> PAGEREF _Toc174875578 \h </w:instrText>
            </w:r>
            <w:r w:rsidR="000464BE">
              <w:rPr>
                <w:noProof/>
                <w:webHidden/>
              </w:rPr>
            </w:r>
            <w:r w:rsidR="000464BE">
              <w:rPr>
                <w:noProof/>
                <w:webHidden/>
              </w:rPr>
              <w:fldChar w:fldCharType="separate"/>
            </w:r>
            <w:r w:rsidR="000464BE">
              <w:rPr>
                <w:noProof/>
                <w:webHidden/>
              </w:rPr>
              <w:t>5</w:t>
            </w:r>
            <w:r w:rsidR="000464BE">
              <w:rPr>
                <w:noProof/>
                <w:webHidden/>
              </w:rPr>
              <w:fldChar w:fldCharType="end"/>
            </w:r>
          </w:hyperlink>
        </w:p>
        <w:p w14:paraId="30D11513" w14:textId="77777777" w:rsidR="000464BE" w:rsidRDefault="0053796F">
          <w:pPr>
            <w:pStyle w:val="TOC2"/>
            <w:tabs>
              <w:tab w:val="right" w:leader="dot" w:pos="9016"/>
            </w:tabs>
            <w:rPr>
              <w:rFonts w:asciiTheme="minorHAnsi" w:eastAsiaTheme="minorEastAsia" w:hAnsiTheme="minorHAnsi"/>
              <w:noProof/>
              <w:sz w:val="22"/>
              <w:lang w:val="en-US"/>
            </w:rPr>
          </w:pPr>
          <w:hyperlink w:anchor="_Toc174875579" w:history="1">
            <w:r w:rsidR="000464BE" w:rsidRPr="00EE6418">
              <w:rPr>
                <w:rStyle w:val="Hyperlink"/>
                <w:rFonts w:cs="Times New Roman"/>
                <w:noProof/>
              </w:rPr>
              <w:t>B1: CRITICAL ANALYSIS OF THE CORPORATION’S FINANCIAL PERFORMANCE</w:t>
            </w:r>
            <w:r w:rsidR="000464BE">
              <w:rPr>
                <w:noProof/>
                <w:webHidden/>
              </w:rPr>
              <w:tab/>
            </w:r>
            <w:r w:rsidR="000464BE">
              <w:rPr>
                <w:noProof/>
                <w:webHidden/>
              </w:rPr>
              <w:fldChar w:fldCharType="begin"/>
            </w:r>
            <w:r w:rsidR="000464BE">
              <w:rPr>
                <w:noProof/>
                <w:webHidden/>
              </w:rPr>
              <w:instrText xml:space="preserve"> PAGEREF _Toc174875579 \h </w:instrText>
            </w:r>
            <w:r w:rsidR="000464BE">
              <w:rPr>
                <w:noProof/>
                <w:webHidden/>
              </w:rPr>
            </w:r>
            <w:r w:rsidR="000464BE">
              <w:rPr>
                <w:noProof/>
                <w:webHidden/>
              </w:rPr>
              <w:fldChar w:fldCharType="separate"/>
            </w:r>
            <w:r w:rsidR="000464BE">
              <w:rPr>
                <w:noProof/>
                <w:webHidden/>
              </w:rPr>
              <w:t>5</w:t>
            </w:r>
            <w:r w:rsidR="000464BE">
              <w:rPr>
                <w:noProof/>
                <w:webHidden/>
              </w:rPr>
              <w:fldChar w:fldCharType="end"/>
            </w:r>
          </w:hyperlink>
        </w:p>
        <w:p w14:paraId="60224FD8" w14:textId="77777777" w:rsidR="000464BE" w:rsidRDefault="0053796F">
          <w:pPr>
            <w:pStyle w:val="TOC2"/>
            <w:tabs>
              <w:tab w:val="right" w:leader="dot" w:pos="9016"/>
            </w:tabs>
            <w:rPr>
              <w:rFonts w:asciiTheme="minorHAnsi" w:eastAsiaTheme="minorEastAsia" w:hAnsiTheme="minorHAnsi"/>
              <w:noProof/>
              <w:sz w:val="22"/>
              <w:lang w:val="en-US"/>
            </w:rPr>
          </w:pPr>
          <w:hyperlink w:anchor="_Toc174875580" w:history="1">
            <w:r w:rsidR="000464BE" w:rsidRPr="00EE6418">
              <w:rPr>
                <w:rStyle w:val="Hyperlink"/>
                <w:rFonts w:cs="Times New Roman"/>
                <w:noProof/>
              </w:rPr>
              <w:t>B2: ALTERNATE CAPITAL STRUCTURE THEORIES AND THEIR IMPLICATIONS</w:t>
            </w:r>
            <w:r w:rsidR="000464BE">
              <w:rPr>
                <w:noProof/>
                <w:webHidden/>
              </w:rPr>
              <w:tab/>
            </w:r>
            <w:r w:rsidR="000464BE">
              <w:rPr>
                <w:noProof/>
                <w:webHidden/>
              </w:rPr>
              <w:fldChar w:fldCharType="begin"/>
            </w:r>
            <w:r w:rsidR="000464BE">
              <w:rPr>
                <w:noProof/>
                <w:webHidden/>
              </w:rPr>
              <w:instrText xml:space="preserve"> PAGEREF _Toc174875580 \h </w:instrText>
            </w:r>
            <w:r w:rsidR="000464BE">
              <w:rPr>
                <w:noProof/>
                <w:webHidden/>
              </w:rPr>
            </w:r>
            <w:r w:rsidR="000464BE">
              <w:rPr>
                <w:noProof/>
                <w:webHidden/>
              </w:rPr>
              <w:fldChar w:fldCharType="separate"/>
            </w:r>
            <w:r w:rsidR="000464BE">
              <w:rPr>
                <w:noProof/>
                <w:webHidden/>
              </w:rPr>
              <w:t>12</w:t>
            </w:r>
            <w:r w:rsidR="000464BE">
              <w:rPr>
                <w:noProof/>
                <w:webHidden/>
              </w:rPr>
              <w:fldChar w:fldCharType="end"/>
            </w:r>
          </w:hyperlink>
        </w:p>
        <w:p w14:paraId="1F5DF86C" w14:textId="77777777" w:rsidR="000464BE" w:rsidRDefault="0053796F">
          <w:pPr>
            <w:pStyle w:val="TOC1"/>
            <w:tabs>
              <w:tab w:val="right" w:leader="dot" w:pos="9016"/>
            </w:tabs>
            <w:rPr>
              <w:rFonts w:asciiTheme="minorHAnsi" w:eastAsiaTheme="minorEastAsia" w:hAnsiTheme="minorHAnsi"/>
              <w:noProof/>
              <w:sz w:val="22"/>
              <w:lang w:val="en-US"/>
            </w:rPr>
          </w:pPr>
          <w:hyperlink w:anchor="_Toc174875581" w:history="1">
            <w:r w:rsidR="000464BE" w:rsidRPr="00EE6418">
              <w:rPr>
                <w:rStyle w:val="Hyperlink"/>
                <w:rFonts w:cs="Times New Roman"/>
                <w:noProof/>
              </w:rPr>
              <w:t>PART C: INVESTMENT ACTIVITIES AND DIVIDENT PAY-OUTS</w:t>
            </w:r>
            <w:r w:rsidR="000464BE">
              <w:rPr>
                <w:noProof/>
                <w:webHidden/>
              </w:rPr>
              <w:tab/>
            </w:r>
            <w:r w:rsidR="000464BE">
              <w:rPr>
                <w:noProof/>
                <w:webHidden/>
              </w:rPr>
              <w:fldChar w:fldCharType="begin"/>
            </w:r>
            <w:r w:rsidR="000464BE">
              <w:rPr>
                <w:noProof/>
                <w:webHidden/>
              </w:rPr>
              <w:instrText xml:space="preserve"> PAGEREF _Toc174875581 \h </w:instrText>
            </w:r>
            <w:r w:rsidR="000464BE">
              <w:rPr>
                <w:noProof/>
                <w:webHidden/>
              </w:rPr>
            </w:r>
            <w:r w:rsidR="000464BE">
              <w:rPr>
                <w:noProof/>
                <w:webHidden/>
              </w:rPr>
              <w:fldChar w:fldCharType="separate"/>
            </w:r>
            <w:r w:rsidR="000464BE">
              <w:rPr>
                <w:noProof/>
                <w:webHidden/>
              </w:rPr>
              <w:t>16</w:t>
            </w:r>
            <w:r w:rsidR="000464BE">
              <w:rPr>
                <w:noProof/>
                <w:webHidden/>
              </w:rPr>
              <w:fldChar w:fldCharType="end"/>
            </w:r>
          </w:hyperlink>
        </w:p>
        <w:p w14:paraId="731010BC" w14:textId="77777777" w:rsidR="000464BE" w:rsidRDefault="0053796F">
          <w:pPr>
            <w:pStyle w:val="TOC1"/>
            <w:tabs>
              <w:tab w:val="right" w:leader="dot" w:pos="9016"/>
            </w:tabs>
            <w:rPr>
              <w:rFonts w:asciiTheme="minorHAnsi" w:eastAsiaTheme="minorEastAsia" w:hAnsiTheme="minorHAnsi"/>
              <w:noProof/>
              <w:sz w:val="22"/>
              <w:lang w:val="en-US"/>
            </w:rPr>
          </w:pPr>
          <w:hyperlink w:anchor="_Toc174875582" w:history="1">
            <w:r w:rsidR="000464BE" w:rsidRPr="00EE6418">
              <w:rPr>
                <w:rStyle w:val="Hyperlink"/>
                <w:rFonts w:cs="Times New Roman"/>
                <w:noProof/>
              </w:rPr>
              <w:t>REFERENCES</w:t>
            </w:r>
            <w:r w:rsidR="000464BE">
              <w:rPr>
                <w:noProof/>
                <w:webHidden/>
              </w:rPr>
              <w:tab/>
            </w:r>
            <w:r w:rsidR="000464BE">
              <w:rPr>
                <w:noProof/>
                <w:webHidden/>
              </w:rPr>
              <w:fldChar w:fldCharType="begin"/>
            </w:r>
            <w:r w:rsidR="000464BE">
              <w:rPr>
                <w:noProof/>
                <w:webHidden/>
              </w:rPr>
              <w:instrText xml:space="preserve"> PAGEREF _Toc174875582 \h </w:instrText>
            </w:r>
            <w:r w:rsidR="000464BE">
              <w:rPr>
                <w:noProof/>
                <w:webHidden/>
              </w:rPr>
            </w:r>
            <w:r w:rsidR="000464BE">
              <w:rPr>
                <w:noProof/>
                <w:webHidden/>
              </w:rPr>
              <w:fldChar w:fldCharType="separate"/>
            </w:r>
            <w:r w:rsidR="000464BE">
              <w:rPr>
                <w:noProof/>
                <w:webHidden/>
              </w:rPr>
              <w:t>23</w:t>
            </w:r>
            <w:r w:rsidR="000464BE">
              <w:rPr>
                <w:noProof/>
                <w:webHidden/>
              </w:rPr>
              <w:fldChar w:fldCharType="end"/>
            </w:r>
          </w:hyperlink>
        </w:p>
        <w:p w14:paraId="4A5F03C4" w14:textId="77777777" w:rsidR="00DC6803" w:rsidRPr="005C3BEB" w:rsidRDefault="00FA74DA" w:rsidP="005C3BEB">
          <w:pPr>
            <w:spacing w:line="360" w:lineRule="auto"/>
            <w:jc w:val="both"/>
            <w:rPr>
              <w:rFonts w:cs="Times New Roman"/>
              <w:szCs w:val="24"/>
            </w:rPr>
          </w:pPr>
          <w:r w:rsidRPr="005C3BEB">
            <w:rPr>
              <w:rFonts w:cs="Times New Roman"/>
              <w:b/>
              <w:bCs/>
              <w:noProof/>
              <w:szCs w:val="24"/>
            </w:rPr>
            <w:fldChar w:fldCharType="end"/>
          </w:r>
        </w:p>
      </w:sdtContent>
    </w:sdt>
    <w:p w14:paraId="3A205FA1" w14:textId="77777777" w:rsidR="00AB7AF7" w:rsidRPr="005C3BEB" w:rsidRDefault="00AB7AF7" w:rsidP="005C3BEB">
      <w:pPr>
        <w:pStyle w:val="Heading1"/>
        <w:spacing w:line="360" w:lineRule="auto"/>
        <w:jc w:val="both"/>
        <w:rPr>
          <w:rFonts w:cs="Times New Roman"/>
          <w:color w:val="auto"/>
          <w:szCs w:val="24"/>
        </w:rPr>
      </w:pPr>
    </w:p>
    <w:p w14:paraId="07016CC6" w14:textId="77777777" w:rsidR="00DC6803" w:rsidRPr="005C3BEB" w:rsidRDefault="00DC6803" w:rsidP="005C3BEB">
      <w:pPr>
        <w:spacing w:line="360" w:lineRule="auto"/>
        <w:jc w:val="both"/>
        <w:rPr>
          <w:rFonts w:cs="Times New Roman"/>
          <w:szCs w:val="24"/>
        </w:rPr>
      </w:pPr>
    </w:p>
    <w:p w14:paraId="5CB68DC4" w14:textId="77777777" w:rsidR="00DC6803" w:rsidRPr="005C3BEB" w:rsidRDefault="00DC6803" w:rsidP="005C3BEB">
      <w:pPr>
        <w:spacing w:line="360" w:lineRule="auto"/>
        <w:jc w:val="both"/>
        <w:rPr>
          <w:rFonts w:cs="Times New Roman"/>
          <w:szCs w:val="24"/>
        </w:rPr>
      </w:pPr>
    </w:p>
    <w:p w14:paraId="62698DFD" w14:textId="77777777" w:rsidR="00DC6803" w:rsidRPr="005C3BEB" w:rsidRDefault="00DC6803" w:rsidP="005C3BEB">
      <w:pPr>
        <w:spacing w:line="360" w:lineRule="auto"/>
        <w:jc w:val="both"/>
        <w:rPr>
          <w:rFonts w:cs="Times New Roman"/>
          <w:szCs w:val="24"/>
        </w:rPr>
      </w:pPr>
    </w:p>
    <w:p w14:paraId="0679116F" w14:textId="77777777" w:rsidR="00DC6803" w:rsidRPr="005C3BEB" w:rsidRDefault="00DC6803" w:rsidP="005C3BEB">
      <w:pPr>
        <w:spacing w:line="360" w:lineRule="auto"/>
        <w:jc w:val="both"/>
        <w:rPr>
          <w:rFonts w:cs="Times New Roman"/>
          <w:szCs w:val="24"/>
        </w:rPr>
      </w:pPr>
    </w:p>
    <w:p w14:paraId="6D9E7FBA" w14:textId="77777777" w:rsidR="00DC6803" w:rsidRPr="005C3BEB" w:rsidRDefault="00DC6803" w:rsidP="005C3BEB">
      <w:pPr>
        <w:spacing w:line="360" w:lineRule="auto"/>
        <w:jc w:val="both"/>
        <w:rPr>
          <w:rFonts w:cs="Times New Roman"/>
          <w:szCs w:val="24"/>
        </w:rPr>
      </w:pPr>
    </w:p>
    <w:p w14:paraId="7496E972" w14:textId="77777777" w:rsidR="00DC6803" w:rsidRPr="005C3BEB" w:rsidRDefault="00DC6803" w:rsidP="005C3BEB">
      <w:pPr>
        <w:spacing w:line="360" w:lineRule="auto"/>
        <w:jc w:val="both"/>
        <w:rPr>
          <w:rFonts w:cs="Times New Roman"/>
          <w:szCs w:val="24"/>
        </w:rPr>
      </w:pPr>
    </w:p>
    <w:p w14:paraId="5C86A363" w14:textId="77777777" w:rsidR="00DC6803" w:rsidRPr="005C3BEB" w:rsidRDefault="00DC6803" w:rsidP="005C3BEB">
      <w:pPr>
        <w:spacing w:line="360" w:lineRule="auto"/>
        <w:jc w:val="both"/>
        <w:rPr>
          <w:rFonts w:cs="Times New Roman"/>
          <w:szCs w:val="24"/>
        </w:rPr>
      </w:pPr>
    </w:p>
    <w:p w14:paraId="3436F93D" w14:textId="77777777" w:rsidR="00DC6803" w:rsidRPr="005C3BEB" w:rsidRDefault="00DC6803" w:rsidP="005C3BEB">
      <w:pPr>
        <w:spacing w:line="360" w:lineRule="auto"/>
        <w:jc w:val="both"/>
        <w:rPr>
          <w:rFonts w:cs="Times New Roman"/>
          <w:szCs w:val="24"/>
        </w:rPr>
      </w:pPr>
    </w:p>
    <w:p w14:paraId="3C045EB2" w14:textId="77777777" w:rsidR="00DC6803" w:rsidRPr="005C3BEB" w:rsidRDefault="00DC6803" w:rsidP="005C3BEB">
      <w:pPr>
        <w:spacing w:line="360" w:lineRule="auto"/>
        <w:jc w:val="both"/>
        <w:rPr>
          <w:rFonts w:cs="Times New Roman"/>
          <w:szCs w:val="24"/>
        </w:rPr>
      </w:pPr>
    </w:p>
    <w:p w14:paraId="0EB19BB9" w14:textId="77777777" w:rsidR="00340DC4" w:rsidRPr="005C3BEB" w:rsidRDefault="00340DC4" w:rsidP="005C3BEB">
      <w:pPr>
        <w:spacing w:line="360" w:lineRule="auto"/>
        <w:jc w:val="both"/>
        <w:rPr>
          <w:rFonts w:cs="Times New Roman"/>
          <w:szCs w:val="24"/>
        </w:rPr>
      </w:pPr>
    </w:p>
    <w:p w14:paraId="4EAFBF81" w14:textId="77777777" w:rsidR="00953240" w:rsidRPr="005C3BEB" w:rsidRDefault="00953240" w:rsidP="005C3BEB">
      <w:pPr>
        <w:spacing w:line="360" w:lineRule="auto"/>
        <w:jc w:val="both"/>
        <w:rPr>
          <w:rFonts w:cs="Times New Roman"/>
          <w:szCs w:val="24"/>
        </w:rPr>
      </w:pPr>
    </w:p>
    <w:p w14:paraId="475293A6" w14:textId="77777777" w:rsidR="00953240" w:rsidRPr="005C3BEB" w:rsidRDefault="00953240" w:rsidP="005C3BEB">
      <w:pPr>
        <w:spacing w:line="360" w:lineRule="auto"/>
        <w:jc w:val="both"/>
        <w:rPr>
          <w:rFonts w:cs="Times New Roman"/>
          <w:szCs w:val="24"/>
        </w:rPr>
      </w:pPr>
    </w:p>
    <w:p w14:paraId="45F734B3" w14:textId="77777777" w:rsidR="00953240" w:rsidRPr="005C3BEB" w:rsidRDefault="00953240" w:rsidP="005C3BEB">
      <w:pPr>
        <w:spacing w:line="360" w:lineRule="auto"/>
        <w:jc w:val="both"/>
        <w:rPr>
          <w:rFonts w:cs="Times New Roman"/>
          <w:szCs w:val="24"/>
        </w:rPr>
      </w:pPr>
    </w:p>
    <w:p w14:paraId="37AD985C" w14:textId="77777777" w:rsidR="00953240" w:rsidRPr="005C3BEB" w:rsidRDefault="00953240" w:rsidP="005C3BEB">
      <w:pPr>
        <w:spacing w:line="360" w:lineRule="auto"/>
        <w:jc w:val="both"/>
        <w:rPr>
          <w:rFonts w:cs="Times New Roman"/>
          <w:szCs w:val="24"/>
        </w:rPr>
      </w:pPr>
    </w:p>
    <w:p w14:paraId="19BAD964" w14:textId="77777777" w:rsidR="00953240" w:rsidRPr="005C3BEB" w:rsidRDefault="00953240" w:rsidP="005C3BEB">
      <w:pPr>
        <w:spacing w:line="360" w:lineRule="auto"/>
        <w:jc w:val="both"/>
        <w:rPr>
          <w:rFonts w:cs="Times New Roman"/>
          <w:szCs w:val="24"/>
        </w:rPr>
      </w:pPr>
    </w:p>
    <w:p w14:paraId="30328E3F" w14:textId="77777777" w:rsidR="00DC6803" w:rsidRPr="005C3BEB" w:rsidRDefault="00DC6803" w:rsidP="005C3BEB">
      <w:pPr>
        <w:pStyle w:val="Heading1"/>
        <w:spacing w:line="360" w:lineRule="auto"/>
        <w:jc w:val="both"/>
        <w:rPr>
          <w:rFonts w:cs="Times New Roman"/>
          <w:color w:val="auto"/>
          <w:szCs w:val="24"/>
        </w:rPr>
      </w:pPr>
      <w:bookmarkStart w:id="0" w:name="_Toc174875577"/>
      <w:r w:rsidRPr="005C3BEB">
        <w:rPr>
          <w:rFonts w:cs="Times New Roman"/>
          <w:color w:val="auto"/>
          <w:szCs w:val="24"/>
        </w:rPr>
        <w:lastRenderedPageBreak/>
        <w:t>PART A: INTRODUCTION</w:t>
      </w:r>
      <w:bookmarkEnd w:id="0"/>
    </w:p>
    <w:p w14:paraId="1E87D437" w14:textId="77777777" w:rsidR="00DC6803" w:rsidRPr="005C3BEB" w:rsidRDefault="00340DC4" w:rsidP="005C3BEB">
      <w:pPr>
        <w:spacing w:line="360" w:lineRule="auto"/>
        <w:jc w:val="both"/>
        <w:rPr>
          <w:rFonts w:cs="Times New Roman"/>
          <w:szCs w:val="24"/>
        </w:rPr>
      </w:pPr>
      <w:r w:rsidRPr="005C3BEB">
        <w:rPr>
          <w:rFonts w:cs="Times New Roman"/>
          <w:szCs w:val="24"/>
        </w:rPr>
        <w:t>Royal Mail Group plc or more commonly referred to as Royal Mail is a traditional UK based mail and communication firm. Royal Mail started its journey in 1516 with the patronage of Henry VIII; now it has grown up to become one of the largest employers of the United Kingdom &amp; it is the UK’s postal service &amp; courier with an international presence</w:t>
      </w:r>
      <w:r w:rsidR="00BA4B7D" w:rsidRPr="005C3BEB">
        <w:rPr>
          <w:rFonts w:cs="Times New Roman"/>
          <w:szCs w:val="24"/>
        </w:rPr>
        <w:t xml:space="preserve"> (</w:t>
      </w:r>
      <w:proofErr w:type="spellStart"/>
      <w:r w:rsidR="00BA4B7D" w:rsidRPr="005C3BEB">
        <w:rPr>
          <w:rFonts w:cs="Times New Roman"/>
          <w:szCs w:val="24"/>
        </w:rPr>
        <w:t>Royalmail</w:t>
      </w:r>
      <w:proofErr w:type="spellEnd"/>
      <w:r w:rsidR="00BA4B7D" w:rsidRPr="005C3BEB">
        <w:rPr>
          <w:rFonts w:cs="Times New Roman"/>
          <w:szCs w:val="24"/>
        </w:rPr>
        <w:t>, 2024)</w:t>
      </w:r>
      <w:r w:rsidRPr="005C3BEB">
        <w:rPr>
          <w:rFonts w:cs="Times New Roman"/>
          <w:szCs w:val="24"/>
        </w:rPr>
        <w:t xml:space="preserve">. Companies have certain achievements that distinguish </w:t>
      </w:r>
      <w:proofErr w:type="gramStart"/>
      <w:r w:rsidRPr="005C3BEB">
        <w:rPr>
          <w:rFonts w:cs="Times New Roman"/>
          <w:szCs w:val="24"/>
        </w:rPr>
        <w:t>them</w:t>
      </w:r>
      <w:proofErr w:type="gramEnd"/>
      <w:r w:rsidRPr="005C3BEB">
        <w:rPr>
          <w:rFonts w:cs="Times New Roman"/>
          <w:szCs w:val="24"/>
        </w:rPr>
        <w:t xml:space="preserve"> and the company has many such achievements such as the transformation from a state-owned to a joint stock company</w:t>
      </w:r>
      <w:r w:rsidR="00BA4B7D" w:rsidRPr="005C3BEB">
        <w:rPr>
          <w:rFonts w:cs="Times New Roman"/>
          <w:szCs w:val="24"/>
        </w:rPr>
        <w:t xml:space="preserve"> (Smarty, 2024)</w:t>
      </w:r>
      <w:r w:rsidRPr="005C3BEB">
        <w:rPr>
          <w:rFonts w:cs="Times New Roman"/>
          <w:szCs w:val="24"/>
        </w:rPr>
        <w:t>.</w:t>
      </w:r>
    </w:p>
    <w:p w14:paraId="5BE506D7" w14:textId="77777777" w:rsidR="00DC6803" w:rsidRPr="005C3BEB" w:rsidRDefault="00340DC4" w:rsidP="005C3BEB">
      <w:pPr>
        <w:spacing w:line="360" w:lineRule="auto"/>
        <w:jc w:val="both"/>
        <w:rPr>
          <w:rFonts w:cs="Times New Roman"/>
          <w:szCs w:val="24"/>
        </w:rPr>
      </w:pPr>
      <w:r w:rsidRPr="005C3BEB">
        <w:rPr>
          <w:rFonts w:cs="Times New Roman"/>
          <w:szCs w:val="24"/>
        </w:rPr>
        <w:t xml:space="preserve">Key </w:t>
      </w:r>
      <w:r w:rsidR="00DC6803" w:rsidRPr="005C3BEB">
        <w:rPr>
          <w:rFonts w:cs="Times New Roman"/>
          <w:szCs w:val="24"/>
        </w:rPr>
        <w:t xml:space="preserve">Corporate Events that have </w:t>
      </w:r>
      <w:r w:rsidRPr="005C3BEB">
        <w:rPr>
          <w:rFonts w:cs="Times New Roman"/>
          <w:szCs w:val="24"/>
        </w:rPr>
        <w:t>occurred in the last five fiscal years:</w:t>
      </w:r>
    </w:p>
    <w:p w14:paraId="7C443D2B" w14:textId="77777777" w:rsidR="00DC6803" w:rsidRPr="005C3BEB" w:rsidRDefault="00340DC4" w:rsidP="005C3BEB">
      <w:pPr>
        <w:pStyle w:val="ListParagraph"/>
        <w:numPr>
          <w:ilvl w:val="0"/>
          <w:numId w:val="3"/>
        </w:numPr>
        <w:spacing w:line="360" w:lineRule="auto"/>
        <w:jc w:val="both"/>
        <w:rPr>
          <w:rFonts w:cs="Times New Roman"/>
          <w:szCs w:val="24"/>
          <w:u w:val="single"/>
        </w:rPr>
      </w:pPr>
      <w:r w:rsidRPr="005C3BEB">
        <w:rPr>
          <w:rFonts w:cs="Times New Roman"/>
          <w:szCs w:val="24"/>
          <w:u w:val="single"/>
        </w:rPr>
        <w:t>Leadership Changes (2018-2019):</w:t>
      </w:r>
    </w:p>
    <w:p w14:paraId="60EB9D5F" w14:textId="77777777" w:rsidR="00DC6803" w:rsidRPr="005C3BEB" w:rsidRDefault="00DC6803" w:rsidP="005C3BEB">
      <w:pPr>
        <w:spacing w:line="360" w:lineRule="auto"/>
        <w:jc w:val="both"/>
        <w:rPr>
          <w:rFonts w:cs="Times New Roman"/>
          <w:szCs w:val="24"/>
        </w:rPr>
      </w:pPr>
      <w:r w:rsidRPr="005C3BEB">
        <w:rPr>
          <w:rFonts w:cs="Times New Roman"/>
          <w:szCs w:val="24"/>
        </w:rPr>
        <w:t>2018: Moya Greene the company’s chief executive officer since 2010 voluntarily resigned in April 2018</w:t>
      </w:r>
      <w:r w:rsidR="00BA4B7D" w:rsidRPr="005C3BEB">
        <w:rPr>
          <w:rFonts w:cs="Times New Roman"/>
          <w:szCs w:val="24"/>
        </w:rPr>
        <w:t xml:space="preserve"> (</w:t>
      </w:r>
      <w:proofErr w:type="spellStart"/>
      <w:r w:rsidR="00BA4B7D" w:rsidRPr="005C3BEB">
        <w:rPr>
          <w:rFonts w:cs="Times New Roman"/>
          <w:szCs w:val="24"/>
        </w:rPr>
        <w:t>TheGuardian</w:t>
      </w:r>
      <w:proofErr w:type="spellEnd"/>
      <w:r w:rsidR="00BA4B7D" w:rsidRPr="005C3BEB">
        <w:rPr>
          <w:rFonts w:cs="Times New Roman"/>
          <w:szCs w:val="24"/>
        </w:rPr>
        <w:t>, 2018)</w:t>
      </w:r>
      <w:r w:rsidRPr="005C3BEB">
        <w:rPr>
          <w:rFonts w:cs="Times New Roman"/>
          <w:szCs w:val="24"/>
        </w:rPr>
        <w:t xml:space="preserve">. This was a shame since she was the last of the group that was working towards </w:t>
      </w:r>
      <w:proofErr w:type="spellStart"/>
      <w:proofErr w:type="gramStart"/>
      <w:r w:rsidRPr="005C3BEB">
        <w:rPr>
          <w:rFonts w:cs="Times New Roman"/>
          <w:szCs w:val="24"/>
        </w:rPr>
        <w:t>the;modernization</w:t>
      </w:r>
      <w:proofErr w:type="spellEnd"/>
      <w:proofErr w:type="gramEnd"/>
      <w:r w:rsidRPr="005C3BEB">
        <w:rPr>
          <w:rFonts w:cs="Times New Roman"/>
          <w:szCs w:val="24"/>
        </w:rPr>
        <w:t xml:space="preserve"> and privatization of the firm. She was followed by Rico Back and he continued to serve the company in the capacity of the Chief Executive Officer</w:t>
      </w:r>
      <w:r w:rsidR="00BA4B7D" w:rsidRPr="005C3BEB">
        <w:rPr>
          <w:rFonts w:cs="Times New Roman"/>
          <w:szCs w:val="24"/>
        </w:rPr>
        <w:t xml:space="preserve"> (</w:t>
      </w:r>
      <w:proofErr w:type="spellStart"/>
      <w:r w:rsidR="00BA4B7D" w:rsidRPr="005C3BEB">
        <w:rPr>
          <w:rFonts w:cs="Times New Roman"/>
          <w:szCs w:val="24"/>
        </w:rPr>
        <w:t>TheGuardian</w:t>
      </w:r>
      <w:proofErr w:type="spellEnd"/>
      <w:r w:rsidR="00BA4B7D" w:rsidRPr="005C3BEB">
        <w:rPr>
          <w:rFonts w:cs="Times New Roman"/>
          <w:szCs w:val="24"/>
        </w:rPr>
        <w:t>, 2018)</w:t>
      </w:r>
      <w:r w:rsidRPr="005C3BEB">
        <w:rPr>
          <w:rFonts w:cs="Times New Roman"/>
          <w:szCs w:val="24"/>
        </w:rPr>
        <w:t>. It was expected that through leadership of Back, the company would come up with new approaches for solving new problems that were arising.</w:t>
      </w:r>
    </w:p>
    <w:p w14:paraId="4A011E00" w14:textId="77777777" w:rsidR="00DC6803" w:rsidRPr="005C3BEB" w:rsidRDefault="00DC6803" w:rsidP="005C3BEB">
      <w:pPr>
        <w:pStyle w:val="ListParagraph"/>
        <w:numPr>
          <w:ilvl w:val="0"/>
          <w:numId w:val="3"/>
        </w:numPr>
        <w:spacing w:line="360" w:lineRule="auto"/>
        <w:jc w:val="both"/>
        <w:rPr>
          <w:rFonts w:cs="Times New Roman"/>
          <w:szCs w:val="24"/>
          <w:u w:val="single"/>
        </w:rPr>
      </w:pPr>
      <w:r w:rsidRPr="005C3BEB">
        <w:rPr>
          <w:rFonts w:cs="Times New Roman"/>
          <w:szCs w:val="24"/>
          <w:u w:val="single"/>
        </w:rPr>
        <w:t>Impact o</w:t>
      </w:r>
      <w:r w:rsidR="00340DC4" w:rsidRPr="005C3BEB">
        <w:rPr>
          <w:rFonts w:cs="Times New Roman"/>
          <w:szCs w:val="24"/>
          <w:u w:val="single"/>
        </w:rPr>
        <w:t>f COVID-19 Pandemic (2020-2021)</w:t>
      </w:r>
    </w:p>
    <w:p w14:paraId="27E8D3B2" w14:textId="77777777" w:rsidR="00DC6803" w:rsidRPr="005C3BEB" w:rsidRDefault="00DC6803" w:rsidP="005C3BEB">
      <w:pPr>
        <w:spacing w:line="360" w:lineRule="auto"/>
        <w:jc w:val="both"/>
        <w:rPr>
          <w:rFonts w:cs="Times New Roman"/>
          <w:szCs w:val="24"/>
        </w:rPr>
      </w:pPr>
      <w:r w:rsidRPr="005C3BEB">
        <w:rPr>
          <w:rFonts w:cs="Times New Roman"/>
          <w:szCs w:val="24"/>
        </w:rPr>
        <w:t>2020-2021: The aggressive spread of Covid19 also affected Royal Mail group in its operations in the year 2020-2021</w:t>
      </w:r>
      <w:r w:rsidR="00BA4B7D" w:rsidRPr="005C3BEB">
        <w:rPr>
          <w:rFonts w:cs="Times New Roman"/>
          <w:szCs w:val="24"/>
        </w:rPr>
        <w:t xml:space="preserve"> (Ofcom.org.uk, 2023)</w:t>
      </w:r>
      <w:r w:rsidRPr="005C3BEB">
        <w:rPr>
          <w:rFonts w:cs="Times New Roman"/>
          <w:szCs w:val="24"/>
        </w:rPr>
        <w:t>. The delicate situation with coronavirus resulted in increased delivery and, therefore, e-commerce contracts were signed. This was, however, not without some implications especially for the development of the parcel sector. Such effects were inconvenience due to installed health and safety measures, diminished international operations that pushed the operations of Royal Mail to the receding line of success</w:t>
      </w:r>
      <w:r w:rsidR="00BA4B7D" w:rsidRPr="005C3BEB">
        <w:rPr>
          <w:rFonts w:cs="Times New Roman"/>
          <w:szCs w:val="24"/>
        </w:rPr>
        <w:t xml:space="preserve"> (Ofcom.org.uk, 2023)</w:t>
      </w:r>
      <w:r w:rsidRPr="005C3BEB">
        <w:rPr>
          <w:rFonts w:cs="Times New Roman"/>
          <w:szCs w:val="24"/>
        </w:rPr>
        <w:t>.</w:t>
      </w:r>
    </w:p>
    <w:p w14:paraId="2A0E2A82" w14:textId="77777777" w:rsidR="00DC6803" w:rsidRPr="005C3BEB" w:rsidRDefault="00DC6803" w:rsidP="005C3BEB">
      <w:pPr>
        <w:pStyle w:val="ListParagraph"/>
        <w:numPr>
          <w:ilvl w:val="0"/>
          <w:numId w:val="3"/>
        </w:numPr>
        <w:spacing w:line="360" w:lineRule="auto"/>
        <w:jc w:val="both"/>
        <w:rPr>
          <w:rFonts w:cs="Times New Roman"/>
          <w:szCs w:val="24"/>
          <w:u w:val="single"/>
        </w:rPr>
      </w:pPr>
      <w:r w:rsidRPr="005C3BEB">
        <w:rPr>
          <w:rFonts w:cs="Times New Roman"/>
          <w:szCs w:val="24"/>
          <w:u w:val="single"/>
        </w:rPr>
        <w:t>Strategic Restructuring and Modernization (2021):</w:t>
      </w:r>
    </w:p>
    <w:p w14:paraId="7C8184B4" w14:textId="77777777" w:rsidR="00DC6803" w:rsidRPr="005C3BEB" w:rsidRDefault="00DC6803" w:rsidP="005C3BEB">
      <w:pPr>
        <w:spacing w:line="360" w:lineRule="auto"/>
        <w:jc w:val="both"/>
        <w:rPr>
          <w:rFonts w:cs="Times New Roman"/>
          <w:szCs w:val="24"/>
        </w:rPr>
      </w:pPr>
      <w:r w:rsidRPr="005C3BEB">
        <w:rPr>
          <w:rFonts w:cs="Times New Roman"/>
          <w:szCs w:val="24"/>
        </w:rPr>
        <w:t>2021: Thus, Royal Mail announced a massive organizational change plan that brings the company closer to the current conditions and increases effectiveness. This strategic initiative entailed making of massive investments in technology and infrastructure thus showing that the company was ready and willing to change and fit into the new trends within the postal as well as the logistics market segments</w:t>
      </w:r>
      <w:r w:rsidR="00446E62" w:rsidRPr="005C3BEB">
        <w:rPr>
          <w:rFonts w:cs="Times New Roman"/>
          <w:szCs w:val="24"/>
        </w:rPr>
        <w:t xml:space="preserve"> (Ofcom.org.uk, 2023)</w:t>
      </w:r>
      <w:r w:rsidRPr="005C3BEB">
        <w:rPr>
          <w:rFonts w:cs="Times New Roman"/>
          <w:szCs w:val="24"/>
        </w:rPr>
        <w:t xml:space="preserve">. This was to be done so as to </w:t>
      </w:r>
      <w:r w:rsidRPr="005C3BEB">
        <w:rPr>
          <w:rFonts w:cs="Times New Roman"/>
          <w:szCs w:val="24"/>
        </w:rPr>
        <w:lastRenderedPageBreak/>
        <w:t>make the operation of the company efficient and enhance the company</w:t>
      </w:r>
      <w:r w:rsidR="00340DC4" w:rsidRPr="005C3BEB">
        <w:rPr>
          <w:rFonts w:cs="Times New Roman"/>
          <w:szCs w:val="24"/>
        </w:rPr>
        <w:t>’</w:t>
      </w:r>
      <w:r w:rsidRPr="005C3BEB">
        <w:rPr>
          <w:rFonts w:cs="Times New Roman"/>
          <w:szCs w:val="24"/>
        </w:rPr>
        <w:t>s competitiveness in the market.</w:t>
      </w:r>
    </w:p>
    <w:p w14:paraId="0FCCF889" w14:textId="77777777" w:rsidR="00DC6803" w:rsidRPr="005C3BEB" w:rsidRDefault="00DC6803" w:rsidP="005C3BEB">
      <w:pPr>
        <w:pStyle w:val="ListParagraph"/>
        <w:numPr>
          <w:ilvl w:val="0"/>
          <w:numId w:val="3"/>
        </w:numPr>
        <w:spacing w:line="360" w:lineRule="auto"/>
        <w:jc w:val="both"/>
        <w:rPr>
          <w:rFonts w:cs="Times New Roman"/>
          <w:szCs w:val="24"/>
          <w:u w:val="single"/>
        </w:rPr>
      </w:pPr>
      <w:r w:rsidRPr="005C3BEB">
        <w:rPr>
          <w:rFonts w:cs="Times New Roman"/>
          <w:szCs w:val="24"/>
          <w:u w:val="single"/>
        </w:rPr>
        <w:t xml:space="preserve">Recent Developments and </w:t>
      </w:r>
      <w:r w:rsidR="00340DC4" w:rsidRPr="005C3BEB">
        <w:rPr>
          <w:rFonts w:cs="Times New Roman"/>
          <w:szCs w:val="24"/>
          <w:u w:val="single"/>
        </w:rPr>
        <w:t>Ongoing Adaptation (2022-2023):</w:t>
      </w:r>
    </w:p>
    <w:p w14:paraId="45675F15" w14:textId="77777777" w:rsidR="00DC6803" w:rsidRPr="005C3BEB" w:rsidRDefault="00DC6803" w:rsidP="005C3BEB">
      <w:pPr>
        <w:spacing w:line="360" w:lineRule="auto"/>
        <w:jc w:val="both"/>
        <w:rPr>
          <w:rFonts w:cs="Times New Roman"/>
          <w:szCs w:val="24"/>
        </w:rPr>
      </w:pPr>
      <w:r w:rsidRPr="005C3BEB">
        <w:rPr>
          <w:rFonts w:cs="Times New Roman"/>
          <w:szCs w:val="24"/>
        </w:rPr>
        <w:t>2022: Due to the prevailing rise in e-commerce Royal Mail stepped up investment in automation and technology</w:t>
      </w:r>
      <w:r w:rsidR="00446E62" w:rsidRPr="005C3BEB">
        <w:rPr>
          <w:rFonts w:cs="Times New Roman"/>
          <w:szCs w:val="24"/>
        </w:rPr>
        <w:t xml:space="preserve"> (</w:t>
      </w:r>
      <w:proofErr w:type="spellStart"/>
      <w:r w:rsidR="00446E62" w:rsidRPr="005C3BEB">
        <w:rPr>
          <w:rFonts w:cs="Times New Roman"/>
          <w:szCs w:val="24"/>
        </w:rPr>
        <w:t>Royalmail</w:t>
      </w:r>
      <w:proofErr w:type="spellEnd"/>
      <w:r w:rsidR="00446E62" w:rsidRPr="005C3BEB">
        <w:rPr>
          <w:rFonts w:cs="Times New Roman"/>
          <w:szCs w:val="24"/>
        </w:rPr>
        <w:t>, 2024)</w:t>
      </w:r>
      <w:r w:rsidRPr="005C3BEB">
        <w:rPr>
          <w:rFonts w:cs="Times New Roman"/>
          <w:szCs w:val="24"/>
        </w:rPr>
        <w:t xml:space="preserve">. The company was named as </w:t>
      </w:r>
      <w:proofErr w:type="gramStart"/>
      <w:r w:rsidRPr="005C3BEB">
        <w:rPr>
          <w:rFonts w:cs="Times New Roman"/>
          <w:szCs w:val="24"/>
        </w:rPr>
        <w:t>logistically-oriented</w:t>
      </w:r>
      <w:proofErr w:type="gramEnd"/>
      <w:r w:rsidRPr="005C3BEB">
        <w:rPr>
          <w:rFonts w:cs="Times New Roman"/>
          <w:szCs w:val="24"/>
        </w:rPr>
        <w:t xml:space="preserve"> and aimed on increase of its logistic network and its operational capacities with respect to the increasing demand for parcel delivery services.</w:t>
      </w:r>
    </w:p>
    <w:p w14:paraId="29B79520" w14:textId="77777777" w:rsidR="00DC6803" w:rsidRPr="005C3BEB" w:rsidRDefault="00DC6803" w:rsidP="005C3BEB">
      <w:pPr>
        <w:spacing w:line="360" w:lineRule="auto"/>
        <w:jc w:val="both"/>
        <w:rPr>
          <w:rFonts w:cs="Times New Roman"/>
          <w:szCs w:val="24"/>
        </w:rPr>
      </w:pPr>
      <w:r w:rsidRPr="005C3BEB">
        <w:rPr>
          <w:rFonts w:cs="Times New Roman"/>
          <w:szCs w:val="24"/>
        </w:rPr>
        <w:t>2023: The company experience regulation problem and labo</w:t>
      </w:r>
      <w:r w:rsidR="00340DC4" w:rsidRPr="005C3BEB">
        <w:rPr>
          <w:rFonts w:cs="Times New Roman"/>
          <w:szCs w:val="24"/>
        </w:rPr>
        <w:t>u</w:t>
      </w:r>
      <w:r w:rsidRPr="005C3BEB">
        <w:rPr>
          <w:rFonts w:cs="Times New Roman"/>
          <w:szCs w:val="24"/>
        </w:rPr>
        <w:t>r relations which affected it. Some of the problems encountered during this period included issues to do with wages and working relations</w:t>
      </w:r>
      <w:r w:rsidR="00446E62" w:rsidRPr="005C3BEB">
        <w:rPr>
          <w:rFonts w:cs="Times New Roman"/>
          <w:szCs w:val="24"/>
        </w:rPr>
        <w:t xml:space="preserve"> (</w:t>
      </w:r>
      <w:proofErr w:type="spellStart"/>
      <w:r w:rsidR="00446E62" w:rsidRPr="005C3BEB">
        <w:rPr>
          <w:rFonts w:cs="Times New Roman"/>
          <w:szCs w:val="24"/>
        </w:rPr>
        <w:t>Royalmail</w:t>
      </w:r>
      <w:proofErr w:type="spellEnd"/>
      <w:r w:rsidR="00446E62" w:rsidRPr="005C3BEB">
        <w:rPr>
          <w:rFonts w:cs="Times New Roman"/>
          <w:szCs w:val="24"/>
        </w:rPr>
        <w:t>, 2024)</w:t>
      </w:r>
      <w:r w:rsidRPr="005C3BEB">
        <w:rPr>
          <w:rFonts w:cs="Times New Roman"/>
          <w:szCs w:val="24"/>
        </w:rPr>
        <w:t>. However, the following were some of the keys areas of strategic focus at Royal Mail While overcoming these challenges, Royal Mail’s clear continuing strategy was to continue its investment in technology to drive improvements in its services and operations.</w:t>
      </w:r>
    </w:p>
    <w:p w14:paraId="02E0C711" w14:textId="77777777" w:rsidR="00546691" w:rsidRDefault="00546691">
      <w:pPr>
        <w:rPr>
          <w:rFonts w:eastAsiaTheme="majorEastAsia" w:cs="Times New Roman"/>
          <w:b/>
          <w:szCs w:val="24"/>
        </w:rPr>
      </w:pPr>
      <w:r>
        <w:rPr>
          <w:rFonts w:cs="Times New Roman"/>
          <w:szCs w:val="24"/>
        </w:rPr>
        <w:br w:type="page"/>
      </w:r>
    </w:p>
    <w:p w14:paraId="044193DF" w14:textId="77777777" w:rsidR="00DC6803" w:rsidRPr="005C3BEB" w:rsidRDefault="00DC6803" w:rsidP="005C3BEB">
      <w:pPr>
        <w:pStyle w:val="Heading1"/>
        <w:spacing w:line="360" w:lineRule="auto"/>
        <w:jc w:val="both"/>
        <w:rPr>
          <w:rFonts w:cs="Times New Roman"/>
          <w:color w:val="auto"/>
          <w:szCs w:val="24"/>
        </w:rPr>
      </w:pPr>
      <w:bookmarkStart w:id="1" w:name="_Toc174875578"/>
      <w:r w:rsidRPr="005C3BEB">
        <w:rPr>
          <w:rFonts w:cs="Times New Roman"/>
          <w:color w:val="auto"/>
          <w:szCs w:val="24"/>
        </w:rPr>
        <w:lastRenderedPageBreak/>
        <w:t>B: FINANCIAL PERFORMANCE AND ALTERNATE CAPITAL STRUCTURE CONSIDERATIONS</w:t>
      </w:r>
      <w:bookmarkEnd w:id="1"/>
    </w:p>
    <w:p w14:paraId="62D28A6F" w14:textId="77777777" w:rsidR="00ED5344" w:rsidRPr="005C3BEB" w:rsidRDefault="00ED5344" w:rsidP="005C3BEB">
      <w:pPr>
        <w:spacing w:line="360" w:lineRule="auto"/>
        <w:jc w:val="both"/>
        <w:rPr>
          <w:rFonts w:cs="Times New Roman"/>
          <w:szCs w:val="24"/>
        </w:rPr>
      </w:pPr>
      <w:r w:rsidRPr="005C3BEB">
        <w:rPr>
          <w:rFonts w:cs="Times New Roman"/>
          <w:szCs w:val="24"/>
        </w:rPr>
        <w:t>This section revolves around the financial performance of and the capital structure of Royal Mail private limited company with various capital structure theories along with calculation of various financial ratios and comparison of those with its direct competitors. Further in the report, average annual share returns are also calculated with a brief discussion about leverage and return.</w:t>
      </w:r>
    </w:p>
    <w:p w14:paraId="4215AC8A" w14:textId="77777777" w:rsidR="00ED5344" w:rsidRPr="005C3BEB" w:rsidRDefault="00ED5344" w:rsidP="005C3BEB">
      <w:pPr>
        <w:pStyle w:val="Heading2"/>
        <w:spacing w:line="360" w:lineRule="auto"/>
        <w:jc w:val="both"/>
        <w:rPr>
          <w:rFonts w:cs="Times New Roman"/>
          <w:szCs w:val="24"/>
        </w:rPr>
      </w:pPr>
      <w:bookmarkStart w:id="2" w:name="_Toc174467524"/>
      <w:bookmarkStart w:id="3" w:name="_Toc174875579"/>
      <w:r w:rsidRPr="005C3BEB">
        <w:rPr>
          <w:rFonts w:cs="Times New Roman"/>
          <w:szCs w:val="24"/>
        </w:rPr>
        <w:t>B1: CRITICAL ANALYSIS OF THE CORPORATION’S FINANCIAL PERFORMANCE</w:t>
      </w:r>
      <w:bookmarkEnd w:id="2"/>
      <w:bookmarkEnd w:id="3"/>
    </w:p>
    <w:p w14:paraId="54890E16" w14:textId="77777777" w:rsidR="00ED5344" w:rsidRPr="005C3BEB" w:rsidRDefault="00ED5344" w:rsidP="005C3BEB">
      <w:pPr>
        <w:spacing w:line="360" w:lineRule="auto"/>
        <w:jc w:val="both"/>
        <w:rPr>
          <w:rFonts w:cs="Times New Roman"/>
          <w:b/>
          <w:bCs/>
          <w:i/>
          <w:iCs/>
          <w:szCs w:val="24"/>
          <w:u w:val="single"/>
        </w:rPr>
      </w:pPr>
      <w:r w:rsidRPr="005C3BEB">
        <w:rPr>
          <w:rFonts w:cs="Times New Roman"/>
          <w:b/>
          <w:bCs/>
          <w:i/>
          <w:iCs/>
          <w:szCs w:val="24"/>
          <w:u w:val="single"/>
        </w:rPr>
        <w:t>Calculation and Evaluation of corporation’s liquidity and leverage ratios for the past 5 years (2018 – 2022)</w:t>
      </w:r>
    </w:p>
    <w:p w14:paraId="28EE47AC" w14:textId="77777777" w:rsidR="00ED5344" w:rsidRPr="005C3BEB" w:rsidRDefault="00ED5344" w:rsidP="005C3BEB">
      <w:pPr>
        <w:pStyle w:val="ListParagraph"/>
        <w:numPr>
          <w:ilvl w:val="0"/>
          <w:numId w:val="21"/>
        </w:numPr>
        <w:spacing w:line="360" w:lineRule="auto"/>
        <w:jc w:val="both"/>
        <w:rPr>
          <w:rFonts w:cs="Times New Roman"/>
          <w:b/>
          <w:bCs/>
          <w:szCs w:val="24"/>
        </w:rPr>
      </w:pPr>
      <w:r w:rsidRPr="005C3BEB">
        <w:rPr>
          <w:rFonts w:cs="Times New Roman"/>
          <w:b/>
          <w:bCs/>
          <w:szCs w:val="24"/>
        </w:rPr>
        <w:t>Current Ratio:</w:t>
      </w:r>
    </w:p>
    <w:p w14:paraId="5840579E" w14:textId="77777777" w:rsidR="00ED5344" w:rsidRPr="005C3BEB" w:rsidRDefault="00ED5344" w:rsidP="005C3BEB">
      <w:pPr>
        <w:spacing w:line="360" w:lineRule="auto"/>
        <w:jc w:val="both"/>
        <w:rPr>
          <w:rFonts w:cs="Times New Roman"/>
          <w:szCs w:val="24"/>
        </w:rPr>
      </w:pPr>
      <w:r w:rsidRPr="005C3BEB">
        <w:rPr>
          <w:rFonts w:cs="Times New Roman"/>
          <w:szCs w:val="24"/>
        </w:rPr>
        <w:t>According to Husna and Satria (2019), current ratio is a liquidity ratio which is used to measure company’s ability to meet its short-term obligations. This ratio is calculated by comparing the current assets with the current liabilities of the company. Current Assets are those assets which can be convertible into cash or cash equivalents within a span of one year whereas current liabilities are those liabilities which are to be paid within a span of one year.</w:t>
      </w:r>
    </w:p>
    <w:p w14:paraId="376E22D6" w14:textId="77777777" w:rsidR="00ED5344" w:rsidRPr="005C3BEB" w:rsidRDefault="00ED5344" w:rsidP="005C3BEB">
      <w:pPr>
        <w:spacing w:line="360" w:lineRule="auto"/>
        <w:jc w:val="both"/>
        <w:rPr>
          <w:rFonts w:cs="Times New Roman"/>
          <w:szCs w:val="24"/>
        </w:rPr>
      </w:pPr>
      <w:r w:rsidRPr="005C3BEB">
        <w:rPr>
          <w:rFonts w:cs="Times New Roman"/>
          <w:szCs w:val="24"/>
        </w:rPr>
        <w:t xml:space="preserve">Current ratio of Royal Mail has been consistently increased which is better for the business liquidity and shows strong stability of the business. In 2018, current ratio of Royal mail was 0.87 and it has been increased to 1.19 in 2021. </w:t>
      </w:r>
    </w:p>
    <w:tbl>
      <w:tblPr>
        <w:tblW w:w="5000" w:type="pct"/>
        <w:tblLook w:val="04A0" w:firstRow="1" w:lastRow="0" w:firstColumn="1" w:lastColumn="0" w:noHBand="0" w:noVBand="1"/>
      </w:tblPr>
      <w:tblGrid>
        <w:gridCol w:w="2756"/>
        <w:gridCol w:w="1252"/>
        <w:gridCol w:w="1252"/>
        <w:gridCol w:w="1252"/>
        <w:gridCol w:w="1252"/>
        <w:gridCol w:w="1252"/>
      </w:tblGrid>
      <w:tr w:rsidR="00ED5344" w:rsidRPr="005C3BEB" w14:paraId="1E8736CC" w14:textId="77777777" w:rsidTr="00546691">
        <w:trPr>
          <w:trHeight w:val="624"/>
        </w:trPr>
        <w:tc>
          <w:tcPr>
            <w:tcW w:w="164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73B4ECD" w14:textId="77777777" w:rsidR="00ED5344" w:rsidRPr="005C3BEB" w:rsidRDefault="00ED5344" w:rsidP="005C3BEB">
            <w:pPr>
              <w:spacing w:after="0" w:line="360" w:lineRule="auto"/>
              <w:jc w:val="both"/>
              <w:rPr>
                <w:rFonts w:eastAsia="Times New Roman" w:cs="Times New Roman"/>
                <w:b/>
                <w:bCs/>
                <w:color w:val="000000"/>
                <w:szCs w:val="24"/>
                <w:lang w:val="en-IN" w:eastAsia="en-IN"/>
              </w:rPr>
            </w:pPr>
          </w:p>
        </w:tc>
        <w:tc>
          <w:tcPr>
            <w:tcW w:w="672" w:type="pct"/>
            <w:tcBorders>
              <w:top w:val="single" w:sz="4" w:space="0" w:color="auto"/>
              <w:left w:val="nil"/>
              <w:bottom w:val="single" w:sz="4" w:space="0" w:color="auto"/>
              <w:right w:val="single" w:sz="4" w:space="0" w:color="auto"/>
            </w:tcBorders>
            <w:shd w:val="clear" w:color="auto" w:fill="auto"/>
            <w:noWrap/>
            <w:vAlign w:val="bottom"/>
            <w:hideMark/>
          </w:tcPr>
          <w:p w14:paraId="594AC6E4"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 </w:t>
            </w:r>
          </w:p>
        </w:tc>
        <w:tc>
          <w:tcPr>
            <w:tcW w:w="672" w:type="pct"/>
            <w:tcBorders>
              <w:top w:val="single" w:sz="4" w:space="0" w:color="auto"/>
              <w:left w:val="nil"/>
              <w:bottom w:val="single" w:sz="4" w:space="0" w:color="auto"/>
              <w:right w:val="single" w:sz="4" w:space="0" w:color="auto"/>
            </w:tcBorders>
            <w:shd w:val="clear" w:color="auto" w:fill="auto"/>
            <w:noWrap/>
            <w:vAlign w:val="bottom"/>
            <w:hideMark/>
          </w:tcPr>
          <w:p w14:paraId="24BD106A"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 </w:t>
            </w:r>
          </w:p>
        </w:tc>
        <w:tc>
          <w:tcPr>
            <w:tcW w:w="672" w:type="pct"/>
            <w:tcBorders>
              <w:top w:val="single" w:sz="4" w:space="0" w:color="auto"/>
              <w:left w:val="nil"/>
              <w:bottom w:val="single" w:sz="4" w:space="0" w:color="auto"/>
              <w:right w:val="single" w:sz="4" w:space="0" w:color="auto"/>
            </w:tcBorders>
            <w:shd w:val="clear" w:color="auto" w:fill="auto"/>
            <w:noWrap/>
            <w:vAlign w:val="bottom"/>
            <w:hideMark/>
          </w:tcPr>
          <w:p w14:paraId="042B8874"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 </w:t>
            </w:r>
          </w:p>
        </w:tc>
        <w:tc>
          <w:tcPr>
            <w:tcW w:w="672" w:type="pct"/>
            <w:tcBorders>
              <w:top w:val="single" w:sz="4" w:space="0" w:color="auto"/>
              <w:left w:val="nil"/>
              <w:bottom w:val="single" w:sz="4" w:space="0" w:color="auto"/>
              <w:right w:val="single" w:sz="4" w:space="0" w:color="auto"/>
            </w:tcBorders>
            <w:shd w:val="clear" w:color="auto" w:fill="auto"/>
            <w:noWrap/>
            <w:vAlign w:val="bottom"/>
            <w:hideMark/>
          </w:tcPr>
          <w:p w14:paraId="151E8ABB"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 </w:t>
            </w:r>
          </w:p>
        </w:tc>
        <w:tc>
          <w:tcPr>
            <w:tcW w:w="672" w:type="pct"/>
            <w:tcBorders>
              <w:top w:val="single" w:sz="4" w:space="0" w:color="auto"/>
              <w:left w:val="nil"/>
              <w:bottom w:val="single" w:sz="4" w:space="0" w:color="auto"/>
              <w:right w:val="single" w:sz="4" w:space="0" w:color="auto"/>
            </w:tcBorders>
            <w:shd w:val="clear" w:color="auto" w:fill="auto"/>
            <w:noWrap/>
            <w:vAlign w:val="bottom"/>
            <w:hideMark/>
          </w:tcPr>
          <w:p w14:paraId="4FBCF170"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 </w:t>
            </w:r>
          </w:p>
        </w:tc>
      </w:tr>
      <w:tr w:rsidR="00ED5344" w:rsidRPr="005C3BEB" w14:paraId="696E924C" w14:textId="77777777" w:rsidTr="00546691">
        <w:trPr>
          <w:trHeight w:val="312"/>
        </w:trPr>
        <w:tc>
          <w:tcPr>
            <w:tcW w:w="1642" w:type="pct"/>
            <w:tcBorders>
              <w:top w:val="nil"/>
              <w:left w:val="single" w:sz="4" w:space="0" w:color="auto"/>
              <w:bottom w:val="single" w:sz="4" w:space="0" w:color="auto"/>
              <w:right w:val="single" w:sz="4" w:space="0" w:color="auto"/>
            </w:tcBorders>
            <w:shd w:val="clear" w:color="auto" w:fill="auto"/>
            <w:noWrap/>
            <w:vAlign w:val="center"/>
            <w:hideMark/>
          </w:tcPr>
          <w:p w14:paraId="444DF32C"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Particulars</w:t>
            </w:r>
          </w:p>
        </w:tc>
        <w:tc>
          <w:tcPr>
            <w:tcW w:w="672" w:type="pct"/>
            <w:tcBorders>
              <w:top w:val="nil"/>
              <w:left w:val="nil"/>
              <w:bottom w:val="single" w:sz="4" w:space="0" w:color="auto"/>
              <w:right w:val="single" w:sz="4" w:space="0" w:color="auto"/>
            </w:tcBorders>
            <w:shd w:val="clear" w:color="auto" w:fill="auto"/>
            <w:noWrap/>
            <w:vAlign w:val="center"/>
            <w:hideMark/>
          </w:tcPr>
          <w:p w14:paraId="7D76A843" w14:textId="77777777" w:rsidR="00ED5344" w:rsidRPr="005C3BEB" w:rsidRDefault="00ED5344" w:rsidP="005C3BEB">
            <w:pPr>
              <w:spacing w:after="0" w:line="360" w:lineRule="auto"/>
              <w:jc w:val="both"/>
              <w:rPr>
                <w:rFonts w:eastAsia="Times New Roman" w:cs="Times New Roman"/>
                <w:b/>
                <w:bCs/>
                <w:color w:val="000000"/>
                <w:szCs w:val="24"/>
                <w:lang w:val="en-IN" w:eastAsia="en-IN"/>
              </w:rPr>
            </w:pPr>
            <w:r w:rsidRPr="005C3BEB">
              <w:rPr>
                <w:rFonts w:eastAsia="Times New Roman" w:cs="Times New Roman"/>
                <w:b/>
                <w:bCs/>
                <w:color w:val="000000"/>
                <w:szCs w:val="24"/>
                <w:lang w:val="en-IN" w:eastAsia="en-IN"/>
              </w:rPr>
              <w:t>2018 (in £ m)</w:t>
            </w:r>
          </w:p>
        </w:tc>
        <w:tc>
          <w:tcPr>
            <w:tcW w:w="672" w:type="pct"/>
            <w:tcBorders>
              <w:top w:val="nil"/>
              <w:left w:val="nil"/>
              <w:bottom w:val="single" w:sz="4" w:space="0" w:color="auto"/>
              <w:right w:val="single" w:sz="4" w:space="0" w:color="auto"/>
            </w:tcBorders>
            <w:shd w:val="clear" w:color="auto" w:fill="auto"/>
            <w:noWrap/>
            <w:vAlign w:val="center"/>
            <w:hideMark/>
          </w:tcPr>
          <w:p w14:paraId="4C2204E8" w14:textId="77777777" w:rsidR="00ED5344" w:rsidRPr="005C3BEB" w:rsidRDefault="00ED5344" w:rsidP="005C3BEB">
            <w:pPr>
              <w:spacing w:after="0" w:line="360" w:lineRule="auto"/>
              <w:jc w:val="both"/>
              <w:rPr>
                <w:rFonts w:eastAsia="Times New Roman" w:cs="Times New Roman"/>
                <w:b/>
                <w:bCs/>
                <w:color w:val="000000"/>
                <w:szCs w:val="24"/>
                <w:lang w:val="en-IN" w:eastAsia="en-IN"/>
              </w:rPr>
            </w:pPr>
            <w:r w:rsidRPr="005C3BEB">
              <w:rPr>
                <w:rFonts w:eastAsia="Times New Roman" w:cs="Times New Roman"/>
                <w:b/>
                <w:bCs/>
                <w:color w:val="000000"/>
                <w:szCs w:val="24"/>
                <w:lang w:val="en-IN" w:eastAsia="en-IN"/>
              </w:rPr>
              <w:t>2019 (in £ m)</w:t>
            </w:r>
          </w:p>
        </w:tc>
        <w:tc>
          <w:tcPr>
            <w:tcW w:w="672" w:type="pct"/>
            <w:tcBorders>
              <w:top w:val="nil"/>
              <w:left w:val="nil"/>
              <w:bottom w:val="single" w:sz="4" w:space="0" w:color="auto"/>
              <w:right w:val="single" w:sz="4" w:space="0" w:color="auto"/>
            </w:tcBorders>
            <w:shd w:val="clear" w:color="auto" w:fill="auto"/>
            <w:noWrap/>
            <w:vAlign w:val="center"/>
            <w:hideMark/>
          </w:tcPr>
          <w:p w14:paraId="502307C8" w14:textId="77777777" w:rsidR="00ED5344" w:rsidRPr="005C3BEB" w:rsidRDefault="00ED5344" w:rsidP="005C3BEB">
            <w:pPr>
              <w:spacing w:after="0" w:line="360" w:lineRule="auto"/>
              <w:jc w:val="both"/>
              <w:rPr>
                <w:rFonts w:eastAsia="Times New Roman" w:cs="Times New Roman"/>
                <w:b/>
                <w:bCs/>
                <w:color w:val="000000"/>
                <w:szCs w:val="24"/>
                <w:lang w:val="en-IN" w:eastAsia="en-IN"/>
              </w:rPr>
            </w:pPr>
            <w:r w:rsidRPr="005C3BEB">
              <w:rPr>
                <w:rFonts w:eastAsia="Times New Roman" w:cs="Times New Roman"/>
                <w:b/>
                <w:bCs/>
                <w:color w:val="000000"/>
                <w:szCs w:val="24"/>
                <w:lang w:val="en-IN" w:eastAsia="en-IN"/>
              </w:rPr>
              <w:t>2020 (in £ m)</w:t>
            </w:r>
          </w:p>
        </w:tc>
        <w:tc>
          <w:tcPr>
            <w:tcW w:w="672" w:type="pct"/>
            <w:tcBorders>
              <w:top w:val="nil"/>
              <w:left w:val="nil"/>
              <w:bottom w:val="single" w:sz="4" w:space="0" w:color="auto"/>
              <w:right w:val="single" w:sz="4" w:space="0" w:color="auto"/>
            </w:tcBorders>
            <w:shd w:val="clear" w:color="auto" w:fill="auto"/>
            <w:noWrap/>
            <w:vAlign w:val="center"/>
            <w:hideMark/>
          </w:tcPr>
          <w:p w14:paraId="6AEE52C7" w14:textId="77777777" w:rsidR="00ED5344" w:rsidRPr="005C3BEB" w:rsidRDefault="00ED5344" w:rsidP="005C3BEB">
            <w:pPr>
              <w:spacing w:after="0" w:line="360" w:lineRule="auto"/>
              <w:jc w:val="both"/>
              <w:rPr>
                <w:rFonts w:eastAsia="Times New Roman" w:cs="Times New Roman"/>
                <w:b/>
                <w:bCs/>
                <w:color w:val="000000"/>
                <w:szCs w:val="24"/>
                <w:lang w:val="en-IN" w:eastAsia="en-IN"/>
              </w:rPr>
            </w:pPr>
            <w:r w:rsidRPr="005C3BEB">
              <w:rPr>
                <w:rFonts w:eastAsia="Times New Roman" w:cs="Times New Roman"/>
                <w:b/>
                <w:bCs/>
                <w:color w:val="000000"/>
                <w:szCs w:val="24"/>
                <w:lang w:val="en-IN" w:eastAsia="en-IN"/>
              </w:rPr>
              <w:t>2021 (in £ m)</w:t>
            </w:r>
          </w:p>
        </w:tc>
        <w:tc>
          <w:tcPr>
            <w:tcW w:w="672" w:type="pct"/>
            <w:tcBorders>
              <w:top w:val="nil"/>
              <w:left w:val="nil"/>
              <w:bottom w:val="single" w:sz="4" w:space="0" w:color="auto"/>
              <w:right w:val="single" w:sz="4" w:space="0" w:color="auto"/>
            </w:tcBorders>
            <w:shd w:val="clear" w:color="auto" w:fill="auto"/>
            <w:noWrap/>
            <w:vAlign w:val="center"/>
            <w:hideMark/>
          </w:tcPr>
          <w:p w14:paraId="53EA954D" w14:textId="77777777" w:rsidR="00ED5344" w:rsidRPr="005C3BEB" w:rsidRDefault="00ED5344" w:rsidP="005C3BEB">
            <w:pPr>
              <w:spacing w:after="0" w:line="360" w:lineRule="auto"/>
              <w:jc w:val="both"/>
              <w:rPr>
                <w:rFonts w:eastAsia="Times New Roman" w:cs="Times New Roman"/>
                <w:b/>
                <w:bCs/>
                <w:color w:val="000000"/>
                <w:szCs w:val="24"/>
                <w:lang w:val="en-IN" w:eastAsia="en-IN"/>
              </w:rPr>
            </w:pPr>
            <w:r w:rsidRPr="005C3BEB">
              <w:rPr>
                <w:rFonts w:eastAsia="Times New Roman" w:cs="Times New Roman"/>
                <w:b/>
                <w:bCs/>
                <w:color w:val="000000"/>
                <w:szCs w:val="24"/>
                <w:lang w:val="en-IN" w:eastAsia="en-IN"/>
              </w:rPr>
              <w:t>2022 (in £ m)</w:t>
            </w:r>
          </w:p>
        </w:tc>
      </w:tr>
      <w:tr w:rsidR="00ED5344" w:rsidRPr="005C3BEB" w14:paraId="1A02D8A1" w14:textId="77777777" w:rsidTr="00546691">
        <w:trPr>
          <w:trHeight w:val="312"/>
        </w:trPr>
        <w:tc>
          <w:tcPr>
            <w:tcW w:w="1642" w:type="pct"/>
            <w:tcBorders>
              <w:top w:val="nil"/>
              <w:left w:val="single" w:sz="4" w:space="0" w:color="auto"/>
              <w:bottom w:val="single" w:sz="4" w:space="0" w:color="auto"/>
              <w:right w:val="single" w:sz="4" w:space="0" w:color="auto"/>
            </w:tcBorders>
            <w:shd w:val="clear" w:color="auto" w:fill="auto"/>
            <w:noWrap/>
            <w:vAlign w:val="center"/>
            <w:hideMark/>
          </w:tcPr>
          <w:p w14:paraId="51EF59F4"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 </w:t>
            </w:r>
          </w:p>
        </w:tc>
        <w:tc>
          <w:tcPr>
            <w:tcW w:w="672" w:type="pct"/>
            <w:tcBorders>
              <w:top w:val="nil"/>
              <w:left w:val="nil"/>
              <w:bottom w:val="single" w:sz="4" w:space="0" w:color="auto"/>
              <w:right w:val="single" w:sz="4" w:space="0" w:color="auto"/>
            </w:tcBorders>
            <w:shd w:val="clear" w:color="auto" w:fill="auto"/>
            <w:noWrap/>
            <w:vAlign w:val="center"/>
            <w:hideMark/>
          </w:tcPr>
          <w:p w14:paraId="665AD881"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 </w:t>
            </w:r>
          </w:p>
        </w:tc>
        <w:tc>
          <w:tcPr>
            <w:tcW w:w="672" w:type="pct"/>
            <w:tcBorders>
              <w:top w:val="nil"/>
              <w:left w:val="nil"/>
              <w:bottom w:val="single" w:sz="4" w:space="0" w:color="auto"/>
              <w:right w:val="single" w:sz="4" w:space="0" w:color="auto"/>
            </w:tcBorders>
            <w:shd w:val="clear" w:color="auto" w:fill="auto"/>
            <w:noWrap/>
            <w:vAlign w:val="center"/>
            <w:hideMark/>
          </w:tcPr>
          <w:p w14:paraId="4630B829"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 </w:t>
            </w:r>
          </w:p>
        </w:tc>
        <w:tc>
          <w:tcPr>
            <w:tcW w:w="672" w:type="pct"/>
            <w:tcBorders>
              <w:top w:val="nil"/>
              <w:left w:val="nil"/>
              <w:bottom w:val="single" w:sz="4" w:space="0" w:color="auto"/>
              <w:right w:val="single" w:sz="4" w:space="0" w:color="auto"/>
            </w:tcBorders>
            <w:shd w:val="clear" w:color="auto" w:fill="auto"/>
            <w:noWrap/>
            <w:vAlign w:val="center"/>
            <w:hideMark/>
          </w:tcPr>
          <w:p w14:paraId="5615DAEE"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 </w:t>
            </w:r>
          </w:p>
        </w:tc>
        <w:tc>
          <w:tcPr>
            <w:tcW w:w="672" w:type="pct"/>
            <w:tcBorders>
              <w:top w:val="nil"/>
              <w:left w:val="nil"/>
              <w:bottom w:val="single" w:sz="4" w:space="0" w:color="auto"/>
              <w:right w:val="single" w:sz="4" w:space="0" w:color="auto"/>
            </w:tcBorders>
            <w:shd w:val="clear" w:color="auto" w:fill="auto"/>
            <w:noWrap/>
            <w:vAlign w:val="center"/>
            <w:hideMark/>
          </w:tcPr>
          <w:p w14:paraId="1F7CB4BB"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 </w:t>
            </w:r>
          </w:p>
        </w:tc>
        <w:tc>
          <w:tcPr>
            <w:tcW w:w="672" w:type="pct"/>
            <w:tcBorders>
              <w:top w:val="nil"/>
              <w:left w:val="nil"/>
              <w:bottom w:val="single" w:sz="4" w:space="0" w:color="auto"/>
              <w:right w:val="single" w:sz="4" w:space="0" w:color="auto"/>
            </w:tcBorders>
            <w:shd w:val="clear" w:color="auto" w:fill="auto"/>
            <w:noWrap/>
            <w:vAlign w:val="center"/>
            <w:hideMark/>
          </w:tcPr>
          <w:p w14:paraId="0E2E1C5D"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 </w:t>
            </w:r>
          </w:p>
        </w:tc>
      </w:tr>
      <w:tr w:rsidR="00ED5344" w:rsidRPr="005C3BEB" w14:paraId="6A89F907" w14:textId="77777777" w:rsidTr="00546691">
        <w:trPr>
          <w:trHeight w:val="312"/>
        </w:trPr>
        <w:tc>
          <w:tcPr>
            <w:tcW w:w="1642" w:type="pct"/>
            <w:tcBorders>
              <w:top w:val="nil"/>
              <w:left w:val="single" w:sz="4" w:space="0" w:color="auto"/>
              <w:bottom w:val="single" w:sz="4" w:space="0" w:color="auto"/>
              <w:right w:val="single" w:sz="4" w:space="0" w:color="auto"/>
            </w:tcBorders>
            <w:shd w:val="clear" w:color="auto" w:fill="auto"/>
            <w:noWrap/>
            <w:vAlign w:val="center"/>
            <w:hideMark/>
          </w:tcPr>
          <w:p w14:paraId="7A3D5ED8"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Current Assets</w:t>
            </w:r>
          </w:p>
        </w:tc>
        <w:tc>
          <w:tcPr>
            <w:tcW w:w="672" w:type="pct"/>
            <w:tcBorders>
              <w:top w:val="nil"/>
              <w:left w:val="nil"/>
              <w:bottom w:val="single" w:sz="4" w:space="0" w:color="auto"/>
              <w:right w:val="single" w:sz="4" w:space="0" w:color="auto"/>
            </w:tcBorders>
            <w:shd w:val="clear" w:color="auto" w:fill="auto"/>
            <w:noWrap/>
            <w:vAlign w:val="bottom"/>
            <w:hideMark/>
          </w:tcPr>
          <w:p w14:paraId="1F6C73D1"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 xml:space="preserve"> £            1,803 </w:t>
            </w:r>
          </w:p>
        </w:tc>
        <w:tc>
          <w:tcPr>
            <w:tcW w:w="672" w:type="pct"/>
            <w:tcBorders>
              <w:top w:val="nil"/>
              <w:left w:val="nil"/>
              <w:bottom w:val="single" w:sz="4" w:space="0" w:color="auto"/>
              <w:right w:val="single" w:sz="4" w:space="0" w:color="auto"/>
            </w:tcBorders>
            <w:shd w:val="clear" w:color="auto" w:fill="auto"/>
            <w:noWrap/>
            <w:vAlign w:val="bottom"/>
            <w:hideMark/>
          </w:tcPr>
          <w:p w14:paraId="1EA3C968"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 xml:space="preserve"> £            1,588 </w:t>
            </w:r>
          </w:p>
        </w:tc>
        <w:tc>
          <w:tcPr>
            <w:tcW w:w="672" w:type="pct"/>
            <w:tcBorders>
              <w:top w:val="nil"/>
              <w:left w:val="nil"/>
              <w:bottom w:val="single" w:sz="4" w:space="0" w:color="auto"/>
              <w:right w:val="single" w:sz="4" w:space="0" w:color="auto"/>
            </w:tcBorders>
            <w:shd w:val="clear" w:color="auto" w:fill="auto"/>
            <w:noWrap/>
            <w:vAlign w:val="bottom"/>
            <w:hideMark/>
          </w:tcPr>
          <w:p w14:paraId="0C726244"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 xml:space="preserve"> £            2,982 </w:t>
            </w:r>
          </w:p>
        </w:tc>
        <w:tc>
          <w:tcPr>
            <w:tcW w:w="672" w:type="pct"/>
            <w:tcBorders>
              <w:top w:val="nil"/>
              <w:left w:val="nil"/>
              <w:bottom w:val="single" w:sz="4" w:space="0" w:color="auto"/>
              <w:right w:val="single" w:sz="4" w:space="0" w:color="auto"/>
            </w:tcBorders>
            <w:shd w:val="clear" w:color="auto" w:fill="auto"/>
            <w:noWrap/>
            <w:vAlign w:val="bottom"/>
            <w:hideMark/>
          </w:tcPr>
          <w:p w14:paraId="1B30891F"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 xml:space="preserve"> £            3,242 </w:t>
            </w:r>
          </w:p>
        </w:tc>
        <w:tc>
          <w:tcPr>
            <w:tcW w:w="672" w:type="pct"/>
            <w:tcBorders>
              <w:top w:val="nil"/>
              <w:left w:val="nil"/>
              <w:bottom w:val="single" w:sz="4" w:space="0" w:color="auto"/>
              <w:right w:val="single" w:sz="4" w:space="0" w:color="auto"/>
            </w:tcBorders>
            <w:shd w:val="clear" w:color="auto" w:fill="auto"/>
            <w:noWrap/>
            <w:vAlign w:val="bottom"/>
            <w:hideMark/>
          </w:tcPr>
          <w:p w14:paraId="30092981"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 xml:space="preserve"> £            3,015 </w:t>
            </w:r>
          </w:p>
        </w:tc>
      </w:tr>
      <w:tr w:rsidR="00ED5344" w:rsidRPr="005C3BEB" w14:paraId="7F8BDE8B" w14:textId="77777777" w:rsidTr="00546691">
        <w:trPr>
          <w:trHeight w:val="312"/>
        </w:trPr>
        <w:tc>
          <w:tcPr>
            <w:tcW w:w="1642" w:type="pct"/>
            <w:tcBorders>
              <w:top w:val="nil"/>
              <w:left w:val="single" w:sz="4" w:space="0" w:color="auto"/>
              <w:bottom w:val="single" w:sz="4" w:space="0" w:color="auto"/>
              <w:right w:val="single" w:sz="4" w:space="0" w:color="auto"/>
            </w:tcBorders>
            <w:shd w:val="clear" w:color="auto" w:fill="auto"/>
            <w:noWrap/>
            <w:vAlign w:val="center"/>
            <w:hideMark/>
          </w:tcPr>
          <w:p w14:paraId="4A23601A"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Current Liabilities</w:t>
            </w:r>
          </w:p>
        </w:tc>
        <w:tc>
          <w:tcPr>
            <w:tcW w:w="672" w:type="pct"/>
            <w:tcBorders>
              <w:top w:val="nil"/>
              <w:left w:val="nil"/>
              <w:bottom w:val="single" w:sz="4" w:space="0" w:color="auto"/>
              <w:right w:val="single" w:sz="4" w:space="0" w:color="auto"/>
            </w:tcBorders>
            <w:shd w:val="clear" w:color="auto" w:fill="auto"/>
            <w:noWrap/>
            <w:vAlign w:val="bottom"/>
            <w:hideMark/>
          </w:tcPr>
          <w:p w14:paraId="4A2AA820"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 xml:space="preserve"> £            2,082 </w:t>
            </w:r>
          </w:p>
        </w:tc>
        <w:tc>
          <w:tcPr>
            <w:tcW w:w="672" w:type="pct"/>
            <w:tcBorders>
              <w:top w:val="nil"/>
              <w:left w:val="nil"/>
              <w:bottom w:val="single" w:sz="4" w:space="0" w:color="auto"/>
              <w:right w:val="single" w:sz="4" w:space="0" w:color="auto"/>
            </w:tcBorders>
            <w:shd w:val="clear" w:color="auto" w:fill="auto"/>
            <w:noWrap/>
            <w:vAlign w:val="bottom"/>
            <w:hideMark/>
          </w:tcPr>
          <w:p w14:paraId="6180B5EE"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 xml:space="preserve"> £            1,989 </w:t>
            </w:r>
          </w:p>
        </w:tc>
        <w:tc>
          <w:tcPr>
            <w:tcW w:w="672" w:type="pct"/>
            <w:tcBorders>
              <w:top w:val="nil"/>
              <w:left w:val="nil"/>
              <w:bottom w:val="single" w:sz="4" w:space="0" w:color="auto"/>
              <w:right w:val="single" w:sz="4" w:space="0" w:color="auto"/>
            </w:tcBorders>
            <w:shd w:val="clear" w:color="auto" w:fill="auto"/>
            <w:noWrap/>
            <w:vAlign w:val="bottom"/>
            <w:hideMark/>
          </w:tcPr>
          <w:p w14:paraId="21D0514A"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 xml:space="preserve"> £            3,095 </w:t>
            </w:r>
          </w:p>
        </w:tc>
        <w:tc>
          <w:tcPr>
            <w:tcW w:w="672" w:type="pct"/>
            <w:tcBorders>
              <w:top w:val="nil"/>
              <w:left w:val="nil"/>
              <w:bottom w:val="single" w:sz="4" w:space="0" w:color="auto"/>
              <w:right w:val="single" w:sz="4" w:space="0" w:color="auto"/>
            </w:tcBorders>
            <w:shd w:val="clear" w:color="auto" w:fill="auto"/>
            <w:noWrap/>
            <w:vAlign w:val="bottom"/>
            <w:hideMark/>
          </w:tcPr>
          <w:p w14:paraId="4FCB57F4"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 xml:space="preserve"> £            2,725 </w:t>
            </w:r>
          </w:p>
        </w:tc>
        <w:tc>
          <w:tcPr>
            <w:tcW w:w="672" w:type="pct"/>
            <w:tcBorders>
              <w:top w:val="nil"/>
              <w:left w:val="nil"/>
              <w:bottom w:val="single" w:sz="4" w:space="0" w:color="auto"/>
              <w:right w:val="single" w:sz="4" w:space="0" w:color="auto"/>
            </w:tcBorders>
            <w:shd w:val="clear" w:color="auto" w:fill="auto"/>
            <w:noWrap/>
            <w:vAlign w:val="bottom"/>
            <w:hideMark/>
          </w:tcPr>
          <w:p w14:paraId="46F9FDD6"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 xml:space="preserve"> £            2,739 </w:t>
            </w:r>
          </w:p>
        </w:tc>
      </w:tr>
      <w:tr w:rsidR="00ED5344" w:rsidRPr="005C3BEB" w14:paraId="54541C33" w14:textId="77777777" w:rsidTr="00546691">
        <w:trPr>
          <w:trHeight w:val="312"/>
        </w:trPr>
        <w:tc>
          <w:tcPr>
            <w:tcW w:w="1642" w:type="pct"/>
            <w:tcBorders>
              <w:top w:val="nil"/>
              <w:left w:val="single" w:sz="4" w:space="0" w:color="auto"/>
              <w:bottom w:val="single" w:sz="4" w:space="0" w:color="auto"/>
              <w:right w:val="single" w:sz="4" w:space="0" w:color="auto"/>
            </w:tcBorders>
            <w:shd w:val="clear" w:color="auto" w:fill="auto"/>
            <w:noWrap/>
            <w:vAlign w:val="center"/>
            <w:hideMark/>
          </w:tcPr>
          <w:p w14:paraId="33E5789A"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 </w:t>
            </w:r>
          </w:p>
        </w:tc>
        <w:tc>
          <w:tcPr>
            <w:tcW w:w="672" w:type="pct"/>
            <w:tcBorders>
              <w:top w:val="nil"/>
              <w:left w:val="nil"/>
              <w:bottom w:val="single" w:sz="4" w:space="0" w:color="auto"/>
              <w:right w:val="single" w:sz="4" w:space="0" w:color="auto"/>
            </w:tcBorders>
            <w:shd w:val="clear" w:color="auto" w:fill="auto"/>
            <w:noWrap/>
            <w:vAlign w:val="center"/>
            <w:hideMark/>
          </w:tcPr>
          <w:p w14:paraId="05507A66"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 </w:t>
            </w:r>
          </w:p>
        </w:tc>
        <w:tc>
          <w:tcPr>
            <w:tcW w:w="672" w:type="pct"/>
            <w:tcBorders>
              <w:top w:val="nil"/>
              <w:left w:val="nil"/>
              <w:bottom w:val="single" w:sz="4" w:space="0" w:color="auto"/>
              <w:right w:val="single" w:sz="4" w:space="0" w:color="auto"/>
            </w:tcBorders>
            <w:shd w:val="clear" w:color="auto" w:fill="auto"/>
            <w:noWrap/>
            <w:vAlign w:val="center"/>
            <w:hideMark/>
          </w:tcPr>
          <w:p w14:paraId="7B745558"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 </w:t>
            </w:r>
          </w:p>
        </w:tc>
        <w:tc>
          <w:tcPr>
            <w:tcW w:w="672" w:type="pct"/>
            <w:tcBorders>
              <w:top w:val="nil"/>
              <w:left w:val="nil"/>
              <w:bottom w:val="single" w:sz="4" w:space="0" w:color="auto"/>
              <w:right w:val="single" w:sz="4" w:space="0" w:color="auto"/>
            </w:tcBorders>
            <w:shd w:val="clear" w:color="auto" w:fill="auto"/>
            <w:noWrap/>
            <w:vAlign w:val="center"/>
            <w:hideMark/>
          </w:tcPr>
          <w:p w14:paraId="38FB1D4F"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 </w:t>
            </w:r>
          </w:p>
        </w:tc>
        <w:tc>
          <w:tcPr>
            <w:tcW w:w="672" w:type="pct"/>
            <w:tcBorders>
              <w:top w:val="nil"/>
              <w:left w:val="nil"/>
              <w:bottom w:val="single" w:sz="4" w:space="0" w:color="auto"/>
              <w:right w:val="single" w:sz="4" w:space="0" w:color="auto"/>
            </w:tcBorders>
            <w:shd w:val="clear" w:color="auto" w:fill="auto"/>
            <w:noWrap/>
            <w:vAlign w:val="center"/>
            <w:hideMark/>
          </w:tcPr>
          <w:p w14:paraId="14A041C9"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 </w:t>
            </w:r>
          </w:p>
        </w:tc>
        <w:tc>
          <w:tcPr>
            <w:tcW w:w="672" w:type="pct"/>
            <w:tcBorders>
              <w:top w:val="nil"/>
              <w:left w:val="nil"/>
              <w:bottom w:val="single" w:sz="4" w:space="0" w:color="auto"/>
              <w:right w:val="single" w:sz="4" w:space="0" w:color="auto"/>
            </w:tcBorders>
            <w:shd w:val="clear" w:color="auto" w:fill="auto"/>
            <w:noWrap/>
            <w:vAlign w:val="center"/>
            <w:hideMark/>
          </w:tcPr>
          <w:p w14:paraId="63086694"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 </w:t>
            </w:r>
          </w:p>
        </w:tc>
      </w:tr>
      <w:tr w:rsidR="00ED5344" w:rsidRPr="005C3BEB" w14:paraId="2564395B" w14:textId="77777777" w:rsidTr="00546691">
        <w:trPr>
          <w:trHeight w:val="312"/>
        </w:trPr>
        <w:tc>
          <w:tcPr>
            <w:tcW w:w="1642" w:type="pct"/>
            <w:tcBorders>
              <w:top w:val="nil"/>
              <w:left w:val="single" w:sz="4" w:space="0" w:color="auto"/>
              <w:bottom w:val="single" w:sz="4" w:space="0" w:color="auto"/>
              <w:right w:val="single" w:sz="4" w:space="0" w:color="auto"/>
            </w:tcBorders>
            <w:shd w:val="clear" w:color="auto" w:fill="auto"/>
            <w:noWrap/>
            <w:vAlign w:val="center"/>
            <w:hideMark/>
          </w:tcPr>
          <w:p w14:paraId="39CAA19A" w14:textId="77777777" w:rsidR="00ED5344" w:rsidRPr="005C3BEB" w:rsidRDefault="00ED5344" w:rsidP="005C3BEB">
            <w:pPr>
              <w:spacing w:after="0" w:line="360" w:lineRule="auto"/>
              <w:jc w:val="both"/>
              <w:rPr>
                <w:rFonts w:eastAsia="Times New Roman" w:cs="Times New Roman"/>
                <w:b/>
                <w:bCs/>
                <w:color w:val="000000"/>
                <w:szCs w:val="24"/>
                <w:lang w:val="en-IN" w:eastAsia="en-IN"/>
              </w:rPr>
            </w:pPr>
            <w:r w:rsidRPr="005C3BEB">
              <w:rPr>
                <w:rFonts w:eastAsia="Times New Roman" w:cs="Times New Roman"/>
                <w:b/>
                <w:bCs/>
                <w:color w:val="000000"/>
                <w:szCs w:val="24"/>
                <w:lang w:val="en-IN" w:eastAsia="en-IN"/>
              </w:rPr>
              <w:t>Current Ratio</w:t>
            </w:r>
          </w:p>
        </w:tc>
        <w:tc>
          <w:tcPr>
            <w:tcW w:w="672" w:type="pct"/>
            <w:tcBorders>
              <w:top w:val="nil"/>
              <w:left w:val="nil"/>
              <w:bottom w:val="single" w:sz="4" w:space="0" w:color="auto"/>
              <w:right w:val="single" w:sz="4" w:space="0" w:color="auto"/>
            </w:tcBorders>
            <w:shd w:val="clear" w:color="auto" w:fill="auto"/>
            <w:noWrap/>
            <w:vAlign w:val="center"/>
            <w:hideMark/>
          </w:tcPr>
          <w:p w14:paraId="2DA658F4" w14:textId="77777777" w:rsidR="00ED5344" w:rsidRPr="005C3BEB" w:rsidRDefault="00ED5344" w:rsidP="005C3BEB">
            <w:pPr>
              <w:spacing w:after="0" w:line="360" w:lineRule="auto"/>
              <w:jc w:val="both"/>
              <w:rPr>
                <w:rFonts w:eastAsia="Times New Roman" w:cs="Times New Roman"/>
                <w:b/>
                <w:bCs/>
                <w:color w:val="000000"/>
                <w:szCs w:val="24"/>
                <w:lang w:val="en-IN" w:eastAsia="en-IN"/>
              </w:rPr>
            </w:pPr>
            <w:r w:rsidRPr="005C3BEB">
              <w:rPr>
                <w:rFonts w:eastAsia="Times New Roman" w:cs="Times New Roman"/>
                <w:b/>
                <w:bCs/>
                <w:color w:val="000000"/>
                <w:szCs w:val="24"/>
                <w:lang w:val="en-IN" w:eastAsia="en-IN"/>
              </w:rPr>
              <w:t>0.87</w:t>
            </w:r>
          </w:p>
        </w:tc>
        <w:tc>
          <w:tcPr>
            <w:tcW w:w="672" w:type="pct"/>
            <w:tcBorders>
              <w:top w:val="nil"/>
              <w:left w:val="nil"/>
              <w:bottom w:val="single" w:sz="4" w:space="0" w:color="auto"/>
              <w:right w:val="single" w:sz="4" w:space="0" w:color="auto"/>
            </w:tcBorders>
            <w:shd w:val="clear" w:color="auto" w:fill="auto"/>
            <w:noWrap/>
            <w:vAlign w:val="center"/>
            <w:hideMark/>
          </w:tcPr>
          <w:p w14:paraId="61AF5178" w14:textId="77777777" w:rsidR="00ED5344" w:rsidRPr="005C3BEB" w:rsidRDefault="00ED5344" w:rsidP="005C3BEB">
            <w:pPr>
              <w:spacing w:after="0" w:line="360" w:lineRule="auto"/>
              <w:jc w:val="both"/>
              <w:rPr>
                <w:rFonts w:eastAsia="Times New Roman" w:cs="Times New Roman"/>
                <w:b/>
                <w:bCs/>
                <w:color w:val="000000"/>
                <w:szCs w:val="24"/>
                <w:lang w:val="en-IN" w:eastAsia="en-IN"/>
              </w:rPr>
            </w:pPr>
            <w:r w:rsidRPr="005C3BEB">
              <w:rPr>
                <w:rFonts w:eastAsia="Times New Roman" w:cs="Times New Roman"/>
                <w:b/>
                <w:bCs/>
                <w:color w:val="000000"/>
                <w:szCs w:val="24"/>
                <w:lang w:val="en-IN" w:eastAsia="en-IN"/>
              </w:rPr>
              <w:t>0.80</w:t>
            </w:r>
          </w:p>
        </w:tc>
        <w:tc>
          <w:tcPr>
            <w:tcW w:w="672" w:type="pct"/>
            <w:tcBorders>
              <w:top w:val="nil"/>
              <w:left w:val="nil"/>
              <w:bottom w:val="single" w:sz="4" w:space="0" w:color="auto"/>
              <w:right w:val="single" w:sz="4" w:space="0" w:color="auto"/>
            </w:tcBorders>
            <w:shd w:val="clear" w:color="auto" w:fill="auto"/>
            <w:noWrap/>
            <w:vAlign w:val="center"/>
            <w:hideMark/>
          </w:tcPr>
          <w:p w14:paraId="1DD557B7" w14:textId="77777777" w:rsidR="00ED5344" w:rsidRPr="005C3BEB" w:rsidRDefault="00ED5344" w:rsidP="005C3BEB">
            <w:pPr>
              <w:spacing w:after="0" w:line="360" w:lineRule="auto"/>
              <w:jc w:val="both"/>
              <w:rPr>
                <w:rFonts w:eastAsia="Times New Roman" w:cs="Times New Roman"/>
                <w:b/>
                <w:bCs/>
                <w:color w:val="000000"/>
                <w:szCs w:val="24"/>
                <w:lang w:val="en-IN" w:eastAsia="en-IN"/>
              </w:rPr>
            </w:pPr>
            <w:r w:rsidRPr="005C3BEB">
              <w:rPr>
                <w:rFonts w:eastAsia="Times New Roman" w:cs="Times New Roman"/>
                <w:b/>
                <w:bCs/>
                <w:color w:val="000000"/>
                <w:szCs w:val="24"/>
                <w:lang w:val="en-IN" w:eastAsia="en-IN"/>
              </w:rPr>
              <w:t>0.96</w:t>
            </w:r>
          </w:p>
        </w:tc>
        <w:tc>
          <w:tcPr>
            <w:tcW w:w="672" w:type="pct"/>
            <w:tcBorders>
              <w:top w:val="nil"/>
              <w:left w:val="nil"/>
              <w:bottom w:val="single" w:sz="4" w:space="0" w:color="auto"/>
              <w:right w:val="single" w:sz="4" w:space="0" w:color="auto"/>
            </w:tcBorders>
            <w:shd w:val="clear" w:color="auto" w:fill="auto"/>
            <w:noWrap/>
            <w:vAlign w:val="center"/>
            <w:hideMark/>
          </w:tcPr>
          <w:p w14:paraId="1C92C945" w14:textId="77777777" w:rsidR="00ED5344" w:rsidRPr="005C3BEB" w:rsidRDefault="00ED5344" w:rsidP="005C3BEB">
            <w:pPr>
              <w:spacing w:after="0" w:line="360" w:lineRule="auto"/>
              <w:jc w:val="both"/>
              <w:rPr>
                <w:rFonts w:eastAsia="Times New Roman" w:cs="Times New Roman"/>
                <w:b/>
                <w:bCs/>
                <w:color w:val="000000"/>
                <w:szCs w:val="24"/>
                <w:lang w:val="en-IN" w:eastAsia="en-IN"/>
              </w:rPr>
            </w:pPr>
            <w:r w:rsidRPr="005C3BEB">
              <w:rPr>
                <w:rFonts w:eastAsia="Times New Roman" w:cs="Times New Roman"/>
                <w:b/>
                <w:bCs/>
                <w:color w:val="000000"/>
                <w:szCs w:val="24"/>
                <w:lang w:val="en-IN" w:eastAsia="en-IN"/>
              </w:rPr>
              <w:t>1.19</w:t>
            </w:r>
          </w:p>
        </w:tc>
        <w:tc>
          <w:tcPr>
            <w:tcW w:w="672" w:type="pct"/>
            <w:tcBorders>
              <w:top w:val="nil"/>
              <w:left w:val="nil"/>
              <w:bottom w:val="single" w:sz="4" w:space="0" w:color="auto"/>
              <w:right w:val="single" w:sz="4" w:space="0" w:color="auto"/>
            </w:tcBorders>
            <w:shd w:val="clear" w:color="auto" w:fill="auto"/>
            <w:noWrap/>
            <w:vAlign w:val="center"/>
            <w:hideMark/>
          </w:tcPr>
          <w:p w14:paraId="464021F9" w14:textId="77777777" w:rsidR="00ED5344" w:rsidRPr="005C3BEB" w:rsidRDefault="00ED5344" w:rsidP="005C3BEB">
            <w:pPr>
              <w:spacing w:after="0" w:line="360" w:lineRule="auto"/>
              <w:jc w:val="both"/>
              <w:rPr>
                <w:rFonts w:eastAsia="Times New Roman" w:cs="Times New Roman"/>
                <w:b/>
                <w:bCs/>
                <w:color w:val="000000"/>
                <w:szCs w:val="24"/>
                <w:lang w:val="en-IN" w:eastAsia="en-IN"/>
              </w:rPr>
            </w:pPr>
            <w:r w:rsidRPr="005C3BEB">
              <w:rPr>
                <w:rFonts w:eastAsia="Times New Roman" w:cs="Times New Roman"/>
                <w:b/>
                <w:bCs/>
                <w:color w:val="000000"/>
                <w:szCs w:val="24"/>
                <w:lang w:val="en-IN" w:eastAsia="en-IN"/>
              </w:rPr>
              <w:t>1.10</w:t>
            </w:r>
          </w:p>
        </w:tc>
      </w:tr>
      <w:tr w:rsidR="00ED5344" w:rsidRPr="005C3BEB" w14:paraId="4F09A51C" w14:textId="77777777" w:rsidTr="00546691">
        <w:trPr>
          <w:trHeight w:val="312"/>
        </w:trPr>
        <w:tc>
          <w:tcPr>
            <w:tcW w:w="1642" w:type="pct"/>
            <w:tcBorders>
              <w:top w:val="nil"/>
              <w:left w:val="single" w:sz="4" w:space="0" w:color="auto"/>
              <w:bottom w:val="single" w:sz="4" w:space="0" w:color="auto"/>
              <w:right w:val="single" w:sz="4" w:space="0" w:color="auto"/>
            </w:tcBorders>
            <w:shd w:val="clear" w:color="auto" w:fill="auto"/>
            <w:noWrap/>
            <w:vAlign w:val="center"/>
            <w:hideMark/>
          </w:tcPr>
          <w:p w14:paraId="10F9211E"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 xml:space="preserve">(Current Assets / Current </w:t>
            </w:r>
            <w:r w:rsidRPr="005C3BEB">
              <w:rPr>
                <w:rFonts w:eastAsia="Times New Roman" w:cs="Times New Roman"/>
                <w:color w:val="000000"/>
                <w:szCs w:val="24"/>
                <w:lang w:val="en-IN" w:eastAsia="en-IN"/>
              </w:rPr>
              <w:lastRenderedPageBreak/>
              <w:t>Liabilities)</w:t>
            </w:r>
          </w:p>
        </w:tc>
        <w:tc>
          <w:tcPr>
            <w:tcW w:w="672" w:type="pct"/>
            <w:tcBorders>
              <w:top w:val="nil"/>
              <w:left w:val="nil"/>
              <w:bottom w:val="single" w:sz="4" w:space="0" w:color="auto"/>
              <w:right w:val="single" w:sz="4" w:space="0" w:color="auto"/>
            </w:tcBorders>
            <w:shd w:val="clear" w:color="auto" w:fill="auto"/>
            <w:noWrap/>
            <w:vAlign w:val="center"/>
            <w:hideMark/>
          </w:tcPr>
          <w:p w14:paraId="40783332"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lastRenderedPageBreak/>
              <w:t> </w:t>
            </w:r>
          </w:p>
        </w:tc>
        <w:tc>
          <w:tcPr>
            <w:tcW w:w="672" w:type="pct"/>
            <w:tcBorders>
              <w:top w:val="nil"/>
              <w:left w:val="nil"/>
              <w:bottom w:val="single" w:sz="4" w:space="0" w:color="auto"/>
              <w:right w:val="single" w:sz="4" w:space="0" w:color="auto"/>
            </w:tcBorders>
            <w:shd w:val="clear" w:color="auto" w:fill="auto"/>
            <w:noWrap/>
            <w:vAlign w:val="center"/>
            <w:hideMark/>
          </w:tcPr>
          <w:p w14:paraId="5E50E0F3"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 </w:t>
            </w:r>
          </w:p>
        </w:tc>
        <w:tc>
          <w:tcPr>
            <w:tcW w:w="672" w:type="pct"/>
            <w:tcBorders>
              <w:top w:val="nil"/>
              <w:left w:val="nil"/>
              <w:bottom w:val="single" w:sz="4" w:space="0" w:color="auto"/>
              <w:right w:val="single" w:sz="4" w:space="0" w:color="auto"/>
            </w:tcBorders>
            <w:shd w:val="clear" w:color="auto" w:fill="auto"/>
            <w:noWrap/>
            <w:vAlign w:val="center"/>
            <w:hideMark/>
          </w:tcPr>
          <w:p w14:paraId="5FD2B7AC"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 </w:t>
            </w:r>
          </w:p>
        </w:tc>
        <w:tc>
          <w:tcPr>
            <w:tcW w:w="672" w:type="pct"/>
            <w:tcBorders>
              <w:top w:val="nil"/>
              <w:left w:val="nil"/>
              <w:bottom w:val="single" w:sz="4" w:space="0" w:color="auto"/>
              <w:right w:val="single" w:sz="4" w:space="0" w:color="auto"/>
            </w:tcBorders>
            <w:shd w:val="clear" w:color="auto" w:fill="auto"/>
            <w:noWrap/>
            <w:vAlign w:val="center"/>
            <w:hideMark/>
          </w:tcPr>
          <w:p w14:paraId="31DD22D1"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 </w:t>
            </w:r>
          </w:p>
        </w:tc>
        <w:tc>
          <w:tcPr>
            <w:tcW w:w="672" w:type="pct"/>
            <w:tcBorders>
              <w:top w:val="nil"/>
              <w:left w:val="nil"/>
              <w:bottom w:val="single" w:sz="4" w:space="0" w:color="auto"/>
              <w:right w:val="single" w:sz="4" w:space="0" w:color="auto"/>
            </w:tcBorders>
            <w:shd w:val="clear" w:color="auto" w:fill="auto"/>
            <w:noWrap/>
            <w:vAlign w:val="center"/>
            <w:hideMark/>
          </w:tcPr>
          <w:p w14:paraId="0B8D83E5"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 </w:t>
            </w:r>
          </w:p>
        </w:tc>
      </w:tr>
    </w:tbl>
    <w:p w14:paraId="400FF080" w14:textId="77777777" w:rsidR="00ED5344" w:rsidRPr="005C3BEB" w:rsidRDefault="00ED5344" w:rsidP="005C3BEB">
      <w:pPr>
        <w:spacing w:line="360" w:lineRule="auto"/>
        <w:jc w:val="both"/>
        <w:rPr>
          <w:rFonts w:cs="Times New Roman"/>
          <w:szCs w:val="24"/>
        </w:rPr>
      </w:pPr>
    </w:p>
    <w:p w14:paraId="3E8A235C" w14:textId="77777777" w:rsidR="00ED5344" w:rsidRPr="005C3BEB" w:rsidRDefault="00ED5344" w:rsidP="005C3BEB">
      <w:pPr>
        <w:pStyle w:val="ListParagraph"/>
        <w:numPr>
          <w:ilvl w:val="0"/>
          <w:numId w:val="21"/>
        </w:numPr>
        <w:spacing w:line="360" w:lineRule="auto"/>
        <w:jc w:val="both"/>
        <w:rPr>
          <w:rFonts w:cs="Times New Roman"/>
          <w:b/>
          <w:bCs/>
          <w:szCs w:val="24"/>
        </w:rPr>
      </w:pPr>
      <w:r w:rsidRPr="005C3BEB">
        <w:rPr>
          <w:rFonts w:cs="Times New Roman"/>
          <w:b/>
          <w:bCs/>
          <w:szCs w:val="24"/>
        </w:rPr>
        <w:t>Quick Ratio:</w:t>
      </w:r>
    </w:p>
    <w:p w14:paraId="547B577D" w14:textId="77777777" w:rsidR="00ED5344" w:rsidRPr="005C3BEB" w:rsidRDefault="00ED5344" w:rsidP="005C3BEB">
      <w:pPr>
        <w:spacing w:line="360" w:lineRule="auto"/>
        <w:jc w:val="both"/>
        <w:rPr>
          <w:rFonts w:cs="Times New Roman"/>
          <w:szCs w:val="24"/>
        </w:rPr>
      </w:pPr>
      <w:r w:rsidRPr="005C3BEB">
        <w:rPr>
          <w:rFonts w:cs="Times New Roman"/>
          <w:szCs w:val="24"/>
        </w:rPr>
        <w:t>Quick ratio is also one the liquidity ratio which reflects similar attribute of a business of its short-term obligation repayment against the ultra-current assets of the business. This ratio does not include inventory in considering the current assets because of the time taken to convert this asset into cash. However, apart from this, calculation of quick ratio is like that of current ratio (Purnomo, 2018).</w:t>
      </w:r>
    </w:p>
    <w:p w14:paraId="1AD832CD" w14:textId="77777777" w:rsidR="00ED5344" w:rsidRPr="005C3BEB" w:rsidRDefault="00ED5344" w:rsidP="005C3BEB">
      <w:pPr>
        <w:spacing w:line="360" w:lineRule="auto"/>
        <w:jc w:val="both"/>
        <w:rPr>
          <w:rFonts w:cs="Times New Roman"/>
          <w:szCs w:val="24"/>
        </w:rPr>
      </w:pPr>
      <w:r w:rsidRPr="005C3BEB">
        <w:rPr>
          <w:rFonts w:cs="Times New Roman"/>
          <w:szCs w:val="24"/>
        </w:rPr>
        <w:t>As inventory of the business is not significant compared with the current assets of the business. Quick ratio also reflects similar picture as company focusing on enhancing its current assets with the passing time. Quick ratio of Royal mail was 0.85 in the year 2018 and in year 2021, quick ratio was highest with the ratio of 1.18.</w:t>
      </w:r>
    </w:p>
    <w:tbl>
      <w:tblPr>
        <w:tblW w:w="5000" w:type="pct"/>
        <w:tblLook w:val="04A0" w:firstRow="1" w:lastRow="0" w:firstColumn="1" w:lastColumn="0" w:noHBand="0" w:noVBand="1"/>
      </w:tblPr>
      <w:tblGrid>
        <w:gridCol w:w="3176"/>
        <w:gridCol w:w="1168"/>
        <w:gridCol w:w="1168"/>
        <w:gridCol w:w="1168"/>
        <w:gridCol w:w="1168"/>
        <w:gridCol w:w="1168"/>
      </w:tblGrid>
      <w:tr w:rsidR="00ED5344" w:rsidRPr="005C3BEB" w14:paraId="7FD28530" w14:textId="77777777" w:rsidTr="00546691">
        <w:trPr>
          <w:trHeight w:val="624"/>
        </w:trPr>
        <w:tc>
          <w:tcPr>
            <w:tcW w:w="192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3219486" w14:textId="77777777" w:rsidR="00ED5344" w:rsidRPr="005C3BEB" w:rsidRDefault="00ED5344" w:rsidP="005C3BEB">
            <w:pPr>
              <w:spacing w:after="0" w:line="360" w:lineRule="auto"/>
              <w:jc w:val="both"/>
              <w:rPr>
                <w:rFonts w:eastAsia="Times New Roman" w:cs="Times New Roman"/>
                <w:b/>
                <w:bCs/>
                <w:color w:val="000000"/>
                <w:szCs w:val="24"/>
                <w:lang w:val="en-IN" w:eastAsia="en-IN"/>
              </w:rPr>
            </w:pPr>
          </w:p>
        </w:tc>
        <w:tc>
          <w:tcPr>
            <w:tcW w:w="615" w:type="pct"/>
            <w:tcBorders>
              <w:top w:val="single" w:sz="4" w:space="0" w:color="auto"/>
              <w:left w:val="nil"/>
              <w:bottom w:val="single" w:sz="4" w:space="0" w:color="auto"/>
              <w:right w:val="single" w:sz="4" w:space="0" w:color="auto"/>
            </w:tcBorders>
            <w:shd w:val="clear" w:color="auto" w:fill="auto"/>
            <w:noWrap/>
            <w:vAlign w:val="bottom"/>
            <w:hideMark/>
          </w:tcPr>
          <w:p w14:paraId="6A4BBF67"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 </w:t>
            </w:r>
          </w:p>
        </w:tc>
        <w:tc>
          <w:tcPr>
            <w:tcW w:w="615" w:type="pct"/>
            <w:tcBorders>
              <w:top w:val="single" w:sz="4" w:space="0" w:color="auto"/>
              <w:left w:val="nil"/>
              <w:bottom w:val="single" w:sz="4" w:space="0" w:color="auto"/>
              <w:right w:val="single" w:sz="4" w:space="0" w:color="auto"/>
            </w:tcBorders>
            <w:shd w:val="clear" w:color="auto" w:fill="auto"/>
            <w:noWrap/>
            <w:vAlign w:val="bottom"/>
            <w:hideMark/>
          </w:tcPr>
          <w:p w14:paraId="76FAD3D1"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 </w:t>
            </w:r>
          </w:p>
        </w:tc>
        <w:tc>
          <w:tcPr>
            <w:tcW w:w="615" w:type="pct"/>
            <w:tcBorders>
              <w:top w:val="single" w:sz="4" w:space="0" w:color="auto"/>
              <w:left w:val="nil"/>
              <w:bottom w:val="single" w:sz="4" w:space="0" w:color="auto"/>
              <w:right w:val="single" w:sz="4" w:space="0" w:color="auto"/>
            </w:tcBorders>
            <w:shd w:val="clear" w:color="auto" w:fill="auto"/>
            <w:noWrap/>
            <w:vAlign w:val="bottom"/>
            <w:hideMark/>
          </w:tcPr>
          <w:p w14:paraId="0F9CED5E"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 </w:t>
            </w:r>
          </w:p>
        </w:tc>
        <w:tc>
          <w:tcPr>
            <w:tcW w:w="615" w:type="pct"/>
            <w:tcBorders>
              <w:top w:val="single" w:sz="4" w:space="0" w:color="auto"/>
              <w:left w:val="nil"/>
              <w:bottom w:val="single" w:sz="4" w:space="0" w:color="auto"/>
              <w:right w:val="single" w:sz="4" w:space="0" w:color="auto"/>
            </w:tcBorders>
            <w:shd w:val="clear" w:color="auto" w:fill="auto"/>
            <w:noWrap/>
            <w:vAlign w:val="bottom"/>
            <w:hideMark/>
          </w:tcPr>
          <w:p w14:paraId="124AED1E"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 </w:t>
            </w:r>
          </w:p>
        </w:tc>
        <w:tc>
          <w:tcPr>
            <w:tcW w:w="615" w:type="pct"/>
            <w:tcBorders>
              <w:top w:val="single" w:sz="4" w:space="0" w:color="auto"/>
              <w:left w:val="nil"/>
              <w:bottom w:val="single" w:sz="4" w:space="0" w:color="auto"/>
              <w:right w:val="single" w:sz="4" w:space="0" w:color="auto"/>
            </w:tcBorders>
            <w:shd w:val="clear" w:color="auto" w:fill="auto"/>
            <w:noWrap/>
            <w:vAlign w:val="bottom"/>
            <w:hideMark/>
          </w:tcPr>
          <w:p w14:paraId="5F7753B1"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 </w:t>
            </w:r>
          </w:p>
        </w:tc>
      </w:tr>
      <w:tr w:rsidR="00ED5344" w:rsidRPr="005C3BEB" w14:paraId="0AEA6FD8" w14:textId="77777777" w:rsidTr="00546691">
        <w:trPr>
          <w:trHeight w:val="312"/>
        </w:trPr>
        <w:tc>
          <w:tcPr>
            <w:tcW w:w="1925" w:type="pct"/>
            <w:tcBorders>
              <w:top w:val="nil"/>
              <w:left w:val="single" w:sz="4" w:space="0" w:color="auto"/>
              <w:bottom w:val="single" w:sz="4" w:space="0" w:color="auto"/>
              <w:right w:val="single" w:sz="4" w:space="0" w:color="auto"/>
            </w:tcBorders>
            <w:shd w:val="clear" w:color="auto" w:fill="auto"/>
            <w:noWrap/>
            <w:vAlign w:val="center"/>
            <w:hideMark/>
          </w:tcPr>
          <w:p w14:paraId="4A4C851D" w14:textId="77777777" w:rsidR="00ED5344" w:rsidRPr="005C3BEB" w:rsidRDefault="00ED5344" w:rsidP="005C3BEB">
            <w:pPr>
              <w:spacing w:after="0" w:line="360" w:lineRule="auto"/>
              <w:jc w:val="both"/>
              <w:rPr>
                <w:rFonts w:eastAsia="Times New Roman" w:cs="Times New Roman"/>
                <w:b/>
                <w:bCs/>
                <w:color w:val="000000"/>
                <w:szCs w:val="24"/>
                <w:lang w:val="en-IN" w:eastAsia="en-IN"/>
              </w:rPr>
            </w:pPr>
            <w:r w:rsidRPr="005C3BEB">
              <w:rPr>
                <w:rFonts w:eastAsia="Times New Roman" w:cs="Times New Roman"/>
                <w:b/>
                <w:bCs/>
                <w:color w:val="000000"/>
                <w:szCs w:val="24"/>
                <w:lang w:val="en-IN" w:eastAsia="en-IN"/>
              </w:rPr>
              <w:t>Particulars</w:t>
            </w:r>
          </w:p>
        </w:tc>
        <w:tc>
          <w:tcPr>
            <w:tcW w:w="615" w:type="pct"/>
            <w:tcBorders>
              <w:top w:val="nil"/>
              <w:left w:val="nil"/>
              <w:bottom w:val="single" w:sz="4" w:space="0" w:color="auto"/>
              <w:right w:val="single" w:sz="4" w:space="0" w:color="auto"/>
            </w:tcBorders>
            <w:shd w:val="clear" w:color="auto" w:fill="auto"/>
            <w:noWrap/>
            <w:vAlign w:val="center"/>
            <w:hideMark/>
          </w:tcPr>
          <w:p w14:paraId="749B7AFB" w14:textId="77777777" w:rsidR="00ED5344" w:rsidRPr="005C3BEB" w:rsidRDefault="00ED5344" w:rsidP="005C3BEB">
            <w:pPr>
              <w:spacing w:after="0" w:line="360" w:lineRule="auto"/>
              <w:jc w:val="both"/>
              <w:rPr>
                <w:rFonts w:eastAsia="Times New Roman" w:cs="Times New Roman"/>
                <w:b/>
                <w:bCs/>
                <w:color w:val="000000"/>
                <w:szCs w:val="24"/>
                <w:lang w:val="en-IN" w:eastAsia="en-IN"/>
              </w:rPr>
            </w:pPr>
            <w:r w:rsidRPr="005C3BEB">
              <w:rPr>
                <w:rFonts w:eastAsia="Times New Roman" w:cs="Times New Roman"/>
                <w:b/>
                <w:bCs/>
                <w:color w:val="000000"/>
                <w:szCs w:val="24"/>
                <w:lang w:val="en-IN" w:eastAsia="en-IN"/>
              </w:rPr>
              <w:t>2018 (in £ m)</w:t>
            </w:r>
          </w:p>
        </w:tc>
        <w:tc>
          <w:tcPr>
            <w:tcW w:w="615" w:type="pct"/>
            <w:tcBorders>
              <w:top w:val="nil"/>
              <w:left w:val="nil"/>
              <w:bottom w:val="single" w:sz="4" w:space="0" w:color="auto"/>
              <w:right w:val="single" w:sz="4" w:space="0" w:color="auto"/>
            </w:tcBorders>
            <w:shd w:val="clear" w:color="auto" w:fill="auto"/>
            <w:noWrap/>
            <w:vAlign w:val="center"/>
            <w:hideMark/>
          </w:tcPr>
          <w:p w14:paraId="0BC9DA09" w14:textId="77777777" w:rsidR="00ED5344" w:rsidRPr="005C3BEB" w:rsidRDefault="00ED5344" w:rsidP="005C3BEB">
            <w:pPr>
              <w:spacing w:after="0" w:line="360" w:lineRule="auto"/>
              <w:jc w:val="both"/>
              <w:rPr>
                <w:rFonts w:eastAsia="Times New Roman" w:cs="Times New Roman"/>
                <w:b/>
                <w:bCs/>
                <w:color w:val="000000"/>
                <w:szCs w:val="24"/>
                <w:lang w:val="en-IN" w:eastAsia="en-IN"/>
              </w:rPr>
            </w:pPr>
            <w:r w:rsidRPr="005C3BEB">
              <w:rPr>
                <w:rFonts w:eastAsia="Times New Roman" w:cs="Times New Roman"/>
                <w:b/>
                <w:bCs/>
                <w:color w:val="000000"/>
                <w:szCs w:val="24"/>
                <w:lang w:val="en-IN" w:eastAsia="en-IN"/>
              </w:rPr>
              <w:t>2019 (in £ m)</w:t>
            </w:r>
          </w:p>
        </w:tc>
        <w:tc>
          <w:tcPr>
            <w:tcW w:w="615" w:type="pct"/>
            <w:tcBorders>
              <w:top w:val="nil"/>
              <w:left w:val="nil"/>
              <w:bottom w:val="single" w:sz="4" w:space="0" w:color="auto"/>
              <w:right w:val="single" w:sz="4" w:space="0" w:color="auto"/>
            </w:tcBorders>
            <w:shd w:val="clear" w:color="auto" w:fill="auto"/>
            <w:noWrap/>
            <w:vAlign w:val="center"/>
            <w:hideMark/>
          </w:tcPr>
          <w:p w14:paraId="59BE3FA5" w14:textId="77777777" w:rsidR="00ED5344" w:rsidRPr="005C3BEB" w:rsidRDefault="00ED5344" w:rsidP="005C3BEB">
            <w:pPr>
              <w:spacing w:after="0" w:line="360" w:lineRule="auto"/>
              <w:jc w:val="both"/>
              <w:rPr>
                <w:rFonts w:eastAsia="Times New Roman" w:cs="Times New Roman"/>
                <w:b/>
                <w:bCs/>
                <w:color w:val="000000"/>
                <w:szCs w:val="24"/>
                <w:lang w:val="en-IN" w:eastAsia="en-IN"/>
              </w:rPr>
            </w:pPr>
            <w:r w:rsidRPr="005C3BEB">
              <w:rPr>
                <w:rFonts w:eastAsia="Times New Roman" w:cs="Times New Roman"/>
                <w:b/>
                <w:bCs/>
                <w:color w:val="000000"/>
                <w:szCs w:val="24"/>
                <w:lang w:val="en-IN" w:eastAsia="en-IN"/>
              </w:rPr>
              <w:t>2020 (in £ m)</w:t>
            </w:r>
          </w:p>
        </w:tc>
        <w:tc>
          <w:tcPr>
            <w:tcW w:w="615" w:type="pct"/>
            <w:tcBorders>
              <w:top w:val="nil"/>
              <w:left w:val="nil"/>
              <w:bottom w:val="single" w:sz="4" w:space="0" w:color="auto"/>
              <w:right w:val="single" w:sz="4" w:space="0" w:color="auto"/>
            </w:tcBorders>
            <w:shd w:val="clear" w:color="auto" w:fill="auto"/>
            <w:noWrap/>
            <w:vAlign w:val="center"/>
            <w:hideMark/>
          </w:tcPr>
          <w:p w14:paraId="729C7581" w14:textId="77777777" w:rsidR="00ED5344" w:rsidRPr="005C3BEB" w:rsidRDefault="00ED5344" w:rsidP="005C3BEB">
            <w:pPr>
              <w:spacing w:after="0" w:line="360" w:lineRule="auto"/>
              <w:jc w:val="both"/>
              <w:rPr>
                <w:rFonts w:eastAsia="Times New Roman" w:cs="Times New Roman"/>
                <w:b/>
                <w:bCs/>
                <w:color w:val="000000"/>
                <w:szCs w:val="24"/>
                <w:lang w:val="en-IN" w:eastAsia="en-IN"/>
              </w:rPr>
            </w:pPr>
            <w:r w:rsidRPr="005C3BEB">
              <w:rPr>
                <w:rFonts w:eastAsia="Times New Roman" w:cs="Times New Roman"/>
                <w:b/>
                <w:bCs/>
                <w:color w:val="000000"/>
                <w:szCs w:val="24"/>
                <w:lang w:val="en-IN" w:eastAsia="en-IN"/>
              </w:rPr>
              <w:t>2021 (in £ m)</w:t>
            </w:r>
          </w:p>
        </w:tc>
        <w:tc>
          <w:tcPr>
            <w:tcW w:w="615" w:type="pct"/>
            <w:tcBorders>
              <w:top w:val="nil"/>
              <w:left w:val="nil"/>
              <w:bottom w:val="single" w:sz="4" w:space="0" w:color="auto"/>
              <w:right w:val="single" w:sz="4" w:space="0" w:color="auto"/>
            </w:tcBorders>
            <w:shd w:val="clear" w:color="auto" w:fill="auto"/>
            <w:noWrap/>
            <w:vAlign w:val="center"/>
            <w:hideMark/>
          </w:tcPr>
          <w:p w14:paraId="7754CA86" w14:textId="77777777" w:rsidR="00ED5344" w:rsidRPr="005C3BEB" w:rsidRDefault="00ED5344" w:rsidP="005C3BEB">
            <w:pPr>
              <w:spacing w:after="0" w:line="360" w:lineRule="auto"/>
              <w:jc w:val="both"/>
              <w:rPr>
                <w:rFonts w:eastAsia="Times New Roman" w:cs="Times New Roman"/>
                <w:b/>
                <w:bCs/>
                <w:color w:val="000000"/>
                <w:szCs w:val="24"/>
                <w:lang w:val="en-IN" w:eastAsia="en-IN"/>
              </w:rPr>
            </w:pPr>
            <w:r w:rsidRPr="005C3BEB">
              <w:rPr>
                <w:rFonts w:eastAsia="Times New Roman" w:cs="Times New Roman"/>
                <w:b/>
                <w:bCs/>
                <w:color w:val="000000"/>
                <w:szCs w:val="24"/>
                <w:lang w:val="en-IN" w:eastAsia="en-IN"/>
              </w:rPr>
              <w:t>2022 (in £ m)</w:t>
            </w:r>
          </w:p>
        </w:tc>
      </w:tr>
      <w:tr w:rsidR="00ED5344" w:rsidRPr="005C3BEB" w14:paraId="2831CD33" w14:textId="77777777" w:rsidTr="00546691">
        <w:trPr>
          <w:trHeight w:val="312"/>
        </w:trPr>
        <w:tc>
          <w:tcPr>
            <w:tcW w:w="1925" w:type="pct"/>
            <w:tcBorders>
              <w:top w:val="nil"/>
              <w:left w:val="single" w:sz="4" w:space="0" w:color="auto"/>
              <w:bottom w:val="single" w:sz="4" w:space="0" w:color="auto"/>
              <w:right w:val="single" w:sz="4" w:space="0" w:color="auto"/>
            </w:tcBorders>
            <w:shd w:val="clear" w:color="auto" w:fill="auto"/>
            <w:noWrap/>
            <w:vAlign w:val="center"/>
            <w:hideMark/>
          </w:tcPr>
          <w:p w14:paraId="5ED15A01"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 </w:t>
            </w:r>
          </w:p>
        </w:tc>
        <w:tc>
          <w:tcPr>
            <w:tcW w:w="615" w:type="pct"/>
            <w:tcBorders>
              <w:top w:val="nil"/>
              <w:left w:val="nil"/>
              <w:bottom w:val="single" w:sz="4" w:space="0" w:color="auto"/>
              <w:right w:val="single" w:sz="4" w:space="0" w:color="auto"/>
            </w:tcBorders>
            <w:shd w:val="clear" w:color="auto" w:fill="auto"/>
            <w:noWrap/>
            <w:vAlign w:val="center"/>
            <w:hideMark/>
          </w:tcPr>
          <w:p w14:paraId="2076BC78"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 </w:t>
            </w:r>
          </w:p>
        </w:tc>
        <w:tc>
          <w:tcPr>
            <w:tcW w:w="615" w:type="pct"/>
            <w:tcBorders>
              <w:top w:val="nil"/>
              <w:left w:val="nil"/>
              <w:bottom w:val="single" w:sz="4" w:space="0" w:color="auto"/>
              <w:right w:val="single" w:sz="4" w:space="0" w:color="auto"/>
            </w:tcBorders>
            <w:shd w:val="clear" w:color="auto" w:fill="auto"/>
            <w:noWrap/>
            <w:vAlign w:val="center"/>
            <w:hideMark/>
          </w:tcPr>
          <w:p w14:paraId="062914D9"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 </w:t>
            </w:r>
          </w:p>
        </w:tc>
        <w:tc>
          <w:tcPr>
            <w:tcW w:w="615" w:type="pct"/>
            <w:tcBorders>
              <w:top w:val="nil"/>
              <w:left w:val="nil"/>
              <w:bottom w:val="single" w:sz="4" w:space="0" w:color="auto"/>
              <w:right w:val="single" w:sz="4" w:space="0" w:color="auto"/>
            </w:tcBorders>
            <w:shd w:val="clear" w:color="auto" w:fill="auto"/>
            <w:noWrap/>
            <w:vAlign w:val="center"/>
            <w:hideMark/>
          </w:tcPr>
          <w:p w14:paraId="711186B8"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 </w:t>
            </w:r>
          </w:p>
        </w:tc>
        <w:tc>
          <w:tcPr>
            <w:tcW w:w="615" w:type="pct"/>
            <w:tcBorders>
              <w:top w:val="nil"/>
              <w:left w:val="nil"/>
              <w:bottom w:val="single" w:sz="4" w:space="0" w:color="auto"/>
              <w:right w:val="single" w:sz="4" w:space="0" w:color="auto"/>
            </w:tcBorders>
            <w:shd w:val="clear" w:color="auto" w:fill="auto"/>
            <w:noWrap/>
            <w:vAlign w:val="center"/>
            <w:hideMark/>
          </w:tcPr>
          <w:p w14:paraId="486A4265"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 </w:t>
            </w:r>
          </w:p>
        </w:tc>
        <w:tc>
          <w:tcPr>
            <w:tcW w:w="615" w:type="pct"/>
            <w:tcBorders>
              <w:top w:val="nil"/>
              <w:left w:val="nil"/>
              <w:bottom w:val="single" w:sz="4" w:space="0" w:color="auto"/>
              <w:right w:val="single" w:sz="4" w:space="0" w:color="auto"/>
            </w:tcBorders>
            <w:shd w:val="clear" w:color="auto" w:fill="auto"/>
            <w:noWrap/>
            <w:vAlign w:val="center"/>
            <w:hideMark/>
          </w:tcPr>
          <w:p w14:paraId="2F81F8C8"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 </w:t>
            </w:r>
          </w:p>
        </w:tc>
      </w:tr>
      <w:tr w:rsidR="00ED5344" w:rsidRPr="005C3BEB" w14:paraId="7EF47DE3" w14:textId="77777777" w:rsidTr="00546691">
        <w:trPr>
          <w:trHeight w:val="312"/>
        </w:trPr>
        <w:tc>
          <w:tcPr>
            <w:tcW w:w="1925" w:type="pct"/>
            <w:tcBorders>
              <w:top w:val="nil"/>
              <w:left w:val="single" w:sz="4" w:space="0" w:color="auto"/>
              <w:bottom w:val="single" w:sz="4" w:space="0" w:color="auto"/>
              <w:right w:val="single" w:sz="4" w:space="0" w:color="auto"/>
            </w:tcBorders>
            <w:shd w:val="clear" w:color="auto" w:fill="auto"/>
            <w:noWrap/>
            <w:vAlign w:val="center"/>
            <w:hideMark/>
          </w:tcPr>
          <w:p w14:paraId="1999EE61"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Current Assets</w:t>
            </w:r>
          </w:p>
        </w:tc>
        <w:tc>
          <w:tcPr>
            <w:tcW w:w="615" w:type="pct"/>
            <w:tcBorders>
              <w:top w:val="nil"/>
              <w:left w:val="nil"/>
              <w:bottom w:val="single" w:sz="4" w:space="0" w:color="auto"/>
              <w:right w:val="single" w:sz="4" w:space="0" w:color="auto"/>
            </w:tcBorders>
            <w:shd w:val="clear" w:color="auto" w:fill="auto"/>
            <w:noWrap/>
            <w:vAlign w:val="bottom"/>
            <w:hideMark/>
          </w:tcPr>
          <w:p w14:paraId="415AB257"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 xml:space="preserve"> £            1,803 </w:t>
            </w:r>
          </w:p>
        </w:tc>
        <w:tc>
          <w:tcPr>
            <w:tcW w:w="615" w:type="pct"/>
            <w:tcBorders>
              <w:top w:val="nil"/>
              <w:left w:val="nil"/>
              <w:bottom w:val="single" w:sz="4" w:space="0" w:color="auto"/>
              <w:right w:val="single" w:sz="4" w:space="0" w:color="auto"/>
            </w:tcBorders>
            <w:shd w:val="clear" w:color="auto" w:fill="auto"/>
            <w:noWrap/>
            <w:vAlign w:val="bottom"/>
            <w:hideMark/>
          </w:tcPr>
          <w:p w14:paraId="4F7888CC"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 xml:space="preserve"> £            1,588 </w:t>
            </w:r>
          </w:p>
        </w:tc>
        <w:tc>
          <w:tcPr>
            <w:tcW w:w="615" w:type="pct"/>
            <w:tcBorders>
              <w:top w:val="nil"/>
              <w:left w:val="nil"/>
              <w:bottom w:val="single" w:sz="4" w:space="0" w:color="auto"/>
              <w:right w:val="single" w:sz="4" w:space="0" w:color="auto"/>
            </w:tcBorders>
            <w:shd w:val="clear" w:color="auto" w:fill="auto"/>
            <w:noWrap/>
            <w:vAlign w:val="bottom"/>
            <w:hideMark/>
          </w:tcPr>
          <w:p w14:paraId="5E24E81A"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 xml:space="preserve"> £            2,982 </w:t>
            </w:r>
          </w:p>
        </w:tc>
        <w:tc>
          <w:tcPr>
            <w:tcW w:w="615" w:type="pct"/>
            <w:tcBorders>
              <w:top w:val="nil"/>
              <w:left w:val="nil"/>
              <w:bottom w:val="single" w:sz="4" w:space="0" w:color="auto"/>
              <w:right w:val="single" w:sz="4" w:space="0" w:color="auto"/>
            </w:tcBorders>
            <w:shd w:val="clear" w:color="auto" w:fill="auto"/>
            <w:noWrap/>
            <w:vAlign w:val="bottom"/>
            <w:hideMark/>
          </w:tcPr>
          <w:p w14:paraId="48E92029"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 xml:space="preserve"> £            3,242 </w:t>
            </w:r>
          </w:p>
        </w:tc>
        <w:tc>
          <w:tcPr>
            <w:tcW w:w="615" w:type="pct"/>
            <w:tcBorders>
              <w:top w:val="nil"/>
              <w:left w:val="nil"/>
              <w:bottom w:val="single" w:sz="4" w:space="0" w:color="auto"/>
              <w:right w:val="single" w:sz="4" w:space="0" w:color="auto"/>
            </w:tcBorders>
            <w:shd w:val="clear" w:color="auto" w:fill="auto"/>
            <w:noWrap/>
            <w:vAlign w:val="bottom"/>
            <w:hideMark/>
          </w:tcPr>
          <w:p w14:paraId="3283A242"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 xml:space="preserve"> £            3,015 </w:t>
            </w:r>
          </w:p>
        </w:tc>
      </w:tr>
      <w:tr w:rsidR="00ED5344" w:rsidRPr="005C3BEB" w14:paraId="2D2A693C" w14:textId="77777777" w:rsidTr="00546691">
        <w:trPr>
          <w:trHeight w:val="312"/>
        </w:trPr>
        <w:tc>
          <w:tcPr>
            <w:tcW w:w="1925" w:type="pct"/>
            <w:tcBorders>
              <w:top w:val="nil"/>
              <w:left w:val="single" w:sz="4" w:space="0" w:color="auto"/>
              <w:bottom w:val="single" w:sz="4" w:space="0" w:color="auto"/>
              <w:right w:val="single" w:sz="4" w:space="0" w:color="auto"/>
            </w:tcBorders>
            <w:shd w:val="clear" w:color="auto" w:fill="auto"/>
            <w:noWrap/>
            <w:vAlign w:val="center"/>
            <w:hideMark/>
          </w:tcPr>
          <w:p w14:paraId="048E6B59"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Inventory</w:t>
            </w:r>
          </w:p>
        </w:tc>
        <w:tc>
          <w:tcPr>
            <w:tcW w:w="615" w:type="pct"/>
            <w:tcBorders>
              <w:top w:val="nil"/>
              <w:left w:val="nil"/>
              <w:bottom w:val="single" w:sz="4" w:space="0" w:color="auto"/>
              <w:right w:val="single" w:sz="4" w:space="0" w:color="auto"/>
            </w:tcBorders>
            <w:shd w:val="clear" w:color="auto" w:fill="auto"/>
            <w:noWrap/>
            <w:vAlign w:val="bottom"/>
            <w:hideMark/>
          </w:tcPr>
          <w:p w14:paraId="66B8EECD"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 xml:space="preserve"> £                  25 </w:t>
            </w:r>
          </w:p>
        </w:tc>
        <w:tc>
          <w:tcPr>
            <w:tcW w:w="615" w:type="pct"/>
            <w:tcBorders>
              <w:top w:val="nil"/>
              <w:left w:val="nil"/>
              <w:bottom w:val="single" w:sz="4" w:space="0" w:color="auto"/>
              <w:right w:val="single" w:sz="4" w:space="0" w:color="auto"/>
            </w:tcBorders>
            <w:shd w:val="clear" w:color="auto" w:fill="auto"/>
            <w:noWrap/>
            <w:vAlign w:val="bottom"/>
            <w:hideMark/>
          </w:tcPr>
          <w:p w14:paraId="5FAE1486"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 xml:space="preserve"> £                  27 </w:t>
            </w:r>
          </w:p>
        </w:tc>
        <w:tc>
          <w:tcPr>
            <w:tcW w:w="615" w:type="pct"/>
            <w:tcBorders>
              <w:top w:val="nil"/>
              <w:left w:val="nil"/>
              <w:bottom w:val="single" w:sz="4" w:space="0" w:color="auto"/>
              <w:right w:val="single" w:sz="4" w:space="0" w:color="auto"/>
            </w:tcBorders>
            <w:shd w:val="clear" w:color="auto" w:fill="auto"/>
            <w:noWrap/>
            <w:vAlign w:val="bottom"/>
            <w:hideMark/>
          </w:tcPr>
          <w:p w14:paraId="345641A8"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 xml:space="preserve"> £                  19 </w:t>
            </w:r>
          </w:p>
        </w:tc>
        <w:tc>
          <w:tcPr>
            <w:tcW w:w="615" w:type="pct"/>
            <w:tcBorders>
              <w:top w:val="nil"/>
              <w:left w:val="nil"/>
              <w:bottom w:val="single" w:sz="4" w:space="0" w:color="auto"/>
              <w:right w:val="single" w:sz="4" w:space="0" w:color="auto"/>
            </w:tcBorders>
            <w:shd w:val="clear" w:color="auto" w:fill="auto"/>
            <w:noWrap/>
            <w:vAlign w:val="bottom"/>
            <w:hideMark/>
          </w:tcPr>
          <w:p w14:paraId="6C218FDD"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 xml:space="preserve"> £                  18 </w:t>
            </w:r>
          </w:p>
        </w:tc>
        <w:tc>
          <w:tcPr>
            <w:tcW w:w="615" w:type="pct"/>
            <w:tcBorders>
              <w:top w:val="nil"/>
              <w:left w:val="nil"/>
              <w:bottom w:val="single" w:sz="4" w:space="0" w:color="auto"/>
              <w:right w:val="single" w:sz="4" w:space="0" w:color="auto"/>
            </w:tcBorders>
            <w:shd w:val="clear" w:color="auto" w:fill="auto"/>
            <w:noWrap/>
            <w:vAlign w:val="bottom"/>
            <w:hideMark/>
          </w:tcPr>
          <w:p w14:paraId="5E98F636"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 xml:space="preserve"> £                  34 </w:t>
            </w:r>
          </w:p>
        </w:tc>
      </w:tr>
      <w:tr w:rsidR="00ED5344" w:rsidRPr="005C3BEB" w14:paraId="717E2A8C" w14:textId="77777777" w:rsidTr="00546691">
        <w:trPr>
          <w:trHeight w:val="312"/>
        </w:trPr>
        <w:tc>
          <w:tcPr>
            <w:tcW w:w="1925" w:type="pct"/>
            <w:tcBorders>
              <w:top w:val="nil"/>
              <w:left w:val="single" w:sz="4" w:space="0" w:color="auto"/>
              <w:bottom w:val="single" w:sz="4" w:space="0" w:color="auto"/>
              <w:right w:val="single" w:sz="4" w:space="0" w:color="auto"/>
            </w:tcBorders>
            <w:shd w:val="clear" w:color="auto" w:fill="auto"/>
            <w:noWrap/>
            <w:vAlign w:val="center"/>
            <w:hideMark/>
          </w:tcPr>
          <w:p w14:paraId="4F13E0B0"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Current Assets - Inventory</w:t>
            </w:r>
          </w:p>
        </w:tc>
        <w:tc>
          <w:tcPr>
            <w:tcW w:w="615" w:type="pct"/>
            <w:tcBorders>
              <w:top w:val="nil"/>
              <w:left w:val="nil"/>
              <w:bottom w:val="single" w:sz="4" w:space="0" w:color="auto"/>
              <w:right w:val="single" w:sz="4" w:space="0" w:color="auto"/>
            </w:tcBorders>
            <w:shd w:val="clear" w:color="auto" w:fill="auto"/>
            <w:noWrap/>
            <w:vAlign w:val="bottom"/>
            <w:hideMark/>
          </w:tcPr>
          <w:p w14:paraId="489F9B20"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 xml:space="preserve"> £            1,778 </w:t>
            </w:r>
          </w:p>
        </w:tc>
        <w:tc>
          <w:tcPr>
            <w:tcW w:w="615" w:type="pct"/>
            <w:tcBorders>
              <w:top w:val="nil"/>
              <w:left w:val="nil"/>
              <w:bottom w:val="single" w:sz="4" w:space="0" w:color="auto"/>
              <w:right w:val="single" w:sz="4" w:space="0" w:color="auto"/>
            </w:tcBorders>
            <w:shd w:val="clear" w:color="auto" w:fill="auto"/>
            <w:noWrap/>
            <w:vAlign w:val="bottom"/>
            <w:hideMark/>
          </w:tcPr>
          <w:p w14:paraId="2E0EF6A3"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 xml:space="preserve"> £            1,561 </w:t>
            </w:r>
          </w:p>
        </w:tc>
        <w:tc>
          <w:tcPr>
            <w:tcW w:w="615" w:type="pct"/>
            <w:tcBorders>
              <w:top w:val="nil"/>
              <w:left w:val="nil"/>
              <w:bottom w:val="single" w:sz="4" w:space="0" w:color="auto"/>
              <w:right w:val="single" w:sz="4" w:space="0" w:color="auto"/>
            </w:tcBorders>
            <w:shd w:val="clear" w:color="auto" w:fill="auto"/>
            <w:noWrap/>
            <w:vAlign w:val="bottom"/>
            <w:hideMark/>
          </w:tcPr>
          <w:p w14:paraId="0F18A728"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 xml:space="preserve"> £            2,963 </w:t>
            </w:r>
          </w:p>
        </w:tc>
        <w:tc>
          <w:tcPr>
            <w:tcW w:w="615" w:type="pct"/>
            <w:tcBorders>
              <w:top w:val="nil"/>
              <w:left w:val="nil"/>
              <w:bottom w:val="single" w:sz="4" w:space="0" w:color="auto"/>
              <w:right w:val="single" w:sz="4" w:space="0" w:color="auto"/>
            </w:tcBorders>
            <w:shd w:val="clear" w:color="auto" w:fill="auto"/>
            <w:noWrap/>
            <w:vAlign w:val="bottom"/>
            <w:hideMark/>
          </w:tcPr>
          <w:p w14:paraId="3FD15823"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 xml:space="preserve"> £            3,224 </w:t>
            </w:r>
          </w:p>
        </w:tc>
        <w:tc>
          <w:tcPr>
            <w:tcW w:w="615" w:type="pct"/>
            <w:tcBorders>
              <w:top w:val="nil"/>
              <w:left w:val="nil"/>
              <w:bottom w:val="single" w:sz="4" w:space="0" w:color="auto"/>
              <w:right w:val="single" w:sz="4" w:space="0" w:color="auto"/>
            </w:tcBorders>
            <w:shd w:val="clear" w:color="auto" w:fill="auto"/>
            <w:noWrap/>
            <w:vAlign w:val="bottom"/>
            <w:hideMark/>
          </w:tcPr>
          <w:p w14:paraId="5D2F0FCE"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 xml:space="preserve"> £            2,981 </w:t>
            </w:r>
          </w:p>
        </w:tc>
      </w:tr>
      <w:tr w:rsidR="00ED5344" w:rsidRPr="005C3BEB" w14:paraId="06BF46BC" w14:textId="77777777" w:rsidTr="00546691">
        <w:trPr>
          <w:trHeight w:val="312"/>
        </w:trPr>
        <w:tc>
          <w:tcPr>
            <w:tcW w:w="1925" w:type="pct"/>
            <w:tcBorders>
              <w:top w:val="nil"/>
              <w:left w:val="single" w:sz="4" w:space="0" w:color="auto"/>
              <w:bottom w:val="single" w:sz="4" w:space="0" w:color="auto"/>
              <w:right w:val="single" w:sz="4" w:space="0" w:color="auto"/>
            </w:tcBorders>
            <w:shd w:val="clear" w:color="auto" w:fill="auto"/>
            <w:noWrap/>
            <w:vAlign w:val="center"/>
            <w:hideMark/>
          </w:tcPr>
          <w:p w14:paraId="10333F76"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Current Liabilities</w:t>
            </w:r>
          </w:p>
        </w:tc>
        <w:tc>
          <w:tcPr>
            <w:tcW w:w="615" w:type="pct"/>
            <w:tcBorders>
              <w:top w:val="nil"/>
              <w:left w:val="nil"/>
              <w:bottom w:val="single" w:sz="4" w:space="0" w:color="auto"/>
              <w:right w:val="single" w:sz="4" w:space="0" w:color="auto"/>
            </w:tcBorders>
            <w:shd w:val="clear" w:color="auto" w:fill="auto"/>
            <w:noWrap/>
            <w:vAlign w:val="bottom"/>
            <w:hideMark/>
          </w:tcPr>
          <w:p w14:paraId="19165C6C"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 xml:space="preserve"> £            2,082 </w:t>
            </w:r>
          </w:p>
        </w:tc>
        <w:tc>
          <w:tcPr>
            <w:tcW w:w="615" w:type="pct"/>
            <w:tcBorders>
              <w:top w:val="nil"/>
              <w:left w:val="nil"/>
              <w:bottom w:val="single" w:sz="4" w:space="0" w:color="auto"/>
              <w:right w:val="single" w:sz="4" w:space="0" w:color="auto"/>
            </w:tcBorders>
            <w:shd w:val="clear" w:color="auto" w:fill="auto"/>
            <w:noWrap/>
            <w:vAlign w:val="bottom"/>
            <w:hideMark/>
          </w:tcPr>
          <w:p w14:paraId="09E46AD0"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 xml:space="preserve"> £            1,989 </w:t>
            </w:r>
          </w:p>
        </w:tc>
        <w:tc>
          <w:tcPr>
            <w:tcW w:w="615" w:type="pct"/>
            <w:tcBorders>
              <w:top w:val="nil"/>
              <w:left w:val="nil"/>
              <w:bottom w:val="single" w:sz="4" w:space="0" w:color="auto"/>
              <w:right w:val="single" w:sz="4" w:space="0" w:color="auto"/>
            </w:tcBorders>
            <w:shd w:val="clear" w:color="auto" w:fill="auto"/>
            <w:noWrap/>
            <w:vAlign w:val="bottom"/>
            <w:hideMark/>
          </w:tcPr>
          <w:p w14:paraId="1AE25D4B"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 xml:space="preserve"> £            3,095 </w:t>
            </w:r>
          </w:p>
        </w:tc>
        <w:tc>
          <w:tcPr>
            <w:tcW w:w="615" w:type="pct"/>
            <w:tcBorders>
              <w:top w:val="nil"/>
              <w:left w:val="nil"/>
              <w:bottom w:val="single" w:sz="4" w:space="0" w:color="auto"/>
              <w:right w:val="single" w:sz="4" w:space="0" w:color="auto"/>
            </w:tcBorders>
            <w:shd w:val="clear" w:color="auto" w:fill="auto"/>
            <w:noWrap/>
            <w:vAlign w:val="bottom"/>
            <w:hideMark/>
          </w:tcPr>
          <w:p w14:paraId="7921D4C5"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 xml:space="preserve"> £            2,725 </w:t>
            </w:r>
          </w:p>
        </w:tc>
        <w:tc>
          <w:tcPr>
            <w:tcW w:w="615" w:type="pct"/>
            <w:tcBorders>
              <w:top w:val="nil"/>
              <w:left w:val="nil"/>
              <w:bottom w:val="single" w:sz="4" w:space="0" w:color="auto"/>
              <w:right w:val="single" w:sz="4" w:space="0" w:color="auto"/>
            </w:tcBorders>
            <w:shd w:val="clear" w:color="auto" w:fill="auto"/>
            <w:noWrap/>
            <w:vAlign w:val="bottom"/>
            <w:hideMark/>
          </w:tcPr>
          <w:p w14:paraId="21EC7132"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 xml:space="preserve"> £            2,739 </w:t>
            </w:r>
          </w:p>
        </w:tc>
      </w:tr>
      <w:tr w:rsidR="00ED5344" w:rsidRPr="005C3BEB" w14:paraId="3332B7ED" w14:textId="77777777" w:rsidTr="00546691">
        <w:trPr>
          <w:trHeight w:val="312"/>
        </w:trPr>
        <w:tc>
          <w:tcPr>
            <w:tcW w:w="1925" w:type="pct"/>
            <w:tcBorders>
              <w:top w:val="nil"/>
              <w:left w:val="single" w:sz="4" w:space="0" w:color="auto"/>
              <w:bottom w:val="single" w:sz="4" w:space="0" w:color="auto"/>
              <w:right w:val="single" w:sz="4" w:space="0" w:color="auto"/>
            </w:tcBorders>
            <w:shd w:val="clear" w:color="auto" w:fill="auto"/>
            <w:noWrap/>
            <w:vAlign w:val="center"/>
            <w:hideMark/>
          </w:tcPr>
          <w:p w14:paraId="73095D48"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 </w:t>
            </w:r>
          </w:p>
        </w:tc>
        <w:tc>
          <w:tcPr>
            <w:tcW w:w="615" w:type="pct"/>
            <w:tcBorders>
              <w:top w:val="nil"/>
              <w:left w:val="nil"/>
              <w:bottom w:val="single" w:sz="4" w:space="0" w:color="auto"/>
              <w:right w:val="single" w:sz="4" w:space="0" w:color="auto"/>
            </w:tcBorders>
            <w:shd w:val="clear" w:color="auto" w:fill="auto"/>
            <w:noWrap/>
            <w:vAlign w:val="center"/>
            <w:hideMark/>
          </w:tcPr>
          <w:p w14:paraId="494C7BD5"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 </w:t>
            </w:r>
          </w:p>
        </w:tc>
        <w:tc>
          <w:tcPr>
            <w:tcW w:w="615" w:type="pct"/>
            <w:tcBorders>
              <w:top w:val="nil"/>
              <w:left w:val="nil"/>
              <w:bottom w:val="single" w:sz="4" w:space="0" w:color="auto"/>
              <w:right w:val="single" w:sz="4" w:space="0" w:color="auto"/>
            </w:tcBorders>
            <w:shd w:val="clear" w:color="auto" w:fill="auto"/>
            <w:noWrap/>
            <w:vAlign w:val="center"/>
            <w:hideMark/>
          </w:tcPr>
          <w:p w14:paraId="16376AC8"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 </w:t>
            </w:r>
          </w:p>
        </w:tc>
        <w:tc>
          <w:tcPr>
            <w:tcW w:w="615" w:type="pct"/>
            <w:tcBorders>
              <w:top w:val="nil"/>
              <w:left w:val="nil"/>
              <w:bottom w:val="single" w:sz="4" w:space="0" w:color="auto"/>
              <w:right w:val="single" w:sz="4" w:space="0" w:color="auto"/>
            </w:tcBorders>
            <w:shd w:val="clear" w:color="auto" w:fill="auto"/>
            <w:noWrap/>
            <w:vAlign w:val="center"/>
            <w:hideMark/>
          </w:tcPr>
          <w:p w14:paraId="67082A4F"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 </w:t>
            </w:r>
          </w:p>
        </w:tc>
        <w:tc>
          <w:tcPr>
            <w:tcW w:w="615" w:type="pct"/>
            <w:tcBorders>
              <w:top w:val="nil"/>
              <w:left w:val="nil"/>
              <w:bottom w:val="single" w:sz="4" w:space="0" w:color="auto"/>
              <w:right w:val="single" w:sz="4" w:space="0" w:color="auto"/>
            </w:tcBorders>
            <w:shd w:val="clear" w:color="auto" w:fill="auto"/>
            <w:noWrap/>
            <w:vAlign w:val="center"/>
            <w:hideMark/>
          </w:tcPr>
          <w:p w14:paraId="3F4C069F"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 </w:t>
            </w:r>
          </w:p>
        </w:tc>
        <w:tc>
          <w:tcPr>
            <w:tcW w:w="615" w:type="pct"/>
            <w:tcBorders>
              <w:top w:val="nil"/>
              <w:left w:val="nil"/>
              <w:bottom w:val="single" w:sz="4" w:space="0" w:color="auto"/>
              <w:right w:val="single" w:sz="4" w:space="0" w:color="auto"/>
            </w:tcBorders>
            <w:shd w:val="clear" w:color="auto" w:fill="auto"/>
            <w:noWrap/>
            <w:vAlign w:val="center"/>
            <w:hideMark/>
          </w:tcPr>
          <w:p w14:paraId="62A6C725"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 </w:t>
            </w:r>
          </w:p>
        </w:tc>
      </w:tr>
      <w:tr w:rsidR="00ED5344" w:rsidRPr="005C3BEB" w14:paraId="34042B5C" w14:textId="77777777" w:rsidTr="00546691">
        <w:trPr>
          <w:trHeight w:val="312"/>
        </w:trPr>
        <w:tc>
          <w:tcPr>
            <w:tcW w:w="1925" w:type="pct"/>
            <w:tcBorders>
              <w:top w:val="nil"/>
              <w:left w:val="single" w:sz="4" w:space="0" w:color="auto"/>
              <w:bottom w:val="single" w:sz="4" w:space="0" w:color="auto"/>
              <w:right w:val="single" w:sz="4" w:space="0" w:color="auto"/>
            </w:tcBorders>
            <w:shd w:val="clear" w:color="auto" w:fill="auto"/>
            <w:vAlign w:val="center"/>
            <w:hideMark/>
          </w:tcPr>
          <w:p w14:paraId="3BC6BEA3" w14:textId="77777777" w:rsidR="00ED5344" w:rsidRPr="005C3BEB" w:rsidRDefault="00ED5344" w:rsidP="005C3BEB">
            <w:pPr>
              <w:spacing w:after="0" w:line="360" w:lineRule="auto"/>
              <w:jc w:val="both"/>
              <w:rPr>
                <w:rFonts w:eastAsia="Times New Roman" w:cs="Times New Roman"/>
                <w:b/>
                <w:bCs/>
                <w:color w:val="000000"/>
                <w:szCs w:val="24"/>
                <w:lang w:val="en-IN" w:eastAsia="en-IN"/>
              </w:rPr>
            </w:pPr>
            <w:r w:rsidRPr="005C3BEB">
              <w:rPr>
                <w:rFonts w:eastAsia="Times New Roman" w:cs="Times New Roman"/>
                <w:b/>
                <w:bCs/>
                <w:color w:val="000000"/>
                <w:szCs w:val="24"/>
                <w:lang w:val="en-IN" w:eastAsia="en-IN"/>
              </w:rPr>
              <w:t>Quick Ratio</w:t>
            </w:r>
          </w:p>
        </w:tc>
        <w:tc>
          <w:tcPr>
            <w:tcW w:w="615" w:type="pct"/>
            <w:tcBorders>
              <w:top w:val="nil"/>
              <w:left w:val="nil"/>
              <w:bottom w:val="single" w:sz="4" w:space="0" w:color="auto"/>
              <w:right w:val="single" w:sz="4" w:space="0" w:color="auto"/>
            </w:tcBorders>
            <w:shd w:val="clear" w:color="auto" w:fill="auto"/>
            <w:noWrap/>
            <w:vAlign w:val="center"/>
            <w:hideMark/>
          </w:tcPr>
          <w:p w14:paraId="528C4E40" w14:textId="77777777" w:rsidR="00ED5344" w:rsidRPr="005C3BEB" w:rsidRDefault="00ED5344" w:rsidP="005C3BEB">
            <w:pPr>
              <w:spacing w:after="0" w:line="360" w:lineRule="auto"/>
              <w:jc w:val="both"/>
              <w:rPr>
                <w:rFonts w:eastAsia="Times New Roman" w:cs="Times New Roman"/>
                <w:b/>
                <w:bCs/>
                <w:color w:val="000000"/>
                <w:szCs w:val="24"/>
                <w:lang w:val="en-IN" w:eastAsia="en-IN"/>
              </w:rPr>
            </w:pPr>
            <w:r w:rsidRPr="005C3BEB">
              <w:rPr>
                <w:rFonts w:eastAsia="Times New Roman" w:cs="Times New Roman"/>
                <w:b/>
                <w:bCs/>
                <w:color w:val="000000"/>
                <w:szCs w:val="24"/>
                <w:lang w:val="en-IN" w:eastAsia="en-IN"/>
              </w:rPr>
              <w:t>0.85</w:t>
            </w:r>
          </w:p>
        </w:tc>
        <w:tc>
          <w:tcPr>
            <w:tcW w:w="615" w:type="pct"/>
            <w:tcBorders>
              <w:top w:val="nil"/>
              <w:left w:val="nil"/>
              <w:bottom w:val="single" w:sz="4" w:space="0" w:color="auto"/>
              <w:right w:val="single" w:sz="4" w:space="0" w:color="auto"/>
            </w:tcBorders>
            <w:shd w:val="clear" w:color="auto" w:fill="auto"/>
            <w:noWrap/>
            <w:vAlign w:val="center"/>
            <w:hideMark/>
          </w:tcPr>
          <w:p w14:paraId="6BA2E1B0" w14:textId="77777777" w:rsidR="00ED5344" w:rsidRPr="005C3BEB" w:rsidRDefault="00ED5344" w:rsidP="005C3BEB">
            <w:pPr>
              <w:spacing w:after="0" w:line="360" w:lineRule="auto"/>
              <w:jc w:val="both"/>
              <w:rPr>
                <w:rFonts w:eastAsia="Times New Roman" w:cs="Times New Roman"/>
                <w:b/>
                <w:bCs/>
                <w:color w:val="000000"/>
                <w:szCs w:val="24"/>
                <w:lang w:val="en-IN" w:eastAsia="en-IN"/>
              </w:rPr>
            </w:pPr>
            <w:r w:rsidRPr="005C3BEB">
              <w:rPr>
                <w:rFonts w:eastAsia="Times New Roman" w:cs="Times New Roman"/>
                <w:b/>
                <w:bCs/>
                <w:color w:val="000000"/>
                <w:szCs w:val="24"/>
                <w:lang w:val="en-IN" w:eastAsia="en-IN"/>
              </w:rPr>
              <w:t>0.78</w:t>
            </w:r>
          </w:p>
        </w:tc>
        <w:tc>
          <w:tcPr>
            <w:tcW w:w="615" w:type="pct"/>
            <w:tcBorders>
              <w:top w:val="nil"/>
              <w:left w:val="nil"/>
              <w:bottom w:val="single" w:sz="4" w:space="0" w:color="auto"/>
              <w:right w:val="single" w:sz="4" w:space="0" w:color="auto"/>
            </w:tcBorders>
            <w:shd w:val="clear" w:color="auto" w:fill="auto"/>
            <w:noWrap/>
            <w:vAlign w:val="center"/>
            <w:hideMark/>
          </w:tcPr>
          <w:p w14:paraId="62B9011D" w14:textId="77777777" w:rsidR="00ED5344" w:rsidRPr="005C3BEB" w:rsidRDefault="00ED5344" w:rsidP="005C3BEB">
            <w:pPr>
              <w:spacing w:after="0" w:line="360" w:lineRule="auto"/>
              <w:jc w:val="both"/>
              <w:rPr>
                <w:rFonts w:eastAsia="Times New Roman" w:cs="Times New Roman"/>
                <w:b/>
                <w:bCs/>
                <w:color w:val="000000"/>
                <w:szCs w:val="24"/>
                <w:lang w:val="en-IN" w:eastAsia="en-IN"/>
              </w:rPr>
            </w:pPr>
            <w:r w:rsidRPr="005C3BEB">
              <w:rPr>
                <w:rFonts w:eastAsia="Times New Roman" w:cs="Times New Roman"/>
                <w:b/>
                <w:bCs/>
                <w:color w:val="000000"/>
                <w:szCs w:val="24"/>
                <w:lang w:val="en-IN" w:eastAsia="en-IN"/>
              </w:rPr>
              <w:t>0.96</w:t>
            </w:r>
          </w:p>
        </w:tc>
        <w:tc>
          <w:tcPr>
            <w:tcW w:w="615" w:type="pct"/>
            <w:tcBorders>
              <w:top w:val="nil"/>
              <w:left w:val="nil"/>
              <w:bottom w:val="single" w:sz="4" w:space="0" w:color="auto"/>
              <w:right w:val="single" w:sz="4" w:space="0" w:color="auto"/>
            </w:tcBorders>
            <w:shd w:val="clear" w:color="auto" w:fill="auto"/>
            <w:noWrap/>
            <w:vAlign w:val="center"/>
            <w:hideMark/>
          </w:tcPr>
          <w:p w14:paraId="6E6CB031" w14:textId="77777777" w:rsidR="00ED5344" w:rsidRPr="005C3BEB" w:rsidRDefault="00ED5344" w:rsidP="005C3BEB">
            <w:pPr>
              <w:spacing w:after="0" w:line="360" w:lineRule="auto"/>
              <w:jc w:val="both"/>
              <w:rPr>
                <w:rFonts w:eastAsia="Times New Roman" w:cs="Times New Roman"/>
                <w:b/>
                <w:bCs/>
                <w:color w:val="000000"/>
                <w:szCs w:val="24"/>
                <w:lang w:val="en-IN" w:eastAsia="en-IN"/>
              </w:rPr>
            </w:pPr>
            <w:r w:rsidRPr="005C3BEB">
              <w:rPr>
                <w:rFonts w:eastAsia="Times New Roman" w:cs="Times New Roman"/>
                <w:b/>
                <w:bCs/>
                <w:color w:val="000000"/>
                <w:szCs w:val="24"/>
                <w:lang w:val="en-IN" w:eastAsia="en-IN"/>
              </w:rPr>
              <w:t>1.18</w:t>
            </w:r>
          </w:p>
        </w:tc>
        <w:tc>
          <w:tcPr>
            <w:tcW w:w="615" w:type="pct"/>
            <w:tcBorders>
              <w:top w:val="nil"/>
              <w:left w:val="nil"/>
              <w:bottom w:val="single" w:sz="4" w:space="0" w:color="auto"/>
              <w:right w:val="single" w:sz="4" w:space="0" w:color="auto"/>
            </w:tcBorders>
            <w:shd w:val="clear" w:color="auto" w:fill="auto"/>
            <w:noWrap/>
            <w:vAlign w:val="center"/>
            <w:hideMark/>
          </w:tcPr>
          <w:p w14:paraId="5AB02EE7" w14:textId="77777777" w:rsidR="00ED5344" w:rsidRPr="005C3BEB" w:rsidRDefault="00ED5344" w:rsidP="005C3BEB">
            <w:pPr>
              <w:spacing w:after="0" w:line="360" w:lineRule="auto"/>
              <w:jc w:val="both"/>
              <w:rPr>
                <w:rFonts w:eastAsia="Times New Roman" w:cs="Times New Roman"/>
                <w:b/>
                <w:bCs/>
                <w:color w:val="000000"/>
                <w:szCs w:val="24"/>
                <w:lang w:val="en-IN" w:eastAsia="en-IN"/>
              </w:rPr>
            </w:pPr>
            <w:r w:rsidRPr="005C3BEB">
              <w:rPr>
                <w:rFonts w:eastAsia="Times New Roman" w:cs="Times New Roman"/>
                <w:b/>
                <w:bCs/>
                <w:color w:val="000000"/>
                <w:szCs w:val="24"/>
                <w:lang w:val="en-IN" w:eastAsia="en-IN"/>
              </w:rPr>
              <w:t>1.09</w:t>
            </w:r>
          </w:p>
        </w:tc>
      </w:tr>
      <w:tr w:rsidR="00ED5344" w:rsidRPr="005C3BEB" w14:paraId="79712EC7" w14:textId="77777777" w:rsidTr="00546691">
        <w:trPr>
          <w:trHeight w:val="312"/>
        </w:trPr>
        <w:tc>
          <w:tcPr>
            <w:tcW w:w="1925" w:type="pct"/>
            <w:tcBorders>
              <w:top w:val="nil"/>
              <w:left w:val="single" w:sz="4" w:space="0" w:color="auto"/>
              <w:bottom w:val="single" w:sz="4" w:space="0" w:color="auto"/>
              <w:right w:val="single" w:sz="4" w:space="0" w:color="auto"/>
            </w:tcBorders>
            <w:shd w:val="clear" w:color="auto" w:fill="auto"/>
            <w:noWrap/>
            <w:vAlign w:val="center"/>
            <w:hideMark/>
          </w:tcPr>
          <w:p w14:paraId="1F00414A"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(Current Assets - Inventory / Current Liabilities)</w:t>
            </w:r>
          </w:p>
        </w:tc>
        <w:tc>
          <w:tcPr>
            <w:tcW w:w="615" w:type="pct"/>
            <w:tcBorders>
              <w:top w:val="nil"/>
              <w:left w:val="nil"/>
              <w:bottom w:val="single" w:sz="4" w:space="0" w:color="auto"/>
              <w:right w:val="single" w:sz="4" w:space="0" w:color="auto"/>
            </w:tcBorders>
            <w:shd w:val="clear" w:color="auto" w:fill="auto"/>
            <w:noWrap/>
            <w:vAlign w:val="center"/>
            <w:hideMark/>
          </w:tcPr>
          <w:p w14:paraId="67D577B1"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 </w:t>
            </w:r>
          </w:p>
        </w:tc>
        <w:tc>
          <w:tcPr>
            <w:tcW w:w="615" w:type="pct"/>
            <w:tcBorders>
              <w:top w:val="nil"/>
              <w:left w:val="nil"/>
              <w:bottom w:val="single" w:sz="4" w:space="0" w:color="auto"/>
              <w:right w:val="single" w:sz="4" w:space="0" w:color="auto"/>
            </w:tcBorders>
            <w:shd w:val="clear" w:color="auto" w:fill="auto"/>
            <w:noWrap/>
            <w:vAlign w:val="center"/>
            <w:hideMark/>
          </w:tcPr>
          <w:p w14:paraId="035DA9E8"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 </w:t>
            </w:r>
          </w:p>
        </w:tc>
        <w:tc>
          <w:tcPr>
            <w:tcW w:w="615" w:type="pct"/>
            <w:tcBorders>
              <w:top w:val="nil"/>
              <w:left w:val="nil"/>
              <w:bottom w:val="single" w:sz="4" w:space="0" w:color="auto"/>
              <w:right w:val="single" w:sz="4" w:space="0" w:color="auto"/>
            </w:tcBorders>
            <w:shd w:val="clear" w:color="auto" w:fill="auto"/>
            <w:noWrap/>
            <w:vAlign w:val="center"/>
            <w:hideMark/>
          </w:tcPr>
          <w:p w14:paraId="3B4BCC46"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 </w:t>
            </w:r>
          </w:p>
        </w:tc>
        <w:tc>
          <w:tcPr>
            <w:tcW w:w="615" w:type="pct"/>
            <w:tcBorders>
              <w:top w:val="nil"/>
              <w:left w:val="nil"/>
              <w:bottom w:val="single" w:sz="4" w:space="0" w:color="auto"/>
              <w:right w:val="single" w:sz="4" w:space="0" w:color="auto"/>
            </w:tcBorders>
            <w:shd w:val="clear" w:color="auto" w:fill="auto"/>
            <w:noWrap/>
            <w:vAlign w:val="center"/>
            <w:hideMark/>
          </w:tcPr>
          <w:p w14:paraId="65E86C99"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 </w:t>
            </w:r>
          </w:p>
        </w:tc>
        <w:tc>
          <w:tcPr>
            <w:tcW w:w="615" w:type="pct"/>
            <w:tcBorders>
              <w:top w:val="nil"/>
              <w:left w:val="nil"/>
              <w:bottom w:val="single" w:sz="4" w:space="0" w:color="auto"/>
              <w:right w:val="single" w:sz="4" w:space="0" w:color="auto"/>
            </w:tcBorders>
            <w:shd w:val="clear" w:color="auto" w:fill="auto"/>
            <w:noWrap/>
            <w:vAlign w:val="center"/>
            <w:hideMark/>
          </w:tcPr>
          <w:p w14:paraId="209B1B40"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 </w:t>
            </w:r>
          </w:p>
        </w:tc>
      </w:tr>
    </w:tbl>
    <w:p w14:paraId="061C81E8" w14:textId="77777777" w:rsidR="00ED5344" w:rsidRPr="005C3BEB" w:rsidRDefault="00ED5344" w:rsidP="005C3BEB">
      <w:pPr>
        <w:spacing w:line="360" w:lineRule="auto"/>
        <w:jc w:val="both"/>
        <w:rPr>
          <w:rFonts w:cs="Times New Roman"/>
          <w:szCs w:val="24"/>
        </w:rPr>
      </w:pPr>
    </w:p>
    <w:p w14:paraId="0EB04D44" w14:textId="77777777" w:rsidR="00ED5344" w:rsidRPr="005C3BEB" w:rsidRDefault="00ED5344" w:rsidP="005C3BEB">
      <w:pPr>
        <w:pStyle w:val="ListParagraph"/>
        <w:numPr>
          <w:ilvl w:val="0"/>
          <w:numId w:val="21"/>
        </w:numPr>
        <w:spacing w:line="360" w:lineRule="auto"/>
        <w:jc w:val="both"/>
        <w:rPr>
          <w:rFonts w:cs="Times New Roman"/>
          <w:b/>
          <w:bCs/>
          <w:szCs w:val="24"/>
        </w:rPr>
      </w:pPr>
      <w:r w:rsidRPr="005C3BEB">
        <w:rPr>
          <w:rFonts w:cs="Times New Roman"/>
          <w:b/>
          <w:bCs/>
          <w:szCs w:val="24"/>
        </w:rPr>
        <w:t>Debt-to-Assets Ratio:</w:t>
      </w:r>
    </w:p>
    <w:p w14:paraId="1C90F515" w14:textId="77777777" w:rsidR="00ED5344" w:rsidRPr="005C3BEB" w:rsidRDefault="00ED5344" w:rsidP="005C3BEB">
      <w:pPr>
        <w:spacing w:line="360" w:lineRule="auto"/>
        <w:jc w:val="both"/>
        <w:rPr>
          <w:rFonts w:cs="Times New Roman"/>
          <w:szCs w:val="24"/>
        </w:rPr>
      </w:pPr>
      <w:r w:rsidRPr="005C3BEB">
        <w:rPr>
          <w:rFonts w:cs="Times New Roman"/>
          <w:szCs w:val="24"/>
        </w:rPr>
        <w:lastRenderedPageBreak/>
        <w:t xml:space="preserve">According to </w:t>
      </w:r>
      <w:proofErr w:type="spellStart"/>
      <w:r w:rsidRPr="005C3BEB">
        <w:rPr>
          <w:rFonts w:cs="Times New Roman"/>
          <w:szCs w:val="24"/>
        </w:rPr>
        <w:t>Peterdy</w:t>
      </w:r>
      <w:proofErr w:type="spellEnd"/>
      <w:r w:rsidRPr="005C3BEB">
        <w:rPr>
          <w:rFonts w:cs="Times New Roman"/>
          <w:szCs w:val="24"/>
        </w:rPr>
        <w:t xml:space="preserve"> (2024), debt to asset ratio is one of the key leverage ratios that allow an investor or any stakeholder to assess the degree at which company is operated with the debt. This is one of the ratios that helps to understand the capital structure of the business.</w:t>
      </w:r>
    </w:p>
    <w:p w14:paraId="0016F622" w14:textId="77777777" w:rsidR="00ED5344" w:rsidRPr="005C3BEB" w:rsidRDefault="00ED5344" w:rsidP="005C3BEB">
      <w:pPr>
        <w:spacing w:line="360" w:lineRule="auto"/>
        <w:jc w:val="both"/>
        <w:rPr>
          <w:rFonts w:cs="Times New Roman"/>
          <w:szCs w:val="24"/>
        </w:rPr>
      </w:pPr>
      <w:r w:rsidRPr="005C3BEB">
        <w:rPr>
          <w:rFonts w:cs="Times New Roman"/>
          <w:szCs w:val="24"/>
        </w:rPr>
        <w:t>Company has gradually increased its debt component in its capital structure comparing it with the assets company held. In 2018 the debt to asset ratio was 0.39 which shows that debt was significantly less than the assets of Royal Mail plc. Later in the span of 5 years, company’s debt to asset ratio was 0.5</w:t>
      </w:r>
      <w:r w:rsidR="00546691">
        <w:rPr>
          <w:rFonts w:cs="Times New Roman"/>
          <w:szCs w:val="24"/>
        </w:rPr>
        <w:t>.</w:t>
      </w:r>
    </w:p>
    <w:tbl>
      <w:tblPr>
        <w:tblW w:w="5000" w:type="pct"/>
        <w:tblLook w:val="04A0" w:firstRow="1" w:lastRow="0" w:firstColumn="1" w:lastColumn="0" w:noHBand="0" w:noVBand="1"/>
      </w:tblPr>
      <w:tblGrid>
        <w:gridCol w:w="2155"/>
        <w:gridCol w:w="1373"/>
        <w:gridCol w:w="1372"/>
        <w:gridCol w:w="1372"/>
        <w:gridCol w:w="1372"/>
        <w:gridCol w:w="1372"/>
      </w:tblGrid>
      <w:tr w:rsidR="00ED5344" w:rsidRPr="005C3BEB" w14:paraId="49B626AE" w14:textId="77777777" w:rsidTr="00546691">
        <w:trPr>
          <w:trHeight w:val="312"/>
        </w:trPr>
        <w:tc>
          <w:tcPr>
            <w:tcW w:w="205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BED1F1E" w14:textId="77777777" w:rsidR="00ED5344" w:rsidRPr="005C3BEB" w:rsidRDefault="00ED5344" w:rsidP="005C3BEB">
            <w:pPr>
              <w:spacing w:after="0" w:line="360" w:lineRule="auto"/>
              <w:jc w:val="both"/>
              <w:rPr>
                <w:rFonts w:eastAsia="Times New Roman" w:cs="Times New Roman"/>
                <w:b/>
                <w:bCs/>
                <w:color w:val="000000"/>
                <w:szCs w:val="24"/>
                <w:lang w:val="en-IN" w:eastAsia="en-IN"/>
              </w:rPr>
            </w:pPr>
          </w:p>
        </w:tc>
        <w:tc>
          <w:tcPr>
            <w:tcW w:w="590" w:type="pct"/>
            <w:tcBorders>
              <w:top w:val="single" w:sz="4" w:space="0" w:color="auto"/>
              <w:left w:val="nil"/>
              <w:bottom w:val="single" w:sz="4" w:space="0" w:color="auto"/>
              <w:right w:val="single" w:sz="4" w:space="0" w:color="auto"/>
            </w:tcBorders>
            <w:shd w:val="clear" w:color="auto" w:fill="auto"/>
            <w:noWrap/>
            <w:vAlign w:val="bottom"/>
            <w:hideMark/>
          </w:tcPr>
          <w:p w14:paraId="22CF6E2F"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 </w:t>
            </w:r>
          </w:p>
        </w:tc>
        <w:tc>
          <w:tcPr>
            <w:tcW w:w="590" w:type="pct"/>
            <w:tcBorders>
              <w:top w:val="single" w:sz="4" w:space="0" w:color="auto"/>
              <w:left w:val="nil"/>
              <w:bottom w:val="single" w:sz="4" w:space="0" w:color="auto"/>
              <w:right w:val="single" w:sz="4" w:space="0" w:color="auto"/>
            </w:tcBorders>
            <w:shd w:val="clear" w:color="auto" w:fill="auto"/>
            <w:noWrap/>
            <w:vAlign w:val="bottom"/>
            <w:hideMark/>
          </w:tcPr>
          <w:p w14:paraId="0AC2CF9F"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 </w:t>
            </w:r>
          </w:p>
        </w:tc>
        <w:tc>
          <w:tcPr>
            <w:tcW w:w="590" w:type="pct"/>
            <w:tcBorders>
              <w:top w:val="single" w:sz="4" w:space="0" w:color="auto"/>
              <w:left w:val="nil"/>
              <w:bottom w:val="single" w:sz="4" w:space="0" w:color="auto"/>
              <w:right w:val="single" w:sz="4" w:space="0" w:color="auto"/>
            </w:tcBorders>
            <w:shd w:val="clear" w:color="auto" w:fill="auto"/>
            <w:noWrap/>
            <w:vAlign w:val="bottom"/>
            <w:hideMark/>
          </w:tcPr>
          <w:p w14:paraId="6EA3C027"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 </w:t>
            </w:r>
          </w:p>
        </w:tc>
        <w:tc>
          <w:tcPr>
            <w:tcW w:w="590" w:type="pct"/>
            <w:tcBorders>
              <w:top w:val="single" w:sz="4" w:space="0" w:color="auto"/>
              <w:left w:val="nil"/>
              <w:bottom w:val="single" w:sz="4" w:space="0" w:color="auto"/>
              <w:right w:val="single" w:sz="4" w:space="0" w:color="auto"/>
            </w:tcBorders>
            <w:shd w:val="clear" w:color="auto" w:fill="auto"/>
            <w:noWrap/>
            <w:vAlign w:val="bottom"/>
            <w:hideMark/>
          </w:tcPr>
          <w:p w14:paraId="1B0F9D9E"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 </w:t>
            </w:r>
          </w:p>
        </w:tc>
        <w:tc>
          <w:tcPr>
            <w:tcW w:w="590" w:type="pct"/>
            <w:tcBorders>
              <w:top w:val="single" w:sz="4" w:space="0" w:color="auto"/>
              <w:left w:val="nil"/>
              <w:bottom w:val="single" w:sz="4" w:space="0" w:color="auto"/>
              <w:right w:val="single" w:sz="4" w:space="0" w:color="auto"/>
            </w:tcBorders>
            <w:shd w:val="clear" w:color="auto" w:fill="auto"/>
            <w:noWrap/>
            <w:vAlign w:val="bottom"/>
            <w:hideMark/>
          </w:tcPr>
          <w:p w14:paraId="411E7D35"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 </w:t>
            </w:r>
          </w:p>
        </w:tc>
      </w:tr>
      <w:tr w:rsidR="00ED5344" w:rsidRPr="005C3BEB" w14:paraId="188DF115" w14:textId="77777777" w:rsidTr="00546691">
        <w:trPr>
          <w:trHeight w:val="312"/>
        </w:trPr>
        <w:tc>
          <w:tcPr>
            <w:tcW w:w="2051" w:type="pct"/>
            <w:tcBorders>
              <w:top w:val="nil"/>
              <w:left w:val="single" w:sz="4" w:space="0" w:color="auto"/>
              <w:bottom w:val="single" w:sz="4" w:space="0" w:color="auto"/>
              <w:right w:val="single" w:sz="4" w:space="0" w:color="auto"/>
            </w:tcBorders>
            <w:shd w:val="clear" w:color="auto" w:fill="auto"/>
            <w:noWrap/>
            <w:vAlign w:val="center"/>
            <w:hideMark/>
          </w:tcPr>
          <w:p w14:paraId="6BF6C58A" w14:textId="77777777" w:rsidR="00ED5344" w:rsidRPr="005C3BEB" w:rsidRDefault="00ED5344" w:rsidP="005C3BEB">
            <w:pPr>
              <w:spacing w:after="0" w:line="360" w:lineRule="auto"/>
              <w:jc w:val="both"/>
              <w:rPr>
                <w:rFonts w:eastAsia="Times New Roman" w:cs="Times New Roman"/>
                <w:b/>
                <w:bCs/>
                <w:color w:val="000000"/>
                <w:szCs w:val="24"/>
                <w:lang w:val="en-IN" w:eastAsia="en-IN"/>
              </w:rPr>
            </w:pPr>
            <w:r w:rsidRPr="005C3BEB">
              <w:rPr>
                <w:rFonts w:eastAsia="Times New Roman" w:cs="Times New Roman"/>
                <w:b/>
                <w:bCs/>
                <w:color w:val="000000"/>
                <w:szCs w:val="24"/>
                <w:lang w:val="en-IN" w:eastAsia="en-IN"/>
              </w:rPr>
              <w:t>Particulars</w:t>
            </w:r>
          </w:p>
        </w:tc>
        <w:tc>
          <w:tcPr>
            <w:tcW w:w="590" w:type="pct"/>
            <w:tcBorders>
              <w:top w:val="nil"/>
              <w:left w:val="nil"/>
              <w:bottom w:val="single" w:sz="4" w:space="0" w:color="auto"/>
              <w:right w:val="single" w:sz="4" w:space="0" w:color="auto"/>
            </w:tcBorders>
            <w:shd w:val="clear" w:color="auto" w:fill="auto"/>
            <w:noWrap/>
            <w:vAlign w:val="center"/>
            <w:hideMark/>
          </w:tcPr>
          <w:p w14:paraId="75052149" w14:textId="77777777" w:rsidR="00ED5344" w:rsidRPr="005C3BEB" w:rsidRDefault="00ED5344" w:rsidP="005C3BEB">
            <w:pPr>
              <w:spacing w:after="0" w:line="360" w:lineRule="auto"/>
              <w:jc w:val="both"/>
              <w:rPr>
                <w:rFonts w:eastAsia="Times New Roman" w:cs="Times New Roman"/>
                <w:b/>
                <w:bCs/>
                <w:color w:val="000000"/>
                <w:szCs w:val="24"/>
                <w:lang w:val="en-IN" w:eastAsia="en-IN"/>
              </w:rPr>
            </w:pPr>
            <w:r w:rsidRPr="005C3BEB">
              <w:rPr>
                <w:rFonts w:eastAsia="Times New Roman" w:cs="Times New Roman"/>
                <w:b/>
                <w:bCs/>
                <w:color w:val="000000"/>
                <w:szCs w:val="24"/>
                <w:lang w:val="en-IN" w:eastAsia="en-IN"/>
              </w:rPr>
              <w:t>2018 (in £ m)</w:t>
            </w:r>
          </w:p>
        </w:tc>
        <w:tc>
          <w:tcPr>
            <w:tcW w:w="590" w:type="pct"/>
            <w:tcBorders>
              <w:top w:val="nil"/>
              <w:left w:val="nil"/>
              <w:bottom w:val="single" w:sz="4" w:space="0" w:color="auto"/>
              <w:right w:val="single" w:sz="4" w:space="0" w:color="auto"/>
            </w:tcBorders>
            <w:shd w:val="clear" w:color="auto" w:fill="auto"/>
            <w:noWrap/>
            <w:vAlign w:val="center"/>
            <w:hideMark/>
          </w:tcPr>
          <w:p w14:paraId="60DAEBEC" w14:textId="77777777" w:rsidR="00ED5344" w:rsidRPr="005C3BEB" w:rsidRDefault="00ED5344" w:rsidP="005C3BEB">
            <w:pPr>
              <w:spacing w:after="0" w:line="360" w:lineRule="auto"/>
              <w:jc w:val="both"/>
              <w:rPr>
                <w:rFonts w:eastAsia="Times New Roman" w:cs="Times New Roman"/>
                <w:b/>
                <w:bCs/>
                <w:color w:val="000000"/>
                <w:szCs w:val="24"/>
                <w:lang w:val="en-IN" w:eastAsia="en-IN"/>
              </w:rPr>
            </w:pPr>
            <w:r w:rsidRPr="005C3BEB">
              <w:rPr>
                <w:rFonts w:eastAsia="Times New Roman" w:cs="Times New Roman"/>
                <w:b/>
                <w:bCs/>
                <w:color w:val="000000"/>
                <w:szCs w:val="24"/>
                <w:lang w:val="en-IN" w:eastAsia="en-IN"/>
              </w:rPr>
              <w:t>2019 (in £ m)</w:t>
            </w:r>
          </w:p>
        </w:tc>
        <w:tc>
          <w:tcPr>
            <w:tcW w:w="590" w:type="pct"/>
            <w:tcBorders>
              <w:top w:val="nil"/>
              <w:left w:val="nil"/>
              <w:bottom w:val="single" w:sz="4" w:space="0" w:color="auto"/>
              <w:right w:val="single" w:sz="4" w:space="0" w:color="auto"/>
            </w:tcBorders>
            <w:shd w:val="clear" w:color="auto" w:fill="auto"/>
            <w:noWrap/>
            <w:vAlign w:val="center"/>
            <w:hideMark/>
          </w:tcPr>
          <w:p w14:paraId="4999A70F" w14:textId="77777777" w:rsidR="00ED5344" w:rsidRPr="005C3BEB" w:rsidRDefault="00ED5344" w:rsidP="005C3BEB">
            <w:pPr>
              <w:spacing w:after="0" w:line="360" w:lineRule="auto"/>
              <w:jc w:val="both"/>
              <w:rPr>
                <w:rFonts w:eastAsia="Times New Roman" w:cs="Times New Roman"/>
                <w:b/>
                <w:bCs/>
                <w:color w:val="000000"/>
                <w:szCs w:val="24"/>
                <w:lang w:val="en-IN" w:eastAsia="en-IN"/>
              </w:rPr>
            </w:pPr>
            <w:r w:rsidRPr="005C3BEB">
              <w:rPr>
                <w:rFonts w:eastAsia="Times New Roman" w:cs="Times New Roman"/>
                <w:b/>
                <w:bCs/>
                <w:color w:val="000000"/>
                <w:szCs w:val="24"/>
                <w:lang w:val="en-IN" w:eastAsia="en-IN"/>
              </w:rPr>
              <w:t>2020 (in £ m)</w:t>
            </w:r>
          </w:p>
        </w:tc>
        <w:tc>
          <w:tcPr>
            <w:tcW w:w="590" w:type="pct"/>
            <w:tcBorders>
              <w:top w:val="nil"/>
              <w:left w:val="nil"/>
              <w:bottom w:val="single" w:sz="4" w:space="0" w:color="auto"/>
              <w:right w:val="single" w:sz="4" w:space="0" w:color="auto"/>
            </w:tcBorders>
            <w:shd w:val="clear" w:color="auto" w:fill="auto"/>
            <w:noWrap/>
            <w:vAlign w:val="center"/>
            <w:hideMark/>
          </w:tcPr>
          <w:p w14:paraId="26AABAA0" w14:textId="77777777" w:rsidR="00ED5344" w:rsidRPr="005C3BEB" w:rsidRDefault="00ED5344" w:rsidP="005C3BEB">
            <w:pPr>
              <w:spacing w:after="0" w:line="360" w:lineRule="auto"/>
              <w:jc w:val="both"/>
              <w:rPr>
                <w:rFonts w:eastAsia="Times New Roman" w:cs="Times New Roman"/>
                <w:b/>
                <w:bCs/>
                <w:color w:val="000000"/>
                <w:szCs w:val="24"/>
                <w:lang w:val="en-IN" w:eastAsia="en-IN"/>
              </w:rPr>
            </w:pPr>
            <w:r w:rsidRPr="005C3BEB">
              <w:rPr>
                <w:rFonts w:eastAsia="Times New Roman" w:cs="Times New Roman"/>
                <w:b/>
                <w:bCs/>
                <w:color w:val="000000"/>
                <w:szCs w:val="24"/>
                <w:lang w:val="en-IN" w:eastAsia="en-IN"/>
              </w:rPr>
              <w:t>2021 (in £ m)</w:t>
            </w:r>
          </w:p>
        </w:tc>
        <w:tc>
          <w:tcPr>
            <w:tcW w:w="590" w:type="pct"/>
            <w:tcBorders>
              <w:top w:val="nil"/>
              <w:left w:val="nil"/>
              <w:bottom w:val="single" w:sz="4" w:space="0" w:color="auto"/>
              <w:right w:val="single" w:sz="4" w:space="0" w:color="auto"/>
            </w:tcBorders>
            <w:shd w:val="clear" w:color="auto" w:fill="auto"/>
            <w:noWrap/>
            <w:vAlign w:val="center"/>
            <w:hideMark/>
          </w:tcPr>
          <w:p w14:paraId="7EC64D3C" w14:textId="77777777" w:rsidR="00ED5344" w:rsidRPr="005C3BEB" w:rsidRDefault="00ED5344" w:rsidP="005C3BEB">
            <w:pPr>
              <w:spacing w:after="0" w:line="360" w:lineRule="auto"/>
              <w:jc w:val="both"/>
              <w:rPr>
                <w:rFonts w:eastAsia="Times New Roman" w:cs="Times New Roman"/>
                <w:b/>
                <w:bCs/>
                <w:color w:val="000000"/>
                <w:szCs w:val="24"/>
                <w:lang w:val="en-IN" w:eastAsia="en-IN"/>
              </w:rPr>
            </w:pPr>
            <w:r w:rsidRPr="005C3BEB">
              <w:rPr>
                <w:rFonts w:eastAsia="Times New Roman" w:cs="Times New Roman"/>
                <w:b/>
                <w:bCs/>
                <w:color w:val="000000"/>
                <w:szCs w:val="24"/>
                <w:lang w:val="en-IN" w:eastAsia="en-IN"/>
              </w:rPr>
              <w:t>2022 (in £ m)</w:t>
            </w:r>
          </w:p>
        </w:tc>
      </w:tr>
      <w:tr w:rsidR="00ED5344" w:rsidRPr="005C3BEB" w14:paraId="02F8137C" w14:textId="77777777" w:rsidTr="00546691">
        <w:trPr>
          <w:trHeight w:val="312"/>
        </w:trPr>
        <w:tc>
          <w:tcPr>
            <w:tcW w:w="2051" w:type="pct"/>
            <w:tcBorders>
              <w:top w:val="nil"/>
              <w:left w:val="single" w:sz="4" w:space="0" w:color="auto"/>
              <w:bottom w:val="single" w:sz="4" w:space="0" w:color="auto"/>
              <w:right w:val="single" w:sz="4" w:space="0" w:color="auto"/>
            </w:tcBorders>
            <w:shd w:val="clear" w:color="auto" w:fill="auto"/>
            <w:noWrap/>
            <w:vAlign w:val="center"/>
            <w:hideMark/>
          </w:tcPr>
          <w:p w14:paraId="186676E4"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 </w:t>
            </w:r>
          </w:p>
        </w:tc>
        <w:tc>
          <w:tcPr>
            <w:tcW w:w="590" w:type="pct"/>
            <w:tcBorders>
              <w:top w:val="nil"/>
              <w:left w:val="nil"/>
              <w:bottom w:val="single" w:sz="4" w:space="0" w:color="auto"/>
              <w:right w:val="single" w:sz="4" w:space="0" w:color="auto"/>
            </w:tcBorders>
            <w:shd w:val="clear" w:color="auto" w:fill="auto"/>
            <w:noWrap/>
            <w:vAlign w:val="center"/>
            <w:hideMark/>
          </w:tcPr>
          <w:p w14:paraId="2DEBCE83"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 </w:t>
            </w:r>
          </w:p>
        </w:tc>
        <w:tc>
          <w:tcPr>
            <w:tcW w:w="590" w:type="pct"/>
            <w:tcBorders>
              <w:top w:val="nil"/>
              <w:left w:val="nil"/>
              <w:bottom w:val="single" w:sz="4" w:space="0" w:color="auto"/>
              <w:right w:val="single" w:sz="4" w:space="0" w:color="auto"/>
            </w:tcBorders>
            <w:shd w:val="clear" w:color="auto" w:fill="auto"/>
            <w:noWrap/>
            <w:vAlign w:val="center"/>
            <w:hideMark/>
          </w:tcPr>
          <w:p w14:paraId="4A5E4E95"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 </w:t>
            </w:r>
          </w:p>
        </w:tc>
        <w:tc>
          <w:tcPr>
            <w:tcW w:w="590" w:type="pct"/>
            <w:tcBorders>
              <w:top w:val="nil"/>
              <w:left w:val="nil"/>
              <w:bottom w:val="single" w:sz="4" w:space="0" w:color="auto"/>
              <w:right w:val="single" w:sz="4" w:space="0" w:color="auto"/>
            </w:tcBorders>
            <w:shd w:val="clear" w:color="auto" w:fill="auto"/>
            <w:noWrap/>
            <w:vAlign w:val="center"/>
            <w:hideMark/>
          </w:tcPr>
          <w:p w14:paraId="1EF97F8D"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 </w:t>
            </w:r>
          </w:p>
        </w:tc>
        <w:tc>
          <w:tcPr>
            <w:tcW w:w="590" w:type="pct"/>
            <w:tcBorders>
              <w:top w:val="nil"/>
              <w:left w:val="nil"/>
              <w:bottom w:val="single" w:sz="4" w:space="0" w:color="auto"/>
              <w:right w:val="single" w:sz="4" w:space="0" w:color="auto"/>
            </w:tcBorders>
            <w:shd w:val="clear" w:color="auto" w:fill="auto"/>
            <w:noWrap/>
            <w:vAlign w:val="center"/>
            <w:hideMark/>
          </w:tcPr>
          <w:p w14:paraId="649EFA65"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 </w:t>
            </w:r>
          </w:p>
        </w:tc>
        <w:tc>
          <w:tcPr>
            <w:tcW w:w="590" w:type="pct"/>
            <w:tcBorders>
              <w:top w:val="nil"/>
              <w:left w:val="nil"/>
              <w:bottom w:val="single" w:sz="4" w:space="0" w:color="auto"/>
              <w:right w:val="single" w:sz="4" w:space="0" w:color="auto"/>
            </w:tcBorders>
            <w:shd w:val="clear" w:color="auto" w:fill="auto"/>
            <w:noWrap/>
            <w:vAlign w:val="center"/>
            <w:hideMark/>
          </w:tcPr>
          <w:p w14:paraId="41F8DB0B"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 </w:t>
            </w:r>
          </w:p>
        </w:tc>
      </w:tr>
      <w:tr w:rsidR="00ED5344" w:rsidRPr="005C3BEB" w14:paraId="0D8339FB" w14:textId="77777777" w:rsidTr="00546691">
        <w:trPr>
          <w:trHeight w:val="312"/>
        </w:trPr>
        <w:tc>
          <w:tcPr>
            <w:tcW w:w="2051" w:type="pct"/>
            <w:tcBorders>
              <w:top w:val="nil"/>
              <w:left w:val="single" w:sz="4" w:space="0" w:color="auto"/>
              <w:bottom w:val="single" w:sz="4" w:space="0" w:color="auto"/>
              <w:right w:val="single" w:sz="4" w:space="0" w:color="auto"/>
            </w:tcBorders>
            <w:shd w:val="clear" w:color="auto" w:fill="auto"/>
            <w:noWrap/>
            <w:vAlign w:val="center"/>
            <w:hideMark/>
          </w:tcPr>
          <w:p w14:paraId="02103166"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Total Debt</w:t>
            </w:r>
          </w:p>
        </w:tc>
        <w:tc>
          <w:tcPr>
            <w:tcW w:w="590" w:type="pct"/>
            <w:tcBorders>
              <w:top w:val="nil"/>
              <w:left w:val="nil"/>
              <w:bottom w:val="single" w:sz="4" w:space="0" w:color="auto"/>
              <w:right w:val="single" w:sz="4" w:space="0" w:color="auto"/>
            </w:tcBorders>
            <w:shd w:val="clear" w:color="auto" w:fill="auto"/>
            <w:noWrap/>
            <w:vAlign w:val="bottom"/>
            <w:hideMark/>
          </w:tcPr>
          <w:p w14:paraId="4243D61F"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 xml:space="preserve"> £            2,821 </w:t>
            </w:r>
          </w:p>
        </w:tc>
        <w:tc>
          <w:tcPr>
            <w:tcW w:w="590" w:type="pct"/>
            <w:tcBorders>
              <w:top w:val="nil"/>
              <w:left w:val="nil"/>
              <w:bottom w:val="single" w:sz="4" w:space="0" w:color="auto"/>
              <w:right w:val="single" w:sz="4" w:space="0" w:color="auto"/>
            </w:tcBorders>
            <w:shd w:val="clear" w:color="auto" w:fill="auto"/>
            <w:noWrap/>
            <w:vAlign w:val="bottom"/>
            <w:hideMark/>
          </w:tcPr>
          <w:p w14:paraId="3F7A395A"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 xml:space="preserve"> £            2,782 </w:t>
            </w:r>
          </w:p>
        </w:tc>
        <w:tc>
          <w:tcPr>
            <w:tcW w:w="590" w:type="pct"/>
            <w:tcBorders>
              <w:top w:val="nil"/>
              <w:left w:val="nil"/>
              <w:bottom w:val="single" w:sz="4" w:space="0" w:color="auto"/>
              <w:right w:val="single" w:sz="4" w:space="0" w:color="auto"/>
            </w:tcBorders>
            <w:shd w:val="clear" w:color="auto" w:fill="auto"/>
            <w:noWrap/>
            <w:vAlign w:val="bottom"/>
            <w:hideMark/>
          </w:tcPr>
          <w:p w14:paraId="4EF6F894"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 xml:space="preserve"> £            5,396 </w:t>
            </w:r>
          </w:p>
        </w:tc>
        <w:tc>
          <w:tcPr>
            <w:tcW w:w="590" w:type="pct"/>
            <w:tcBorders>
              <w:top w:val="nil"/>
              <w:left w:val="nil"/>
              <w:bottom w:val="single" w:sz="4" w:space="0" w:color="auto"/>
              <w:right w:val="single" w:sz="4" w:space="0" w:color="auto"/>
            </w:tcBorders>
            <w:shd w:val="clear" w:color="auto" w:fill="auto"/>
            <w:noWrap/>
            <w:vAlign w:val="bottom"/>
            <w:hideMark/>
          </w:tcPr>
          <w:p w14:paraId="73AB1928"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 xml:space="preserve"> £            5,180 </w:t>
            </w:r>
          </w:p>
        </w:tc>
        <w:tc>
          <w:tcPr>
            <w:tcW w:w="590" w:type="pct"/>
            <w:tcBorders>
              <w:top w:val="nil"/>
              <w:left w:val="nil"/>
              <w:bottom w:val="single" w:sz="4" w:space="0" w:color="auto"/>
              <w:right w:val="single" w:sz="4" w:space="0" w:color="auto"/>
            </w:tcBorders>
            <w:shd w:val="clear" w:color="auto" w:fill="auto"/>
            <w:noWrap/>
            <w:vAlign w:val="bottom"/>
            <w:hideMark/>
          </w:tcPr>
          <w:p w14:paraId="05F11A1B"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 xml:space="preserve"> £            5,345 </w:t>
            </w:r>
          </w:p>
        </w:tc>
      </w:tr>
      <w:tr w:rsidR="00ED5344" w:rsidRPr="005C3BEB" w14:paraId="5470421F" w14:textId="77777777" w:rsidTr="00546691">
        <w:trPr>
          <w:trHeight w:val="312"/>
        </w:trPr>
        <w:tc>
          <w:tcPr>
            <w:tcW w:w="2051" w:type="pct"/>
            <w:tcBorders>
              <w:top w:val="nil"/>
              <w:left w:val="single" w:sz="4" w:space="0" w:color="auto"/>
              <w:bottom w:val="single" w:sz="4" w:space="0" w:color="auto"/>
              <w:right w:val="single" w:sz="4" w:space="0" w:color="auto"/>
            </w:tcBorders>
            <w:shd w:val="clear" w:color="auto" w:fill="auto"/>
            <w:noWrap/>
            <w:vAlign w:val="center"/>
            <w:hideMark/>
          </w:tcPr>
          <w:p w14:paraId="7E540030"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Total Assets</w:t>
            </w:r>
          </w:p>
        </w:tc>
        <w:tc>
          <w:tcPr>
            <w:tcW w:w="590" w:type="pct"/>
            <w:tcBorders>
              <w:top w:val="nil"/>
              <w:left w:val="nil"/>
              <w:bottom w:val="single" w:sz="4" w:space="0" w:color="auto"/>
              <w:right w:val="single" w:sz="4" w:space="0" w:color="auto"/>
            </w:tcBorders>
            <w:shd w:val="clear" w:color="auto" w:fill="auto"/>
            <w:noWrap/>
            <w:vAlign w:val="bottom"/>
            <w:hideMark/>
          </w:tcPr>
          <w:p w14:paraId="77981F81"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 xml:space="preserve"> £            7,257 </w:t>
            </w:r>
          </w:p>
        </w:tc>
        <w:tc>
          <w:tcPr>
            <w:tcW w:w="590" w:type="pct"/>
            <w:tcBorders>
              <w:top w:val="nil"/>
              <w:left w:val="nil"/>
              <w:bottom w:val="single" w:sz="4" w:space="0" w:color="auto"/>
              <w:right w:val="single" w:sz="4" w:space="0" w:color="auto"/>
            </w:tcBorders>
            <w:shd w:val="clear" w:color="auto" w:fill="auto"/>
            <w:noWrap/>
            <w:vAlign w:val="bottom"/>
            <w:hideMark/>
          </w:tcPr>
          <w:p w14:paraId="21FD91A0"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 xml:space="preserve"> £            7,401 </w:t>
            </w:r>
          </w:p>
        </w:tc>
        <w:tc>
          <w:tcPr>
            <w:tcW w:w="590" w:type="pct"/>
            <w:tcBorders>
              <w:top w:val="nil"/>
              <w:left w:val="nil"/>
              <w:bottom w:val="single" w:sz="4" w:space="0" w:color="auto"/>
              <w:right w:val="single" w:sz="4" w:space="0" w:color="auto"/>
            </w:tcBorders>
            <w:shd w:val="clear" w:color="auto" w:fill="auto"/>
            <w:noWrap/>
            <w:vAlign w:val="bottom"/>
            <w:hideMark/>
          </w:tcPr>
          <w:p w14:paraId="17C8610C"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 xml:space="preserve"> £          11,017 </w:t>
            </w:r>
          </w:p>
        </w:tc>
        <w:tc>
          <w:tcPr>
            <w:tcW w:w="590" w:type="pct"/>
            <w:tcBorders>
              <w:top w:val="nil"/>
              <w:left w:val="nil"/>
              <w:bottom w:val="single" w:sz="4" w:space="0" w:color="auto"/>
              <w:right w:val="single" w:sz="4" w:space="0" w:color="auto"/>
            </w:tcBorders>
            <w:shd w:val="clear" w:color="auto" w:fill="auto"/>
            <w:noWrap/>
            <w:vAlign w:val="bottom"/>
            <w:hideMark/>
          </w:tcPr>
          <w:p w14:paraId="7D3FCC7E"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 xml:space="preserve"> £            9,985 </w:t>
            </w:r>
          </w:p>
        </w:tc>
        <w:tc>
          <w:tcPr>
            <w:tcW w:w="590" w:type="pct"/>
            <w:tcBorders>
              <w:top w:val="nil"/>
              <w:left w:val="nil"/>
              <w:bottom w:val="single" w:sz="4" w:space="0" w:color="auto"/>
              <w:right w:val="single" w:sz="4" w:space="0" w:color="auto"/>
            </w:tcBorders>
            <w:shd w:val="clear" w:color="auto" w:fill="auto"/>
            <w:noWrap/>
            <w:vAlign w:val="bottom"/>
            <w:hideMark/>
          </w:tcPr>
          <w:p w14:paraId="1394F463"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 xml:space="preserve"> £          10,679 </w:t>
            </w:r>
          </w:p>
        </w:tc>
      </w:tr>
      <w:tr w:rsidR="00ED5344" w:rsidRPr="005C3BEB" w14:paraId="1BC3C6EB" w14:textId="77777777" w:rsidTr="00546691">
        <w:trPr>
          <w:trHeight w:val="312"/>
        </w:trPr>
        <w:tc>
          <w:tcPr>
            <w:tcW w:w="2051" w:type="pct"/>
            <w:tcBorders>
              <w:top w:val="nil"/>
              <w:left w:val="single" w:sz="4" w:space="0" w:color="auto"/>
              <w:bottom w:val="single" w:sz="4" w:space="0" w:color="auto"/>
              <w:right w:val="single" w:sz="4" w:space="0" w:color="auto"/>
            </w:tcBorders>
            <w:shd w:val="clear" w:color="auto" w:fill="auto"/>
            <w:noWrap/>
            <w:vAlign w:val="center"/>
            <w:hideMark/>
          </w:tcPr>
          <w:p w14:paraId="71A57607"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 </w:t>
            </w:r>
          </w:p>
        </w:tc>
        <w:tc>
          <w:tcPr>
            <w:tcW w:w="590" w:type="pct"/>
            <w:tcBorders>
              <w:top w:val="nil"/>
              <w:left w:val="nil"/>
              <w:bottom w:val="single" w:sz="4" w:space="0" w:color="auto"/>
              <w:right w:val="single" w:sz="4" w:space="0" w:color="auto"/>
            </w:tcBorders>
            <w:shd w:val="clear" w:color="auto" w:fill="auto"/>
            <w:noWrap/>
            <w:vAlign w:val="center"/>
            <w:hideMark/>
          </w:tcPr>
          <w:p w14:paraId="73ADD16B"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 </w:t>
            </w:r>
          </w:p>
        </w:tc>
        <w:tc>
          <w:tcPr>
            <w:tcW w:w="590" w:type="pct"/>
            <w:tcBorders>
              <w:top w:val="nil"/>
              <w:left w:val="nil"/>
              <w:bottom w:val="single" w:sz="4" w:space="0" w:color="auto"/>
              <w:right w:val="single" w:sz="4" w:space="0" w:color="auto"/>
            </w:tcBorders>
            <w:shd w:val="clear" w:color="auto" w:fill="auto"/>
            <w:noWrap/>
            <w:vAlign w:val="center"/>
            <w:hideMark/>
          </w:tcPr>
          <w:p w14:paraId="6E47DED8"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 </w:t>
            </w:r>
          </w:p>
        </w:tc>
        <w:tc>
          <w:tcPr>
            <w:tcW w:w="590" w:type="pct"/>
            <w:tcBorders>
              <w:top w:val="nil"/>
              <w:left w:val="nil"/>
              <w:bottom w:val="single" w:sz="4" w:space="0" w:color="auto"/>
              <w:right w:val="single" w:sz="4" w:space="0" w:color="auto"/>
            </w:tcBorders>
            <w:shd w:val="clear" w:color="auto" w:fill="auto"/>
            <w:noWrap/>
            <w:vAlign w:val="center"/>
            <w:hideMark/>
          </w:tcPr>
          <w:p w14:paraId="563CF0BD"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 </w:t>
            </w:r>
          </w:p>
        </w:tc>
        <w:tc>
          <w:tcPr>
            <w:tcW w:w="590" w:type="pct"/>
            <w:tcBorders>
              <w:top w:val="nil"/>
              <w:left w:val="nil"/>
              <w:bottom w:val="single" w:sz="4" w:space="0" w:color="auto"/>
              <w:right w:val="single" w:sz="4" w:space="0" w:color="auto"/>
            </w:tcBorders>
            <w:shd w:val="clear" w:color="auto" w:fill="auto"/>
            <w:noWrap/>
            <w:vAlign w:val="center"/>
            <w:hideMark/>
          </w:tcPr>
          <w:p w14:paraId="7AEC6EA1"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 </w:t>
            </w:r>
          </w:p>
        </w:tc>
        <w:tc>
          <w:tcPr>
            <w:tcW w:w="590" w:type="pct"/>
            <w:tcBorders>
              <w:top w:val="nil"/>
              <w:left w:val="nil"/>
              <w:bottom w:val="single" w:sz="4" w:space="0" w:color="auto"/>
              <w:right w:val="single" w:sz="4" w:space="0" w:color="auto"/>
            </w:tcBorders>
            <w:shd w:val="clear" w:color="auto" w:fill="auto"/>
            <w:noWrap/>
            <w:vAlign w:val="center"/>
            <w:hideMark/>
          </w:tcPr>
          <w:p w14:paraId="5B5D0CE0"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 </w:t>
            </w:r>
          </w:p>
        </w:tc>
      </w:tr>
      <w:tr w:rsidR="00ED5344" w:rsidRPr="005C3BEB" w14:paraId="49BACA3A" w14:textId="77777777" w:rsidTr="00546691">
        <w:trPr>
          <w:trHeight w:val="312"/>
        </w:trPr>
        <w:tc>
          <w:tcPr>
            <w:tcW w:w="2051" w:type="pct"/>
            <w:tcBorders>
              <w:top w:val="nil"/>
              <w:left w:val="single" w:sz="4" w:space="0" w:color="auto"/>
              <w:bottom w:val="single" w:sz="4" w:space="0" w:color="auto"/>
              <w:right w:val="single" w:sz="4" w:space="0" w:color="auto"/>
            </w:tcBorders>
            <w:shd w:val="clear" w:color="auto" w:fill="auto"/>
            <w:vAlign w:val="center"/>
            <w:hideMark/>
          </w:tcPr>
          <w:p w14:paraId="40B2DB2B" w14:textId="77777777" w:rsidR="00ED5344" w:rsidRPr="005C3BEB" w:rsidRDefault="00ED5344" w:rsidP="005C3BEB">
            <w:pPr>
              <w:spacing w:after="0" w:line="360" w:lineRule="auto"/>
              <w:jc w:val="both"/>
              <w:rPr>
                <w:rFonts w:eastAsia="Times New Roman" w:cs="Times New Roman"/>
                <w:b/>
                <w:bCs/>
                <w:color w:val="000000"/>
                <w:szCs w:val="24"/>
                <w:lang w:val="en-IN" w:eastAsia="en-IN"/>
              </w:rPr>
            </w:pPr>
            <w:r w:rsidRPr="005C3BEB">
              <w:rPr>
                <w:rFonts w:eastAsia="Times New Roman" w:cs="Times New Roman"/>
                <w:b/>
                <w:bCs/>
                <w:color w:val="000000"/>
                <w:szCs w:val="24"/>
                <w:lang w:val="en-IN" w:eastAsia="en-IN"/>
              </w:rPr>
              <w:t>Debt-to-Assets Ratio </w:t>
            </w:r>
          </w:p>
        </w:tc>
        <w:tc>
          <w:tcPr>
            <w:tcW w:w="590" w:type="pct"/>
            <w:tcBorders>
              <w:top w:val="nil"/>
              <w:left w:val="nil"/>
              <w:bottom w:val="single" w:sz="4" w:space="0" w:color="auto"/>
              <w:right w:val="single" w:sz="4" w:space="0" w:color="auto"/>
            </w:tcBorders>
            <w:shd w:val="clear" w:color="auto" w:fill="auto"/>
            <w:noWrap/>
            <w:vAlign w:val="center"/>
            <w:hideMark/>
          </w:tcPr>
          <w:p w14:paraId="288EEA7F" w14:textId="77777777" w:rsidR="00ED5344" w:rsidRPr="005C3BEB" w:rsidRDefault="00ED5344" w:rsidP="005C3BEB">
            <w:pPr>
              <w:spacing w:after="0" w:line="360" w:lineRule="auto"/>
              <w:jc w:val="both"/>
              <w:rPr>
                <w:rFonts w:eastAsia="Times New Roman" w:cs="Times New Roman"/>
                <w:b/>
                <w:bCs/>
                <w:color w:val="000000"/>
                <w:szCs w:val="24"/>
                <w:lang w:val="en-IN" w:eastAsia="en-IN"/>
              </w:rPr>
            </w:pPr>
            <w:r w:rsidRPr="005C3BEB">
              <w:rPr>
                <w:rFonts w:eastAsia="Times New Roman" w:cs="Times New Roman"/>
                <w:b/>
                <w:bCs/>
                <w:color w:val="000000"/>
                <w:szCs w:val="24"/>
                <w:lang w:val="en-IN" w:eastAsia="en-IN"/>
              </w:rPr>
              <w:t>0.39</w:t>
            </w:r>
          </w:p>
        </w:tc>
        <w:tc>
          <w:tcPr>
            <w:tcW w:w="590" w:type="pct"/>
            <w:tcBorders>
              <w:top w:val="nil"/>
              <w:left w:val="nil"/>
              <w:bottom w:val="single" w:sz="4" w:space="0" w:color="auto"/>
              <w:right w:val="single" w:sz="4" w:space="0" w:color="auto"/>
            </w:tcBorders>
            <w:shd w:val="clear" w:color="auto" w:fill="auto"/>
            <w:noWrap/>
            <w:vAlign w:val="center"/>
            <w:hideMark/>
          </w:tcPr>
          <w:p w14:paraId="0DC6D6DE" w14:textId="77777777" w:rsidR="00ED5344" w:rsidRPr="005C3BEB" w:rsidRDefault="00ED5344" w:rsidP="005C3BEB">
            <w:pPr>
              <w:spacing w:after="0" w:line="360" w:lineRule="auto"/>
              <w:jc w:val="both"/>
              <w:rPr>
                <w:rFonts w:eastAsia="Times New Roman" w:cs="Times New Roman"/>
                <w:b/>
                <w:bCs/>
                <w:color w:val="000000"/>
                <w:szCs w:val="24"/>
                <w:lang w:val="en-IN" w:eastAsia="en-IN"/>
              </w:rPr>
            </w:pPr>
            <w:r w:rsidRPr="005C3BEB">
              <w:rPr>
                <w:rFonts w:eastAsia="Times New Roman" w:cs="Times New Roman"/>
                <w:b/>
                <w:bCs/>
                <w:color w:val="000000"/>
                <w:szCs w:val="24"/>
                <w:lang w:val="en-IN" w:eastAsia="en-IN"/>
              </w:rPr>
              <w:t>0.38</w:t>
            </w:r>
          </w:p>
        </w:tc>
        <w:tc>
          <w:tcPr>
            <w:tcW w:w="590" w:type="pct"/>
            <w:tcBorders>
              <w:top w:val="nil"/>
              <w:left w:val="nil"/>
              <w:bottom w:val="single" w:sz="4" w:space="0" w:color="auto"/>
              <w:right w:val="single" w:sz="4" w:space="0" w:color="auto"/>
            </w:tcBorders>
            <w:shd w:val="clear" w:color="auto" w:fill="auto"/>
            <w:noWrap/>
            <w:vAlign w:val="center"/>
            <w:hideMark/>
          </w:tcPr>
          <w:p w14:paraId="202DB620" w14:textId="77777777" w:rsidR="00ED5344" w:rsidRPr="005C3BEB" w:rsidRDefault="00ED5344" w:rsidP="005C3BEB">
            <w:pPr>
              <w:spacing w:after="0" w:line="360" w:lineRule="auto"/>
              <w:jc w:val="both"/>
              <w:rPr>
                <w:rFonts w:eastAsia="Times New Roman" w:cs="Times New Roman"/>
                <w:b/>
                <w:bCs/>
                <w:color w:val="000000"/>
                <w:szCs w:val="24"/>
                <w:lang w:val="en-IN" w:eastAsia="en-IN"/>
              </w:rPr>
            </w:pPr>
            <w:r w:rsidRPr="005C3BEB">
              <w:rPr>
                <w:rFonts w:eastAsia="Times New Roman" w:cs="Times New Roman"/>
                <w:b/>
                <w:bCs/>
                <w:color w:val="000000"/>
                <w:szCs w:val="24"/>
                <w:lang w:val="en-IN" w:eastAsia="en-IN"/>
              </w:rPr>
              <w:t>0.49</w:t>
            </w:r>
          </w:p>
        </w:tc>
        <w:tc>
          <w:tcPr>
            <w:tcW w:w="590" w:type="pct"/>
            <w:tcBorders>
              <w:top w:val="nil"/>
              <w:left w:val="nil"/>
              <w:bottom w:val="single" w:sz="4" w:space="0" w:color="auto"/>
              <w:right w:val="single" w:sz="4" w:space="0" w:color="auto"/>
            </w:tcBorders>
            <w:shd w:val="clear" w:color="auto" w:fill="auto"/>
            <w:noWrap/>
            <w:vAlign w:val="center"/>
            <w:hideMark/>
          </w:tcPr>
          <w:p w14:paraId="14B0BB4D" w14:textId="77777777" w:rsidR="00ED5344" w:rsidRPr="005C3BEB" w:rsidRDefault="00ED5344" w:rsidP="005C3BEB">
            <w:pPr>
              <w:spacing w:after="0" w:line="360" w:lineRule="auto"/>
              <w:jc w:val="both"/>
              <w:rPr>
                <w:rFonts w:eastAsia="Times New Roman" w:cs="Times New Roman"/>
                <w:b/>
                <w:bCs/>
                <w:color w:val="000000"/>
                <w:szCs w:val="24"/>
                <w:lang w:val="en-IN" w:eastAsia="en-IN"/>
              </w:rPr>
            </w:pPr>
            <w:r w:rsidRPr="005C3BEB">
              <w:rPr>
                <w:rFonts w:eastAsia="Times New Roman" w:cs="Times New Roman"/>
                <w:b/>
                <w:bCs/>
                <w:color w:val="000000"/>
                <w:szCs w:val="24"/>
                <w:lang w:val="en-IN" w:eastAsia="en-IN"/>
              </w:rPr>
              <w:t>0.52</w:t>
            </w:r>
          </w:p>
        </w:tc>
        <w:tc>
          <w:tcPr>
            <w:tcW w:w="590" w:type="pct"/>
            <w:tcBorders>
              <w:top w:val="nil"/>
              <w:left w:val="nil"/>
              <w:bottom w:val="single" w:sz="4" w:space="0" w:color="auto"/>
              <w:right w:val="single" w:sz="4" w:space="0" w:color="auto"/>
            </w:tcBorders>
            <w:shd w:val="clear" w:color="auto" w:fill="auto"/>
            <w:noWrap/>
            <w:vAlign w:val="center"/>
            <w:hideMark/>
          </w:tcPr>
          <w:p w14:paraId="5B0E2BFF" w14:textId="77777777" w:rsidR="00ED5344" w:rsidRPr="005C3BEB" w:rsidRDefault="00ED5344" w:rsidP="005C3BEB">
            <w:pPr>
              <w:spacing w:after="0" w:line="360" w:lineRule="auto"/>
              <w:jc w:val="both"/>
              <w:rPr>
                <w:rFonts w:eastAsia="Times New Roman" w:cs="Times New Roman"/>
                <w:b/>
                <w:bCs/>
                <w:color w:val="000000"/>
                <w:szCs w:val="24"/>
                <w:lang w:val="en-IN" w:eastAsia="en-IN"/>
              </w:rPr>
            </w:pPr>
            <w:r w:rsidRPr="005C3BEB">
              <w:rPr>
                <w:rFonts w:eastAsia="Times New Roman" w:cs="Times New Roman"/>
                <w:b/>
                <w:bCs/>
                <w:color w:val="000000"/>
                <w:szCs w:val="24"/>
                <w:lang w:val="en-IN" w:eastAsia="en-IN"/>
              </w:rPr>
              <w:t>0.50</w:t>
            </w:r>
          </w:p>
        </w:tc>
      </w:tr>
      <w:tr w:rsidR="00ED5344" w:rsidRPr="005C3BEB" w14:paraId="76435E1C" w14:textId="77777777" w:rsidTr="00546691">
        <w:trPr>
          <w:trHeight w:val="312"/>
        </w:trPr>
        <w:tc>
          <w:tcPr>
            <w:tcW w:w="2051" w:type="pct"/>
            <w:tcBorders>
              <w:top w:val="nil"/>
              <w:left w:val="single" w:sz="4" w:space="0" w:color="auto"/>
              <w:bottom w:val="single" w:sz="4" w:space="0" w:color="auto"/>
              <w:right w:val="single" w:sz="4" w:space="0" w:color="auto"/>
            </w:tcBorders>
            <w:shd w:val="clear" w:color="auto" w:fill="auto"/>
            <w:noWrap/>
            <w:vAlign w:val="center"/>
            <w:hideMark/>
          </w:tcPr>
          <w:p w14:paraId="1DECDED3"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Total Debt / Total Assets</w:t>
            </w:r>
          </w:p>
        </w:tc>
        <w:tc>
          <w:tcPr>
            <w:tcW w:w="590" w:type="pct"/>
            <w:tcBorders>
              <w:top w:val="nil"/>
              <w:left w:val="nil"/>
              <w:bottom w:val="single" w:sz="4" w:space="0" w:color="auto"/>
              <w:right w:val="single" w:sz="4" w:space="0" w:color="auto"/>
            </w:tcBorders>
            <w:shd w:val="clear" w:color="auto" w:fill="auto"/>
            <w:noWrap/>
            <w:vAlign w:val="center"/>
            <w:hideMark/>
          </w:tcPr>
          <w:p w14:paraId="232D10A2"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 </w:t>
            </w:r>
          </w:p>
        </w:tc>
        <w:tc>
          <w:tcPr>
            <w:tcW w:w="590" w:type="pct"/>
            <w:tcBorders>
              <w:top w:val="nil"/>
              <w:left w:val="nil"/>
              <w:bottom w:val="single" w:sz="4" w:space="0" w:color="auto"/>
              <w:right w:val="single" w:sz="4" w:space="0" w:color="auto"/>
            </w:tcBorders>
            <w:shd w:val="clear" w:color="auto" w:fill="auto"/>
            <w:noWrap/>
            <w:vAlign w:val="center"/>
            <w:hideMark/>
          </w:tcPr>
          <w:p w14:paraId="12E3D160"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 </w:t>
            </w:r>
          </w:p>
        </w:tc>
        <w:tc>
          <w:tcPr>
            <w:tcW w:w="590" w:type="pct"/>
            <w:tcBorders>
              <w:top w:val="nil"/>
              <w:left w:val="nil"/>
              <w:bottom w:val="single" w:sz="4" w:space="0" w:color="auto"/>
              <w:right w:val="single" w:sz="4" w:space="0" w:color="auto"/>
            </w:tcBorders>
            <w:shd w:val="clear" w:color="auto" w:fill="auto"/>
            <w:noWrap/>
            <w:vAlign w:val="center"/>
            <w:hideMark/>
          </w:tcPr>
          <w:p w14:paraId="48E3FE08"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 </w:t>
            </w:r>
          </w:p>
        </w:tc>
        <w:tc>
          <w:tcPr>
            <w:tcW w:w="590" w:type="pct"/>
            <w:tcBorders>
              <w:top w:val="nil"/>
              <w:left w:val="nil"/>
              <w:bottom w:val="single" w:sz="4" w:space="0" w:color="auto"/>
              <w:right w:val="single" w:sz="4" w:space="0" w:color="auto"/>
            </w:tcBorders>
            <w:shd w:val="clear" w:color="auto" w:fill="auto"/>
            <w:noWrap/>
            <w:vAlign w:val="center"/>
            <w:hideMark/>
          </w:tcPr>
          <w:p w14:paraId="6D954E8C"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 </w:t>
            </w:r>
          </w:p>
        </w:tc>
        <w:tc>
          <w:tcPr>
            <w:tcW w:w="590" w:type="pct"/>
            <w:tcBorders>
              <w:top w:val="nil"/>
              <w:left w:val="nil"/>
              <w:bottom w:val="single" w:sz="4" w:space="0" w:color="auto"/>
              <w:right w:val="single" w:sz="4" w:space="0" w:color="auto"/>
            </w:tcBorders>
            <w:shd w:val="clear" w:color="auto" w:fill="auto"/>
            <w:noWrap/>
            <w:vAlign w:val="center"/>
            <w:hideMark/>
          </w:tcPr>
          <w:p w14:paraId="13F3424E"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 </w:t>
            </w:r>
          </w:p>
        </w:tc>
      </w:tr>
    </w:tbl>
    <w:p w14:paraId="117E45B8" w14:textId="77777777" w:rsidR="00ED5344" w:rsidRPr="005C3BEB" w:rsidRDefault="00ED5344" w:rsidP="005C3BEB">
      <w:pPr>
        <w:spacing w:line="360" w:lineRule="auto"/>
        <w:jc w:val="both"/>
        <w:rPr>
          <w:rFonts w:cs="Times New Roman"/>
          <w:szCs w:val="24"/>
        </w:rPr>
      </w:pPr>
    </w:p>
    <w:p w14:paraId="34456CE6" w14:textId="77777777" w:rsidR="00ED5344" w:rsidRPr="005C3BEB" w:rsidRDefault="00ED5344" w:rsidP="005C3BEB">
      <w:pPr>
        <w:pStyle w:val="ListParagraph"/>
        <w:numPr>
          <w:ilvl w:val="0"/>
          <w:numId w:val="21"/>
        </w:numPr>
        <w:spacing w:line="360" w:lineRule="auto"/>
        <w:jc w:val="both"/>
        <w:rPr>
          <w:rFonts w:cs="Times New Roman"/>
          <w:b/>
          <w:bCs/>
          <w:szCs w:val="24"/>
        </w:rPr>
      </w:pPr>
      <w:r w:rsidRPr="005C3BEB">
        <w:rPr>
          <w:rFonts w:cs="Times New Roman"/>
          <w:b/>
          <w:bCs/>
          <w:szCs w:val="24"/>
        </w:rPr>
        <w:t>Debt-to-Equity Ratio:</w:t>
      </w:r>
    </w:p>
    <w:p w14:paraId="666F9137" w14:textId="77777777" w:rsidR="00ED5344" w:rsidRPr="005C3BEB" w:rsidRDefault="00ED5344" w:rsidP="005C3BEB">
      <w:pPr>
        <w:spacing w:line="360" w:lineRule="auto"/>
        <w:jc w:val="both"/>
        <w:rPr>
          <w:rFonts w:cs="Times New Roman"/>
          <w:szCs w:val="24"/>
        </w:rPr>
      </w:pPr>
      <w:r w:rsidRPr="005C3BEB">
        <w:rPr>
          <w:rFonts w:cs="Times New Roman"/>
          <w:szCs w:val="24"/>
        </w:rPr>
        <w:t xml:space="preserve">According to According to Desmon and </w:t>
      </w:r>
      <w:proofErr w:type="spellStart"/>
      <w:r w:rsidRPr="005C3BEB">
        <w:rPr>
          <w:rFonts w:cs="Times New Roman"/>
          <w:szCs w:val="24"/>
        </w:rPr>
        <w:t>Meirinaldi</w:t>
      </w:r>
      <w:proofErr w:type="spellEnd"/>
      <w:r w:rsidRPr="005C3BEB">
        <w:rPr>
          <w:rFonts w:cs="Times New Roman"/>
          <w:szCs w:val="24"/>
        </w:rPr>
        <w:t xml:space="preserve"> (2022), debt-to-equity ratio is the ratio that defines the overall capital structure of any business which calculates the debt components in the business against the owner’s own equity invested in the business. Ideal debt to equity ratio is considered to be 2:1, more leverage than this </w:t>
      </w:r>
      <w:proofErr w:type="gramStart"/>
      <w:r w:rsidRPr="005C3BEB">
        <w:rPr>
          <w:rFonts w:cs="Times New Roman"/>
          <w:szCs w:val="24"/>
        </w:rPr>
        <w:t>can</w:t>
      </w:r>
      <w:proofErr w:type="gramEnd"/>
      <w:r w:rsidRPr="005C3BEB">
        <w:rPr>
          <w:rFonts w:cs="Times New Roman"/>
          <w:szCs w:val="24"/>
        </w:rPr>
        <w:t xml:space="preserve"> riskier to payback and a fear.</w:t>
      </w:r>
    </w:p>
    <w:p w14:paraId="6122C6C4" w14:textId="77777777" w:rsidR="00ED5344" w:rsidRPr="005C3BEB" w:rsidRDefault="00ED5344" w:rsidP="005C3BEB">
      <w:pPr>
        <w:spacing w:line="360" w:lineRule="auto"/>
        <w:jc w:val="both"/>
        <w:rPr>
          <w:rFonts w:cs="Times New Roman"/>
          <w:szCs w:val="24"/>
        </w:rPr>
      </w:pPr>
      <w:r w:rsidRPr="005C3BEB">
        <w:rPr>
          <w:rFonts w:cs="Times New Roman"/>
          <w:szCs w:val="24"/>
        </w:rPr>
        <w:t>Like debt to asset ratio, Royal Mail plc’s debt to equity ratio has been increased from 0.64 in the year 2018 to 1 in 2022. This increment shows that company started to leverage from 2020 to generate more profits and achieve higher valuation in less time.</w:t>
      </w:r>
    </w:p>
    <w:tbl>
      <w:tblPr>
        <w:tblW w:w="5000" w:type="pct"/>
        <w:tblLook w:val="04A0" w:firstRow="1" w:lastRow="0" w:firstColumn="1" w:lastColumn="0" w:noHBand="0" w:noVBand="1"/>
      </w:tblPr>
      <w:tblGrid>
        <w:gridCol w:w="2161"/>
        <w:gridCol w:w="1371"/>
        <w:gridCol w:w="1371"/>
        <w:gridCol w:w="1371"/>
        <w:gridCol w:w="1371"/>
        <w:gridCol w:w="1371"/>
      </w:tblGrid>
      <w:tr w:rsidR="00ED5344" w:rsidRPr="005C3BEB" w14:paraId="3DB7510A" w14:textId="77777777" w:rsidTr="00546691">
        <w:trPr>
          <w:trHeight w:val="312"/>
        </w:trPr>
        <w:tc>
          <w:tcPr>
            <w:tcW w:w="205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E303A9A" w14:textId="77777777" w:rsidR="00ED5344" w:rsidRPr="005C3BEB" w:rsidRDefault="00ED5344" w:rsidP="005C3BEB">
            <w:pPr>
              <w:spacing w:after="0" w:line="360" w:lineRule="auto"/>
              <w:jc w:val="both"/>
              <w:rPr>
                <w:rFonts w:eastAsia="Times New Roman" w:cs="Times New Roman"/>
                <w:b/>
                <w:bCs/>
                <w:color w:val="000000"/>
                <w:szCs w:val="24"/>
                <w:lang w:val="en-IN" w:eastAsia="en-IN"/>
              </w:rPr>
            </w:pPr>
          </w:p>
        </w:tc>
        <w:tc>
          <w:tcPr>
            <w:tcW w:w="590" w:type="pct"/>
            <w:tcBorders>
              <w:top w:val="single" w:sz="4" w:space="0" w:color="auto"/>
              <w:left w:val="nil"/>
              <w:bottom w:val="single" w:sz="4" w:space="0" w:color="auto"/>
              <w:right w:val="single" w:sz="4" w:space="0" w:color="auto"/>
            </w:tcBorders>
            <w:shd w:val="clear" w:color="auto" w:fill="auto"/>
            <w:noWrap/>
            <w:vAlign w:val="bottom"/>
            <w:hideMark/>
          </w:tcPr>
          <w:p w14:paraId="6B44E0E9"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 </w:t>
            </w:r>
          </w:p>
        </w:tc>
        <w:tc>
          <w:tcPr>
            <w:tcW w:w="590" w:type="pct"/>
            <w:tcBorders>
              <w:top w:val="single" w:sz="4" w:space="0" w:color="auto"/>
              <w:left w:val="nil"/>
              <w:bottom w:val="single" w:sz="4" w:space="0" w:color="auto"/>
              <w:right w:val="single" w:sz="4" w:space="0" w:color="auto"/>
            </w:tcBorders>
            <w:shd w:val="clear" w:color="auto" w:fill="auto"/>
            <w:noWrap/>
            <w:vAlign w:val="bottom"/>
            <w:hideMark/>
          </w:tcPr>
          <w:p w14:paraId="4C7548F9"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 </w:t>
            </w:r>
          </w:p>
        </w:tc>
        <w:tc>
          <w:tcPr>
            <w:tcW w:w="590" w:type="pct"/>
            <w:tcBorders>
              <w:top w:val="single" w:sz="4" w:space="0" w:color="auto"/>
              <w:left w:val="nil"/>
              <w:bottom w:val="single" w:sz="4" w:space="0" w:color="auto"/>
              <w:right w:val="single" w:sz="4" w:space="0" w:color="auto"/>
            </w:tcBorders>
            <w:shd w:val="clear" w:color="auto" w:fill="auto"/>
            <w:noWrap/>
            <w:vAlign w:val="bottom"/>
            <w:hideMark/>
          </w:tcPr>
          <w:p w14:paraId="4A7D5BE3"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 </w:t>
            </w:r>
          </w:p>
        </w:tc>
        <w:tc>
          <w:tcPr>
            <w:tcW w:w="590" w:type="pct"/>
            <w:tcBorders>
              <w:top w:val="single" w:sz="4" w:space="0" w:color="auto"/>
              <w:left w:val="nil"/>
              <w:bottom w:val="single" w:sz="4" w:space="0" w:color="auto"/>
              <w:right w:val="single" w:sz="4" w:space="0" w:color="auto"/>
            </w:tcBorders>
            <w:shd w:val="clear" w:color="auto" w:fill="auto"/>
            <w:noWrap/>
            <w:vAlign w:val="bottom"/>
            <w:hideMark/>
          </w:tcPr>
          <w:p w14:paraId="463AEEBA"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 </w:t>
            </w:r>
          </w:p>
        </w:tc>
        <w:tc>
          <w:tcPr>
            <w:tcW w:w="590" w:type="pct"/>
            <w:tcBorders>
              <w:top w:val="single" w:sz="4" w:space="0" w:color="auto"/>
              <w:left w:val="nil"/>
              <w:bottom w:val="single" w:sz="4" w:space="0" w:color="auto"/>
              <w:right w:val="single" w:sz="4" w:space="0" w:color="auto"/>
            </w:tcBorders>
            <w:shd w:val="clear" w:color="auto" w:fill="auto"/>
            <w:noWrap/>
            <w:vAlign w:val="bottom"/>
            <w:hideMark/>
          </w:tcPr>
          <w:p w14:paraId="5DE5388D"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 </w:t>
            </w:r>
          </w:p>
        </w:tc>
      </w:tr>
      <w:tr w:rsidR="00ED5344" w:rsidRPr="005C3BEB" w14:paraId="29F790AB" w14:textId="77777777" w:rsidTr="00546691">
        <w:trPr>
          <w:trHeight w:val="312"/>
        </w:trPr>
        <w:tc>
          <w:tcPr>
            <w:tcW w:w="2051" w:type="pct"/>
            <w:tcBorders>
              <w:top w:val="nil"/>
              <w:left w:val="single" w:sz="4" w:space="0" w:color="auto"/>
              <w:bottom w:val="single" w:sz="4" w:space="0" w:color="auto"/>
              <w:right w:val="single" w:sz="4" w:space="0" w:color="auto"/>
            </w:tcBorders>
            <w:shd w:val="clear" w:color="auto" w:fill="auto"/>
            <w:noWrap/>
            <w:vAlign w:val="center"/>
            <w:hideMark/>
          </w:tcPr>
          <w:p w14:paraId="3CACC1FA" w14:textId="77777777" w:rsidR="00ED5344" w:rsidRPr="005C3BEB" w:rsidRDefault="00ED5344" w:rsidP="005C3BEB">
            <w:pPr>
              <w:spacing w:after="0" w:line="360" w:lineRule="auto"/>
              <w:jc w:val="both"/>
              <w:rPr>
                <w:rFonts w:eastAsia="Times New Roman" w:cs="Times New Roman"/>
                <w:b/>
                <w:bCs/>
                <w:color w:val="000000"/>
                <w:szCs w:val="24"/>
                <w:lang w:val="en-IN" w:eastAsia="en-IN"/>
              </w:rPr>
            </w:pPr>
            <w:r w:rsidRPr="005C3BEB">
              <w:rPr>
                <w:rFonts w:eastAsia="Times New Roman" w:cs="Times New Roman"/>
                <w:b/>
                <w:bCs/>
                <w:color w:val="000000"/>
                <w:szCs w:val="24"/>
                <w:lang w:val="en-IN" w:eastAsia="en-IN"/>
              </w:rPr>
              <w:lastRenderedPageBreak/>
              <w:t>Particulars</w:t>
            </w:r>
          </w:p>
        </w:tc>
        <w:tc>
          <w:tcPr>
            <w:tcW w:w="590" w:type="pct"/>
            <w:tcBorders>
              <w:top w:val="nil"/>
              <w:left w:val="nil"/>
              <w:bottom w:val="single" w:sz="4" w:space="0" w:color="auto"/>
              <w:right w:val="single" w:sz="4" w:space="0" w:color="auto"/>
            </w:tcBorders>
            <w:shd w:val="clear" w:color="auto" w:fill="auto"/>
            <w:noWrap/>
            <w:vAlign w:val="center"/>
            <w:hideMark/>
          </w:tcPr>
          <w:p w14:paraId="4A9A6963" w14:textId="77777777" w:rsidR="00ED5344" w:rsidRPr="005C3BEB" w:rsidRDefault="00ED5344" w:rsidP="005C3BEB">
            <w:pPr>
              <w:spacing w:after="0" w:line="360" w:lineRule="auto"/>
              <w:jc w:val="both"/>
              <w:rPr>
                <w:rFonts w:eastAsia="Times New Roman" w:cs="Times New Roman"/>
                <w:b/>
                <w:bCs/>
                <w:color w:val="000000"/>
                <w:szCs w:val="24"/>
                <w:lang w:val="en-IN" w:eastAsia="en-IN"/>
              </w:rPr>
            </w:pPr>
            <w:r w:rsidRPr="005C3BEB">
              <w:rPr>
                <w:rFonts w:eastAsia="Times New Roman" w:cs="Times New Roman"/>
                <w:b/>
                <w:bCs/>
                <w:color w:val="000000"/>
                <w:szCs w:val="24"/>
                <w:lang w:val="en-IN" w:eastAsia="en-IN"/>
              </w:rPr>
              <w:t>2018 (in £ m)</w:t>
            </w:r>
          </w:p>
        </w:tc>
        <w:tc>
          <w:tcPr>
            <w:tcW w:w="590" w:type="pct"/>
            <w:tcBorders>
              <w:top w:val="nil"/>
              <w:left w:val="nil"/>
              <w:bottom w:val="single" w:sz="4" w:space="0" w:color="auto"/>
              <w:right w:val="single" w:sz="4" w:space="0" w:color="auto"/>
            </w:tcBorders>
            <w:shd w:val="clear" w:color="auto" w:fill="auto"/>
            <w:noWrap/>
            <w:vAlign w:val="center"/>
            <w:hideMark/>
          </w:tcPr>
          <w:p w14:paraId="20C9E571" w14:textId="77777777" w:rsidR="00ED5344" w:rsidRPr="005C3BEB" w:rsidRDefault="00ED5344" w:rsidP="005C3BEB">
            <w:pPr>
              <w:spacing w:after="0" w:line="360" w:lineRule="auto"/>
              <w:jc w:val="both"/>
              <w:rPr>
                <w:rFonts w:eastAsia="Times New Roman" w:cs="Times New Roman"/>
                <w:b/>
                <w:bCs/>
                <w:color w:val="000000"/>
                <w:szCs w:val="24"/>
                <w:lang w:val="en-IN" w:eastAsia="en-IN"/>
              </w:rPr>
            </w:pPr>
            <w:r w:rsidRPr="005C3BEB">
              <w:rPr>
                <w:rFonts w:eastAsia="Times New Roman" w:cs="Times New Roman"/>
                <w:b/>
                <w:bCs/>
                <w:color w:val="000000"/>
                <w:szCs w:val="24"/>
                <w:lang w:val="en-IN" w:eastAsia="en-IN"/>
              </w:rPr>
              <w:t>2019 (in £ m)</w:t>
            </w:r>
          </w:p>
        </w:tc>
        <w:tc>
          <w:tcPr>
            <w:tcW w:w="590" w:type="pct"/>
            <w:tcBorders>
              <w:top w:val="nil"/>
              <w:left w:val="nil"/>
              <w:bottom w:val="single" w:sz="4" w:space="0" w:color="auto"/>
              <w:right w:val="single" w:sz="4" w:space="0" w:color="auto"/>
            </w:tcBorders>
            <w:shd w:val="clear" w:color="auto" w:fill="auto"/>
            <w:noWrap/>
            <w:vAlign w:val="center"/>
            <w:hideMark/>
          </w:tcPr>
          <w:p w14:paraId="7C73D7CB" w14:textId="77777777" w:rsidR="00ED5344" w:rsidRPr="005C3BEB" w:rsidRDefault="00ED5344" w:rsidP="005C3BEB">
            <w:pPr>
              <w:spacing w:after="0" w:line="360" w:lineRule="auto"/>
              <w:jc w:val="both"/>
              <w:rPr>
                <w:rFonts w:eastAsia="Times New Roman" w:cs="Times New Roman"/>
                <w:b/>
                <w:bCs/>
                <w:color w:val="000000"/>
                <w:szCs w:val="24"/>
                <w:lang w:val="en-IN" w:eastAsia="en-IN"/>
              </w:rPr>
            </w:pPr>
            <w:r w:rsidRPr="005C3BEB">
              <w:rPr>
                <w:rFonts w:eastAsia="Times New Roman" w:cs="Times New Roman"/>
                <w:b/>
                <w:bCs/>
                <w:color w:val="000000"/>
                <w:szCs w:val="24"/>
                <w:lang w:val="en-IN" w:eastAsia="en-IN"/>
              </w:rPr>
              <w:t>2020 (in £ m)</w:t>
            </w:r>
          </w:p>
        </w:tc>
        <w:tc>
          <w:tcPr>
            <w:tcW w:w="590" w:type="pct"/>
            <w:tcBorders>
              <w:top w:val="nil"/>
              <w:left w:val="nil"/>
              <w:bottom w:val="single" w:sz="4" w:space="0" w:color="auto"/>
              <w:right w:val="single" w:sz="4" w:space="0" w:color="auto"/>
            </w:tcBorders>
            <w:shd w:val="clear" w:color="auto" w:fill="auto"/>
            <w:noWrap/>
            <w:vAlign w:val="center"/>
            <w:hideMark/>
          </w:tcPr>
          <w:p w14:paraId="032A8C59" w14:textId="77777777" w:rsidR="00ED5344" w:rsidRPr="005C3BEB" w:rsidRDefault="00ED5344" w:rsidP="005C3BEB">
            <w:pPr>
              <w:spacing w:after="0" w:line="360" w:lineRule="auto"/>
              <w:jc w:val="both"/>
              <w:rPr>
                <w:rFonts w:eastAsia="Times New Roman" w:cs="Times New Roman"/>
                <w:b/>
                <w:bCs/>
                <w:color w:val="000000"/>
                <w:szCs w:val="24"/>
                <w:lang w:val="en-IN" w:eastAsia="en-IN"/>
              </w:rPr>
            </w:pPr>
            <w:r w:rsidRPr="005C3BEB">
              <w:rPr>
                <w:rFonts w:eastAsia="Times New Roman" w:cs="Times New Roman"/>
                <w:b/>
                <w:bCs/>
                <w:color w:val="000000"/>
                <w:szCs w:val="24"/>
                <w:lang w:val="en-IN" w:eastAsia="en-IN"/>
              </w:rPr>
              <w:t>2021 (in £ m)</w:t>
            </w:r>
          </w:p>
        </w:tc>
        <w:tc>
          <w:tcPr>
            <w:tcW w:w="590" w:type="pct"/>
            <w:tcBorders>
              <w:top w:val="nil"/>
              <w:left w:val="nil"/>
              <w:bottom w:val="single" w:sz="4" w:space="0" w:color="auto"/>
              <w:right w:val="single" w:sz="4" w:space="0" w:color="auto"/>
            </w:tcBorders>
            <w:shd w:val="clear" w:color="auto" w:fill="auto"/>
            <w:noWrap/>
            <w:vAlign w:val="center"/>
            <w:hideMark/>
          </w:tcPr>
          <w:p w14:paraId="1256E0B7" w14:textId="77777777" w:rsidR="00ED5344" w:rsidRPr="005C3BEB" w:rsidRDefault="00ED5344" w:rsidP="005C3BEB">
            <w:pPr>
              <w:spacing w:after="0" w:line="360" w:lineRule="auto"/>
              <w:jc w:val="both"/>
              <w:rPr>
                <w:rFonts w:eastAsia="Times New Roman" w:cs="Times New Roman"/>
                <w:b/>
                <w:bCs/>
                <w:color w:val="000000"/>
                <w:szCs w:val="24"/>
                <w:lang w:val="en-IN" w:eastAsia="en-IN"/>
              </w:rPr>
            </w:pPr>
            <w:r w:rsidRPr="005C3BEB">
              <w:rPr>
                <w:rFonts w:eastAsia="Times New Roman" w:cs="Times New Roman"/>
                <w:b/>
                <w:bCs/>
                <w:color w:val="000000"/>
                <w:szCs w:val="24"/>
                <w:lang w:val="en-IN" w:eastAsia="en-IN"/>
              </w:rPr>
              <w:t>2022 (in £ m)</w:t>
            </w:r>
          </w:p>
        </w:tc>
      </w:tr>
      <w:tr w:rsidR="00ED5344" w:rsidRPr="005C3BEB" w14:paraId="5FC458C6" w14:textId="77777777" w:rsidTr="00546691">
        <w:trPr>
          <w:trHeight w:val="312"/>
        </w:trPr>
        <w:tc>
          <w:tcPr>
            <w:tcW w:w="2051" w:type="pct"/>
            <w:tcBorders>
              <w:top w:val="nil"/>
              <w:left w:val="single" w:sz="4" w:space="0" w:color="auto"/>
              <w:bottom w:val="single" w:sz="4" w:space="0" w:color="auto"/>
              <w:right w:val="single" w:sz="4" w:space="0" w:color="auto"/>
            </w:tcBorders>
            <w:shd w:val="clear" w:color="auto" w:fill="auto"/>
            <w:noWrap/>
            <w:vAlign w:val="center"/>
            <w:hideMark/>
          </w:tcPr>
          <w:p w14:paraId="1975C5D7"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 </w:t>
            </w:r>
          </w:p>
        </w:tc>
        <w:tc>
          <w:tcPr>
            <w:tcW w:w="590" w:type="pct"/>
            <w:tcBorders>
              <w:top w:val="nil"/>
              <w:left w:val="nil"/>
              <w:bottom w:val="single" w:sz="4" w:space="0" w:color="auto"/>
              <w:right w:val="single" w:sz="4" w:space="0" w:color="auto"/>
            </w:tcBorders>
            <w:shd w:val="clear" w:color="auto" w:fill="auto"/>
            <w:noWrap/>
            <w:vAlign w:val="center"/>
            <w:hideMark/>
          </w:tcPr>
          <w:p w14:paraId="56339B27"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 </w:t>
            </w:r>
          </w:p>
        </w:tc>
        <w:tc>
          <w:tcPr>
            <w:tcW w:w="590" w:type="pct"/>
            <w:tcBorders>
              <w:top w:val="nil"/>
              <w:left w:val="nil"/>
              <w:bottom w:val="single" w:sz="4" w:space="0" w:color="auto"/>
              <w:right w:val="single" w:sz="4" w:space="0" w:color="auto"/>
            </w:tcBorders>
            <w:shd w:val="clear" w:color="auto" w:fill="auto"/>
            <w:noWrap/>
            <w:vAlign w:val="center"/>
            <w:hideMark/>
          </w:tcPr>
          <w:p w14:paraId="14D3FD0A"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 </w:t>
            </w:r>
          </w:p>
        </w:tc>
        <w:tc>
          <w:tcPr>
            <w:tcW w:w="590" w:type="pct"/>
            <w:tcBorders>
              <w:top w:val="nil"/>
              <w:left w:val="nil"/>
              <w:bottom w:val="single" w:sz="4" w:space="0" w:color="auto"/>
              <w:right w:val="single" w:sz="4" w:space="0" w:color="auto"/>
            </w:tcBorders>
            <w:shd w:val="clear" w:color="auto" w:fill="auto"/>
            <w:noWrap/>
            <w:vAlign w:val="center"/>
            <w:hideMark/>
          </w:tcPr>
          <w:p w14:paraId="239F2241"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 </w:t>
            </w:r>
          </w:p>
        </w:tc>
        <w:tc>
          <w:tcPr>
            <w:tcW w:w="590" w:type="pct"/>
            <w:tcBorders>
              <w:top w:val="nil"/>
              <w:left w:val="nil"/>
              <w:bottom w:val="single" w:sz="4" w:space="0" w:color="auto"/>
              <w:right w:val="single" w:sz="4" w:space="0" w:color="auto"/>
            </w:tcBorders>
            <w:shd w:val="clear" w:color="auto" w:fill="auto"/>
            <w:noWrap/>
            <w:vAlign w:val="center"/>
            <w:hideMark/>
          </w:tcPr>
          <w:p w14:paraId="2AF1E53E"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 </w:t>
            </w:r>
          </w:p>
        </w:tc>
        <w:tc>
          <w:tcPr>
            <w:tcW w:w="590" w:type="pct"/>
            <w:tcBorders>
              <w:top w:val="nil"/>
              <w:left w:val="nil"/>
              <w:bottom w:val="single" w:sz="4" w:space="0" w:color="auto"/>
              <w:right w:val="single" w:sz="4" w:space="0" w:color="auto"/>
            </w:tcBorders>
            <w:shd w:val="clear" w:color="auto" w:fill="auto"/>
            <w:noWrap/>
            <w:vAlign w:val="center"/>
            <w:hideMark/>
          </w:tcPr>
          <w:p w14:paraId="1CF435E5"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 </w:t>
            </w:r>
          </w:p>
        </w:tc>
      </w:tr>
      <w:tr w:rsidR="00ED5344" w:rsidRPr="005C3BEB" w14:paraId="43A9C8B2" w14:textId="77777777" w:rsidTr="00546691">
        <w:trPr>
          <w:trHeight w:val="312"/>
        </w:trPr>
        <w:tc>
          <w:tcPr>
            <w:tcW w:w="2051" w:type="pct"/>
            <w:tcBorders>
              <w:top w:val="nil"/>
              <w:left w:val="single" w:sz="4" w:space="0" w:color="auto"/>
              <w:bottom w:val="single" w:sz="4" w:space="0" w:color="auto"/>
              <w:right w:val="single" w:sz="4" w:space="0" w:color="auto"/>
            </w:tcBorders>
            <w:shd w:val="clear" w:color="auto" w:fill="auto"/>
            <w:noWrap/>
            <w:vAlign w:val="center"/>
            <w:hideMark/>
          </w:tcPr>
          <w:p w14:paraId="0A8E81D2"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Total Debt</w:t>
            </w:r>
          </w:p>
        </w:tc>
        <w:tc>
          <w:tcPr>
            <w:tcW w:w="590" w:type="pct"/>
            <w:tcBorders>
              <w:top w:val="nil"/>
              <w:left w:val="nil"/>
              <w:bottom w:val="single" w:sz="4" w:space="0" w:color="auto"/>
              <w:right w:val="single" w:sz="4" w:space="0" w:color="auto"/>
            </w:tcBorders>
            <w:shd w:val="clear" w:color="auto" w:fill="auto"/>
            <w:noWrap/>
            <w:vAlign w:val="bottom"/>
            <w:hideMark/>
          </w:tcPr>
          <w:p w14:paraId="1816F942"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 xml:space="preserve"> £            2,821 </w:t>
            </w:r>
          </w:p>
        </w:tc>
        <w:tc>
          <w:tcPr>
            <w:tcW w:w="590" w:type="pct"/>
            <w:tcBorders>
              <w:top w:val="nil"/>
              <w:left w:val="nil"/>
              <w:bottom w:val="single" w:sz="4" w:space="0" w:color="auto"/>
              <w:right w:val="single" w:sz="4" w:space="0" w:color="auto"/>
            </w:tcBorders>
            <w:shd w:val="clear" w:color="auto" w:fill="auto"/>
            <w:noWrap/>
            <w:vAlign w:val="bottom"/>
            <w:hideMark/>
          </w:tcPr>
          <w:p w14:paraId="446513A5"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 xml:space="preserve"> £            2,782 </w:t>
            </w:r>
          </w:p>
        </w:tc>
        <w:tc>
          <w:tcPr>
            <w:tcW w:w="590" w:type="pct"/>
            <w:tcBorders>
              <w:top w:val="nil"/>
              <w:left w:val="nil"/>
              <w:bottom w:val="single" w:sz="4" w:space="0" w:color="auto"/>
              <w:right w:val="single" w:sz="4" w:space="0" w:color="auto"/>
            </w:tcBorders>
            <w:shd w:val="clear" w:color="auto" w:fill="auto"/>
            <w:noWrap/>
            <w:vAlign w:val="bottom"/>
            <w:hideMark/>
          </w:tcPr>
          <w:p w14:paraId="74AF8365"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 xml:space="preserve"> £            5,396 </w:t>
            </w:r>
          </w:p>
        </w:tc>
        <w:tc>
          <w:tcPr>
            <w:tcW w:w="590" w:type="pct"/>
            <w:tcBorders>
              <w:top w:val="nil"/>
              <w:left w:val="nil"/>
              <w:bottom w:val="single" w:sz="4" w:space="0" w:color="auto"/>
              <w:right w:val="single" w:sz="4" w:space="0" w:color="auto"/>
            </w:tcBorders>
            <w:shd w:val="clear" w:color="auto" w:fill="auto"/>
            <w:noWrap/>
            <w:vAlign w:val="bottom"/>
            <w:hideMark/>
          </w:tcPr>
          <w:p w14:paraId="0C50AD76"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 xml:space="preserve"> £            5,180 </w:t>
            </w:r>
          </w:p>
        </w:tc>
        <w:tc>
          <w:tcPr>
            <w:tcW w:w="590" w:type="pct"/>
            <w:tcBorders>
              <w:top w:val="nil"/>
              <w:left w:val="nil"/>
              <w:bottom w:val="single" w:sz="4" w:space="0" w:color="auto"/>
              <w:right w:val="single" w:sz="4" w:space="0" w:color="auto"/>
            </w:tcBorders>
            <w:shd w:val="clear" w:color="auto" w:fill="auto"/>
            <w:noWrap/>
            <w:vAlign w:val="bottom"/>
            <w:hideMark/>
          </w:tcPr>
          <w:p w14:paraId="0E1B2D69"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 xml:space="preserve"> £            5,345 </w:t>
            </w:r>
          </w:p>
        </w:tc>
      </w:tr>
      <w:tr w:rsidR="00ED5344" w:rsidRPr="005C3BEB" w14:paraId="5D59403E" w14:textId="77777777" w:rsidTr="00546691">
        <w:trPr>
          <w:trHeight w:val="312"/>
        </w:trPr>
        <w:tc>
          <w:tcPr>
            <w:tcW w:w="2051" w:type="pct"/>
            <w:tcBorders>
              <w:top w:val="nil"/>
              <w:left w:val="single" w:sz="4" w:space="0" w:color="auto"/>
              <w:bottom w:val="single" w:sz="4" w:space="0" w:color="auto"/>
              <w:right w:val="single" w:sz="4" w:space="0" w:color="auto"/>
            </w:tcBorders>
            <w:shd w:val="clear" w:color="auto" w:fill="auto"/>
            <w:noWrap/>
            <w:vAlign w:val="center"/>
            <w:hideMark/>
          </w:tcPr>
          <w:p w14:paraId="63852D4D"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Total Equity</w:t>
            </w:r>
          </w:p>
        </w:tc>
        <w:tc>
          <w:tcPr>
            <w:tcW w:w="590" w:type="pct"/>
            <w:tcBorders>
              <w:top w:val="nil"/>
              <w:left w:val="nil"/>
              <w:bottom w:val="single" w:sz="4" w:space="0" w:color="auto"/>
              <w:right w:val="single" w:sz="4" w:space="0" w:color="auto"/>
            </w:tcBorders>
            <w:shd w:val="clear" w:color="auto" w:fill="auto"/>
            <w:noWrap/>
            <w:vAlign w:val="bottom"/>
            <w:hideMark/>
          </w:tcPr>
          <w:p w14:paraId="0727DE9C"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 xml:space="preserve"> £            4,436 </w:t>
            </w:r>
          </w:p>
        </w:tc>
        <w:tc>
          <w:tcPr>
            <w:tcW w:w="590" w:type="pct"/>
            <w:tcBorders>
              <w:top w:val="nil"/>
              <w:left w:val="nil"/>
              <w:bottom w:val="single" w:sz="4" w:space="0" w:color="auto"/>
              <w:right w:val="single" w:sz="4" w:space="0" w:color="auto"/>
            </w:tcBorders>
            <w:shd w:val="clear" w:color="auto" w:fill="auto"/>
            <w:noWrap/>
            <w:vAlign w:val="bottom"/>
            <w:hideMark/>
          </w:tcPr>
          <w:p w14:paraId="1F93AEE9"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 xml:space="preserve"> £            4,619 </w:t>
            </w:r>
          </w:p>
        </w:tc>
        <w:tc>
          <w:tcPr>
            <w:tcW w:w="590" w:type="pct"/>
            <w:tcBorders>
              <w:top w:val="nil"/>
              <w:left w:val="nil"/>
              <w:bottom w:val="single" w:sz="4" w:space="0" w:color="auto"/>
              <w:right w:val="single" w:sz="4" w:space="0" w:color="auto"/>
            </w:tcBorders>
            <w:shd w:val="clear" w:color="auto" w:fill="auto"/>
            <w:noWrap/>
            <w:vAlign w:val="bottom"/>
            <w:hideMark/>
          </w:tcPr>
          <w:p w14:paraId="7FA9E8DF"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 xml:space="preserve"> £            5,621 </w:t>
            </w:r>
          </w:p>
        </w:tc>
        <w:tc>
          <w:tcPr>
            <w:tcW w:w="590" w:type="pct"/>
            <w:tcBorders>
              <w:top w:val="nil"/>
              <w:left w:val="nil"/>
              <w:bottom w:val="single" w:sz="4" w:space="0" w:color="auto"/>
              <w:right w:val="single" w:sz="4" w:space="0" w:color="auto"/>
            </w:tcBorders>
            <w:shd w:val="clear" w:color="auto" w:fill="auto"/>
            <w:noWrap/>
            <w:vAlign w:val="bottom"/>
            <w:hideMark/>
          </w:tcPr>
          <w:p w14:paraId="3457B71D"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 xml:space="preserve"> £            4,805 </w:t>
            </w:r>
          </w:p>
        </w:tc>
        <w:tc>
          <w:tcPr>
            <w:tcW w:w="590" w:type="pct"/>
            <w:tcBorders>
              <w:top w:val="nil"/>
              <w:left w:val="nil"/>
              <w:bottom w:val="single" w:sz="4" w:space="0" w:color="auto"/>
              <w:right w:val="single" w:sz="4" w:space="0" w:color="auto"/>
            </w:tcBorders>
            <w:shd w:val="clear" w:color="auto" w:fill="auto"/>
            <w:noWrap/>
            <w:vAlign w:val="bottom"/>
            <w:hideMark/>
          </w:tcPr>
          <w:p w14:paraId="24189001"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 xml:space="preserve"> £            5,334 </w:t>
            </w:r>
          </w:p>
        </w:tc>
      </w:tr>
      <w:tr w:rsidR="00ED5344" w:rsidRPr="005C3BEB" w14:paraId="0BF8ED0E" w14:textId="77777777" w:rsidTr="00546691">
        <w:trPr>
          <w:trHeight w:val="312"/>
        </w:trPr>
        <w:tc>
          <w:tcPr>
            <w:tcW w:w="2051" w:type="pct"/>
            <w:tcBorders>
              <w:top w:val="nil"/>
              <w:left w:val="single" w:sz="4" w:space="0" w:color="auto"/>
              <w:bottom w:val="single" w:sz="4" w:space="0" w:color="auto"/>
              <w:right w:val="single" w:sz="4" w:space="0" w:color="auto"/>
            </w:tcBorders>
            <w:shd w:val="clear" w:color="auto" w:fill="auto"/>
            <w:noWrap/>
            <w:vAlign w:val="center"/>
            <w:hideMark/>
          </w:tcPr>
          <w:p w14:paraId="4402681C"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 </w:t>
            </w:r>
          </w:p>
        </w:tc>
        <w:tc>
          <w:tcPr>
            <w:tcW w:w="590" w:type="pct"/>
            <w:tcBorders>
              <w:top w:val="nil"/>
              <w:left w:val="nil"/>
              <w:bottom w:val="single" w:sz="4" w:space="0" w:color="auto"/>
              <w:right w:val="single" w:sz="4" w:space="0" w:color="auto"/>
            </w:tcBorders>
            <w:shd w:val="clear" w:color="auto" w:fill="auto"/>
            <w:noWrap/>
            <w:vAlign w:val="center"/>
            <w:hideMark/>
          </w:tcPr>
          <w:p w14:paraId="2B60CEFE"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 </w:t>
            </w:r>
          </w:p>
        </w:tc>
        <w:tc>
          <w:tcPr>
            <w:tcW w:w="590" w:type="pct"/>
            <w:tcBorders>
              <w:top w:val="nil"/>
              <w:left w:val="nil"/>
              <w:bottom w:val="single" w:sz="4" w:space="0" w:color="auto"/>
              <w:right w:val="single" w:sz="4" w:space="0" w:color="auto"/>
            </w:tcBorders>
            <w:shd w:val="clear" w:color="auto" w:fill="auto"/>
            <w:noWrap/>
            <w:vAlign w:val="center"/>
            <w:hideMark/>
          </w:tcPr>
          <w:p w14:paraId="3BF1B16D"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 </w:t>
            </w:r>
          </w:p>
        </w:tc>
        <w:tc>
          <w:tcPr>
            <w:tcW w:w="590" w:type="pct"/>
            <w:tcBorders>
              <w:top w:val="nil"/>
              <w:left w:val="nil"/>
              <w:bottom w:val="single" w:sz="4" w:space="0" w:color="auto"/>
              <w:right w:val="single" w:sz="4" w:space="0" w:color="auto"/>
            </w:tcBorders>
            <w:shd w:val="clear" w:color="auto" w:fill="auto"/>
            <w:noWrap/>
            <w:vAlign w:val="center"/>
            <w:hideMark/>
          </w:tcPr>
          <w:p w14:paraId="4230838E"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 </w:t>
            </w:r>
          </w:p>
        </w:tc>
        <w:tc>
          <w:tcPr>
            <w:tcW w:w="590" w:type="pct"/>
            <w:tcBorders>
              <w:top w:val="nil"/>
              <w:left w:val="nil"/>
              <w:bottom w:val="single" w:sz="4" w:space="0" w:color="auto"/>
              <w:right w:val="single" w:sz="4" w:space="0" w:color="auto"/>
            </w:tcBorders>
            <w:shd w:val="clear" w:color="auto" w:fill="auto"/>
            <w:noWrap/>
            <w:vAlign w:val="center"/>
            <w:hideMark/>
          </w:tcPr>
          <w:p w14:paraId="5A33BA12"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 </w:t>
            </w:r>
          </w:p>
        </w:tc>
        <w:tc>
          <w:tcPr>
            <w:tcW w:w="590" w:type="pct"/>
            <w:tcBorders>
              <w:top w:val="nil"/>
              <w:left w:val="nil"/>
              <w:bottom w:val="single" w:sz="4" w:space="0" w:color="auto"/>
              <w:right w:val="single" w:sz="4" w:space="0" w:color="auto"/>
            </w:tcBorders>
            <w:shd w:val="clear" w:color="auto" w:fill="auto"/>
            <w:noWrap/>
            <w:vAlign w:val="center"/>
            <w:hideMark/>
          </w:tcPr>
          <w:p w14:paraId="0D763C6E"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 </w:t>
            </w:r>
          </w:p>
        </w:tc>
      </w:tr>
      <w:tr w:rsidR="00ED5344" w:rsidRPr="005C3BEB" w14:paraId="0732AC5C" w14:textId="77777777" w:rsidTr="00546691">
        <w:trPr>
          <w:trHeight w:val="312"/>
        </w:trPr>
        <w:tc>
          <w:tcPr>
            <w:tcW w:w="2051" w:type="pct"/>
            <w:tcBorders>
              <w:top w:val="nil"/>
              <w:left w:val="single" w:sz="4" w:space="0" w:color="auto"/>
              <w:bottom w:val="single" w:sz="4" w:space="0" w:color="auto"/>
              <w:right w:val="single" w:sz="4" w:space="0" w:color="auto"/>
            </w:tcBorders>
            <w:shd w:val="clear" w:color="auto" w:fill="auto"/>
            <w:vAlign w:val="center"/>
            <w:hideMark/>
          </w:tcPr>
          <w:p w14:paraId="67AAE230" w14:textId="77777777" w:rsidR="00ED5344" w:rsidRPr="005C3BEB" w:rsidRDefault="00ED5344" w:rsidP="005C3BEB">
            <w:pPr>
              <w:spacing w:after="0" w:line="360" w:lineRule="auto"/>
              <w:jc w:val="both"/>
              <w:rPr>
                <w:rFonts w:eastAsia="Times New Roman" w:cs="Times New Roman"/>
                <w:b/>
                <w:bCs/>
                <w:color w:val="000000"/>
                <w:szCs w:val="24"/>
                <w:lang w:val="en-IN" w:eastAsia="en-IN"/>
              </w:rPr>
            </w:pPr>
            <w:r w:rsidRPr="005C3BEB">
              <w:rPr>
                <w:rFonts w:eastAsia="Times New Roman" w:cs="Times New Roman"/>
                <w:b/>
                <w:bCs/>
                <w:color w:val="000000"/>
                <w:szCs w:val="24"/>
                <w:lang w:val="en-IN" w:eastAsia="en-IN"/>
              </w:rPr>
              <w:t>Debt-to-Equity Ratio </w:t>
            </w:r>
          </w:p>
        </w:tc>
        <w:tc>
          <w:tcPr>
            <w:tcW w:w="590" w:type="pct"/>
            <w:tcBorders>
              <w:top w:val="nil"/>
              <w:left w:val="nil"/>
              <w:bottom w:val="single" w:sz="4" w:space="0" w:color="auto"/>
              <w:right w:val="single" w:sz="4" w:space="0" w:color="auto"/>
            </w:tcBorders>
            <w:shd w:val="clear" w:color="auto" w:fill="auto"/>
            <w:noWrap/>
            <w:vAlign w:val="center"/>
            <w:hideMark/>
          </w:tcPr>
          <w:p w14:paraId="21B43CCE" w14:textId="77777777" w:rsidR="00ED5344" w:rsidRPr="005C3BEB" w:rsidRDefault="00ED5344" w:rsidP="005C3BEB">
            <w:pPr>
              <w:spacing w:after="0" w:line="360" w:lineRule="auto"/>
              <w:jc w:val="both"/>
              <w:rPr>
                <w:rFonts w:eastAsia="Times New Roman" w:cs="Times New Roman"/>
                <w:b/>
                <w:bCs/>
                <w:color w:val="000000"/>
                <w:szCs w:val="24"/>
                <w:lang w:val="en-IN" w:eastAsia="en-IN"/>
              </w:rPr>
            </w:pPr>
            <w:r w:rsidRPr="005C3BEB">
              <w:rPr>
                <w:rFonts w:eastAsia="Times New Roman" w:cs="Times New Roman"/>
                <w:b/>
                <w:bCs/>
                <w:color w:val="000000"/>
                <w:szCs w:val="24"/>
                <w:lang w:val="en-IN" w:eastAsia="en-IN"/>
              </w:rPr>
              <w:t>0.64</w:t>
            </w:r>
          </w:p>
        </w:tc>
        <w:tc>
          <w:tcPr>
            <w:tcW w:w="590" w:type="pct"/>
            <w:tcBorders>
              <w:top w:val="nil"/>
              <w:left w:val="nil"/>
              <w:bottom w:val="single" w:sz="4" w:space="0" w:color="auto"/>
              <w:right w:val="single" w:sz="4" w:space="0" w:color="auto"/>
            </w:tcBorders>
            <w:shd w:val="clear" w:color="auto" w:fill="auto"/>
            <w:noWrap/>
            <w:vAlign w:val="center"/>
            <w:hideMark/>
          </w:tcPr>
          <w:p w14:paraId="1A8D7DDC" w14:textId="77777777" w:rsidR="00ED5344" w:rsidRPr="005C3BEB" w:rsidRDefault="00ED5344" w:rsidP="005C3BEB">
            <w:pPr>
              <w:spacing w:after="0" w:line="360" w:lineRule="auto"/>
              <w:jc w:val="both"/>
              <w:rPr>
                <w:rFonts w:eastAsia="Times New Roman" w:cs="Times New Roman"/>
                <w:b/>
                <w:bCs/>
                <w:color w:val="000000"/>
                <w:szCs w:val="24"/>
                <w:lang w:val="en-IN" w:eastAsia="en-IN"/>
              </w:rPr>
            </w:pPr>
            <w:r w:rsidRPr="005C3BEB">
              <w:rPr>
                <w:rFonts w:eastAsia="Times New Roman" w:cs="Times New Roman"/>
                <w:b/>
                <w:bCs/>
                <w:color w:val="000000"/>
                <w:szCs w:val="24"/>
                <w:lang w:val="en-IN" w:eastAsia="en-IN"/>
              </w:rPr>
              <w:t>0.60</w:t>
            </w:r>
          </w:p>
        </w:tc>
        <w:tc>
          <w:tcPr>
            <w:tcW w:w="590" w:type="pct"/>
            <w:tcBorders>
              <w:top w:val="nil"/>
              <w:left w:val="nil"/>
              <w:bottom w:val="single" w:sz="4" w:space="0" w:color="auto"/>
              <w:right w:val="single" w:sz="4" w:space="0" w:color="auto"/>
            </w:tcBorders>
            <w:shd w:val="clear" w:color="auto" w:fill="auto"/>
            <w:noWrap/>
            <w:vAlign w:val="center"/>
            <w:hideMark/>
          </w:tcPr>
          <w:p w14:paraId="41221E4A" w14:textId="77777777" w:rsidR="00ED5344" w:rsidRPr="005C3BEB" w:rsidRDefault="00ED5344" w:rsidP="005C3BEB">
            <w:pPr>
              <w:spacing w:after="0" w:line="360" w:lineRule="auto"/>
              <w:jc w:val="both"/>
              <w:rPr>
                <w:rFonts w:eastAsia="Times New Roman" w:cs="Times New Roman"/>
                <w:b/>
                <w:bCs/>
                <w:color w:val="000000"/>
                <w:szCs w:val="24"/>
                <w:lang w:val="en-IN" w:eastAsia="en-IN"/>
              </w:rPr>
            </w:pPr>
            <w:r w:rsidRPr="005C3BEB">
              <w:rPr>
                <w:rFonts w:eastAsia="Times New Roman" w:cs="Times New Roman"/>
                <w:b/>
                <w:bCs/>
                <w:color w:val="000000"/>
                <w:szCs w:val="24"/>
                <w:lang w:val="en-IN" w:eastAsia="en-IN"/>
              </w:rPr>
              <w:t>0.96</w:t>
            </w:r>
          </w:p>
        </w:tc>
        <w:tc>
          <w:tcPr>
            <w:tcW w:w="590" w:type="pct"/>
            <w:tcBorders>
              <w:top w:val="nil"/>
              <w:left w:val="nil"/>
              <w:bottom w:val="single" w:sz="4" w:space="0" w:color="auto"/>
              <w:right w:val="single" w:sz="4" w:space="0" w:color="auto"/>
            </w:tcBorders>
            <w:shd w:val="clear" w:color="auto" w:fill="auto"/>
            <w:noWrap/>
            <w:vAlign w:val="center"/>
            <w:hideMark/>
          </w:tcPr>
          <w:p w14:paraId="54F0CDA8" w14:textId="77777777" w:rsidR="00ED5344" w:rsidRPr="005C3BEB" w:rsidRDefault="00ED5344" w:rsidP="005C3BEB">
            <w:pPr>
              <w:spacing w:after="0" w:line="360" w:lineRule="auto"/>
              <w:jc w:val="both"/>
              <w:rPr>
                <w:rFonts w:eastAsia="Times New Roman" w:cs="Times New Roman"/>
                <w:b/>
                <w:bCs/>
                <w:color w:val="000000"/>
                <w:szCs w:val="24"/>
                <w:lang w:val="en-IN" w:eastAsia="en-IN"/>
              </w:rPr>
            </w:pPr>
            <w:r w:rsidRPr="005C3BEB">
              <w:rPr>
                <w:rFonts w:eastAsia="Times New Roman" w:cs="Times New Roman"/>
                <w:b/>
                <w:bCs/>
                <w:color w:val="000000"/>
                <w:szCs w:val="24"/>
                <w:lang w:val="en-IN" w:eastAsia="en-IN"/>
              </w:rPr>
              <w:t>1.08</w:t>
            </w:r>
          </w:p>
        </w:tc>
        <w:tc>
          <w:tcPr>
            <w:tcW w:w="590" w:type="pct"/>
            <w:tcBorders>
              <w:top w:val="nil"/>
              <w:left w:val="nil"/>
              <w:bottom w:val="single" w:sz="4" w:space="0" w:color="auto"/>
              <w:right w:val="single" w:sz="4" w:space="0" w:color="auto"/>
            </w:tcBorders>
            <w:shd w:val="clear" w:color="auto" w:fill="auto"/>
            <w:noWrap/>
            <w:vAlign w:val="center"/>
            <w:hideMark/>
          </w:tcPr>
          <w:p w14:paraId="350E7887" w14:textId="77777777" w:rsidR="00ED5344" w:rsidRPr="005C3BEB" w:rsidRDefault="00ED5344" w:rsidP="005C3BEB">
            <w:pPr>
              <w:spacing w:after="0" w:line="360" w:lineRule="auto"/>
              <w:jc w:val="both"/>
              <w:rPr>
                <w:rFonts w:eastAsia="Times New Roman" w:cs="Times New Roman"/>
                <w:b/>
                <w:bCs/>
                <w:color w:val="000000"/>
                <w:szCs w:val="24"/>
                <w:lang w:val="en-IN" w:eastAsia="en-IN"/>
              </w:rPr>
            </w:pPr>
            <w:r w:rsidRPr="005C3BEB">
              <w:rPr>
                <w:rFonts w:eastAsia="Times New Roman" w:cs="Times New Roman"/>
                <w:b/>
                <w:bCs/>
                <w:color w:val="000000"/>
                <w:szCs w:val="24"/>
                <w:lang w:val="en-IN" w:eastAsia="en-IN"/>
              </w:rPr>
              <w:t>1.00</w:t>
            </w:r>
          </w:p>
        </w:tc>
      </w:tr>
      <w:tr w:rsidR="00ED5344" w:rsidRPr="005C3BEB" w14:paraId="2A073F5B" w14:textId="77777777" w:rsidTr="00546691">
        <w:trPr>
          <w:trHeight w:val="312"/>
        </w:trPr>
        <w:tc>
          <w:tcPr>
            <w:tcW w:w="2051" w:type="pct"/>
            <w:tcBorders>
              <w:top w:val="nil"/>
              <w:left w:val="single" w:sz="4" w:space="0" w:color="auto"/>
              <w:bottom w:val="single" w:sz="4" w:space="0" w:color="auto"/>
              <w:right w:val="single" w:sz="4" w:space="0" w:color="auto"/>
            </w:tcBorders>
            <w:shd w:val="clear" w:color="auto" w:fill="auto"/>
            <w:noWrap/>
            <w:vAlign w:val="center"/>
            <w:hideMark/>
          </w:tcPr>
          <w:p w14:paraId="3E0B0CAE"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Total Debt / Total Equity</w:t>
            </w:r>
          </w:p>
        </w:tc>
        <w:tc>
          <w:tcPr>
            <w:tcW w:w="590" w:type="pct"/>
            <w:tcBorders>
              <w:top w:val="nil"/>
              <w:left w:val="nil"/>
              <w:bottom w:val="single" w:sz="4" w:space="0" w:color="auto"/>
              <w:right w:val="single" w:sz="4" w:space="0" w:color="auto"/>
            </w:tcBorders>
            <w:shd w:val="clear" w:color="auto" w:fill="auto"/>
            <w:noWrap/>
            <w:vAlign w:val="center"/>
            <w:hideMark/>
          </w:tcPr>
          <w:p w14:paraId="48F23F16"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 </w:t>
            </w:r>
          </w:p>
        </w:tc>
        <w:tc>
          <w:tcPr>
            <w:tcW w:w="590" w:type="pct"/>
            <w:tcBorders>
              <w:top w:val="nil"/>
              <w:left w:val="nil"/>
              <w:bottom w:val="single" w:sz="4" w:space="0" w:color="auto"/>
              <w:right w:val="single" w:sz="4" w:space="0" w:color="auto"/>
            </w:tcBorders>
            <w:shd w:val="clear" w:color="auto" w:fill="auto"/>
            <w:noWrap/>
            <w:vAlign w:val="center"/>
            <w:hideMark/>
          </w:tcPr>
          <w:p w14:paraId="106AFA99"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 </w:t>
            </w:r>
          </w:p>
        </w:tc>
        <w:tc>
          <w:tcPr>
            <w:tcW w:w="590" w:type="pct"/>
            <w:tcBorders>
              <w:top w:val="nil"/>
              <w:left w:val="nil"/>
              <w:bottom w:val="single" w:sz="4" w:space="0" w:color="auto"/>
              <w:right w:val="single" w:sz="4" w:space="0" w:color="auto"/>
            </w:tcBorders>
            <w:shd w:val="clear" w:color="auto" w:fill="auto"/>
            <w:noWrap/>
            <w:vAlign w:val="center"/>
            <w:hideMark/>
          </w:tcPr>
          <w:p w14:paraId="731C7D9F"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 </w:t>
            </w:r>
          </w:p>
        </w:tc>
        <w:tc>
          <w:tcPr>
            <w:tcW w:w="590" w:type="pct"/>
            <w:tcBorders>
              <w:top w:val="nil"/>
              <w:left w:val="nil"/>
              <w:bottom w:val="single" w:sz="4" w:space="0" w:color="auto"/>
              <w:right w:val="single" w:sz="4" w:space="0" w:color="auto"/>
            </w:tcBorders>
            <w:shd w:val="clear" w:color="auto" w:fill="auto"/>
            <w:noWrap/>
            <w:vAlign w:val="center"/>
            <w:hideMark/>
          </w:tcPr>
          <w:p w14:paraId="270C25E3"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 </w:t>
            </w:r>
          </w:p>
        </w:tc>
        <w:tc>
          <w:tcPr>
            <w:tcW w:w="590" w:type="pct"/>
            <w:tcBorders>
              <w:top w:val="nil"/>
              <w:left w:val="nil"/>
              <w:bottom w:val="single" w:sz="4" w:space="0" w:color="auto"/>
              <w:right w:val="single" w:sz="4" w:space="0" w:color="auto"/>
            </w:tcBorders>
            <w:shd w:val="clear" w:color="auto" w:fill="auto"/>
            <w:noWrap/>
            <w:vAlign w:val="center"/>
            <w:hideMark/>
          </w:tcPr>
          <w:p w14:paraId="18164950"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 </w:t>
            </w:r>
          </w:p>
        </w:tc>
      </w:tr>
    </w:tbl>
    <w:p w14:paraId="73164FDC" w14:textId="77777777" w:rsidR="00ED5344" w:rsidRPr="005C3BEB" w:rsidRDefault="00ED5344" w:rsidP="005C3BEB">
      <w:pPr>
        <w:spacing w:line="360" w:lineRule="auto"/>
        <w:jc w:val="both"/>
        <w:rPr>
          <w:rFonts w:cs="Times New Roman"/>
          <w:szCs w:val="24"/>
        </w:rPr>
      </w:pPr>
    </w:p>
    <w:p w14:paraId="3A02A7E7" w14:textId="77777777" w:rsidR="00ED5344" w:rsidRPr="005C3BEB" w:rsidRDefault="00ED5344" w:rsidP="005C3BEB">
      <w:pPr>
        <w:pStyle w:val="ListParagraph"/>
        <w:numPr>
          <w:ilvl w:val="0"/>
          <w:numId w:val="21"/>
        </w:numPr>
        <w:spacing w:line="360" w:lineRule="auto"/>
        <w:jc w:val="both"/>
        <w:rPr>
          <w:rFonts w:cs="Times New Roman"/>
          <w:b/>
          <w:bCs/>
          <w:szCs w:val="24"/>
        </w:rPr>
      </w:pPr>
      <w:r w:rsidRPr="005C3BEB">
        <w:rPr>
          <w:rFonts w:cs="Times New Roman"/>
          <w:b/>
          <w:bCs/>
          <w:szCs w:val="24"/>
        </w:rPr>
        <w:t>Debt-to-Capital Ratio:</w:t>
      </w:r>
    </w:p>
    <w:p w14:paraId="12F021DC" w14:textId="77777777" w:rsidR="00ED5344" w:rsidRPr="005C3BEB" w:rsidRDefault="00ED5344" w:rsidP="005C3BEB">
      <w:pPr>
        <w:spacing w:line="360" w:lineRule="auto"/>
        <w:jc w:val="both"/>
        <w:rPr>
          <w:rFonts w:cs="Times New Roman"/>
          <w:szCs w:val="24"/>
        </w:rPr>
      </w:pPr>
      <w:r w:rsidRPr="005C3BEB">
        <w:rPr>
          <w:rFonts w:cs="Times New Roman"/>
          <w:szCs w:val="24"/>
        </w:rPr>
        <w:t xml:space="preserve">According to </w:t>
      </w:r>
      <w:bookmarkStart w:id="4" w:name="_Hlk174827963"/>
      <w:r w:rsidRPr="005C3BEB">
        <w:rPr>
          <w:rFonts w:cs="Times New Roman"/>
          <w:szCs w:val="24"/>
        </w:rPr>
        <w:t>Corporate Finance Institute (2024</w:t>
      </w:r>
      <w:bookmarkEnd w:id="4"/>
      <w:r w:rsidRPr="005C3BEB">
        <w:rPr>
          <w:rFonts w:cs="Times New Roman"/>
          <w:szCs w:val="24"/>
        </w:rPr>
        <w:t xml:space="preserve">), debt to capital ratio reflect the debt proportion in the business against the total capital structure. It is calculated by comparing the total debt of the business and sum of total debt and total equity. </w:t>
      </w:r>
    </w:p>
    <w:p w14:paraId="214FBFB4" w14:textId="77777777" w:rsidR="00ED5344" w:rsidRPr="005C3BEB" w:rsidRDefault="00ED5344" w:rsidP="005C3BEB">
      <w:pPr>
        <w:spacing w:line="360" w:lineRule="auto"/>
        <w:jc w:val="both"/>
        <w:rPr>
          <w:rFonts w:cs="Times New Roman"/>
          <w:szCs w:val="24"/>
        </w:rPr>
      </w:pPr>
      <w:r w:rsidRPr="005C3BEB">
        <w:rPr>
          <w:rFonts w:cs="Times New Roman"/>
          <w:szCs w:val="24"/>
        </w:rPr>
        <w:t>Similar pattern can be seen in this ratio as well, company is moving towards more riskier capital structure by leveraging its capital requirements.</w:t>
      </w:r>
    </w:p>
    <w:p w14:paraId="0B7A1A82" w14:textId="77777777" w:rsidR="00ED5344" w:rsidRPr="005C3BEB" w:rsidRDefault="00ED5344" w:rsidP="005C3BEB">
      <w:pPr>
        <w:spacing w:line="360" w:lineRule="auto"/>
        <w:jc w:val="both"/>
        <w:rPr>
          <w:rFonts w:cs="Times New Roman"/>
          <w:szCs w:val="24"/>
        </w:rPr>
      </w:pPr>
      <w:r w:rsidRPr="005C3BEB">
        <w:rPr>
          <w:rFonts w:cs="Times New Roman"/>
          <w:szCs w:val="24"/>
        </w:rPr>
        <w:t>Debt to capital ratio of Royal mail increased from 0.39 in 2018 to 0.5 in 2022. The change has positively reflected the change to increase the leverage position of the business.</w:t>
      </w:r>
    </w:p>
    <w:tbl>
      <w:tblPr>
        <w:tblW w:w="5000" w:type="pct"/>
        <w:tblLook w:val="04A0" w:firstRow="1" w:lastRow="0" w:firstColumn="1" w:lastColumn="0" w:noHBand="0" w:noVBand="1"/>
      </w:tblPr>
      <w:tblGrid>
        <w:gridCol w:w="2845"/>
        <w:gridCol w:w="1235"/>
        <w:gridCol w:w="1234"/>
        <w:gridCol w:w="1234"/>
        <w:gridCol w:w="1234"/>
        <w:gridCol w:w="1234"/>
      </w:tblGrid>
      <w:tr w:rsidR="00ED5344" w:rsidRPr="005C3BEB" w14:paraId="158AFEB4" w14:textId="77777777" w:rsidTr="00546691">
        <w:trPr>
          <w:trHeight w:val="312"/>
        </w:trPr>
        <w:tc>
          <w:tcPr>
            <w:tcW w:w="205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657B6F4" w14:textId="77777777" w:rsidR="00ED5344" w:rsidRPr="005C3BEB" w:rsidRDefault="00ED5344" w:rsidP="005C3BEB">
            <w:pPr>
              <w:spacing w:after="0" w:line="360" w:lineRule="auto"/>
              <w:jc w:val="both"/>
              <w:rPr>
                <w:rFonts w:eastAsia="Times New Roman" w:cs="Times New Roman"/>
                <w:b/>
                <w:bCs/>
                <w:color w:val="000000"/>
                <w:szCs w:val="24"/>
                <w:lang w:val="en-IN" w:eastAsia="en-IN"/>
              </w:rPr>
            </w:pPr>
          </w:p>
        </w:tc>
        <w:tc>
          <w:tcPr>
            <w:tcW w:w="590" w:type="pct"/>
            <w:tcBorders>
              <w:top w:val="single" w:sz="4" w:space="0" w:color="auto"/>
              <w:left w:val="nil"/>
              <w:bottom w:val="single" w:sz="4" w:space="0" w:color="auto"/>
              <w:right w:val="single" w:sz="4" w:space="0" w:color="auto"/>
            </w:tcBorders>
            <w:shd w:val="clear" w:color="auto" w:fill="auto"/>
            <w:noWrap/>
            <w:vAlign w:val="bottom"/>
            <w:hideMark/>
          </w:tcPr>
          <w:p w14:paraId="4E12A4A7"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 </w:t>
            </w:r>
          </w:p>
        </w:tc>
        <w:tc>
          <w:tcPr>
            <w:tcW w:w="590" w:type="pct"/>
            <w:tcBorders>
              <w:top w:val="single" w:sz="4" w:space="0" w:color="auto"/>
              <w:left w:val="nil"/>
              <w:bottom w:val="single" w:sz="4" w:space="0" w:color="auto"/>
              <w:right w:val="single" w:sz="4" w:space="0" w:color="auto"/>
            </w:tcBorders>
            <w:shd w:val="clear" w:color="auto" w:fill="auto"/>
            <w:noWrap/>
            <w:vAlign w:val="bottom"/>
            <w:hideMark/>
          </w:tcPr>
          <w:p w14:paraId="3C4377BB"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 </w:t>
            </w:r>
          </w:p>
        </w:tc>
        <w:tc>
          <w:tcPr>
            <w:tcW w:w="590" w:type="pct"/>
            <w:tcBorders>
              <w:top w:val="single" w:sz="4" w:space="0" w:color="auto"/>
              <w:left w:val="nil"/>
              <w:bottom w:val="single" w:sz="4" w:space="0" w:color="auto"/>
              <w:right w:val="single" w:sz="4" w:space="0" w:color="auto"/>
            </w:tcBorders>
            <w:shd w:val="clear" w:color="auto" w:fill="auto"/>
            <w:noWrap/>
            <w:vAlign w:val="bottom"/>
            <w:hideMark/>
          </w:tcPr>
          <w:p w14:paraId="03550B57"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 </w:t>
            </w:r>
          </w:p>
        </w:tc>
        <w:tc>
          <w:tcPr>
            <w:tcW w:w="590" w:type="pct"/>
            <w:tcBorders>
              <w:top w:val="single" w:sz="4" w:space="0" w:color="auto"/>
              <w:left w:val="nil"/>
              <w:bottom w:val="single" w:sz="4" w:space="0" w:color="auto"/>
              <w:right w:val="single" w:sz="4" w:space="0" w:color="auto"/>
            </w:tcBorders>
            <w:shd w:val="clear" w:color="auto" w:fill="auto"/>
            <w:noWrap/>
            <w:vAlign w:val="bottom"/>
            <w:hideMark/>
          </w:tcPr>
          <w:p w14:paraId="70A0CA3D"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 </w:t>
            </w:r>
          </w:p>
        </w:tc>
        <w:tc>
          <w:tcPr>
            <w:tcW w:w="590" w:type="pct"/>
            <w:tcBorders>
              <w:top w:val="single" w:sz="4" w:space="0" w:color="auto"/>
              <w:left w:val="nil"/>
              <w:bottom w:val="single" w:sz="4" w:space="0" w:color="auto"/>
              <w:right w:val="single" w:sz="4" w:space="0" w:color="auto"/>
            </w:tcBorders>
            <w:shd w:val="clear" w:color="auto" w:fill="auto"/>
            <w:noWrap/>
            <w:vAlign w:val="bottom"/>
            <w:hideMark/>
          </w:tcPr>
          <w:p w14:paraId="637B8ADC"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 </w:t>
            </w:r>
          </w:p>
        </w:tc>
      </w:tr>
      <w:tr w:rsidR="00ED5344" w:rsidRPr="005C3BEB" w14:paraId="6AFFF82C" w14:textId="77777777" w:rsidTr="00546691">
        <w:trPr>
          <w:trHeight w:val="312"/>
        </w:trPr>
        <w:tc>
          <w:tcPr>
            <w:tcW w:w="2051" w:type="pct"/>
            <w:tcBorders>
              <w:top w:val="nil"/>
              <w:left w:val="single" w:sz="4" w:space="0" w:color="auto"/>
              <w:bottom w:val="single" w:sz="4" w:space="0" w:color="auto"/>
              <w:right w:val="single" w:sz="4" w:space="0" w:color="auto"/>
            </w:tcBorders>
            <w:shd w:val="clear" w:color="auto" w:fill="auto"/>
            <w:noWrap/>
            <w:vAlign w:val="center"/>
            <w:hideMark/>
          </w:tcPr>
          <w:p w14:paraId="1059FEA2" w14:textId="77777777" w:rsidR="00ED5344" w:rsidRPr="005C3BEB" w:rsidRDefault="00ED5344" w:rsidP="005C3BEB">
            <w:pPr>
              <w:spacing w:after="0" w:line="360" w:lineRule="auto"/>
              <w:jc w:val="both"/>
              <w:rPr>
                <w:rFonts w:eastAsia="Times New Roman" w:cs="Times New Roman"/>
                <w:b/>
                <w:bCs/>
                <w:color w:val="000000"/>
                <w:szCs w:val="24"/>
                <w:lang w:val="en-IN" w:eastAsia="en-IN"/>
              </w:rPr>
            </w:pPr>
            <w:r w:rsidRPr="005C3BEB">
              <w:rPr>
                <w:rFonts w:eastAsia="Times New Roman" w:cs="Times New Roman"/>
                <w:b/>
                <w:bCs/>
                <w:color w:val="000000"/>
                <w:szCs w:val="24"/>
                <w:lang w:val="en-IN" w:eastAsia="en-IN"/>
              </w:rPr>
              <w:t>Particulars</w:t>
            </w:r>
          </w:p>
        </w:tc>
        <w:tc>
          <w:tcPr>
            <w:tcW w:w="590" w:type="pct"/>
            <w:tcBorders>
              <w:top w:val="nil"/>
              <w:left w:val="nil"/>
              <w:bottom w:val="single" w:sz="4" w:space="0" w:color="auto"/>
              <w:right w:val="single" w:sz="4" w:space="0" w:color="auto"/>
            </w:tcBorders>
            <w:shd w:val="clear" w:color="auto" w:fill="auto"/>
            <w:noWrap/>
            <w:vAlign w:val="center"/>
            <w:hideMark/>
          </w:tcPr>
          <w:p w14:paraId="678A4C04" w14:textId="77777777" w:rsidR="00ED5344" w:rsidRPr="005C3BEB" w:rsidRDefault="00ED5344" w:rsidP="005C3BEB">
            <w:pPr>
              <w:spacing w:after="0" w:line="360" w:lineRule="auto"/>
              <w:jc w:val="both"/>
              <w:rPr>
                <w:rFonts w:eastAsia="Times New Roman" w:cs="Times New Roman"/>
                <w:b/>
                <w:bCs/>
                <w:color w:val="000000"/>
                <w:szCs w:val="24"/>
                <w:lang w:val="en-IN" w:eastAsia="en-IN"/>
              </w:rPr>
            </w:pPr>
            <w:r w:rsidRPr="005C3BEB">
              <w:rPr>
                <w:rFonts w:eastAsia="Times New Roman" w:cs="Times New Roman"/>
                <w:b/>
                <w:bCs/>
                <w:color w:val="000000"/>
                <w:szCs w:val="24"/>
                <w:lang w:val="en-IN" w:eastAsia="en-IN"/>
              </w:rPr>
              <w:t>2018 (in £ m)</w:t>
            </w:r>
          </w:p>
        </w:tc>
        <w:tc>
          <w:tcPr>
            <w:tcW w:w="590" w:type="pct"/>
            <w:tcBorders>
              <w:top w:val="nil"/>
              <w:left w:val="nil"/>
              <w:bottom w:val="single" w:sz="4" w:space="0" w:color="auto"/>
              <w:right w:val="single" w:sz="4" w:space="0" w:color="auto"/>
            </w:tcBorders>
            <w:shd w:val="clear" w:color="auto" w:fill="auto"/>
            <w:noWrap/>
            <w:vAlign w:val="center"/>
            <w:hideMark/>
          </w:tcPr>
          <w:p w14:paraId="3F931403" w14:textId="77777777" w:rsidR="00ED5344" w:rsidRPr="005C3BEB" w:rsidRDefault="00ED5344" w:rsidP="005C3BEB">
            <w:pPr>
              <w:spacing w:after="0" w:line="360" w:lineRule="auto"/>
              <w:jc w:val="both"/>
              <w:rPr>
                <w:rFonts w:eastAsia="Times New Roman" w:cs="Times New Roman"/>
                <w:b/>
                <w:bCs/>
                <w:color w:val="000000"/>
                <w:szCs w:val="24"/>
                <w:lang w:val="en-IN" w:eastAsia="en-IN"/>
              </w:rPr>
            </w:pPr>
            <w:r w:rsidRPr="005C3BEB">
              <w:rPr>
                <w:rFonts w:eastAsia="Times New Roman" w:cs="Times New Roman"/>
                <w:b/>
                <w:bCs/>
                <w:color w:val="000000"/>
                <w:szCs w:val="24"/>
                <w:lang w:val="en-IN" w:eastAsia="en-IN"/>
              </w:rPr>
              <w:t>2019 (in £ m)</w:t>
            </w:r>
          </w:p>
        </w:tc>
        <w:tc>
          <w:tcPr>
            <w:tcW w:w="590" w:type="pct"/>
            <w:tcBorders>
              <w:top w:val="nil"/>
              <w:left w:val="nil"/>
              <w:bottom w:val="single" w:sz="4" w:space="0" w:color="auto"/>
              <w:right w:val="single" w:sz="4" w:space="0" w:color="auto"/>
            </w:tcBorders>
            <w:shd w:val="clear" w:color="auto" w:fill="auto"/>
            <w:noWrap/>
            <w:vAlign w:val="center"/>
            <w:hideMark/>
          </w:tcPr>
          <w:p w14:paraId="087399C6" w14:textId="77777777" w:rsidR="00ED5344" w:rsidRPr="005C3BEB" w:rsidRDefault="00ED5344" w:rsidP="005C3BEB">
            <w:pPr>
              <w:spacing w:after="0" w:line="360" w:lineRule="auto"/>
              <w:jc w:val="both"/>
              <w:rPr>
                <w:rFonts w:eastAsia="Times New Roman" w:cs="Times New Roman"/>
                <w:b/>
                <w:bCs/>
                <w:color w:val="000000"/>
                <w:szCs w:val="24"/>
                <w:lang w:val="en-IN" w:eastAsia="en-IN"/>
              </w:rPr>
            </w:pPr>
            <w:r w:rsidRPr="005C3BEB">
              <w:rPr>
                <w:rFonts w:eastAsia="Times New Roman" w:cs="Times New Roman"/>
                <w:b/>
                <w:bCs/>
                <w:color w:val="000000"/>
                <w:szCs w:val="24"/>
                <w:lang w:val="en-IN" w:eastAsia="en-IN"/>
              </w:rPr>
              <w:t>2020 (in £ m)</w:t>
            </w:r>
          </w:p>
        </w:tc>
        <w:tc>
          <w:tcPr>
            <w:tcW w:w="590" w:type="pct"/>
            <w:tcBorders>
              <w:top w:val="nil"/>
              <w:left w:val="nil"/>
              <w:bottom w:val="single" w:sz="4" w:space="0" w:color="auto"/>
              <w:right w:val="single" w:sz="4" w:space="0" w:color="auto"/>
            </w:tcBorders>
            <w:shd w:val="clear" w:color="auto" w:fill="auto"/>
            <w:noWrap/>
            <w:vAlign w:val="center"/>
            <w:hideMark/>
          </w:tcPr>
          <w:p w14:paraId="55DEFCDF" w14:textId="77777777" w:rsidR="00ED5344" w:rsidRPr="005C3BEB" w:rsidRDefault="00ED5344" w:rsidP="005C3BEB">
            <w:pPr>
              <w:spacing w:after="0" w:line="360" w:lineRule="auto"/>
              <w:jc w:val="both"/>
              <w:rPr>
                <w:rFonts w:eastAsia="Times New Roman" w:cs="Times New Roman"/>
                <w:b/>
                <w:bCs/>
                <w:color w:val="000000"/>
                <w:szCs w:val="24"/>
                <w:lang w:val="en-IN" w:eastAsia="en-IN"/>
              </w:rPr>
            </w:pPr>
            <w:r w:rsidRPr="005C3BEB">
              <w:rPr>
                <w:rFonts w:eastAsia="Times New Roman" w:cs="Times New Roman"/>
                <w:b/>
                <w:bCs/>
                <w:color w:val="000000"/>
                <w:szCs w:val="24"/>
                <w:lang w:val="en-IN" w:eastAsia="en-IN"/>
              </w:rPr>
              <w:t>2021 (in £ m)</w:t>
            </w:r>
          </w:p>
        </w:tc>
        <w:tc>
          <w:tcPr>
            <w:tcW w:w="590" w:type="pct"/>
            <w:tcBorders>
              <w:top w:val="nil"/>
              <w:left w:val="nil"/>
              <w:bottom w:val="single" w:sz="4" w:space="0" w:color="auto"/>
              <w:right w:val="single" w:sz="4" w:space="0" w:color="auto"/>
            </w:tcBorders>
            <w:shd w:val="clear" w:color="auto" w:fill="auto"/>
            <w:noWrap/>
            <w:vAlign w:val="center"/>
            <w:hideMark/>
          </w:tcPr>
          <w:p w14:paraId="6697DCD6" w14:textId="77777777" w:rsidR="00ED5344" w:rsidRPr="005C3BEB" w:rsidRDefault="00ED5344" w:rsidP="005C3BEB">
            <w:pPr>
              <w:spacing w:after="0" w:line="360" w:lineRule="auto"/>
              <w:jc w:val="both"/>
              <w:rPr>
                <w:rFonts w:eastAsia="Times New Roman" w:cs="Times New Roman"/>
                <w:b/>
                <w:bCs/>
                <w:color w:val="000000"/>
                <w:szCs w:val="24"/>
                <w:lang w:val="en-IN" w:eastAsia="en-IN"/>
              </w:rPr>
            </w:pPr>
            <w:r w:rsidRPr="005C3BEB">
              <w:rPr>
                <w:rFonts w:eastAsia="Times New Roman" w:cs="Times New Roman"/>
                <w:b/>
                <w:bCs/>
                <w:color w:val="000000"/>
                <w:szCs w:val="24"/>
                <w:lang w:val="en-IN" w:eastAsia="en-IN"/>
              </w:rPr>
              <w:t>2022 (in £ m)</w:t>
            </w:r>
          </w:p>
        </w:tc>
      </w:tr>
      <w:tr w:rsidR="00ED5344" w:rsidRPr="005C3BEB" w14:paraId="169DC775" w14:textId="77777777" w:rsidTr="00546691">
        <w:trPr>
          <w:trHeight w:val="312"/>
        </w:trPr>
        <w:tc>
          <w:tcPr>
            <w:tcW w:w="2051" w:type="pct"/>
            <w:tcBorders>
              <w:top w:val="nil"/>
              <w:left w:val="single" w:sz="4" w:space="0" w:color="auto"/>
              <w:bottom w:val="single" w:sz="4" w:space="0" w:color="auto"/>
              <w:right w:val="single" w:sz="4" w:space="0" w:color="auto"/>
            </w:tcBorders>
            <w:shd w:val="clear" w:color="auto" w:fill="auto"/>
            <w:noWrap/>
            <w:vAlign w:val="center"/>
            <w:hideMark/>
          </w:tcPr>
          <w:p w14:paraId="78E0A88A"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 </w:t>
            </w:r>
          </w:p>
        </w:tc>
        <w:tc>
          <w:tcPr>
            <w:tcW w:w="590" w:type="pct"/>
            <w:tcBorders>
              <w:top w:val="nil"/>
              <w:left w:val="nil"/>
              <w:bottom w:val="single" w:sz="4" w:space="0" w:color="auto"/>
              <w:right w:val="single" w:sz="4" w:space="0" w:color="auto"/>
            </w:tcBorders>
            <w:shd w:val="clear" w:color="auto" w:fill="auto"/>
            <w:noWrap/>
            <w:vAlign w:val="center"/>
            <w:hideMark/>
          </w:tcPr>
          <w:p w14:paraId="5DAEC060"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 </w:t>
            </w:r>
          </w:p>
        </w:tc>
        <w:tc>
          <w:tcPr>
            <w:tcW w:w="590" w:type="pct"/>
            <w:tcBorders>
              <w:top w:val="nil"/>
              <w:left w:val="nil"/>
              <w:bottom w:val="single" w:sz="4" w:space="0" w:color="auto"/>
              <w:right w:val="single" w:sz="4" w:space="0" w:color="auto"/>
            </w:tcBorders>
            <w:shd w:val="clear" w:color="auto" w:fill="auto"/>
            <w:noWrap/>
            <w:vAlign w:val="center"/>
            <w:hideMark/>
          </w:tcPr>
          <w:p w14:paraId="141701AA"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 </w:t>
            </w:r>
          </w:p>
        </w:tc>
        <w:tc>
          <w:tcPr>
            <w:tcW w:w="590" w:type="pct"/>
            <w:tcBorders>
              <w:top w:val="nil"/>
              <w:left w:val="nil"/>
              <w:bottom w:val="single" w:sz="4" w:space="0" w:color="auto"/>
              <w:right w:val="single" w:sz="4" w:space="0" w:color="auto"/>
            </w:tcBorders>
            <w:shd w:val="clear" w:color="auto" w:fill="auto"/>
            <w:noWrap/>
            <w:vAlign w:val="center"/>
            <w:hideMark/>
          </w:tcPr>
          <w:p w14:paraId="51A7819E"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 </w:t>
            </w:r>
          </w:p>
        </w:tc>
        <w:tc>
          <w:tcPr>
            <w:tcW w:w="590" w:type="pct"/>
            <w:tcBorders>
              <w:top w:val="nil"/>
              <w:left w:val="nil"/>
              <w:bottom w:val="single" w:sz="4" w:space="0" w:color="auto"/>
              <w:right w:val="single" w:sz="4" w:space="0" w:color="auto"/>
            </w:tcBorders>
            <w:shd w:val="clear" w:color="auto" w:fill="auto"/>
            <w:noWrap/>
            <w:vAlign w:val="center"/>
            <w:hideMark/>
          </w:tcPr>
          <w:p w14:paraId="22246058"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 </w:t>
            </w:r>
          </w:p>
        </w:tc>
        <w:tc>
          <w:tcPr>
            <w:tcW w:w="590" w:type="pct"/>
            <w:tcBorders>
              <w:top w:val="nil"/>
              <w:left w:val="nil"/>
              <w:bottom w:val="single" w:sz="4" w:space="0" w:color="auto"/>
              <w:right w:val="single" w:sz="4" w:space="0" w:color="auto"/>
            </w:tcBorders>
            <w:shd w:val="clear" w:color="auto" w:fill="auto"/>
            <w:noWrap/>
            <w:vAlign w:val="center"/>
            <w:hideMark/>
          </w:tcPr>
          <w:p w14:paraId="6890D08E"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 </w:t>
            </w:r>
          </w:p>
        </w:tc>
      </w:tr>
      <w:tr w:rsidR="00ED5344" w:rsidRPr="005C3BEB" w14:paraId="3E20F5BD" w14:textId="77777777" w:rsidTr="00546691">
        <w:trPr>
          <w:trHeight w:val="312"/>
        </w:trPr>
        <w:tc>
          <w:tcPr>
            <w:tcW w:w="2051" w:type="pct"/>
            <w:tcBorders>
              <w:top w:val="nil"/>
              <w:left w:val="single" w:sz="4" w:space="0" w:color="auto"/>
              <w:bottom w:val="single" w:sz="4" w:space="0" w:color="auto"/>
              <w:right w:val="single" w:sz="4" w:space="0" w:color="auto"/>
            </w:tcBorders>
            <w:shd w:val="clear" w:color="auto" w:fill="auto"/>
            <w:noWrap/>
            <w:vAlign w:val="center"/>
            <w:hideMark/>
          </w:tcPr>
          <w:p w14:paraId="3DF98E40"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Total Debt</w:t>
            </w:r>
          </w:p>
        </w:tc>
        <w:tc>
          <w:tcPr>
            <w:tcW w:w="590" w:type="pct"/>
            <w:tcBorders>
              <w:top w:val="nil"/>
              <w:left w:val="nil"/>
              <w:bottom w:val="single" w:sz="4" w:space="0" w:color="auto"/>
              <w:right w:val="single" w:sz="4" w:space="0" w:color="auto"/>
            </w:tcBorders>
            <w:shd w:val="clear" w:color="auto" w:fill="auto"/>
            <w:noWrap/>
            <w:vAlign w:val="bottom"/>
            <w:hideMark/>
          </w:tcPr>
          <w:p w14:paraId="29D2F050"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 xml:space="preserve"> £            2,821 </w:t>
            </w:r>
          </w:p>
        </w:tc>
        <w:tc>
          <w:tcPr>
            <w:tcW w:w="590" w:type="pct"/>
            <w:tcBorders>
              <w:top w:val="nil"/>
              <w:left w:val="nil"/>
              <w:bottom w:val="single" w:sz="4" w:space="0" w:color="auto"/>
              <w:right w:val="single" w:sz="4" w:space="0" w:color="auto"/>
            </w:tcBorders>
            <w:shd w:val="clear" w:color="auto" w:fill="auto"/>
            <w:noWrap/>
            <w:vAlign w:val="bottom"/>
            <w:hideMark/>
          </w:tcPr>
          <w:p w14:paraId="1C59F658"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 xml:space="preserve"> £            2,782 </w:t>
            </w:r>
          </w:p>
        </w:tc>
        <w:tc>
          <w:tcPr>
            <w:tcW w:w="590" w:type="pct"/>
            <w:tcBorders>
              <w:top w:val="nil"/>
              <w:left w:val="nil"/>
              <w:bottom w:val="single" w:sz="4" w:space="0" w:color="auto"/>
              <w:right w:val="single" w:sz="4" w:space="0" w:color="auto"/>
            </w:tcBorders>
            <w:shd w:val="clear" w:color="auto" w:fill="auto"/>
            <w:noWrap/>
            <w:vAlign w:val="bottom"/>
            <w:hideMark/>
          </w:tcPr>
          <w:p w14:paraId="424C5A2C"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 xml:space="preserve"> £            5,396 </w:t>
            </w:r>
          </w:p>
        </w:tc>
        <w:tc>
          <w:tcPr>
            <w:tcW w:w="590" w:type="pct"/>
            <w:tcBorders>
              <w:top w:val="nil"/>
              <w:left w:val="nil"/>
              <w:bottom w:val="single" w:sz="4" w:space="0" w:color="auto"/>
              <w:right w:val="single" w:sz="4" w:space="0" w:color="auto"/>
            </w:tcBorders>
            <w:shd w:val="clear" w:color="auto" w:fill="auto"/>
            <w:noWrap/>
            <w:vAlign w:val="bottom"/>
            <w:hideMark/>
          </w:tcPr>
          <w:p w14:paraId="062C196A"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 xml:space="preserve"> £            5,180 </w:t>
            </w:r>
          </w:p>
        </w:tc>
        <w:tc>
          <w:tcPr>
            <w:tcW w:w="590" w:type="pct"/>
            <w:tcBorders>
              <w:top w:val="nil"/>
              <w:left w:val="nil"/>
              <w:bottom w:val="single" w:sz="4" w:space="0" w:color="auto"/>
              <w:right w:val="single" w:sz="4" w:space="0" w:color="auto"/>
            </w:tcBorders>
            <w:shd w:val="clear" w:color="auto" w:fill="auto"/>
            <w:noWrap/>
            <w:vAlign w:val="bottom"/>
            <w:hideMark/>
          </w:tcPr>
          <w:p w14:paraId="64D7994C"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 xml:space="preserve"> £            5,345 </w:t>
            </w:r>
          </w:p>
        </w:tc>
      </w:tr>
      <w:tr w:rsidR="00ED5344" w:rsidRPr="005C3BEB" w14:paraId="553664E6" w14:textId="77777777" w:rsidTr="00546691">
        <w:trPr>
          <w:trHeight w:val="312"/>
        </w:trPr>
        <w:tc>
          <w:tcPr>
            <w:tcW w:w="2051" w:type="pct"/>
            <w:tcBorders>
              <w:top w:val="nil"/>
              <w:left w:val="single" w:sz="4" w:space="0" w:color="auto"/>
              <w:bottom w:val="single" w:sz="4" w:space="0" w:color="auto"/>
              <w:right w:val="single" w:sz="4" w:space="0" w:color="auto"/>
            </w:tcBorders>
            <w:shd w:val="clear" w:color="auto" w:fill="auto"/>
            <w:noWrap/>
            <w:vAlign w:val="center"/>
            <w:hideMark/>
          </w:tcPr>
          <w:p w14:paraId="11803A8A"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Total Equity</w:t>
            </w:r>
          </w:p>
        </w:tc>
        <w:tc>
          <w:tcPr>
            <w:tcW w:w="590" w:type="pct"/>
            <w:tcBorders>
              <w:top w:val="nil"/>
              <w:left w:val="nil"/>
              <w:bottom w:val="single" w:sz="4" w:space="0" w:color="auto"/>
              <w:right w:val="single" w:sz="4" w:space="0" w:color="auto"/>
            </w:tcBorders>
            <w:shd w:val="clear" w:color="auto" w:fill="auto"/>
            <w:noWrap/>
            <w:vAlign w:val="bottom"/>
            <w:hideMark/>
          </w:tcPr>
          <w:p w14:paraId="7F5282AA"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 xml:space="preserve"> £            4,436 </w:t>
            </w:r>
          </w:p>
        </w:tc>
        <w:tc>
          <w:tcPr>
            <w:tcW w:w="590" w:type="pct"/>
            <w:tcBorders>
              <w:top w:val="nil"/>
              <w:left w:val="nil"/>
              <w:bottom w:val="single" w:sz="4" w:space="0" w:color="auto"/>
              <w:right w:val="single" w:sz="4" w:space="0" w:color="auto"/>
            </w:tcBorders>
            <w:shd w:val="clear" w:color="auto" w:fill="auto"/>
            <w:noWrap/>
            <w:vAlign w:val="bottom"/>
            <w:hideMark/>
          </w:tcPr>
          <w:p w14:paraId="1B6BBF5A"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 xml:space="preserve"> £            4,619 </w:t>
            </w:r>
          </w:p>
        </w:tc>
        <w:tc>
          <w:tcPr>
            <w:tcW w:w="590" w:type="pct"/>
            <w:tcBorders>
              <w:top w:val="nil"/>
              <w:left w:val="nil"/>
              <w:bottom w:val="single" w:sz="4" w:space="0" w:color="auto"/>
              <w:right w:val="single" w:sz="4" w:space="0" w:color="auto"/>
            </w:tcBorders>
            <w:shd w:val="clear" w:color="auto" w:fill="auto"/>
            <w:noWrap/>
            <w:vAlign w:val="bottom"/>
            <w:hideMark/>
          </w:tcPr>
          <w:p w14:paraId="0F98A276"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 xml:space="preserve"> £            5,621 </w:t>
            </w:r>
          </w:p>
        </w:tc>
        <w:tc>
          <w:tcPr>
            <w:tcW w:w="590" w:type="pct"/>
            <w:tcBorders>
              <w:top w:val="nil"/>
              <w:left w:val="nil"/>
              <w:bottom w:val="single" w:sz="4" w:space="0" w:color="auto"/>
              <w:right w:val="single" w:sz="4" w:space="0" w:color="auto"/>
            </w:tcBorders>
            <w:shd w:val="clear" w:color="auto" w:fill="auto"/>
            <w:noWrap/>
            <w:vAlign w:val="bottom"/>
            <w:hideMark/>
          </w:tcPr>
          <w:p w14:paraId="6D9D3645"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 xml:space="preserve"> £            4,805 </w:t>
            </w:r>
          </w:p>
        </w:tc>
        <w:tc>
          <w:tcPr>
            <w:tcW w:w="590" w:type="pct"/>
            <w:tcBorders>
              <w:top w:val="nil"/>
              <w:left w:val="nil"/>
              <w:bottom w:val="single" w:sz="4" w:space="0" w:color="auto"/>
              <w:right w:val="single" w:sz="4" w:space="0" w:color="auto"/>
            </w:tcBorders>
            <w:shd w:val="clear" w:color="auto" w:fill="auto"/>
            <w:noWrap/>
            <w:vAlign w:val="bottom"/>
            <w:hideMark/>
          </w:tcPr>
          <w:p w14:paraId="4337F81E"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 xml:space="preserve"> £            5,334 </w:t>
            </w:r>
          </w:p>
        </w:tc>
      </w:tr>
      <w:tr w:rsidR="00ED5344" w:rsidRPr="005C3BEB" w14:paraId="7405060E" w14:textId="77777777" w:rsidTr="00546691">
        <w:trPr>
          <w:trHeight w:val="312"/>
        </w:trPr>
        <w:tc>
          <w:tcPr>
            <w:tcW w:w="2051" w:type="pct"/>
            <w:tcBorders>
              <w:top w:val="nil"/>
              <w:left w:val="single" w:sz="4" w:space="0" w:color="auto"/>
              <w:bottom w:val="single" w:sz="4" w:space="0" w:color="auto"/>
              <w:right w:val="single" w:sz="4" w:space="0" w:color="auto"/>
            </w:tcBorders>
            <w:shd w:val="clear" w:color="auto" w:fill="auto"/>
            <w:noWrap/>
            <w:vAlign w:val="center"/>
            <w:hideMark/>
          </w:tcPr>
          <w:p w14:paraId="22C9A8C5"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Total Debt + Total Equity</w:t>
            </w:r>
          </w:p>
        </w:tc>
        <w:tc>
          <w:tcPr>
            <w:tcW w:w="590" w:type="pct"/>
            <w:tcBorders>
              <w:top w:val="nil"/>
              <w:left w:val="nil"/>
              <w:bottom w:val="single" w:sz="4" w:space="0" w:color="auto"/>
              <w:right w:val="single" w:sz="4" w:space="0" w:color="auto"/>
            </w:tcBorders>
            <w:shd w:val="clear" w:color="auto" w:fill="auto"/>
            <w:noWrap/>
            <w:vAlign w:val="bottom"/>
            <w:hideMark/>
          </w:tcPr>
          <w:p w14:paraId="2D5C3F8C"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 xml:space="preserve"> £            7,257 </w:t>
            </w:r>
          </w:p>
        </w:tc>
        <w:tc>
          <w:tcPr>
            <w:tcW w:w="590" w:type="pct"/>
            <w:tcBorders>
              <w:top w:val="nil"/>
              <w:left w:val="nil"/>
              <w:bottom w:val="single" w:sz="4" w:space="0" w:color="auto"/>
              <w:right w:val="single" w:sz="4" w:space="0" w:color="auto"/>
            </w:tcBorders>
            <w:shd w:val="clear" w:color="auto" w:fill="auto"/>
            <w:noWrap/>
            <w:vAlign w:val="bottom"/>
            <w:hideMark/>
          </w:tcPr>
          <w:p w14:paraId="46FE9741"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 xml:space="preserve"> £            7,401 </w:t>
            </w:r>
          </w:p>
        </w:tc>
        <w:tc>
          <w:tcPr>
            <w:tcW w:w="590" w:type="pct"/>
            <w:tcBorders>
              <w:top w:val="nil"/>
              <w:left w:val="nil"/>
              <w:bottom w:val="single" w:sz="4" w:space="0" w:color="auto"/>
              <w:right w:val="single" w:sz="4" w:space="0" w:color="auto"/>
            </w:tcBorders>
            <w:shd w:val="clear" w:color="auto" w:fill="auto"/>
            <w:noWrap/>
            <w:vAlign w:val="bottom"/>
            <w:hideMark/>
          </w:tcPr>
          <w:p w14:paraId="2FFD77B3"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 xml:space="preserve"> £          11,017 </w:t>
            </w:r>
          </w:p>
        </w:tc>
        <w:tc>
          <w:tcPr>
            <w:tcW w:w="590" w:type="pct"/>
            <w:tcBorders>
              <w:top w:val="nil"/>
              <w:left w:val="nil"/>
              <w:bottom w:val="single" w:sz="4" w:space="0" w:color="auto"/>
              <w:right w:val="single" w:sz="4" w:space="0" w:color="auto"/>
            </w:tcBorders>
            <w:shd w:val="clear" w:color="auto" w:fill="auto"/>
            <w:noWrap/>
            <w:vAlign w:val="bottom"/>
            <w:hideMark/>
          </w:tcPr>
          <w:p w14:paraId="29E5D4C3"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 xml:space="preserve"> £            9,985 </w:t>
            </w:r>
          </w:p>
        </w:tc>
        <w:tc>
          <w:tcPr>
            <w:tcW w:w="590" w:type="pct"/>
            <w:tcBorders>
              <w:top w:val="nil"/>
              <w:left w:val="nil"/>
              <w:bottom w:val="single" w:sz="4" w:space="0" w:color="auto"/>
              <w:right w:val="single" w:sz="4" w:space="0" w:color="auto"/>
            </w:tcBorders>
            <w:shd w:val="clear" w:color="auto" w:fill="auto"/>
            <w:noWrap/>
            <w:vAlign w:val="bottom"/>
            <w:hideMark/>
          </w:tcPr>
          <w:p w14:paraId="7120024C"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 xml:space="preserve"> £          10,679 </w:t>
            </w:r>
          </w:p>
        </w:tc>
      </w:tr>
      <w:tr w:rsidR="00ED5344" w:rsidRPr="005C3BEB" w14:paraId="00A299B6" w14:textId="77777777" w:rsidTr="00546691">
        <w:trPr>
          <w:trHeight w:val="312"/>
        </w:trPr>
        <w:tc>
          <w:tcPr>
            <w:tcW w:w="2051" w:type="pct"/>
            <w:tcBorders>
              <w:top w:val="nil"/>
              <w:left w:val="single" w:sz="4" w:space="0" w:color="auto"/>
              <w:bottom w:val="single" w:sz="4" w:space="0" w:color="auto"/>
              <w:right w:val="single" w:sz="4" w:space="0" w:color="auto"/>
            </w:tcBorders>
            <w:shd w:val="clear" w:color="auto" w:fill="auto"/>
            <w:noWrap/>
            <w:vAlign w:val="center"/>
            <w:hideMark/>
          </w:tcPr>
          <w:p w14:paraId="7FC64F60"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lastRenderedPageBreak/>
              <w:t> </w:t>
            </w:r>
          </w:p>
        </w:tc>
        <w:tc>
          <w:tcPr>
            <w:tcW w:w="590" w:type="pct"/>
            <w:tcBorders>
              <w:top w:val="nil"/>
              <w:left w:val="nil"/>
              <w:bottom w:val="single" w:sz="4" w:space="0" w:color="auto"/>
              <w:right w:val="single" w:sz="4" w:space="0" w:color="auto"/>
            </w:tcBorders>
            <w:shd w:val="clear" w:color="auto" w:fill="auto"/>
            <w:noWrap/>
            <w:vAlign w:val="center"/>
            <w:hideMark/>
          </w:tcPr>
          <w:p w14:paraId="75E025A9"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 </w:t>
            </w:r>
          </w:p>
        </w:tc>
        <w:tc>
          <w:tcPr>
            <w:tcW w:w="590" w:type="pct"/>
            <w:tcBorders>
              <w:top w:val="nil"/>
              <w:left w:val="nil"/>
              <w:bottom w:val="single" w:sz="4" w:space="0" w:color="auto"/>
              <w:right w:val="single" w:sz="4" w:space="0" w:color="auto"/>
            </w:tcBorders>
            <w:shd w:val="clear" w:color="auto" w:fill="auto"/>
            <w:noWrap/>
            <w:vAlign w:val="center"/>
            <w:hideMark/>
          </w:tcPr>
          <w:p w14:paraId="3311B41D"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 </w:t>
            </w:r>
          </w:p>
        </w:tc>
        <w:tc>
          <w:tcPr>
            <w:tcW w:w="590" w:type="pct"/>
            <w:tcBorders>
              <w:top w:val="nil"/>
              <w:left w:val="nil"/>
              <w:bottom w:val="single" w:sz="4" w:space="0" w:color="auto"/>
              <w:right w:val="single" w:sz="4" w:space="0" w:color="auto"/>
            </w:tcBorders>
            <w:shd w:val="clear" w:color="auto" w:fill="auto"/>
            <w:noWrap/>
            <w:vAlign w:val="center"/>
            <w:hideMark/>
          </w:tcPr>
          <w:p w14:paraId="49378FC8"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 </w:t>
            </w:r>
          </w:p>
        </w:tc>
        <w:tc>
          <w:tcPr>
            <w:tcW w:w="590" w:type="pct"/>
            <w:tcBorders>
              <w:top w:val="nil"/>
              <w:left w:val="nil"/>
              <w:bottom w:val="single" w:sz="4" w:space="0" w:color="auto"/>
              <w:right w:val="single" w:sz="4" w:space="0" w:color="auto"/>
            </w:tcBorders>
            <w:shd w:val="clear" w:color="auto" w:fill="auto"/>
            <w:noWrap/>
            <w:vAlign w:val="center"/>
            <w:hideMark/>
          </w:tcPr>
          <w:p w14:paraId="7393BDED"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 </w:t>
            </w:r>
          </w:p>
        </w:tc>
        <w:tc>
          <w:tcPr>
            <w:tcW w:w="590" w:type="pct"/>
            <w:tcBorders>
              <w:top w:val="nil"/>
              <w:left w:val="nil"/>
              <w:bottom w:val="single" w:sz="4" w:space="0" w:color="auto"/>
              <w:right w:val="single" w:sz="4" w:space="0" w:color="auto"/>
            </w:tcBorders>
            <w:shd w:val="clear" w:color="auto" w:fill="auto"/>
            <w:noWrap/>
            <w:vAlign w:val="center"/>
            <w:hideMark/>
          </w:tcPr>
          <w:p w14:paraId="05EA17E0"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 </w:t>
            </w:r>
          </w:p>
        </w:tc>
      </w:tr>
      <w:tr w:rsidR="00ED5344" w:rsidRPr="005C3BEB" w14:paraId="65F892F0" w14:textId="77777777" w:rsidTr="00546691">
        <w:trPr>
          <w:trHeight w:val="312"/>
        </w:trPr>
        <w:tc>
          <w:tcPr>
            <w:tcW w:w="2051" w:type="pct"/>
            <w:tcBorders>
              <w:top w:val="nil"/>
              <w:left w:val="single" w:sz="4" w:space="0" w:color="auto"/>
              <w:bottom w:val="single" w:sz="4" w:space="0" w:color="auto"/>
              <w:right w:val="single" w:sz="4" w:space="0" w:color="auto"/>
            </w:tcBorders>
            <w:shd w:val="clear" w:color="auto" w:fill="auto"/>
            <w:vAlign w:val="center"/>
            <w:hideMark/>
          </w:tcPr>
          <w:p w14:paraId="78EF8A78" w14:textId="77777777" w:rsidR="00ED5344" w:rsidRPr="005C3BEB" w:rsidRDefault="00ED5344" w:rsidP="005C3BEB">
            <w:pPr>
              <w:spacing w:after="0" w:line="360" w:lineRule="auto"/>
              <w:jc w:val="both"/>
              <w:rPr>
                <w:rFonts w:eastAsia="Times New Roman" w:cs="Times New Roman"/>
                <w:b/>
                <w:bCs/>
                <w:color w:val="000000"/>
                <w:szCs w:val="24"/>
                <w:lang w:val="en-IN" w:eastAsia="en-IN"/>
              </w:rPr>
            </w:pPr>
            <w:r w:rsidRPr="005C3BEB">
              <w:rPr>
                <w:rFonts w:eastAsia="Times New Roman" w:cs="Times New Roman"/>
                <w:b/>
                <w:bCs/>
                <w:color w:val="000000"/>
                <w:szCs w:val="24"/>
                <w:lang w:val="en-IN" w:eastAsia="en-IN"/>
              </w:rPr>
              <w:t>Debt-to-Capital Ratio </w:t>
            </w:r>
          </w:p>
        </w:tc>
        <w:tc>
          <w:tcPr>
            <w:tcW w:w="590" w:type="pct"/>
            <w:tcBorders>
              <w:top w:val="nil"/>
              <w:left w:val="nil"/>
              <w:bottom w:val="single" w:sz="4" w:space="0" w:color="auto"/>
              <w:right w:val="single" w:sz="4" w:space="0" w:color="auto"/>
            </w:tcBorders>
            <w:shd w:val="clear" w:color="auto" w:fill="auto"/>
            <w:noWrap/>
            <w:vAlign w:val="center"/>
            <w:hideMark/>
          </w:tcPr>
          <w:p w14:paraId="18A01602" w14:textId="77777777" w:rsidR="00ED5344" w:rsidRPr="005C3BEB" w:rsidRDefault="00ED5344" w:rsidP="005C3BEB">
            <w:pPr>
              <w:spacing w:after="0" w:line="360" w:lineRule="auto"/>
              <w:jc w:val="both"/>
              <w:rPr>
                <w:rFonts w:eastAsia="Times New Roman" w:cs="Times New Roman"/>
                <w:b/>
                <w:bCs/>
                <w:color w:val="000000"/>
                <w:szCs w:val="24"/>
                <w:lang w:val="en-IN" w:eastAsia="en-IN"/>
              </w:rPr>
            </w:pPr>
            <w:r w:rsidRPr="005C3BEB">
              <w:rPr>
                <w:rFonts w:eastAsia="Times New Roman" w:cs="Times New Roman"/>
                <w:b/>
                <w:bCs/>
                <w:color w:val="000000"/>
                <w:szCs w:val="24"/>
                <w:lang w:val="en-IN" w:eastAsia="en-IN"/>
              </w:rPr>
              <w:t>0.39</w:t>
            </w:r>
          </w:p>
        </w:tc>
        <w:tc>
          <w:tcPr>
            <w:tcW w:w="590" w:type="pct"/>
            <w:tcBorders>
              <w:top w:val="nil"/>
              <w:left w:val="nil"/>
              <w:bottom w:val="single" w:sz="4" w:space="0" w:color="auto"/>
              <w:right w:val="single" w:sz="4" w:space="0" w:color="auto"/>
            </w:tcBorders>
            <w:shd w:val="clear" w:color="auto" w:fill="auto"/>
            <w:noWrap/>
            <w:vAlign w:val="center"/>
            <w:hideMark/>
          </w:tcPr>
          <w:p w14:paraId="507905D8" w14:textId="77777777" w:rsidR="00ED5344" w:rsidRPr="005C3BEB" w:rsidRDefault="00ED5344" w:rsidP="005C3BEB">
            <w:pPr>
              <w:spacing w:after="0" w:line="360" w:lineRule="auto"/>
              <w:jc w:val="both"/>
              <w:rPr>
                <w:rFonts w:eastAsia="Times New Roman" w:cs="Times New Roman"/>
                <w:b/>
                <w:bCs/>
                <w:color w:val="000000"/>
                <w:szCs w:val="24"/>
                <w:lang w:val="en-IN" w:eastAsia="en-IN"/>
              </w:rPr>
            </w:pPr>
            <w:r w:rsidRPr="005C3BEB">
              <w:rPr>
                <w:rFonts w:eastAsia="Times New Roman" w:cs="Times New Roman"/>
                <w:b/>
                <w:bCs/>
                <w:color w:val="000000"/>
                <w:szCs w:val="24"/>
                <w:lang w:val="en-IN" w:eastAsia="en-IN"/>
              </w:rPr>
              <w:t>0.38</w:t>
            </w:r>
          </w:p>
        </w:tc>
        <w:tc>
          <w:tcPr>
            <w:tcW w:w="590" w:type="pct"/>
            <w:tcBorders>
              <w:top w:val="nil"/>
              <w:left w:val="nil"/>
              <w:bottom w:val="single" w:sz="4" w:space="0" w:color="auto"/>
              <w:right w:val="single" w:sz="4" w:space="0" w:color="auto"/>
            </w:tcBorders>
            <w:shd w:val="clear" w:color="auto" w:fill="auto"/>
            <w:noWrap/>
            <w:vAlign w:val="center"/>
            <w:hideMark/>
          </w:tcPr>
          <w:p w14:paraId="4DE2155F" w14:textId="77777777" w:rsidR="00ED5344" w:rsidRPr="005C3BEB" w:rsidRDefault="00ED5344" w:rsidP="005C3BEB">
            <w:pPr>
              <w:spacing w:after="0" w:line="360" w:lineRule="auto"/>
              <w:jc w:val="both"/>
              <w:rPr>
                <w:rFonts w:eastAsia="Times New Roman" w:cs="Times New Roman"/>
                <w:b/>
                <w:bCs/>
                <w:color w:val="000000"/>
                <w:szCs w:val="24"/>
                <w:lang w:val="en-IN" w:eastAsia="en-IN"/>
              </w:rPr>
            </w:pPr>
            <w:r w:rsidRPr="005C3BEB">
              <w:rPr>
                <w:rFonts w:eastAsia="Times New Roman" w:cs="Times New Roman"/>
                <w:b/>
                <w:bCs/>
                <w:color w:val="000000"/>
                <w:szCs w:val="24"/>
                <w:lang w:val="en-IN" w:eastAsia="en-IN"/>
              </w:rPr>
              <w:t>0.49</w:t>
            </w:r>
          </w:p>
        </w:tc>
        <w:tc>
          <w:tcPr>
            <w:tcW w:w="590" w:type="pct"/>
            <w:tcBorders>
              <w:top w:val="nil"/>
              <w:left w:val="nil"/>
              <w:bottom w:val="single" w:sz="4" w:space="0" w:color="auto"/>
              <w:right w:val="single" w:sz="4" w:space="0" w:color="auto"/>
            </w:tcBorders>
            <w:shd w:val="clear" w:color="auto" w:fill="auto"/>
            <w:noWrap/>
            <w:vAlign w:val="center"/>
            <w:hideMark/>
          </w:tcPr>
          <w:p w14:paraId="755AB88C" w14:textId="77777777" w:rsidR="00ED5344" w:rsidRPr="005C3BEB" w:rsidRDefault="00ED5344" w:rsidP="005C3BEB">
            <w:pPr>
              <w:spacing w:after="0" w:line="360" w:lineRule="auto"/>
              <w:jc w:val="both"/>
              <w:rPr>
                <w:rFonts w:eastAsia="Times New Roman" w:cs="Times New Roman"/>
                <w:b/>
                <w:bCs/>
                <w:color w:val="000000"/>
                <w:szCs w:val="24"/>
                <w:lang w:val="en-IN" w:eastAsia="en-IN"/>
              </w:rPr>
            </w:pPr>
            <w:r w:rsidRPr="005C3BEB">
              <w:rPr>
                <w:rFonts w:eastAsia="Times New Roman" w:cs="Times New Roman"/>
                <w:b/>
                <w:bCs/>
                <w:color w:val="000000"/>
                <w:szCs w:val="24"/>
                <w:lang w:val="en-IN" w:eastAsia="en-IN"/>
              </w:rPr>
              <w:t>0.52</w:t>
            </w:r>
          </w:p>
        </w:tc>
        <w:tc>
          <w:tcPr>
            <w:tcW w:w="590" w:type="pct"/>
            <w:tcBorders>
              <w:top w:val="nil"/>
              <w:left w:val="nil"/>
              <w:bottom w:val="single" w:sz="4" w:space="0" w:color="auto"/>
              <w:right w:val="single" w:sz="4" w:space="0" w:color="auto"/>
            </w:tcBorders>
            <w:shd w:val="clear" w:color="auto" w:fill="auto"/>
            <w:noWrap/>
            <w:vAlign w:val="center"/>
            <w:hideMark/>
          </w:tcPr>
          <w:p w14:paraId="3466C74D" w14:textId="77777777" w:rsidR="00ED5344" w:rsidRPr="005C3BEB" w:rsidRDefault="00ED5344" w:rsidP="005C3BEB">
            <w:pPr>
              <w:spacing w:after="0" w:line="360" w:lineRule="auto"/>
              <w:jc w:val="both"/>
              <w:rPr>
                <w:rFonts w:eastAsia="Times New Roman" w:cs="Times New Roman"/>
                <w:b/>
                <w:bCs/>
                <w:color w:val="000000"/>
                <w:szCs w:val="24"/>
                <w:lang w:val="en-IN" w:eastAsia="en-IN"/>
              </w:rPr>
            </w:pPr>
            <w:r w:rsidRPr="005C3BEB">
              <w:rPr>
                <w:rFonts w:eastAsia="Times New Roman" w:cs="Times New Roman"/>
                <w:b/>
                <w:bCs/>
                <w:color w:val="000000"/>
                <w:szCs w:val="24"/>
                <w:lang w:val="en-IN" w:eastAsia="en-IN"/>
              </w:rPr>
              <w:t>0.50</w:t>
            </w:r>
          </w:p>
        </w:tc>
      </w:tr>
      <w:tr w:rsidR="00ED5344" w:rsidRPr="005C3BEB" w14:paraId="1A816D14" w14:textId="77777777" w:rsidTr="00546691">
        <w:trPr>
          <w:trHeight w:val="312"/>
        </w:trPr>
        <w:tc>
          <w:tcPr>
            <w:tcW w:w="2051" w:type="pct"/>
            <w:tcBorders>
              <w:top w:val="nil"/>
              <w:left w:val="single" w:sz="4" w:space="0" w:color="auto"/>
              <w:bottom w:val="single" w:sz="4" w:space="0" w:color="auto"/>
              <w:right w:val="single" w:sz="4" w:space="0" w:color="auto"/>
            </w:tcBorders>
            <w:shd w:val="clear" w:color="auto" w:fill="auto"/>
            <w:noWrap/>
            <w:vAlign w:val="center"/>
            <w:hideMark/>
          </w:tcPr>
          <w:p w14:paraId="0C29E359"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Total Debt / Total Debt + Total Equity</w:t>
            </w:r>
          </w:p>
        </w:tc>
        <w:tc>
          <w:tcPr>
            <w:tcW w:w="590" w:type="pct"/>
            <w:tcBorders>
              <w:top w:val="nil"/>
              <w:left w:val="nil"/>
              <w:bottom w:val="single" w:sz="4" w:space="0" w:color="auto"/>
              <w:right w:val="single" w:sz="4" w:space="0" w:color="auto"/>
            </w:tcBorders>
            <w:shd w:val="clear" w:color="auto" w:fill="auto"/>
            <w:noWrap/>
            <w:vAlign w:val="center"/>
            <w:hideMark/>
          </w:tcPr>
          <w:p w14:paraId="3E037EDC"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 </w:t>
            </w:r>
          </w:p>
        </w:tc>
        <w:tc>
          <w:tcPr>
            <w:tcW w:w="590" w:type="pct"/>
            <w:tcBorders>
              <w:top w:val="nil"/>
              <w:left w:val="nil"/>
              <w:bottom w:val="single" w:sz="4" w:space="0" w:color="auto"/>
              <w:right w:val="single" w:sz="4" w:space="0" w:color="auto"/>
            </w:tcBorders>
            <w:shd w:val="clear" w:color="auto" w:fill="auto"/>
            <w:noWrap/>
            <w:vAlign w:val="center"/>
            <w:hideMark/>
          </w:tcPr>
          <w:p w14:paraId="27269A3C"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 </w:t>
            </w:r>
          </w:p>
        </w:tc>
        <w:tc>
          <w:tcPr>
            <w:tcW w:w="590" w:type="pct"/>
            <w:tcBorders>
              <w:top w:val="nil"/>
              <w:left w:val="nil"/>
              <w:bottom w:val="single" w:sz="4" w:space="0" w:color="auto"/>
              <w:right w:val="single" w:sz="4" w:space="0" w:color="auto"/>
            </w:tcBorders>
            <w:shd w:val="clear" w:color="auto" w:fill="auto"/>
            <w:noWrap/>
            <w:vAlign w:val="center"/>
            <w:hideMark/>
          </w:tcPr>
          <w:p w14:paraId="0EF7C13F"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 </w:t>
            </w:r>
          </w:p>
        </w:tc>
        <w:tc>
          <w:tcPr>
            <w:tcW w:w="590" w:type="pct"/>
            <w:tcBorders>
              <w:top w:val="nil"/>
              <w:left w:val="nil"/>
              <w:bottom w:val="single" w:sz="4" w:space="0" w:color="auto"/>
              <w:right w:val="single" w:sz="4" w:space="0" w:color="auto"/>
            </w:tcBorders>
            <w:shd w:val="clear" w:color="auto" w:fill="auto"/>
            <w:noWrap/>
            <w:vAlign w:val="center"/>
            <w:hideMark/>
          </w:tcPr>
          <w:p w14:paraId="51BD525F"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 </w:t>
            </w:r>
          </w:p>
        </w:tc>
        <w:tc>
          <w:tcPr>
            <w:tcW w:w="590" w:type="pct"/>
            <w:tcBorders>
              <w:top w:val="nil"/>
              <w:left w:val="nil"/>
              <w:bottom w:val="single" w:sz="4" w:space="0" w:color="auto"/>
              <w:right w:val="single" w:sz="4" w:space="0" w:color="auto"/>
            </w:tcBorders>
            <w:shd w:val="clear" w:color="auto" w:fill="auto"/>
            <w:noWrap/>
            <w:vAlign w:val="center"/>
            <w:hideMark/>
          </w:tcPr>
          <w:p w14:paraId="670DE119"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 </w:t>
            </w:r>
          </w:p>
        </w:tc>
      </w:tr>
    </w:tbl>
    <w:p w14:paraId="72424871" w14:textId="77777777" w:rsidR="00ED5344" w:rsidRPr="005C3BEB" w:rsidRDefault="00ED5344" w:rsidP="005C3BEB">
      <w:pPr>
        <w:spacing w:line="360" w:lineRule="auto"/>
        <w:jc w:val="both"/>
        <w:rPr>
          <w:rFonts w:cs="Times New Roman"/>
          <w:szCs w:val="24"/>
        </w:rPr>
      </w:pPr>
    </w:p>
    <w:p w14:paraId="73E20F62" w14:textId="77777777" w:rsidR="00ED5344" w:rsidRPr="005C3BEB" w:rsidRDefault="00ED5344" w:rsidP="005C3BEB">
      <w:pPr>
        <w:spacing w:line="360" w:lineRule="auto"/>
        <w:jc w:val="both"/>
        <w:rPr>
          <w:rFonts w:cs="Times New Roman"/>
          <w:b/>
          <w:bCs/>
          <w:i/>
          <w:iCs/>
          <w:szCs w:val="24"/>
          <w:u w:val="single"/>
        </w:rPr>
      </w:pPr>
      <w:r w:rsidRPr="005C3BEB">
        <w:rPr>
          <w:rFonts w:cs="Times New Roman"/>
          <w:b/>
          <w:bCs/>
          <w:i/>
          <w:iCs/>
          <w:szCs w:val="24"/>
          <w:u w:val="single"/>
        </w:rPr>
        <w:t>Comparison of Ratios of Royal Mail Plc to that of UPS and FedEx</w:t>
      </w:r>
    </w:p>
    <w:p w14:paraId="42751804" w14:textId="77777777" w:rsidR="00ED5344" w:rsidRPr="005C3BEB" w:rsidRDefault="00ED5344" w:rsidP="005C3BEB">
      <w:pPr>
        <w:spacing w:line="360" w:lineRule="auto"/>
        <w:jc w:val="both"/>
        <w:rPr>
          <w:rFonts w:cs="Times New Roman"/>
          <w:b/>
          <w:bCs/>
          <w:szCs w:val="24"/>
        </w:rPr>
      </w:pPr>
      <w:r w:rsidRPr="005C3BEB">
        <w:rPr>
          <w:rFonts w:cs="Times New Roman"/>
          <w:b/>
          <w:bCs/>
          <w:szCs w:val="24"/>
        </w:rPr>
        <w:t>Current Ratio:</w:t>
      </w:r>
    </w:p>
    <w:tbl>
      <w:tblPr>
        <w:tblW w:w="5000" w:type="pct"/>
        <w:tblLook w:val="04A0" w:firstRow="1" w:lastRow="0" w:firstColumn="1" w:lastColumn="0" w:noHBand="0" w:noVBand="1"/>
      </w:tblPr>
      <w:tblGrid>
        <w:gridCol w:w="4048"/>
        <w:gridCol w:w="1656"/>
        <w:gridCol w:w="1656"/>
        <w:gridCol w:w="1656"/>
      </w:tblGrid>
      <w:tr w:rsidR="00ED5344" w:rsidRPr="005C3BEB" w14:paraId="2C7E8A6E" w14:textId="77777777" w:rsidTr="00546691">
        <w:trPr>
          <w:trHeight w:val="312"/>
        </w:trPr>
        <w:tc>
          <w:tcPr>
            <w:tcW w:w="270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1271D35" w14:textId="77777777" w:rsidR="00ED5344" w:rsidRPr="005C3BEB" w:rsidRDefault="00ED5344" w:rsidP="005C3BEB">
            <w:pPr>
              <w:spacing w:after="0" w:line="360" w:lineRule="auto"/>
              <w:jc w:val="both"/>
              <w:rPr>
                <w:rFonts w:eastAsia="Times New Roman" w:cs="Times New Roman"/>
                <w:b/>
                <w:bCs/>
                <w:color w:val="000000"/>
                <w:szCs w:val="24"/>
                <w:lang w:val="en-IN" w:eastAsia="en-IN"/>
              </w:rPr>
            </w:pPr>
            <w:r w:rsidRPr="005C3BEB">
              <w:rPr>
                <w:rFonts w:eastAsia="Times New Roman" w:cs="Times New Roman"/>
                <w:b/>
                <w:bCs/>
                <w:color w:val="000000"/>
                <w:szCs w:val="24"/>
                <w:lang w:val="en-IN" w:eastAsia="en-IN"/>
              </w:rPr>
              <w:t>Current Ratio</w:t>
            </w:r>
          </w:p>
        </w:tc>
        <w:tc>
          <w:tcPr>
            <w:tcW w:w="766" w:type="pct"/>
            <w:tcBorders>
              <w:top w:val="single" w:sz="4" w:space="0" w:color="auto"/>
              <w:left w:val="nil"/>
              <w:bottom w:val="single" w:sz="4" w:space="0" w:color="auto"/>
              <w:right w:val="single" w:sz="4" w:space="0" w:color="auto"/>
            </w:tcBorders>
            <w:shd w:val="clear" w:color="auto" w:fill="auto"/>
            <w:noWrap/>
            <w:vAlign w:val="bottom"/>
            <w:hideMark/>
          </w:tcPr>
          <w:p w14:paraId="7498463A" w14:textId="77777777" w:rsidR="00ED5344" w:rsidRPr="005C3BEB" w:rsidRDefault="00ED5344" w:rsidP="005C3BEB">
            <w:pPr>
              <w:spacing w:after="0" w:line="360" w:lineRule="auto"/>
              <w:jc w:val="both"/>
              <w:rPr>
                <w:rFonts w:eastAsia="Times New Roman" w:cs="Times New Roman"/>
                <w:b/>
                <w:bCs/>
                <w:color w:val="000000"/>
                <w:szCs w:val="24"/>
                <w:lang w:val="en-IN" w:eastAsia="en-IN"/>
              </w:rPr>
            </w:pPr>
            <w:r w:rsidRPr="005C3BEB">
              <w:rPr>
                <w:rFonts w:eastAsia="Times New Roman" w:cs="Times New Roman"/>
                <w:b/>
                <w:bCs/>
                <w:color w:val="000000"/>
                <w:szCs w:val="24"/>
                <w:lang w:val="en-IN" w:eastAsia="en-IN"/>
              </w:rPr>
              <w:t>Royal Mail</w:t>
            </w:r>
          </w:p>
        </w:tc>
        <w:tc>
          <w:tcPr>
            <w:tcW w:w="766" w:type="pct"/>
            <w:tcBorders>
              <w:top w:val="single" w:sz="4" w:space="0" w:color="auto"/>
              <w:left w:val="nil"/>
              <w:bottom w:val="single" w:sz="4" w:space="0" w:color="auto"/>
              <w:right w:val="single" w:sz="4" w:space="0" w:color="auto"/>
            </w:tcBorders>
            <w:shd w:val="clear" w:color="auto" w:fill="auto"/>
            <w:noWrap/>
            <w:vAlign w:val="bottom"/>
            <w:hideMark/>
          </w:tcPr>
          <w:p w14:paraId="10CB2652" w14:textId="77777777" w:rsidR="00ED5344" w:rsidRPr="005C3BEB" w:rsidRDefault="00ED5344" w:rsidP="005C3BEB">
            <w:pPr>
              <w:spacing w:after="0" w:line="360" w:lineRule="auto"/>
              <w:jc w:val="both"/>
              <w:rPr>
                <w:rFonts w:eastAsia="Times New Roman" w:cs="Times New Roman"/>
                <w:b/>
                <w:bCs/>
                <w:color w:val="000000"/>
                <w:szCs w:val="24"/>
                <w:lang w:val="en-IN" w:eastAsia="en-IN"/>
              </w:rPr>
            </w:pPr>
            <w:r w:rsidRPr="005C3BEB">
              <w:rPr>
                <w:rFonts w:eastAsia="Times New Roman" w:cs="Times New Roman"/>
                <w:b/>
                <w:bCs/>
                <w:color w:val="000000"/>
                <w:szCs w:val="24"/>
                <w:lang w:val="en-IN" w:eastAsia="en-IN"/>
              </w:rPr>
              <w:t>UPS</w:t>
            </w:r>
          </w:p>
        </w:tc>
        <w:tc>
          <w:tcPr>
            <w:tcW w:w="766" w:type="pct"/>
            <w:tcBorders>
              <w:top w:val="single" w:sz="4" w:space="0" w:color="auto"/>
              <w:left w:val="nil"/>
              <w:bottom w:val="single" w:sz="4" w:space="0" w:color="auto"/>
              <w:right w:val="single" w:sz="4" w:space="0" w:color="auto"/>
            </w:tcBorders>
            <w:shd w:val="clear" w:color="auto" w:fill="auto"/>
            <w:noWrap/>
            <w:vAlign w:val="bottom"/>
            <w:hideMark/>
          </w:tcPr>
          <w:p w14:paraId="5C89C605" w14:textId="77777777" w:rsidR="00ED5344" w:rsidRPr="005C3BEB" w:rsidRDefault="00ED5344" w:rsidP="005C3BEB">
            <w:pPr>
              <w:spacing w:after="0" w:line="360" w:lineRule="auto"/>
              <w:jc w:val="both"/>
              <w:rPr>
                <w:rFonts w:eastAsia="Times New Roman" w:cs="Times New Roman"/>
                <w:b/>
                <w:bCs/>
                <w:color w:val="000000"/>
                <w:szCs w:val="24"/>
                <w:lang w:val="en-IN" w:eastAsia="en-IN"/>
              </w:rPr>
            </w:pPr>
            <w:r w:rsidRPr="005C3BEB">
              <w:rPr>
                <w:rFonts w:eastAsia="Times New Roman" w:cs="Times New Roman"/>
                <w:b/>
                <w:bCs/>
                <w:color w:val="000000"/>
                <w:szCs w:val="24"/>
                <w:lang w:val="en-IN" w:eastAsia="en-IN"/>
              </w:rPr>
              <w:t>FedEx</w:t>
            </w:r>
          </w:p>
        </w:tc>
      </w:tr>
      <w:tr w:rsidR="00ED5344" w:rsidRPr="005C3BEB" w14:paraId="4D169713" w14:textId="77777777" w:rsidTr="00546691">
        <w:trPr>
          <w:trHeight w:val="312"/>
        </w:trPr>
        <w:tc>
          <w:tcPr>
            <w:tcW w:w="2703" w:type="pct"/>
            <w:tcBorders>
              <w:top w:val="nil"/>
              <w:left w:val="single" w:sz="4" w:space="0" w:color="auto"/>
              <w:bottom w:val="single" w:sz="4" w:space="0" w:color="auto"/>
              <w:right w:val="single" w:sz="4" w:space="0" w:color="auto"/>
            </w:tcBorders>
            <w:shd w:val="clear" w:color="auto" w:fill="auto"/>
            <w:noWrap/>
            <w:vAlign w:val="center"/>
            <w:hideMark/>
          </w:tcPr>
          <w:p w14:paraId="0D9164EC"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Particulars</w:t>
            </w:r>
          </w:p>
        </w:tc>
        <w:tc>
          <w:tcPr>
            <w:tcW w:w="766" w:type="pct"/>
            <w:tcBorders>
              <w:top w:val="nil"/>
              <w:left w:val="nil"/>
              <w:bottom w:val="single" w:sz="4" w:space="0" w:color="auto"/>
              <w:right w:val="single" w:sz="4" w:space="0" w:color="auto"/>
            </w:tcBorders>
            <w:shd w:val="clear" w:color="auto" w:fill="auto"/>
            <w:noWrap/>
            <w:vAlign w:val="center"/>
            <w:hideMark/>
          </w:tcPr>
          <w:p w14:paraId="1DD965BD" w14:textId="77777777" w:rsidR="00ED5344" w:rsidRPr="005C3BEB" w:rsidRDefault="00ED5344" w:rsidP="005C3BEB">
            <w:pPr>
              <w:spacing w:after="0" w:line="360" w:lineRule="auto"/>
              <w:jc w:val="both"/>
              <w:rPr>
                <w:rFonts w:eastAsia="Times New Roman" w:cs="Times New Roman"/>
                <w:b/>
                <w:bCs/>
                <w:color w:val="000000"/>
                <w:szCs w:val="24"/>
                <w:lang w:val="en-IN" w:eastAsia="en-IN"/>
              </w:rPr>
            </w:pPr>
            <w:r w:rsidRPr="005C3BEB">
              <w:rPr>
                <w:rFonts w:eastAsia="Times New Roman" w:cs="Times New Roman"/>
                <w:b/>
                <w:bCs/>
                <w:color w:val="000000"/>
                <w:szCs w:val="24"/>
                <w:lang w:val="en-IN" w:eastAsia="en-IN"/>
              </w:rPr>
              <w:t>2022 (in £ m)</w:t>
            </w:r>
          </w:p>
        </w:tc>
        <w:tc>
          <w:tcPr>
            <w:tcW w:w="766" w:type="pct"/>
            <w:tcBorders>
              <w:top w:val="nil"/>
              <w:left w:val="nil"/>
              <w:bottom w:val="single" w:sz="4" w:space="0" w:color="auto"/>
              <w:right w:val="single" w:sz="4" w:space="0" w:color="auto"/>
            </w:tcBorders>
            <w:shd w:val="clear" w:color="auto" w:fill="auto"/>
            <w:noWrap/>
            <w:vAlign w:val="center"/>
            <w:hideMark/>
          </w:tcPr>
          <w:p w14:paraId="3820B962" w14:textId="77777777" w:rsidR="00ED5344" w:rsidRPr="005C3BEB" w:rsidRDefault="00ED5344" w:rsidP="005C3BEB">
            <w:pPr>
              <w:spacing w:after="0" w:line="360" w:lineRule="auto"/>
              <w:jc w:val="both"/>
              <w:rPr>
                <w:rFonts w:eastAsia="Times New Roman" w:cs="Times New Roman"/>
                <w:b/>
                <w:bCs/>
                <w:color w:val="000000"/>
                <w:szCs w:val="24"/>
                <w:lang w:val="en-IN" w:eastAsia="en-IN"/>
              </w:rPr>
            </w:pPr>
            <w:r w:rsidRPr="005C3BEB">
              <w:rPr>
                <w:rFonts w:eastAsia="Times New Roman" w:cs="Times New Roman"/>
                <w:b/>
                <w:bCs/>
                <w:color w:val="000000"/>
                <w:szCs w:val="24"/>
                <w:lang w:val="en-IN" w:eastAsia="en-IN"/>
              </w:rPr>
              <w:t>2022 (in £ m)</w:t>
            </w:r>
          </w:p>
        </w:tc>
        <w:tc>
          <w:tcPr>
            <w:tcW w:w="766" w:type="pct"/>
            <w:tcBorders>
              <w:top w:val="nil"/>
              <w:left w:val="nil"/>
              <w:bottom w:val="single" w:sz="4" w:space="0" w:color="auto"/>
              <w:right w:val="single" w:sz="4" w:space="0" w:color="auto"/>
            </w:tcBorders>
            <w:shd w:val="clear" w:color="auto" w:fill="auto"/>
            <w:noWrap/>
            <w:vAlign w:val="center"/>
            <w:hideMark/>
          </w:tcPr>
          <w:p w14:paraId="5A74C781" w14:textId="77777777" w:rsidR="00ED5344" w:rsidRPr="005C3BEB" w:rsidRDefault="00ED5344" w:rsidP="005C3BEB">
            <w:pPr>
              <w:spacing w:after="0" w:line="360" w:lineRule="auto"/>
              <w:jc w:val="both"/>
              <w:rPr>
                <w:rFonts w:eastAsia="Times New Roman" w:cs="Times New Roman"/>
                <w:b/>
                <w:bCs/>
                <w:color w:val="000000"/>
                <w:szCs w:val="24"/>
                <w:lang w:val="en-IN" w:eastAsia="en-IN"/>
              </w:rPr>
            </w:pPr>
            <w:r w:rsidRPr="005C3BEB">
              <w:rPr>
                <w:rFonts w:eastAsia="Times New Roman" w:cs="Times New Roman"/>
                <w:b/>
                <w:bCs/>
                <w:color w:val="000000"/>
                <w:szCs w:val="24"/>
                <w:lang w:val="en-IN" w:eastAsia="en-IN"/>
              </w:rPr>
              <w:t>2022 (in £ m)</w:t>
            </w:r>
          </w:p>
        </w:tc>
      </w:tr>
      <w:tr w:rsidR="00ED5344" w:rsidRPr="005C3BEB" w14:paraId="73BFADDC" w14:textId="77777777" w:rsidTr="00546691">
        <w:trPr>
          <w:trHeight w:val="312"/>
        </w:trPr>
        <w:tc>
          <w:tcPr>
            <w:tcW w:w="2703" w:type="pct"/>
            <w:tcBorders>
              <w:top w:val="nil"/>
              <w:left w:val="single" w:sz="4" w:space="0" w:color="auto"/>
              <w:bottom w:val="single" w:sz="4" w:space="0" w:color="auto"/>
              <w:right w:val="single" w:sz="4" w:space="0" w:color="auto"/>
            </w:tcBorders>
            <w:shd w:val="clear" w:color="auto" w:fill="auto"/>
            <w:noWrap/>
            <w:vAlign w:val="center"/>
            <w:hideMark/>
          </w:tcPr>
          <w:p w14:paraId="76AE8D5D"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 </w:t>
            </w:r>
          </w:p>
        </w:tc>
        <w:tc>
          <w:tcPr>
            <w:tcW w:w="766" w:type="pct"/>
            <w:tcBorders>
              <w:top w:val="nil"/>
              <w:left w:val="nil"/>
              <w:bottom w:val="single" w:sz="4" w:space="0" w:color="auto"/>
              <w:right w:val="single" w:sz="4" w:space="0" w:color="auto"/>
            </w:tcBorders>
            <w:shd w:val="clear" w:color="auto" w:fill="auto"/>
            <w:noWrap/>
            <w:vAlign w:val="center"/>
            <w:hideMark/>
          </w:tcPr>
          <w:p w14:paraId="21722458"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 </w:t>
            </w:r>
          </w:p>
        </w:tc>
        <w:tc>
          <w:tcPr>
            <w:tcW w:w="766" w:type="pct"/>
            <w:tcBorders>
              <w:top w:val="nil"/>
              <w:left w:val="nil"/>
              <w:bottom w:val="single" w:sz="4" w:space="0" w:color="auto"/>
              <w:right w:val="single" w:sz="4" w:space="0" w:color="auto"/>
            </w:tcBorders>
            <w:shd w:val="clear" w:color="auto" w:fill="auto"/>
            <w:noWrap/>
            <w:vAlign w:val="center"/>
            <w:hideMark/>
          </w:tcPr>
          <w:p w14:paraId="32E90BAD"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 </w:t>
            </w:r>
          </w:p>
        </w:tc>
        <w:tc>
          <w:tcPr>
            <w:tcW w:w="766" w:type="pct"/>
            <w:tcBorders>
              <w:top w:val="nil"/>
              <w:left w:val="nil"/>
              <w:bottom w:val="single" w:sz="4" w:space="0" w:color="auto"/>
              <w:right w:val="single" w:sz="4" w:space="0" w:color="auto"/>
            </w:tcBorders>
            <w:shd w:val="clear" w:color="auto" w:fill="auto"/>
            <w:noWrap/>
            <w:vAlign w:val="center"/>
            <w:hideMark/>
          </w:tcPr>
          <w:p w14:paraId="3171BF2B"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 </w:t>
            </w:r>
          </w:p>
        </w:tc>
      </w:tr>
      <w:tr w:rsidR="00ED5344" w:rsidRPr="005C3BEB" w14:paraId="1789A967" w14:textId="77777777" w:rsidTr="00546691">
        <w:trPr>
          <w:trHeight w:val="312"/>
        </w:trPr>
        <w:tc>
          <w:tcPr>
            <w:tcW w:w="2703" w:type="pct"/>
            <w:tcBorders>
              <w:top w:val="nil"/>
              <w:left w:val="single" w:sz="4" w:space="0" w:color="auto"/>
              <w:bottom w:val="single" w:sz="4" w:space="0" w:color="auto"/>
              <w:right w:val="single" w:sz="4" w:space="0" w:color="auto"/>
            </w:tcBorders>
            <w:shd w:val="clear" w:color="auto" w:fill="auto"/>
            <w:noWrap/>
            <w:vAlign w:val="center"/>
            <w:hideMark/>
          </w:tcPr>
          <w:p w14:paraId="1B7DB794"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Current Assets</w:t>
            </w:r>
          </w:p>
        </w:tc>
        <w:tc>
          <w:tcPr>
            <w:tcW w:w="766" w:type="pct"/>
            <w:tcBorders>
              <w:top w:val="nil"/>
              <w:left w:val="nil"/>
              <w:bottom w:val="single" w:sz="4" w:space="0" w:color="auto"/>
              <w:right w:val="single" w:sz="4" w:space="0" w:color="auto"/>
            </w:tcBorders>
            <w:shd w:val="clear" w:color="auto" w:fill="auto"/>
            <w:noWrap/>
            <w:vAlign w:val="bottom"/>
            <w:hideMark/>
          </w:tcPr>
          <w:p w14:paraId="40F8568C"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 xml:space="preserve"> £            3,015 </w:t>
            </w:r>
          </w:p>
        </w:tc>
        <w:tc>
          <w:tcPr>
            <w:tcW w:w="766" w:type="pct"/>
            <w:tcBorders>
              <w:top w:val="nil"/>
              <w:left w:val="nil"/>
              <w:bottom w:val="single" w:sz="4" w:space="0" w:color="auto"/>
              <w:right w:val="single" w:sz="4" w:space="0" w:color="auto"/>
            </w:tcBorders>
            <w:shd w:val="clear" w:color="auto" w:fill="auto"/>
            <w:noWrap/>
            <w:vAlign w:val="bottom"/>
            <w:hideMark/>
          </w:tcPr>
          <w:p w14:paraId="121D1207"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 xml:space="preserve"> £          17,164 </w:t>
            </w:r>
          </w:p>
        </w:tc>
        <w:tc>
          <w:tcPr>
            <w:tcW w:w="766" w:type="pct"/>
            <w:tcBorders>
              <w:top w:val="nil"/>
              <w:left w:val="nil"/>
              <w:bottom w:val="single" w:sz="4" w:space="0" w:color="auto"/>
              <w:right w:val="single" w:sz="4" w:space="0" w:color="auto"/>
            </w:tcBorders>
            <w:shd w:val="clear" w:color="auto" w:fill="auto"/>
            <w:noWrap/>
            <w:vAlign w:val="bottom"/>
            <w:hideMark/>
          </w:tcPr>
          <w:p w14:paraId="00494FDE"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 xml:space="preserve"> £          15,734 </w:t>
            </w:r>
          </w:p>
        </w:tc>
      </w:tr>
      <w:tr w:rsidR="00ED5344" w:rsidRPr="005C3BEB" w14:paraId="0874A9A2" w14:textId="77777777" w:rsidTr="00546691">
        <w:trPr>
          <w:trHeight w:val="312"/>
        </w:trPr>
        <w:tc>
          <w:tcPr>
            <w:tcW w:w="2703" w:type="pct"/>
            <w:tcBorders>
              <w:top w:val="nil"/>
              <w:left w:val="single" w:sz="4" w:space="0" w:color="auto"/>
              <w:bottom w:val="single" w:sz="4" w:space="0" w:color="auto"/>
              <w:right w:val="single" w:sz="4" w:space="0" w:color="auto"/>
            </w:tcBorders>
            <w:shd w:val="clear" w:color="auto" w:fill="auto"/>
            <w:noWrap/>
            <w:vAlign w:val="center"/>
            <w:hideMark/>
          </w:tcPr>
          <w:p w14:paraId="17349F47"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Current Liabilities</w:t>
            </w:r>
          </w:p>
        </w:tc>
        <w:tc>
          <w:tcPr>
            <w:tcW w:w="766" w:type="pct"/>
            <w:tcBorders>
              <w:top w:val="nil"/>
              <w:left w:val="nil"/>
              <w:bottom w:val="single" w:sz="4" w:space="0" w:color="auto"/>
              <w:right w:val="single" w:sz="4" w:space="0" w:color="auto"/>
            </w:tcBorders>
            <w:shd w:val="clear" w:color="auto" w:fill="auto"/>
            <w:noWrap/>
            <w:vAlign w:val="bottom"/>
            <w:hideMark/>
          </w:tcPr>
          <w:p w14:paraId="58CF13E1"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 xml:space="preserve"> £            2,739 </w:t>
            </w:r>
          </w:p>
        </w:tc>
        <w:tc>
          <w:tcPr>
            <w:tcW w:w="766" w:type="pct"/>
            <w:tcBorders>
              <w:top w:val="nil"/>
              <w:left w:val="nil"/>
              <w:bottom w:val="single" w:sz="4" w:space="0" w:color="auto"/>
              <w:right w:val="single" w:sz="4" w:space="0" w:color="auto"/>
            </w:tcBorders>
            <w:shd w:val="clear" w:color="auto" w:fill="auto"/>
            <w:noWrap/>
            <w:vAlign w:val="bottom"/>
            <w:hideMark/>
          </w:tcPr>
          <w:p w14:paraId="1B3A8DC4"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 xml:space="preserve"> £          14,015 </w:t>
            </w:r>
          </w:p>
        </w:tc>
        <w:tc>
          <w:tcPr>
            <w:tcW w:w="766" w:type="pct"/>
            <w:tcBorders>
              <w:top w:val="nil"/>
              <w:left w:val="nil"/>
              <w:bottom w:val="single" w:sz="4" w:space="0" w:color="auto"/>
              <w:right w:val="single" w:sz="4" w:space="0" w:color="auto"/>
            </w:tcBorders>
            <w:shd w:val="clear" w:color="auto" w:fill="auto"/>
            <w:noWrap/>
            <w:vAlign w:val="bottom"/>
            <w:hideMark/>
          </w:tcPr>
          <w:p w14:paraId="305D5AE4"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 xml:space="preserve"> £          11,027 </w:t>
            </w:r>
          </w:p>
        </w:tc>
      </w:tr>
      <w:tr w:rsidR="00ED5344" w:rsidRPr="005C3BEB" w14:paraId="338D957C" w14:textId="77777777" w:rsidTr="00546691">
        <w:trPr>
          <w:trHeight w:val="312"/>
        </w:trPr>
        <w:tc>
          <w:tcPr>
            <w:tcW w:w="2703" w:type="pct"/>
            <w:tcBorders>
              <w:top w:val="nil"/>
              <w:left w:val="single" w:sz="4" w:space="0" w:color="auto"/>
              <w:bottom w:val="single" w:sz="4" w:space="0" w:color="auto"/>
              <w:right w:val="single" w:sz="4" w:space="0" w:color="auto"/>
            </w:tcBorders>
            <w:shd w:val="clear" w:color="auto" w:fill="auto"/>
            <w:noWrap/>
            <w:vAlign w:val="center"/>
            <w:hideMark/>
          </w:tcPr>
          <w:p w14:paraId="7E9C664B"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 </w:t>
            </w:r>
          </w:p>
        </w:tc>
        <w:tc>
          <w:tcPr>
            <w:tcW w:w="766" w:type="pct"/>
            <w:tcBorders>
              <w:top w:val="nil"/>
              <w:left w:val="nil"/>
              <w:bottom w:val="single" w:sz="4" w:space="0" w:color="auto"/>
              <w:right w:val="single" w:sz="4" w:space="0" w:color="auto"/>
            </w:tcBorders>
            <w:shd w:val="clear" w:color="auto" w:fill="auto"/>
            <w:noWrap/>
            <w:vAlign w:val="center"/>
            <w:hideMark/>
          </w:tcPr>
          <w:p w14:paraId="510D3F29"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 </w:t>
            </w:r>
          </w:p>
        </w:tc>
        <w:tc>
          <w:tcPr>
            <w:tcW w:w="766" w:type="pct"/>
            <w:tcBorders>
              <w:top w:val="nil"/>
              <w:left w:val="nil"/>
              <w:bottom w:val="single" w:sz="4" w:space="0" w:color="auto"/>
              <w:right w:val="single" w:sz="4" w:space="0" w:color="auto"/>
            </w:tcBorders>
            <w:shd w:val="clear" w:color="auto" w:fill="auto"/>
            <w:noWrap/>
            <w:vAlign w:val="center"/>
            <w:hideMark/>
          </w:tcPr>
          <w:p w14:paraId="043CE1BD"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 </w:t>
            </w:r>
          </w:p>
        </w:tc>
        <w:tc>
          <w:tcPr>
            <w:tcW w:w="766" w:type="pct"/>
            <w:tcBorders>
              <w:top w:val="nil"/>
              <w:left w:val="nil"/>
              <w:bottom w:val="single" w:sz="4" w:space="0" w:color="auto"/>
              <w:right w:val="single" w:sz="4" w:space="0" w:color="auto"/>
            </w:tcBorders>
            <w:shd w:val="clear" w:color="auto" w:fill="auto"/>
            <w:noWrap/>
            <w:vAlign w:val="center"/>
            <w:hideMark/>
          </w:tcPr>
          <w:p w14:paraId="2EACBAF8"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 </w:t>
            </w:r>
          </w:p>
        </w:tc>
      </w:tr>
      <w:tr w:rsidR="00ED5344" w:rsidRPr="005C3BEB" w14:paraId="7697B5D3" w14:textId="77777777" w:rsidTr="00546691">
        <w:trPr>
          <w:trHeight w:val="312"/>
        </w:trPr>
        <w:tc>
          <w:tcPr>
            <w:tcW w:w="2703" w:type="pct"/>
            <w:tcBorders>
              <w:top w:val="nil"/>
              <w:left w:val="single" w:sz="4" w:space="0" w:color="auto"/>
              <w:bottom w:val="single" w:sz="4" w:space="0" w:color="auto"/>
              <w:right w:val="single" w:sz="4" w:space="0" w:color="auto"/>
            </w:tcBorders>
            <w:shd w:val="clear" w:color="auto" w:fill="auto"/>
            <w:noWrap/>
            <w:vAlign w:val="center"/>
            <w:hideMark/>
          </w:tcPr>
          <w:p w14:paraId="59AC8445" w14:textId="77777777" w:rsidR="00ED5344" w:rsidRPr="005C3BEB" w:rsidRDefault="00ED5344" w:rsidP="005C3BEB">
            <w:pPr>
              <w:spacing w:after="0" w:line="360" w:lineRule="auto"/>
              <w:jc w:val="both"/>
              <w:rPr>
                <w:rFonts w:eastAsia="Times New Roman" w:cs="Times New Roman"/>
                <w:b/>
                <w:bCs/>
                <w:color w:val="000000"/>
                <w:szCs w:val="24"/>
                <w:lang w:val="en-IN" w:eastAsia="en-IN"/>
              </w:rPr>
            </w:pPr>
            <w:r w:rsidRPr="005C3BEB">
              <w:rPr>
                <w:rFonts w:eastAsia="Times New Roman" w:cs="Times New Roman"/>
                <w:b/>
                <w:bCs/>
                <w:color w:val="000000"/>
                <w:szCs w:val="24"/>
                <w:lang w:val="en-IN" w:eastAsia="en-IN"/>
              </w:rPr>
              <w:t>Current Ratio</w:t>
            </w:r>
          </w:p>
        </w:tc>
        <w:tc>
          <w:tcPr>
            <w:tcW w:w="766" w:type="pct"/>
            <w:tcBorders>
              <w:top w:val="nil"/>
              <w:left w:val="nil"/>
              <w:bottom w:val="single" w:sz="4" w:space="0" w:color="auto"/>
              <w:right w:val="single" w:sz="4" w:space="0" w:color="auto"/>
            </w:tcBorders>
            <w:shd w:val="clear" w:color="auto" w:fill="auto"/>
            <w:noWrap/>
            <w:vAlign w:val="center"/>
            <w:hideMark/>
          </w:tcPr>
          <w:p w14:paraId="4A5B3D2F" w14:textId="77777777" w:rsidR="00ED5344" w:rsidRPr="005C3BEB" w:rsidRDefault="00ED5344" w:rsidP="005C3BEB">
            <w:pPr>
              <w:spacing w:after="0" w:line="360" w:lineRule="auto"/>
              <w:jc w:val="both"/>
              <w:rPr>
                <w:rFonts w:eastAsia="Times New Roman" w:cs="Times New Roman"/>
                <w:b/>
                <w:bCs/>
                <w:color w:val="000000"/>
                <w:szCs w:val="24"/>
                <w:lang w:val="en-IN" w:eastAsia="en-IN"/>
              </w:rPr>
            </w:pPr>
            <w:r w:rsidRPr="005C3BEB">
              <w:rPr>
                <w:rFonts w:eastAsia="Times New Roman" w:cs="Times New Roman"/>
                <w:b/>
                <w:bCs/>
                <w:color w:val="000000"/>
                <w:szCs w:val="24"/>
                <w:lang w:val="en-IN" w:eastAsia="en-IN"/>
              </w:rPr>
              <w:t>1.10</w:t>
            </w:r>
          </w:p>
        </w:tc>
        <w:tc>
          <w:tcPr>
            <w:tcW w:w="766" w:type="pct"/>
            <w:tcBorders>
              <w:top w:val="nil"/>
              <w:left w:val="nil"/>
              <w:bottom w:val="single" w:sz="4" w:space="0" w:color="auto"/>
              <w:right w:val="single" w:sz="4" w:space="0" w:color="auto"/>
            </w:tcBorders>
            <w:shd w:val="clear" w:color="auto" w:fill="auto"/>
            <w:noWrap/>
            <w:vAlign w:val="center"/>
            <w:hideMark/>
          </w:tcPr>
          <w:p w14:paraId="2947000E" w14:textId="77777777" w:rsidR="00ED5344" w:rsidRPr="005C3BEB" w:rsidRDefault="00ED5344" w:rsidP="005C3BEB">
            <w:pPr>
              <w:spacing w:after="0" w:line="360" w:lineRule="auto"/>
              <w:jc w:val="both"/>
              <w:rPr>
                <w:rFonts w:eastAsia="Times New Roman" w:cs="Times New Roman"/>
                <w:b/>
                <w:bCs/>
                <w:color w:val="000000"/>
                <w:szCs w:val="24"/>
                <w:lang w:val="en-IN" w:eastAsia="en-IN"/>
              </w:rPr>
            </w:pPr>
            <w:r w:rsidRPr="005C3BEB">
              <w:rPr>
                <w:rFonts w:eastAsia="Times New Roman" w:cs="Times New Roman"/>
                <w:b/>
                <w:bCs/>
                <w:color w:val="000000"/>
                <w:szCs w:val="24"/>
                <w:lang w:val="en-IN" w:eastAsia="en-IN"/>
              </w:rPr>
              <w:t>1.22</w:t>
            </w:r>
          </w:p>
        </w:tc>
        <w:tc>
          <w:tcPr>
            <w:tcW w:w="766" w:type="pct"/>
            <w:tcBorders>
              <w:top w:val="nil"/>
              <w:left w:val="nil"/>
              <w:bottom w:val="single" w:sz="4" w:space="0" w:color="auto"/>
              <w:right w:val="single" w:sz="4" w:space="0" w:color="auto"/>
            </w:tcBorders>
            <w:shd w:val="clear" w:color="auto" w:fill="auto"/>
            <w:noWrap/>
            <w:vAlign w:val="center"/>
            <w:hideMark/>
          </w:tcPr>
          <w:p w14:paraId="23D9D39B" w14:textId="77777777" w:rsidR="00ED5344" w:rsidRPr="005C3BEB" w:rsidRDefault="00ED5344" w:rsidP="005C3BEB">
            <w:pPr>
              <w:spacing w:after="0" w:line="360" w:lineRule="auto"/>
              <w:jc w:val="both"/>
              <w:rPr>
                <w:rFonts w:eastAsia="Times New Roman" w:cs="Times New Roman"/>
                <w:b/>
                <w:bCs/>
                <w:color w:val="000000"/>
                <w:szCs w:val="24"/>
                <w:lang w:val="en-IN" w:eastAsia="en-IN"/>
              </w:rPr>
            </w:pPr>
            <w:r w:rsidRPr="005C3BEB">
              <w:rPr>
                <w:rFonts w:eastAsia="Times New Roman" w:cs="Times New Roman"/>
                <w:b/>
                <w:bCs/>
                <w:color w:val="000000"/>
                <w:szCs w:val="24"/>
                <w:lang w:val="en-IN" w:eastAsia="en-IN"/>
              </w:rPr>
              <w:t>1.43</w:t>
            </w:r>
          </w:p>
        </w:tc>
      </w:tr>
      <w:tr w:rsidR="00ED5344" w:rsidRPr="005C3BEB" w14:paraId="5E07E107" w14:textId="77777777" w:rsidTr="00546691">
        <w:trPr>
          <w:trHeight w:val="312"/>
        </w:trPr>
        <w:tc>
          <w:tcPr>
            <w:tcW w:w="2703" w:type="pct"/>
            <w:tcBorders>
              <w:top w:val="nil"/>
              <w:left w:val="single" w:sz="4" w:space="0" w:color="auto"/>
              <w:bottom w:val="single" w:sz="4" w:space="0" w:color="auto"/>
              <w:right w:val="single" w:sz="4" w:space="0" w:color="auto"/>
            </w:tcBorders>
            <w:shd w:val="clear" w:color="auto" w:fill="auto"/>
            <w:noWrap/>
            <w:vAlign w:val="center"/>
            <w:hideMark/>
          </w:tcPr>
          <w:p w14:paraId="35275BA9"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(Current Assets / Current Liabilities)</w:t>
            </w:r>
          </w:p>
        </w:tc>
        <w:tc>
          <w:tcPr>
            <w:tcW w:w="766" w:type="pct"/>
            <w:tcBorders>
              <w:top w:val="nil"/>
              <w:left w:val="nil"/>
              <w:bottom w:val="single" w:sz="4" w:space="0" w:color="auto"/>
              <w:right w:val="single" w:sz="4" w:space="0" w:color="auto"/>
            </w:tcBorders>
            <w:shd w:val="clear" w:color="auto" w:fill="auto"/>
            <w:noWrap/>
            <w:vAlign w:val="center"/>
            <w:hideMark/>
          </w:tcPr>
          <w:p w14:paraId="41F42D8C"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 </w:t>
            </w:r>
          </w:p>
        </w:tc>
        <w:tc>
          <w:tcPr>
            <w:tcW w:w="766" w:type="pct"/>
            <w:tcBorders>
              <w:top w:val="nil"/>
              <w:left w:val="nil"/>
              <w:bottom w:val="single" w:sz="4" w:space="0" w:color="auto"/>
              <w:right w:val="single" w:sz="4" w:space="0" w:color="auto"/>
            </w:tcBorders>
            <w:shd w:val="clear" w:color="auto" w:fill="auto"/>
            <w:noWrap/>
            <w:vAlign w:val="center"/>
            <w:hideMark/>
          </w:tcPr>
          <w:p w14:paraId="4F8434D1"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 </w:t>
            </w:r>
          </w:p>
        </w:tc>
        <w:tc>
          <w:tcPr>
            <w:tcW w:w="766" w:type="pct"/>
            <w:tcBorders>
              <w:top w:val="nil"/>
              <w:left w:val="nil"/>
              <w:bottom w:val="single" w:sz="4" w:space="0" w:color="auto"/>
              <w:right w:val="single" w:sz="4" w:space="0" w:color="auto"/>
            </w:tcBorders>
            <w:shd w:val="clear" w:color="auto" w:fill="auto"/>
            <w:noWrap/>
            <w:vAlign w:val="center"/>
            <w:hideMark/>
          </w:tcPr>
          <w:p w14:paraId="1DEB116A"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 </w:t>
            </w:r>
          </w:p>
        </w:tc>
      </w:tr>
    </w:tbl>
    <w:p w14:paraId="6F50BB5B" w14:textId="77777777" w:rsidR="00ED5344" w:rsidRPr="005C3BEB" w:rsidRDefault="00ED5344" w:rsidP="005C3BEB">
      <w:pPr>
        <w:spacing w:line="360" w:lineRule="auto"/>
        <w:jc w:val="both"/>
        <w:rPr>
          <w:rFonts w:cs="Times New Roman"/>
          <w:b/>
          <w:bCs/>
          <w:szCs w:val="24"/>
        </w:rPr>
      </w:pPr>
    </w:p>
    <w:p w14:paraId="07308EE5" w14:textId="77777777" w:rsidR="00ED5344" w:rsidRPr="005C3BEB" w:rsidRDefault="00ED5344" w:rsidP="005C3BEB">
      <w:pPr>
        <w:spacing w:line="360" w:lineRule="auto"/>
        <w:jc w:val="both"/>
        <w:rPr>
          <w:rFonts w:cs="Times New Roman"/>
          <w:szCs w:val="24"/>
        </w:rPr>
      </w:pPr>
      <w:r w:rsidRPr="005C3BEB">
        <w:rPr>
          <w:rFonts w:cs="Times New Roman"/>
          <w:szCs w:val="24"/>
        </w:rPr>
        <w:t>Current ratio of Royal Mail is 1.1 comparing the same with UPS and FedEx these are 1.22 and 1.43. Both company’s current ratio is better than Royal Mail. Comparing them, FedEx and UPS are more liquid and stable to meet short term requirements than Royal Mail. Royal mail should focus on improving current ratio which can be done through various ways such as they can reduce short term debts which eventually reduces the interest payment. Company should start focusing on better and enhanced inventory management and improves other aspects of it. Accounts receivables should be collected more quickly by negotiating the payment terms. Royal mail is a delivery company which makes it important to focus on delivery part of the business. Ideal current ratio is generally considered as 2:1 which means that company should possess two times the current assets of current liabilities they are obliged to repay.</w:t>
      </w:r>
    </w:p>
    <w:p w14:paraId="6CE68BFB" w14:textId="77777777" w:rsidR="00ED5344" w:rsidRPr="005C3BEB" w:rsidRDefault="00ED5344" w:rsidP="005C3BEB">
      <w:pPr>
        <w:spacing w:line="360" w:lineRule="auto"/>
        <w:jc w:val="both"/>
        <w:rPr>
          <w:rFonts w:cs="Times New Roman"/>
          <w:b/>
          <w:bCs/>
          <w:szCs w:val="24"/>
        </w:rPr>
      </w:pPr>
      <w:r w:rsidRPr="005C3BEB">
        <w:rPr>
          <w:rFonts w:cs="Times New Roman"/>
          <w:b/>
          <w:bCs/>
          <w:szCs w:val="24"/>
        </w:rPr>
        <w:t>Quick Ratio:</w:t>
      </w:r>
    </w:p>
    <w:p w14:paraId="6394FD24" w14:textId="77777777" w:rsidR="00ED5344" w:rsidRPr="005C3BEB" w:rsidRDefault="00ED5344" w:rsidP="005C3BEB">
      <w:pPr>
        <w:spacing w:line="360" w:lineRule="auto"/>
        <w:jc w:val="both"/>
        <w:rPr>
          <w:rFonts w:cs="Times New Roman"/>
          <w:szCs w:val="24"/>
        </w:rPr>
      </w:pPr>
      <w:r w:rsidRPr="005C3BEB">
        <w:rPr>
          <w:rFonts w:cs="Times New Roman"/>
          <w:szCs w:val="24"/>
        </w:rPr>
        <w:t xml:space="preserve">Calculation of quick ratio shows how FedEx and UPS are better in this financial metric as well compared with Royal mail. Quick ratio does not consider inventory, from the below table it can be seen that Royal Mail is the only entity to have inventory which further reduces </w:t>
      </w:r>
      <w:r w:rsidRPr="005C3BEB">
        <w:rPr>
          <w:rFonts w:cs="Times New Roman"/>
          <w:szCs w:val="24"/>
        </w:rPr>
        <w:lastRenderedPageBreak/>
        <w:t>the quick ratio compared to FedEx and UPS. Company can improve their quick ratio by focusing on its liquid assets and increase them or they can reduce the current liabilities to enhance the ratio.</w:t>
      </w:r>
    </w:p>
    <w:tbl>
      <w:tblPr>
        <w:tblW w:w="5000" w:type="pct"/>
        <w:tblLook w:val="04A0" w:firstRow="1" w:lastRow="0" w:firstColumn="1" w:lastColumn="0" w:noHBand="0" w:noVBand="1"/>
      </w:tblPr>
      <w:tblGrid>
        <w:gridCol w:w="4450"/>
        <w:gridCol w:w="1522"/>
        <w:gridCol w:w="1522"/>
        <w:gridCol w:w="1522"/>
      </w:tblGrid>
      <w:tr w:rsidR="00ED5344" w:rsidRPr="005C3BEB" w14:paraId="1C38A369" w14:textId="77777777" w:rsidTr="00546691">
        <w:trPr>
          <w:trHeight w:val="312"/>
        </w:trPr>
        <w:tc>
          <w:tcPr>
            <w:tcW w:w="270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5C029B7" w14:textId="77777777" w:rsidR="00ED5344" w:rsidRPr="005C3BEB" w:rsidRDefault="00ED5344" w:rsidP="005C3BEB">
            <w:pPr>
              <w:spacing w:after="0" w:line="360" w:lineRule="auto"/>
              <w:jc w:val="both"/>
              <w:rPr>
                <w:rFonts w:eastAsia="Times New Roman" w:cs="Times New Roman"/>
                <w:b/>
                <w:bCs/>
                <w:color w:val="000000"/>
                <w:szCs w:val="24"/>
                <w:lang w:val="en-IN" w:eastAsia="en-IN"/>
              </w:rPr>
            </w:pPr>
            <w:r w:rsidRPr="005C3BEB">
              <w:rPr>
                <w:rFonts w:eastAsia="Times New Roman" w:cs="Times New Roman"/>
                <w:b/>
                <w:bCs/>
                <w:color w:val="000000"/>
                <w:szCs w:val="24"/>
                <w:lang w:val="en-IN" w:eastAsia="en-IN"/>
              </w:rPr>
              <w:t>Quick Ratio</w:t>
            </w:r>
          </w:p>
        </w:tc>
        <w:tc>
          <w:tcPr>
            <w:tcW w:w="766" w:type="pct"/>
            <w:tcBorders>
              <w:top w:val="single" w:sz="4" w:space="0" w:color="auto"/>
              <w:left w:val="nil"/>
              <w:bottom w:val="single" w:sz="4" w:space="0" w:color="auto"/>
              <w:right w:val="single" w:sz="4" w:space="0" w:color="auto"/>
            </w:tcBorders>
            <w:shd w:val="clear" w:color="auto" w:fill="auto"/>
            <w:noWrap/>
            <w:vAlign w:val="bottom"/>
            <w:hideMark/>
          </w:tcPr>
          <w:p w14:paraId="180D30F1" w14:textId="77777777" w:rsidR="00ED5344" w:rsidRPr="005C3BEB" w:rsidRDefault="00ED5344" w:rsidP="005C3BEB">
            <w:pPr>
              <w:spacing w:after="0" w:line="360" w:lineRule="auto"/>
              <w:jc w:val="both"/>
              <w:rPr>
                <w:rFonts w:eastAsia="Times New Roman" w:cs="Times New Roman"/>
                <w:b/>
                <w:bCs/>
                <w:color w:val="000000"/>
                <w:szCs w:val="24"/>
                <w:lang w:val="en-IN" w:eastAsia="en-IN"/>
              </w:rPr>
            </w:pPr>
            <w:r w:rsidRPr="005C3BEB">
              <w:rPr>
                <w:rFonts w:eastAsia="Times New Roman" w:cs="Times New Roman"/>
                <w:b/>
                <w:bCs/>
                <w:color w:val="000000"/>
                <w:szCs w:val="24"/>
                <w:lang w:val="en-IN" w:eastAsia="en-IN"/>
              </w:rPr>
              <w:t>Royal Mail</w:t>
            </w:r>
          </w:p>
        </w:tc>
        <w:tc>
          <w:tcPr>
            <w:tcW w:w="766" w:type="pct"/>
            <w:tcBorders>
              <w:top w:val="single" w:sz="4" w:space="0" w:color="auto"/>
              <w:left w:val="nil"/>
              <w:bottom w:val="single" w:sz="4" w:space="0" w:color="auto"/>
              <w:right w:val="single" w:sz="4" w:space="0" w:color="auto"/>
            </w:tcBorders>
            <w:shd w:val="clear" w:color="auto" w:fill="auto"/>
            <w:noWrap/>
            <w:vAlign w:val="bottom"/>
            <w:hideMark/>
          </w:tcPr>
          <w:p w14:paraId="4D1B50C3" w14:textId="77777777" w:rsidR="00ED5344" w:rsidRPr="005C3BEB" w:rsidRDefault="00ED5344" w:rsidP="005C3BEB">
            <w:pPr>
              <w:spacing w:after="0" w:line="360" w:lineRule="auto"/>
              <w:jc w:val="both"/>
              <w:rPr>
                <w:rFonts w:eastAsia="Times New Roman" w:cs="Times New Roman"/>
                <w:b/>
                <w:bCs/>
                <w:color w:val="000000"/>
                <w:szCs w:val="24"/>
                <w:lang w:val="en-IN" w:eastAsia="en-IN"/>
              </w:rPr>
            </w:pPr>
            <w:r w:rsidRPr="005C3BEB">
              <w:rPr>
                <w:rFonts w:eastAsia="Times New Roman" w:cs="Times New Roman"/>
                <w:b/>
                <w:bCs/>
                <w:color w:val="000000"/>
                <w:szCs w:val="24"/>
                <w:lang w:val="en-IN" w:eastAsia="en-IN"/>
              </w:rPr>
              <w:t>UPS</w:t>
            </w:r>
          </w:p>
        </w:tc>
        <w:tc>
          <w:tcPr>
            <w:tcW w:w="766" w:type="pct"/>
            <w:tcBorders>
              <w:top w:val="single" w:sz="4" w:space="0" w:color="auto"/>
              <w:left w:val="nil"/>
              <w:bottom w:val="single" w:sz="4" w:space="0" w:color="auto"/>
              <w:right w:val="single" w:sz="4" w:space="0" w:color="auto"/>
            </w:tcBorders>
            <w:shd w:val="clear" w:color="auto" w:fill="auto"/>
            <w:noWrap/>
            <w:vAlign w:val="bottom"/>
            <w:hideMark/>
          </w:tcPr>
          <w:p w14:paraId="2BF6200F" w14:textId="77777777" w:rsidR="00ED5344" w:rsidRPr="005C3BEB" w:rsidRDefault="00ED5344" w:rsidP="005C3BEB">
            <w:pPr>
              <w:spacing w:after="0" w:line="360" w:lineRule="auto"/>
              <w:jc w:val="both"/>
              <w:rPr>
                <w:rFonts w:eastAsia="Times New Roman" w:cs="Times New Roman"/>
                <w:b/>
                <w:bCs/>
                <w:color w:val="000000"/>
                <w:szCs w:val="24"/>
                <w:lang w:val="en-IN" w:eastAsia="en-IN"/>
              </w:rPr>
            </w:pPr>
            <w:r w:rsidRPr="005C3BEB">
              <w:rPr>
                <w:rFonts w:eastAsia="Times New Roman" w:cs="Times New Roman"/>
                <w:b/>
                <w:bCs/>
                <w:color w:val="000000"/>
                <w:szCs w:val="24"/>
                <w:lang w:val="en-IN" w:eastAsia="en-IN"/>
              </w:rPr>
              <w:t>FedEx</w:t>
            </w:r>
          </w:p>
        </w:tc>
      </w:tr>
      <w:tr w:rsidR="00ED5344" w:rsidRPr="005C3BEB" w14:paraId="4B9985D5" w14:textId="77777777" w:rsidTr="00546691">
        <w:trPr>
          <w:trHeight w:val="312"/>
        </w:trPr>
        <w:tc>
          <w:tcPr>
            <w:tcW w:w="2703" w:type="pct"/>
            <w:tcBorders>
              <w:top w:val="nil"/>
              <w:left w:val="single" w:sz="4" w:space="0" w:color="auto"/>
              <w:bottom w:val="single" w:sz="4" w:space="0" w:color="auto"/>
              <w:right w:val="single" w:sz="4" w:space="0" w:color="auto"/>
            </w:tcBorders>
            <w:shd w:val="clear" w:color="auto" w:fill="auto"/>
            <w:noWrap/>
            <w:vAlign w:val="center"/>
            <w:hideMark/>
          </w:tcPr>
          <w:p w14:paraId="43E1C351"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Particulars</w:t>
            </w:r>
          </w:p>
        </w:tc>
        <w:tc>
          <w:tcPr>
            <w:tcW w:w="766" w:type="pct"/>
            <w:tcBorders>
              <w:top w:val="nil"/>
              <w:left w:val="nil"/>
              <w:bottom w:val="single" w:sz="4" w:space="0" w:color="auto"/>
              <w:right w:val="single" w:sz="4" w:space="0" w:color="auto"/>
            </w:tcBorders>
            <w:shd w:val="clear" w:color="auto" w:fill="auto"/>
            <w:noWrap/>
            <w:vAlign w:val="center"/>
            <w:hideMark/>
          </w:tcPr>
          <w:p w14:paraId="470EE1E7" w14:textId="77777777" w:rsidR="00ED5344" w:rsidRPr="005C3BEB" w:rsidRDefault="00ED5344" w:rsidP="005C3BEB">
            <w:pPr>
              <w:spacing w:after="0" w:line="360" w:lineRule="auto"/>
              <w:jc w:val="both"/>
              <w:rPr>
                <w:rFonts w:eastAsia="Times New Roman" w:cs="Times New Roman"/>
                <w:b/>
                <w:bCs/>
                <w:color w:val="000000"/>
                <w:szCs w:val="24"/>
                <w:lang w:val="en-IN" w:eastAsia="en-IN"/>
              </w:rPr>
            </w:pPr>
            <w:r w:rsidRPr="005C3BEB">
              <w:rPr>
                <w:rFonts w:eastAsia="Times New Roman" w:cs="Times New Roman"/>
                <w:b/>
                <w:bCs/>
                <w:color w:val="000000"/>
                <w:szCs w:val="24"/>
                <w:lang w:val="en-IN" w:eastAsia="en-IN"/>
              </w:rPr>
              <w:t>2022 (in £ m)</w:t>
            </w:r>
          </w:p>
        </w:tc>
        <w:tc>
          <w:tcPr>
            <w:tcW w:w="766" w:type="pct"/>
            <w:tcBorders>
              <w:top w:val="nil"/>
              <w:left w:val="nil"/>
              <w:bottom w:val="single" w:sz="4" w:space="0" w:color="auto"/>
              <w:right w:val="single" w:sz="4" w:space="0" w:color="auto"/>
            </w:tcBorders>
            <w:shd w:val="clear" w:color="auto" w:fill="auto"/>
            <w:noWrap/>
            <w:vAlign w:val="center"/>
            <w:hideMark/>
          </w:tcPr>
          <w:p w14:paraId="20FD2ED7" w14:textId="77777777" w:rsidR="00ED5344" w:rsidRPr="005C3BEB" w:rsidRDefault="00ED5344" w:rsidP="005C3BEB">
            <w:pPr>
              <w:spacing w:after="0" w:line="360" w:lineRule="auto"/>
              <w:jc w:val="both"/>
              <w:rPr>
                <w:rFonts w:eastAsia="Times New Roman" w:cs="Times New Roman"/>
                <w:b/>
                <w:bCs/>
                <w:color w:val="000000"/>
                <w:szCs w:val="24"/>
                <w:lang w:val="en-IN" w:eastAsia="en-IN"/>
              </w:rPr>
            </w:pPr>
            <w:r w:rsidRPr="005C3BEB">
              <w:rPr>
                <w:rFonts w:eastAsia="Times New Roman" w:cs="Times New Roman"/>
                <w:b/>
                <w:bCs/>
                <w:color w:val="000000"/>
                <w:szCs w:val="24"/>
                <w:lang w:val="en-IN" w:eastAsia="en-IN"/>
              </w:rPr>
              <w:t>2022 (in £ m)</w:t>
            </w:r>
          </w:p>
        </w:tc>
        <w:tc>
          <w:tcPr>
            <w:tcW w:w="766" w:type="pct"/>
            <w:tcBorders>
              <w:top w:val="nil"/>
              <w:left w:val="nil"/>
              <w:bottom w:val="single" w:sz="4" w:space="0" w:color="auto"/>
              <w:right w:val="single" w:sz="4" w:space="0" w:color="auto"/>
            </w:tcBorders>
            <w:shd w:val="clear" w:color="auto" w:fill="auto"/>
            <w:noWrap/>
            <w:vAlign w:val="center"/>
            <w:hideMark/>
          </w:tcPr>
          <w:p w14:paraId="2BFAB25E" w14:textId="77777777" w:rsidR="00ED5344" w:rsidRPr="005C3BEB" w:rsidRDefault="00ED5344" w:rsidP="005C3BEB">
            <w:pPr>
              <w:spacing w:after="0" w:line="360" w:lineRule="auto"/>
              <w:jc w:val="both"/>
              <w:rPr>
                <w:rFonts w:eastAsia="Times New Roman" w:cs="Times New Roman"/>
                <w:b/>
                <w:bCs/>
                <w:color w:val="000000"/>
                <w:szCs w:val="24"/>
                <w:lang w:val="en-IN" w:eastAsia="en-IN"/>
              </w:rPr>
            </w:pPr>
            <w:r w:rsidRPr="005C3BEB">
              <w:rPr>
                <w:rFonts w:eastAsia="Times New Roman" w:cs="Times New Roman"/>
                <w:b/>
                <w:bCs/>
                <w:color w:val="000000"/>
                <w:szCs w:val="24"/>
                <w:lang w:val="en-IN" w:eastAsia="en-IN"/>
              </w:rPr>
              <w:t>2022 (in £ m)</w:t>
            </w:r>
          </w:p>
        </w:tc>
      </w:tr>
      <w:tr w:rsidR="00ED5344" w:rsidRPr="005C3BEB" w14:paraId="7B270264" w14:textId="77777777" w:rsidTr="00546691">
        <w:trPr>
          <w:trHeight w:val="312"/>
        </w:trPr>
        <w:tc>
          <w:tcPr>
            <w:tcW w:w="2703" w:type="pct"/>
            <w:tcBorders>
              <w:top w:val="nil"/>
              <w:left w:val="single" w:sz="4" w:space="0" w:color="auto"/>
              <w:bottom w:val="single" w:sz="4" w:space="0" w:color="auto"/>
              <w:right w:val="single" w:sz="4" w:space="0" w:color="auto"/>
            </w:tcBorders>
            <w:shd w:val="clear" w:color="auto" w:fill="auto"/>
            <w:noWrap/>
            <w:vAlign w:val="center"/>
            <w:hideMark/>
          </w:tcPr>
          <w:p w14:paraId="5BB0135F"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 </w:t>
            </w:r>
          </w:p>
        </w:tc>
        <w:tc>
          <w:tcPr>
            <w:tcW w:w="766" w:type="pct"/>
            <w:tcBorders>
              <w:top w:val="nil"/>
              <w:left w:val="nil"/>
              <w:bottom w:val="single" w:sz="4" w:space="0" w:color="auto"/>
              <w:right w:val="single" w:sz="4" w:space="0" w:color="auto"/>
            </w:tcBorders>
            <w:shd w:val="clear" w:color="auto" w:fill="auto"/>
            <w:noWrap/>
            <w:vAlign w:val="center"/>
            <w:hideMark/>
          </w:tcPr>
          <w:p w14:paraId="0CE3F8EF"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 </w:t>
            </w:r>
          </w:p>
        </w:tc>
        <w:tc>
          <w:tcPr>
            <w:tcW w:w="766" w:type="pct"/>
            <w:tcBorders>
              <w:top w:val="nil"/>
              <w:left w:val="nil"/>
              <w:bottom w:val="single" w:sz="4" w:space="0" w:color="auto"/>
              <w:right w:val="single" w:sz="4" w:space="0" w:color="auto"/>
            </w:tcBorders>
            <w:shd w:val="clear" w:color="auto" w:fill="auto"/>
            <w:noWrap/>
            <w:vAlign w:val="center"/>
            <w:hideMark/>
          </w:tcPr>
          <w:p w14:paraId="20D19F00"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 </w:t>
            </w:r>
          </w:p>
        </w:tc>
        <w:tc>
          <w:tcPr>
            <w:tcW w:w="766" w:type="pct"/>
            <w:tcBorders>
              <w:top w:val="nil"/>
              <w:left w:val="nil"/>
              <w:bottom w:val="single" w:sz="4" w:space="0" w:color="auto"/>
              <w:right w:val="single" w:sz="4" w:space="0" w:color="auto"/>
            </w:tcBorders>
            <w:shd w:val="clear" w:color="auto" w:fill="auto"/>
            <w:noWrap/>
            <w:vAlign w:val="center"/>
            <w:hideMark/>
          </w:tcPr>
          <w:p w14:paraId="24CD82FE"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 </w:t>
            </w:r>
          </w:p>
        </w:tc>
      </w:tr>
      <w:tr w:rsidR="00ED5344" w:rsidRPr="005C3BEB" w14:paraId="441213F4" w14:textId="77777777" w:rsidTr="00546691">
        <w:trPr>
          <w:trHeight w:val="312"/>
        </w:trPr>
        <w:tc>
          <w:tcPr>
            <w:tcW w:w="2703" w:type="pct"/>
            <w:tcBorders>
              <w:top w:val="nil"/>
              <w:left w:val="single" w:sz="4" w:space="0" w:color="auto"/>
              <w:bottom w:val="single" w:sz="4" w:space="0" w:color="auto"/>
              <w:right w:val="single" w:sz="4" w:space="0" w:color="auto"/>
            </w:tcBorders>
            <w:shd w:val="clear" w:color="auto" w:fill="auto"/>
            <w:noWrap/>
            <w:vAlign w:val="center"/>
            <w:hideMark/>
          </w:tcPr>
          <w:p w14:paraId="2293B868"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Current Assets</w:t>
            </w:r>
          </w:p>
        </w:tc>
        <w:tc>
          <w:tcPr>
            <w:tcW w:w="766" w:type="pct"/>
            <w:tcBorders>
              <w:top w:val="nil"/>
              <w:left w:val="nil"/>
              <w:bottom w:val="single" w:sz="4" w:space="0" w:color="auto"/>
              <w:right w:val="single" w:sz="4" w:space="0" w:color="auto"/>
            </w:tcBorders>
            <w:shd w:val="clear" w:color="auto" w:fill="auto"/>
            <w:noWrap/>
            <w:vAlign w:val="bottom"/>
            <w:hideMark/>
          </w:tcPr>
          <w:p w14:paraId="18162DD9"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 xml:space="preserve"> £            3,015 </w:t>
            </w:r>
          </w:p>
        </w:tc>
        <w:tc>
          <w:tcPr>
            <w:tcW w:w="766" w:type="pct"/>
            <w:tcBorders>
              <w:top w:val="nil"/>
              <w:left w:val="nil"/>
              <w:bottom w:val="single" w:sz="4" w:space="0" w:color="auto"/>
              <w:right w:val="single" w:sz="4" w:space="0" w:color="auto"/>
            </w:tcBorders>
            <w:shd w:val="clear" w:color="auto" w:fill="auto"/>
            <w:noWrap/>
            <w:vAlign w:val="bottom"/>
            <w:hideMark/>
          </w:tcPr>
          <w:p w14:paraId="25E99CEC"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 xml:space="preserve"> £          17,164 </w:t>
            </w:r>
          </w:p>
        </w:tc>
        <w:tc>
          <w:tcPr>
            <w:tcW w:w="766" w:type="pct"/>
            <w:tcBorders>
              <w:top w:val="nil"/>
              <w:left w:val="nil"/>
              <w:bottom w:val="single" w:sz="4" w:space="0" w:color="auto"/>
              <w:right w:val="single" w:sz="4" w:space="0" w:color="auto"/>
            </w:tcBorders>
            <w:shd w:val="clear" w:color="auto" w:fill="auto"/>
            <w:noWrap/>
            <w:vAlign w:val="bottom"/>
            <w:hideMark/>
          </w:tcPr>
          <w:p w14:paraId="0E35E154"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 xml:space="preserve"> £          15,734 </w:t>
            </w:r>
          </w:p>
        </w:tc>
      </w:tr>
      <w:tr w:rsidR="00ED5344" w:rsidRPr="005C3BEB" w14:paraId="4AEE2CF8" w14:textId="77777777" w:rsidTr="00546691">
        <w:trPr>
          <w:trHeight w:val="312"/>
        </w:trPr>
        <w:tc>
          <w:tcPr>
            <w:tcW w:w="2703" w:type="pct"/>
            <w:tcBorders>
              <w:top w:val="nil"/>
              <w:left w:val="single" w:sz="4" w:space="0" w:color="auto"/>
              <w:bottom w:val="single" w:sz="4" w:space="0" w:color="auto"/>
              <w:right w:val="single" w:sz="4" w:space="0" w:color="auto"/>
            </w:tcBorders>
            <w:shd w:val="clear" w:color="auto" w:fill="auto"/>
            <w:noWrap/>
            <w:vAlign w:val="center"/>
            <w:hideMark/>
          </w:tcPr>
          <w:p w14:paraId="04945993"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Inventory</w:t>
            </w:r>
          </w:p>
        </w:tc>
        <w:tc>
          <w:tcPr>
            <w:tcW w:w="766" w:type="pct"/>
            <w:tcBorders>
              <w:top w:val="nil"/>
              <w:left w:val="nil"/>
              <w:bottom w:val="single" w:sz="4" w:space="0" w:color="auto"/>
              <w:right w:val="single" w:sz="4" w:space="0" w:color="auto"/>
            </w:tcBorders>
            <w:shd w:val="clear" w:color="auto" w:fill="auto"/>
            <w:noWrap/>
            <w:vAlign w:val="bottom"/>
            <w:hideMark/>
          </w:tcPr>
          <w:p w14:paraId="4A3D1F63"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 xml:space="preserve"> £                 34 </w:t>
            </w:r>
          </w:p>
        </w:tc>
        <w:tc>
          <w:tcPr>
            <w:tcW w:w="766" w:type="pct"/>
            <w:tcBorders>
              <w:top w:val="nil"/>
              <w:left w:val="nil"/>
              <w:bottom w:val="single" w:sz="4" w:space="0" w:color="auto"/>
              <w:right w:val="single" w:sz="4" w:space="0" w:color="auto"/>
            </w:tcBorders>
            <w:shd w:val="clear" w:color="auto" w:fill="auto"/>
            <w:noWrap/>
            <w:vAlign w:val="bottom"/>
            <w:hideMark/>
          </w:tcPr>
          <w:p w14:paraId="25EA01A4"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 xml:space="preserve"> £                  -   </w:t>
            </w:r>
          </w:p>
        </w:tc>
        <w:tc>
          <w:tcPr>
            <w:tcW w:w="766" w:type="pct"/>
            <w:tcBorders>
              <w:top w:val="nil"/>
              <w:left w:val="nil"/>
              <w:bottom w:val="single" w:sz="4" w:space="0" w:color="auto"/>
              <w:right w:val="single" w:sz="4" w:space="0" w:color="auto"/>
            </w:tcBorders>
            <w:shd w:val="clear" w:color="auto" w:fill="auto"/>
            <w:noWrap/>
            <w:vAlign w:val="bottom"/>
            <w:hideMark/>
          </w:tcPr>
          <w:p w14:paraId="1D4DC0E7"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 xml:space="preserve"> £                  -   </w:t>
            </w:r>
          </w:p>
        </w:tc>
      </w:tr>
      <w:tr w:rsidR="00ED5344" w:rsidRPr="005C3BEB" w14:paraId="1B2E6915" w14:textId="77777777" w:rsidTr="00546691">
        <w:trPr>
          <w:trHeight w:val="312"/>
        </w:trPr>
        <w:tc>
          <w:tcPr>
            <w:tcW w:w="2703" w:type="pct"/>
            <w:tcBorders>
              <w:top w:val="nil"/>
              <w:left w:val="single" w:sz="4" w:space="0" w:color="auto"/>
              <w:bottom w:val="single" w:sz="4" w:space="0" w:color="auto"/>
              <w:right w:val="single" w:sz="4" w:space="0" w:color="auto"/>
            </w:tcBorders>
            <w:shd w:val="clear" w:color="auto" w:fill="auto"/>
            <w:noWrap/>
            <w:vAlign w:val="center"/>
            <w:hideMark/>
          </w:tcPr>
          <w:p w14:paraId="2E3FF1C6"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 xml:space="preserve">Current Assets </w:t>
            </w:r>
            <w:r w:rsidR="0093589A">
              <w:rPr>
                <w:rFonts w:eastAsia="Times New Roman" w:cs="Times New Roman"/>
                <w:color w:val="000000"/>
                <w:szCs w:val="24"/>
                <w:lang w:val="en-IN" w:eastAsia="en-IN"/>
              </w:rPr>
              <w:t>–</w:t>
            </w:r>
            <w:r w:rsidRPr="005C3BEB">
              <w:rPr>
                <w:rFonts w:eastAsia="Times New Roman" w:cs="Times New Roman"/>
                <w:color w:val="000000"/>
                <w:szCs w:val="24"/>
                <w:lang w:val="en-IN" w:eastAsia="en-IN"/>
              </w:rPr>
              <w:t xml:space="preserve"> Inventory</w:t>
            </w:r>
          </w:p>
        </w:tc>
        <w:tc>
          <w:tcPr>
            <w:tcW w:w="766" w:type="pct"/>
            <w:tcBorders>
              <w:top w:val="nil"/>
              <w:left w:val="nil"/>
              <w:bottom w:val="single" w:sz="4" w:space="0" w:color="auto"/>
              <w:right w:val="single" w:sz="4" w:space="0" w:color="auto"/>
            </w:tcBorders>
            <w:shd w:val="clear" w:color="auto" w:fill="auto"/>
            <w:noWrap/>
            <w:vAlign w:val="bottom"/>
            <w:hideMark/>
          </w:tcPr>
          <w:p w14:paraId="662AFDF0"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 xml:space="preserve"> £            2,981 </w:t>
            </w:r>
          </w:p>
        </w:tc>
        <w:tc>
          <w:tcPr>
            <w:tcW w:w="766" w:type="pct"/>
            <w:tcBorders>
              <w:top w:val="nil"/>
              <w:left w:val="nil"/>
              <w:bottom w:val="single" w:sz="4" w:space="0" w:color="auto"/>
              <w:right w:val="single" w:sz="4" w:space="0" w:color="auto"/>
            </w:tcBorders>
            <w:shd w:val="clear" w:color="auto" w:fill="auto"/>
            <w:noWrap/>
            <w:vAlign w:val="bottom"/>
            <w:hideMark/>
          </w:tcPr>
          <w:p w14:paraId="1A5CC532"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 xml:space="preserve"> £          17,164 </w:t>
            </w:r>
          </w:p>
        </w:tc>
        <w:tc>
          <w:tcPr>
            <w:tcW w:w="766" w:type="pct"/>
            <w:tcBorders>
              <w:top w:val="nil"/>
              <w:left w:val="nil"/>
              <w:bottom w:val="single" w:sz="4" w:space="0" w:color="auto"/>
              <w:right w:val="single" w:sz="4" w:space="0" w:color="auto"/>
            </w:tcBorders>
            <w:shd w:val="clear" w:color="auto" w:fill="auto"/>
            <w:noWrap/>
            <w:vAlign w:val="bottom"/>
            <w:hideMark/>
          </w:tcPr>
          <w:p w14:paraId="7405BCF1"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 xml:space="preserve"> £          15,734 </w:t>
            </w:r>
          </w:p>
        </w:tc>
      </w:tr>
      <w:tr w:rsidR="00ED5344" w:rsidRPr="005C3BEB" w14:paraId="00D4ED44" w14:textId="77777777" w:rsidTr="00546691">
        <w:trPr>
          <w:trHeight w:val="312"/>
        </w:trPr>
        <w:tc>
          <w:tcPr>
            <w:tcW w:w="2703" w:type="pct"/>
            <w:tcBorders>
              <w:top w:val="nil"/>
              <w:left w:val="single" w:sz="4" w:space="0" w:color="auto"/>
              <w:bottom w:val="single" w:sz="4" w:space="0" w:color="auto"/>
              <w:right w:val="single" w:sz="4" w:space="0" w:color="auto"/>
            </w:tcBorders>
            <w:shd w:val="clear" w:color="auto" w:fill="auto"/>
            <w:noWrap/>
            <w:vAlign w:val="center"/>
            <w:hideMark/>
          </w:tcPr>
          <w:p w14:paraId="5E820419"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Current Liabilities</w:t>
            </w:r>
          </w:p>
        </w:tc>
        <w:tc>
          <w:tcPr>
            <w:tcW w:w="766" w:type="pct"/>
            <w:tcBorders>
              <w:top w:val="nil"/>
              <w:left w:val="nil"/>
              <w:bottom w:val="single" w:sz="4" w:space="0" w:color="auto"/>
              <w:right w:val="single" w:sz="4" w:space="0" w:color="auto"/>
            </w:tcBorders>
            <w:shd w:val="clear" w:color="auto" w:fill="auto"/>
            <w:noWrap/>
            <w:vAlign w:val="bottom"/>
            <w:hideMark/>
          </w:tcPr>
          <w:p w14:paraId="3CE41923"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 xml:space="preserve"> £            2,739 </w:t>
            </w:r>
          </w:p>
        </w:tc>
        <w:tc>
          <w:tcPr>
            <w:tcW w:w="766" w:type="pct"/>
            <w:tcBorders>
              <w:top w:val="nil"/>
              <w:left w:val="nil"/>
              <w:bottom w:val="single" w:sz="4" w:space="0" w:color="auto"/>
              <w:right w:val="single" w:sz="4" w:space="0" w:color="auto"/>
            </w:tcBorders>
            <w:shd w:val="clear" w:color="auto" w:fill="auto"/>
            <w:noWrap/>
            <w:vAlign w:val="bottom"/>
            <w:hideMark/>
          </w:tcPr>
          <w:p w14:paraId="15A51654"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 xml:space="preserve"> £          14,015 </w:t>
            </w:r>
          </w:p>
        </w:tc>
        <w:tc>
          <w:tcPr>
            <w:tcW w:w="766" w:type="pct"/>
            <w:tcBorders>
              <w:top w:val="nil"/>
              <w:left w:val="nil"/>
              <w:bottom w:val="single" w:sz="4" w:space="0" w:color="auto"/>
              <w:right w:val="single" w:sz="4" w:space="0" w:color="auto"/>
            </w:tcBorders>
            <w:shd w:val="clear" w:color="auto" w:fill="auto"/>
            <w:noWrap/>
            <w:vAlign w:val="bottom"/>
            <w:hideMark/>
          </w:tcPr>
          <w:p w14:paraId="79565A58"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 xml:space="preserve"> £          11,027 </w:t>
            </w:r>
          </w:p>
        </w:tc>
      </w:tr>
      <w:tr w:rsidR="00ED5344" w:rsidRPr="005C3BEB" w14:paraId="588544F0" w14:textId="77777777" w:rsidTr="00546691">
        <w:trPr>
          <w:trHeight w:val="312"/>
        </w:trPr>
        <w:tc>
          <w:tcPr>
            <w:tcW w:w="2703" w:type="pct"/>
            <w:tcBorders>
              <w:top w:val="nil"/>
              <w:left w:val="single" w:sz="4" w:space="0" w:color="auto"/>
              <w:bottom w:val="single" w:sz="4" w:space="0" w:color="auto"/>
              <w:right w:val="single" w:sz="4" w:space="0" w:color="auto"/>
            </w:tcBorders>
            <w:shd w:val="clear" w:color="auto" w:fill="auto"/>
            <w:noWrap/>
            <w:vAlign w:val="center"/>
            <w:hideMark/>
          </w:tcPr>
          <w:p w14:paraId="039EF098"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 </w:t>
            </w:r>
          </w:p>
        </w:tc>
        <w:tc>
          <w:tcPr>
            <w:tcW w:w="766" w:type="pct"/>
            <w:tcBorders>
              <w:top w:val="nil"/>
              <w:left w:val="nil"/>
              <w:bottom w:val="single" w:sz="4" w:space="0" w:color="auto"/>
              <w:right w:val="single" w:sz="4" w:space="0" w:color="auto"/>
            </w:tcBorders>
            <w:shd w:val="clear" w:color="auto" w:fill="auto"/>
            <w:noWrap/>
            <w:vAlign w:val="center"/>
            <w:hideMark/>
          </w:tcPr>
          <w:p w14:paraId="0380B51D"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 </w:t>
            </w:r>
          </w:p>
        </w:tc>
        <w:tc>
          <w:tcPr>
            <w:tcW w:w="766" w:type="pct"/>
            <w:tcBorders>
              <w:top w:val="nil"/>
              <w:left w:val="nil"/>
              <w:bottom w:val="single" w:sz="4" w:space="0" w:color="auto"/>
              <w:right w:val="single" w:sz="4" w:space="0" w:color="auto"/>
            </w:tcBorders>
            <w:shd w:val="clear" w:color="auto" w:fill="auto"/>
            <w:noWrap/>
            <w:vAlign w:val="center"/>
            <w:hideMark/>
          </w:tcPr>
          <w:p w14:paraId="7BB0D9DA"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 </w:t>
            </w:r>
          </w:p>
        </w:tc>
        <w:tc>
          <w:tcPr>
            <w:tcW w:w="766" w:type="pct"/>
            <w:tcBorders>
              <w:top w:val="nil"/>
              <w:left w:val="nil"/>
              <w:bottom w:val="single" w:sz="4" w:space="0" w:color="auto"/>
              <w:right w:val="single" w:sz="4" w:space="0" w:color="auto"/>
            </w:tcBorders>
            <w:shd w:val="clear" w:color="auto" w:fill="auto"/>
            <w:noWrap/>
            <w:vAlign w:val="center"/>
            <w:hideMark/>
          </w:tcPr>
          <w:p w14:paraId="4AA28997"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 </w:t>
            </w:r>
          </w:p>
        </w:tc>
      </w:tr>
      <w:tr w:rsidR="00ED5344" w:rsidRPr="005C3BEB" w14:paraId="7470F03E" w14:textId="77777777" w:rsidTr="00546691">
        <w:trPr>
          <w:trHeight w:val="312"/>
        </w:trPr>
        <w:tc>
          <w:tcPr>
            <w:tcW w:w="2703" w:type="pct"/>
            <w:tcBorders>
              <w:top w:val="nil"/>
              <w:left w:val="single" w:sz="4" w:space="0" w:color="auto"/>
              <w:bottom w:val="single" w:sz="4" w:space="0" w:color="auto"/>
              <w:right w:val="single" w:sz="4" w:space="0" w:color="auto"/>
            </w:tcBorders>
            <w:shd w:val="clear" w:color="auto" w:fill="auto"/>
            <w:vAlign w:val="center"/>
            <w:hideMark/>
          </w:tcPr>
          <w:p w14:paraId="0BB29849" w14:textId="77777777" w:rsidR="00ED5344" w:rsidRPr="005C3BEB" w:rsidRDefault="00ED5344" w:rsidP="005C3BEB">
            <w:pPr>
              <w:spacing w:after="0" w:line="360" w:lineRule="auto"/>
              <w:jc w:val="both"/>
              <w:rPr>
                <w:rFonts w:eastAsia="Times New Roman" w:cs="Times New Roman"/>
                <w:b/>
                <w:bCs/>
                <w:color w:val="000000"/>
                <w:szCs w:val="24"/>
                <w:lang w:val="en-IN" w:eastAsia="en-IN"/>
              </w:rPr>
            </w:pPr>
            <w:r w:rsidRPr="005C3BEB">
              <w:rPr>
                <w:rFonts w:eastAsia="Times New Roman" w:cs="Times New Roman"/>
                <w:b/>
                <w:bCs/>
                <w:color w:val="000000"/>
                <w:szCs w:val="24"/>
                <w:lang w:val="en-IN" w:eastAsia="en-IN"/>
              </w:rPr>
              <w:t>Quick Ratio</w:t>
            </w:r>
          </w:p>
        </w:tc>
        <w:tc>
          <w:tcPr>
            <w:tcW w:w="766" w:type="pct"/>
            <w:tcBorders>
              <w:top w:val="nil"/>
              <w:left w:val="nil"/>
              <w:bottom w:val="single" w:sz="4" w:space="0" w:color="auto"/>
              <w:right w:val="single" w:sz="4" w:space="0" w:color="auto"/>
            </w:tcBorders>
            <w:shd w:val="clear" w:color="auto" w:fill="auto"/>
            <w:noWrap/>
            <w:vAlign w:val="center"/>
            <w:hideMark/>
          </w:tcPr>
          <w:p w14:paraId="5D88EDFA" w14:textId="77777777" w:rsidR="00ED5344" w:rsidRPr="005C3BEB" w:rsidRDefault="00ED5344" w:rsidP="005C3BEB">
            <w:pPr>
              <w:spacing w:after="0" w:line="360" w:lineRule="auto"/>
              <w:jc w:val="both"/>
              <w:rPr>
                <w:rFonts w:eastAsia="Times New Roman" w:cs="Times New Roman"/>
                <w:b/>
                <w:bCs/>
                <w:color w:val="000000"/>
                <w:szCs w:val="24"/>
                <w:lang w:val="en-IN" w:eastAsia="en-IN"/>
              </w:rPr>
            </w:pPr>
            <w:r w:rsidRPr="005C3BEB">
              <w:rPr>
                <w:rFonts w:eastAsia="Times New Roman" w:cs="Times New Roman"/>
                <w:b/>
                <w:bCs/>
                <w:color w:val="000000"/>
                <w:szCs w:val="24"/>
                <w:lang w:val="en-IN" w:eastAsia="en-IN"/>
              </w:rPr>
              <w:t>1.09</w:t>
            </w:r>
          </w:p>
        </w:tc>
        <w:tc>
          <w:tcPr>
            <w:tcW w:w="766" w:type="pct"/>
            <w:tcBorders>
              <w:top w:val="nil"/>
              <w:left w:val="nil"/>
              <w:bottom w:val="single" w:sz="4" w:space="0" w:color="auto"/>
              <w:right w:val="single" w:sz="4" w:space="0" w:color="auto"/>
            </w:tcBorders>
            <w:shd w:val="clear" w:color="auto" w:fill="auto"/>
            <w:noWrap/>
            <w:vAlign w:val="center"/>
            <w:hideMark/>
          </w:tcPr>
          <w:p w14:paraId="691E7845" w14:textId="77777777" w:rsidR="00ED5344" w:rsidRPr="005C3BEB" w:rsidRDefault="00ED5344" w:rsidP="005C3BEB">
            <w:pPr>
              <w:spacing w:after="0" w:line="360" w:lineRule="auto"/>
              <w:jc w:val="both"/>
              <w:rPr>
                <w:rFonts w:eastAsia="Times New Roman" w:cs="Times New Roman"/>
                <w:b/>
                <w:bCs/>
                <w:color w:val="000000"/>
                <w:szCs w:val="24"/>
                <w:lang w:val="en-IN" w:eastAsia="en-IN"/>
              </w:rPr>
            </w:pPr>
            <w:r w:rsidRPr="005C3BEB">
              <w:rPr>
                <w:rFonts w:eastAsia="Times New Roman" w:cs="Times New Roman"/>
                <w:b/>
                <w:bCs/>
                <w:color w:val="000000"/>
                <w:szCs w:val="24"/>
                <w:lang w:val="en-IN" w:eastAsia="en-IN"/>
              </w:rPr>
              <w:t>1.22</w:t>
            </w:r>
          </w:p>
        </w:tc>
        <w:tc>
          <w:tcPr>
            <w:tcW w:w="766" w:type="pct"/>
            <w:tcBorders>
              <w:top w:val="nil"/>
              <w:left w:val="nil"/>
              <w:bottom w:val="single" w:sz="4" w:space="0" w:color="auto"/>
              <w:right w:val="single" w:sz="4" w:space="0" w:color="auto"/>
            </w:tcBorders>
            <w:shd w:val="clear" w:color="auto" w:fill="auto"/>
            <w:noWrap/>
            <w:vAlign w:val="center"/>
            <w:hideMark/>
          </w:tcPr>
          <w:p w14:paraId="50F8D0D9" w14:textId="77777777" w:rsidR="00ED5344" w:rsidRPr="005C3BEB" w:rsidRDefault="00ED5344" w:rsidP="005C3BEB">
            <w:pPr>
              <w:spacing w:after="0" w:line="360" w:lineRule="auto"/>
              <w:jc w:val="both"/>
              <w:rPr>
                <w:rFonts w:eastAsia="Times New Roman" w:cs="Times New Roman"/>
                <w:b/>
                <w:bCs/>
                <w:color w:val="000000"/>
                <w:szCs w:val="24"/>
                <w:lang w:val="en-IN" w:eastAsia="en-IN"/>
              </w:rPr>
            </w:pPr>
            <w:r w:rsidRPr="005C3BEB">
              <w:rPr>
                <w:rFonts w:eastAsia="Times New Roman" w:cs="Times New Roman"/>
                <w:b/>
                <w:bCs/>
                <w:color w:val="000000"/>
                <w:szCs w:val="24"/>
                <w:lang w:val="en-IN" w:eastAsia="en-IN"/>
              </w:rPr>
              <w:t>1.43</w:t>
            </w:r>
          </w:p>
        </w:tc>
      </w:tr>
      <w:tr w:rsidR="00ED5344" w:rsidRPr="005C3BEB" w14:paraId="71C70779" w14:textId="77777777" w:rsidTr="00546691">
        <w:trPr>
          <w:trHeight w:val="312"/>
        </w:trPr>
        <w:tc>
          <w:tcPr>
            <w:tcW w:w="2703" w:type="pct"/>
            <w:tcBorders>
              <w:top w:val="nil"/>
              <w:left w:val="single" w:sz="4" w:space="0" w:color="auto"/>
              <w:bottom w:val="single" w:sz="4" w:space="0" w:color="auto"/>
              <w:right w:val="single" w:sz="4" w:space="0" w:color="auto"/>
            </w:tcBorders>
            <w:shd w:val="clear" w:color="auto" w:fill="auto"/>
            <w:noWrap/>
            <w:vAlign w:val="center"/>
            <w:hideMark/>
          </w:tcPr>
          <w:p w14:paraId="2BBD6B71"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(Current Assets - Inventory / Current Liabilities)</w:t>
            </w:r>
          </w:p>
        </w:tc>
        <w:tc>
          <w:tcPr>
            <w:tcW w:w="766" w:type="pct"/>
            <w:tcBorders>
              <w:top w:val="nil"/>
              <w:left w:val="nil"/>
              <w:bottom w:val="single" w:sz="4" w:space="0" w:color="auto"/>
              <w:right w:val="single" w:sz="4" w:space="0" w:color="auto"/>
            </w:tcBorders>
            <w:shd w:val="clear" w:color="auto" w:fill="auto"/>
            <w:noWrap/>
            <w:vAlign w:val="center"/>
            <w:hideMark/>
          </w:tcPr>
          <w:p w14:paraId="1CCF9DB4"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 </w:t>
            </w:r>
          </w:p>
        </w:tc>
        <w:tc>
          <w:tcPr>
            <w:tcW w:w="766" w:type="pct"/>
            <w:tcBorders>
              <w:top w:val="nil"/>
              <w:left w:val="nil"/>
              <w:bottom w:val="single" w:sz="4" w:space="0" w:color="auto"/>
              <w:right w:val="single" w:sz="4" w:space="0" w:color="auto"/>
            </w:tcBorders>
            <w:shd w:val="clear" w:color="auto" w:fill="auto"/>
            <w:noWrap/>
            <w:vAlign w:val="center"/>
            <w:hideMark/>
          </w:tcPr>
          <w:p w14:paraId="63E1B916"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 </w:t>
            </w:r>
          </w:p>
        </w:tc>
        <w:tc>
          <w:tcPr>
            <w:tcW w:w="766" w:type="pct"/>
            <w:tcBorders>
              <w:top w:val="nil"/>
              <w:left w:val="nil"/>
              <w:bottom w:val="single" w:sz="4" w:space="0" w:color="auto"/>
              <w:right w:val="single" w:sz="4" w:space="0" w:color="auto"/>
            </w:tcBorders>
            <w:shd w:val="clear" w:color="auto" w:fill="auto"/>
            <w:noWrap/>
            <w:vAlign w:val="center"/>
            <w:hideMark/>
          </w:tcPr>
          <w:p w14:paraId="658671C2"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 </w:t>
            </w:r>
          </w:p>
        </w:tc>
      </w:tr>
    </w:tbl>
    <w:p w14:paraId="7B76B1A7" w14:textId="77777777" w:rsidR="00ED5344" w:rsidRPr="005C3BEB" w:rsidRDefault="00ED5344" w:rsidP="005C3BEB">
      <w:pPr>
        <w:spacing w:line="360" w:lineRule="auto"/>
        <w:jc w:val="both"/>
        <w:rPr>
          <w:rFonts w:cs="Times New Roman"/>
          <w:b/>
          <w:bCs/>
          <w:szCs w:val="24"/>
        </w:rPr>
      </w:pPr>
    </w:p>
    <w:p w14:paraId="138A47E3" w14:textId="77777777" w:rsidR="00ED5344" w:rsidRPr="005C3BEB" w:rsidRDefault="00ED5344" w:rsidP="005C3BEB">
      <w:pPr>
        <w:spacing w:line="360" w:lineRule="auto"/>
        <w:jc w:val="both"/>
        <w:rPr>
          <w:rFonts w:cs="Times New Roman"/>
          <w:b/>
          <w:bCs/>
          <w:szCs w:val="24"/>
        </w:rPr>
      </w:pPr>
      <w:r w:rsidRPr="005C3BEB">
        <w:rPr>
          <w:rFonts w:cs="Times New Roman"/>
          <w:b/>
          <w:bCs/>
          <w:szCs w:val="24"/>
        </w:rPr>
        <w:t>Debt-to-Assets Ratio:</w:t>
      </w:r>
    </w:p>
    <w:p w14:paraId="3AF47874" w14:textId="77777777" w:rsidR="00ED5344" w:rsidRPr="005C3BEB" w:rsidRDefault="00ED5344" w:rsidP="005C3BEB">
      <w:pPr>
        <w:spacing w:line="360" w:lineRule="auto"/>
        <w:jc w:val="both"/>
        <w:rPr>
          <w:rFonts w:cs="Times New Roman"/>
          <w:szCs w:val="24"/>
        </w:rPr>
      </w:pPr>
      <w:r w:rsidRPr="005C3BEB">
        <w:rPr>
          <w:rFonts w:cs="Times New Roman"/>
          <w:szCs w:val="24"/>
        </w:rPr>
        <w:t xml:space="preserve">Ideal Debt to asset ratio is not constant for all the business rather it depends upon various circumstances and factors such as the industry business is operating in, the size of the business, economic and environmental conditions, and other externalities of business. To assess the Royal mail, industry’s two biggest competitors are considered, UPS and FedEx. UPS has its debt-to-equity ratio of 0.72 and FedEx has its debt-to-equity ratio of 0.71, comparing both these ratios with the </w:t>
      </w:r>
      <w:proofErr w:type="gramStart"/>
      <w:r w:rsidRPr="005C3BEB">
        <w:rPr>
          <w:rFonts w:cs="Times New Roman"/>
          <w:szCs w:val="24"/>
        </w:rPr>
        <w:t>debt to equity</w:t>
      </w:r>
      <w:proofErr w:type="gramEnd"/>
      <w:r w:rsidRPr="005C3BEB">
        <w:rPr>
          <w:rFonts w:cs="Times New Roman"/>
          <w:szCs w:val="24"/>
        </w:rPr>
        <w:t xml:space="preserve"> ratio of Royal Mail, there is still a scope of improvement and leveraging the capital structure to generate more profits.</w:t>
      </w:r>
    </w:p>
    <w:tbl>
      <w:tblPr>
        <w:tblW w:w="5000" w:type="pct"/>
        <w:tblLook w:val="04A0" w:firstRow="1" w:lastRow="0" w:firstColumn="1" w:lastColumn="0" w:noHBand="0" w:noVBand="1"/>
      </w:tblPr>
      <w:tblGrid>
        <w:gridCol w:w="4048"/>
        <w:gridCol w:w="1656"/>
        <w:gridCol w:w="1656"/>
        <w:gridCol w:w="1656"/>
      </w:tblGrid>
      <w:tr w:rsidR="00ED5344" w:rsidRPr="005C3BEB" w14:paraId="1AC3934B" w14:textId="77777777" w:rsidTr="00546691">
        <w:trPr>
          <w:trHeight w:val="312"/>
        </w:trPr>
        <w:tc>
          <w:tcPr>
            <w:tcW w:w="270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FBDBB54" w14:textId="77777777" w:rsidR="00ED5344" w:rsidRPr="005C3BEB" w:rsidRDefault="00ED5344" w:rsidP="005C3BEB">
            <w:pPr>
              <w:spacing w:after="0" w:line="360" w:lineRule="auto"/>
              <w:jc w:val="both"/>
              <w:rPr>
                <w:rFonts w:eastAsia="Times New Roman" w:cs="Times New Roman"/>
                <w:b/>
                <w:bCs/>
                <w:color w:val="000000"/>
                <w:szCs w:val="24"/>
                <w:lang w:val="en-IN" w:eastAsia="en-IN"/>
              </w:rPr>
            </w:pPr>
            <w:r w:rsidRPr="005C3BEB">
              <w:rPr>
                <w:rFonts w:eastAsia="Times New Roman" w:cs="Times New Roman"/>
                <w:b/>
                <w:bCs/>
                <w:color w:val="000000"/>
                <w:szCs w:val="24"/>
                <w:lang w:val="en-IN" w:eastAsia="en-IN"/>
              </w:rPr>
              <w:t>Debt-to-Assets Ratio </w:t>
            </w:r>
          </w:p>
        </w:tc>
        <w:tc>
          <w:tcPr>
            <w:tcW w:w="766" w:type="pct"/>
            <w:tcBorders>
              <w:top w:val="single" w:sz="4" w:space="0" w:color="auto"/>
              <w:left w:val="nil"/>
              <w:bottom w:val="single" w:sz="4" w:space="0" w:color="auto"/>
              <w:right w:val="single" w:sz="4" w:space="0" w:color="auto"/>
            </w:tcBorders>
            <w:shd w:val="clear" w:color="auto" w:fill="auto"/>
            <w:noWrap/>
            <w:vAlign w:val="bottom"/>
            <w:hideMark/>
          </w:tcPr>
          <w:p w14:paraId="3CC86067" w14:textId="77777777" w:rsidR="00ED5344" w:rsidRPr="005C3BEB" w:rsidRDefault="00ED5344" w:rsidP="005C3BEB">
            <w:pPr>
              <w:spacing w:after="0" w:line="360" w:lineRule="auto"/>
              <w:jc w:val="both"/>
              <w:rPr>
                <w:rFonts w:eastAsia="Times New Roman" w:cs="Times New Roman"/>
                <w:b/>
                <w:bCs/>
                <w:color w:val="000000"/>
                <w:szCs w:val="24"/>
                <w:lang w:val="en-IN" w:eastAsia="en-IN"/>
              </w:rPr>
            </w:pPr>
            <w:r w:rsidRPr="005C3BEB">
              <w:rPr>
                <w:rFonts w:eastAsia="Times New Roman" w:cs="Times New Roman"/>
                <w:b/>
                <w:bCs/>
                <w:color w:val="000000"/>
                <w:szCs w:val="24"/>
                <w:lang w:val="en-IN" w:eastAsia="en-IN"/>
              </w:rPr>
              <w:t>Royal Mail</w:t>
            </w:r>
          </w:p>
        </w:tc>
        <w:tc>
          <w:tcPr>
            <w:tcW w:w="766" w:type="pct"/>
            <w:tcBorders>
              <w:top w:val="single" w:sz="4" w:space="0" w:color="auto"/>
              <w:left w:val="nil"/>
              <w:bottom w:val="single" w:sz="4" w:space="0" w:color="auto"/>
              <w:right w:val="single" w:sz="4" w:space="0" w:color="auto"/>
            </w:tcBorders>
            <w:shd w:val="clear" w:color="auto" w:fill="auto"/>
            <w:noWrap/>
            <w:vAlign w:val="bottom"/>
            <w:hideMark/>
          </w:tcPr>
          <w:p w14:paraId="6E2735EB" w14:textId="77777777" w:rsidR="00ED5344" w:rsidRPr="005C3BEB" w:rsidRDefault="00ED5344" w:rsidP="005C3BEB">
            <w:pPr>
              <w:spacing w:after="0" w:line="360" w:lineRule="auto"/>
              <w:jc w:val="both"/>
              <w:rPr>
                <w:rFonts w:eastAsia="Times New Roman" w:cs="Times New Roman"/>
                <w:b/>
                <w:bCs/>
                <w:color w:val="000000"/>
                <w:szCs w:val="24"/>
                <w:lang w:val="en-IN" w:eastAsia="en-IN"/>
              </w:rPr>
            </w:pPr>
            <w:r w:rsidRPr="005C3BEB">
              <w:rPr>
                <w:rFonts w:eastAsia="Times New Roman" w:cs="Times New Roman"/>
                <w:b/>
                <w:bCs/>
                <w:color w:val="000000"/>
                <w:szCs w:val="24"/>
                <w:lang w:val="en-IN" w:eastAsia="en-IN"/>
              </w:rPr>
              <w:t>UPS</w:t>
            </w:r>
          </w:p>
        </w:tc>
        <w:tc>
          <w:tcPr>
            <w:tcW w:w="766" w:type="pct"/>
            <w:tcBorders>
              <w:top w:val="single" w:sz="4" w:space="0" w:color="auto"/>
              <w:left w:val="nil"/>
              <w:bottom w:val="single" w:sz="4" w:space="0" w:color="auto"/>
              <w:right w:val="single" w:sz="4" w:space="0" w:color="auto"/>
            </w:tcBorders>
            <w:shd w:val="clear" w:color="auto" w:fill="auto"/>
            <w:noWrap/>
            <w:vAlign w:val="bottom"/>
            <w:hideMark/>
          </w:tcPr>
          <w:p w14:paraId="714C64CA" w14:textId="77777777" w:rsidR="00ED5344" w:rsidRPr="005C3BEB" w:rsidRDefault="00ED5344" w:rsidP="005C3BEB">
            <w:pPr>
              <w:spacing w:after="0" w:line="360" w:lineRule="auto"/>
              <w:jc w:val="both"/>
              <w:rPr>
                <w:rFonts w:eastAsia="Times New Roman" w:cs="Times New Roman"/>
                <w:b/>
                <w:bCs/>
                <w:color w:val="000000"/>
                <w:szCs w:val="24"/>
                <w:lang w:val="en-IN" w:eastAsia="en-IN"/>
              </w:rPr>
            </w:pPr>
            <w:r w:rsidRPr="005C3BEB">
              <w:rPr>
                <w:rFonts w:eastAsia="Times New Roman" w:cs="Times New Roman"/>
                <w:b/>
                <w:bCs/>
                <w:color w:val="000000"/>
                <w:szCs w:val="24"/>
                <w:lang w:val="en-IN" w:eastAsia="en-IN"/>
              </w:rPr>
              <w:t>FedEx</w:t>
            </w:r>
          </w:p>
        </w:tc>
      </w:tr>
      <w:tr w:rsidR="00ED5344" w:rsidRPr="005C3BEB" w14:paraId="0842301B" w14:textId="77777777" w:rsidTr="00546691">
        <w:trPr>
          <w:trHeight w:val="312"/>
        </w:trPr>
        <w:tc>
          <w:tcPr>
            <w:tcW w:w="2703" w:type="pct"/>
            <w:tcBorders>
              <w:top w:val="nil"/>
              <w:left w:val="single" w:sz="4" w:space="0" w:color="auto"/>
              <w:bottom w:val="single" w:sz="4" w:space="0" w:color="auto"/>
              <w:right w:val="single" w:sz="4" w:space="0" w:color="auto"/>
            </w:tcBorders>
            <w:shd w:val="clear" w:color="auto" w:fill="auto"/>
            <w:noWrap/>
            <w:vAlign w:val="center"/>
            <w:hideMark/>
          </w:tcPr>
          <w:p w14:paraId="5BF66C1A"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Particulars</w:t>
            </w:r>
          </w:p>
        </w:tc>
        <w:tc>
          <w:tcPr>
            <w:tcW w:w="766" w:type="pct"/>
            <w:tcBorders>
              <w:top w:val="nil"/>
              <w:left w:val="nil"/>
              <w:bottom w:val="single" w:sz="4" w:space="0" w:color="auto"/>
              <w:right w:val="single" w:sz="4" w:space="0" w:color="auto"/>
            </w:tcBorders>
            <w:shd w:val="clear" w:color="auto" w:fill="auto"/>
            <w:noWrap/>
            <w:vAlign w:val="center"/>
            <w:hideMark/>
          </w:tcPr>
          <w:p w14:paraId="179E02B4" w14:textId="77777777" w:rsidR="00ED5344" w:rsidRPr="005C3BEB" w:rsidRDefault="00ED5344" w:rsidP="005C3BEB">
            <w:pPr>
              <w:spacing w:after="0" w:line="360" w:lineRule="auto"/>
              <w:jc w:val="both"/>
              <w:rPr>
                <w:rFonts w:eastAsia="Times New Roman" w:cs="Times New Roman"/>
                <w:b/>
                <w:bCs/>
                <w:color w:val="000000"/>
                <w:szCs w:val="24"/>
                <w:lang w:val="en-IN" w:eastAsia="en-IN"/>
              </w:rPr>
            </w:pPr>
            <w:r w:rsidRPr="005C3BEB">
              <w:rPr>
                <w:rFonts w:eastAsia="Times New Roman" w:cs="Times New Roman"/>
                <w:b/>
                <w:bCs/>
                <w:color w:val="000000"/>
                <w:szCs w:val="24"/>
                <w:lang w:val="en-IN" w:eastAsia="en-IN"/>
              </w:rPr>
              <w:t>2022 (in £ m)</w:t>
            </w:r>
          </w:p>
        </w:tc>
        <w:tc>
          <w:tcPr>
            <w:tcW w:w="766" w:type="pct"/>
            <w:tcBorders>
              <w:top w:val="nil"/>
              <w:left w:val="nil"/>
              <w:bottom w:val="single" w:sz="4" w:space="0" w:color="auto"/>
              <w:right w:val="single" w:sz="4" w:space="0" w:color="auto"/>
            </w:tcBorders>
            <w:shd w:val="clear" w:color="auto" w:fill="auto"/>
            <w:noWrap/>
            <w:vAlign w:val="center"/>
            <w:hideMark/>
          </w:tcPr>
          <w:p w14:paraId="23DA8464" w14:textId="77777777" w:rsidR="00ED5344" w:rsidRPr="005C3BEB" w:rsidRDefault="00ED5344" w:rsidP="005C3BEB">
            <w:pPr>
              <w:spacing w:after="0" w:line="360" w:lineRule="auto"/>
              <w:jc w:val="both"/>
              <w:rPr>
                <w:rFonts w:eastAsia="Times New Roman" w:cs="Times New Roman"/>
                <w:b/>
                <w:bCs/>
                <w:color w:val="000000"/>
                <w:szCs w:val="24"/>
                <w:lang w:val="en-IN" w:eastAsia="en-IN"/>
              </w:rPr>
            </w:pPr>
            <w:r w:rsidRPr="005C3BEB">
              <w:rPr>
                <w:rFonts w:eastAsia="Times New Roman" w:cs="Times New Roman"/>
                <w:b/>
                <w:bCs/>
                <w:color w:val="000000"/>
                <w:szCs w:val="24"/>
                <w:lang w:val="en-IN" w:eastAsia="en-IN"/>
              </w:rPr>
              <w:t>2022 (in £ m)</w:t>
            </w:r>
          </w:p>
        </w:tc>
        <w:tc>
          <w:tcPr>
            <w:tcW w:w="766" w:type="pct"/>
            <w:tcBorders>
              <w:top w:val="nil"/>
              <w:left w:val="nil"/>
              <w:bottom w:val="single" w:sz="4" w:space="0" w:color="auto"/>
              <w:right w:val="single" w:sz="4" w:space="0" w:color="auto"/>
            </w:tcBorders>
            <w:shd w:val="clear" w:color="auto" w:fill="auto"/>
            <w:noWrap/>
            <w:vAlign w:val="center"/>
            <w:hideMark/>
          </w:tcPr>
          <w:p w14:paraId="1115B15E" w14:textId="77777777" w:rsidR="00ED5344" w:rsidRPr="005C3BEB" w:rsidRDefault="00ED5344" w:rsidP="005C3BEB">
            <w:pPr>
              <w:spacing w:after="0" w:line="360" w:lineRule="auto"/>
              <w:jc w:val="both"/>
              <w:rPr>
                <w:rFonts w:eastAsia="Times New Roman" w:cs="Times New Roman"/>
                <w:b/>
                <w:bCs/>
                <w:color w:val="000000"/>
                <w:szCs w:val="24"/>
                <w:lang w:val="en-IN" w:eastAsia="en-IN"/>
              </w:rPr>
            </w:pPr>
            <w:r w:rsidRPr="005C3BEB">
              <w:rPr>
                <w:rFonts w:eastAsia="Times New Roman" w:cs="Times New Roman"/>
                <w:b/>
                <w:bCs/>
                <w:color w:val="000000"/>
                <w:szCs w:val="24"/>
                <w:lang w:val="en-IN" w:eastAsia="en-IN"/>
              </w:rPr>
              <w:t>2022 (in £ m)</w:t>
            </w:r>
          </w:p>
        </w:tc>
      </w:tr>
      <w:tr w:rsidR="00ED5344" w:rsidRPr="005C3BEB" w14:paraId="21FFAD36" w14:textId="77777777" w:rsidTr="00546691">
        <w:trPr>
          <w:trHeight w:val="312"/>
        </w:trPr>
        <w:tc>
          <w:tcPr>
            <w:tcW w:w="2703" w:type="pct"/>
            <w:tcBorders>
              <w:top w:val="nil"/>
              <w:left w:val="single" w:sz="4" w:space="0" w:color="auto"/>
              <w:bottom w:val="single" w:sz="4" w:space="0" w:color="auto"/>
              <w:right w:val="single" w:sz="4" w:space="0" w:color="auto"/>
            </w:tcBorders>
            <w:shd w:val="clear" w:color="auto" w:fill="auto"/>
            <w:noWrap/>
            <w:vAlign w:val="center"/>
            <w:hideMark/>
          </w:tcPr>
          <w:p w14:paraId="6E3C1DD3"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 </w:t>
            </w:r>
          </w:p>
        </w:tc>
        <w:tc>
          <w:tcPr>
            <w:tcW w:w="766" w:type="pct"/>
            <w:tcBorders>
              <w:top w:val="nil"/>
              <w:left w:val="nil"/>
              <w:bottom w:val="single" w:sz="4" w:space="0" w:color="auto"/>
              <w:right w:val="single" w:sz="4" w:space="0" w:color="auto"/>
            </w:tcBorders>
            <w:shd w:val="clear" w:color="auto" w:fill="auto"/>
            <w:noWrap/>
            <w:vAlign w:val="center"/>
            <w:hideMark/>
          </w:tcPr>
          <w:p w14:paraId="13511354"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 </w:t>
            </w:r>
          </w:p>
        </w:tc>
        <w:tc>
          <w:tcPr>
            <w:tcW w:w="766" w:type="pct"/>
            <w:tcBorders>
              <w:top w:val="nil"/>
              <w:left w:val="nil"/>
              <w:bottom w:val="single" w:sz="4" w:space="0" w:color="auto"/>
              <w:right w:val="single" w:sz="4" w:space="0" w:color="auto"/>
            </w:tcBorders>
            <w:shd w:val="clear" w:color="auto" w:fill="auto"/>
            <w:noWrap/>
            <w:vAlign w:val="center"/>
            <w:hideMark/>
          </w:tcPr>
          <w:p w14:paraId="285F31BE"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 </w:t>
            </w:r>
          </w:p>
        </w:tc>
        <w:tc>
          <w:tcPr>
            <w:tcW w:w="766" w:type="pct"/>
            <w:tcBorders>
              <w:top w:val="nil"/>
              <w:left w:val="nil"/>
              <w:bottom w:val="single" w:sz="4" w:space="0" w:color="auto"/>
              <w:right w:val="single" w:sz="4" w:space="0" w:color="auto"/>
            </w:tcBorders>
            <w:shd w:val="clear" w:color="auto" w:fill="auto"/>
            <w:noWrap/>
            <w:vAlign w:val="center"/>
            <w:hideMark/>
          </w:tcPr>
          <w:p w14:paraId="670410A6"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 </w:t>
            </w:r>
          </w:p>
        </w:tc>
      </w:tr>
      <w:tr w:rsidR="00ED5344" w:rsidRPr="005C3BEB" w14:paraId="257A557A" w14:textId="77777777" w:rsidTr="00546691">
        <w:trPr>
          <w:trHeight w:val="312"/>
        </w:trPr>
        <w:tc>
          <w:tcPr>
            <w:tcW w:w="2703" w:type="pct"/>
            <w:tcBorders>
              <w:top w:val="nil"/>
              <w:left w:val="single" w:sz="4" w:space="0" w:color="auto"/>
              <w:bottom w:val="single" w:sz="4" w:space="0" w:color="auto"/>
              <w:right w:val="single" w:sz="4" w:space="0" w:color="auto"/>
            </w:tcBorders>
            <w:shd w:val="clear" w:color="auto" w:fill="auto"/>
            <w:noWrap/>
            <w:vAlign w:val="center"/>
            <w:hideMark/>
          </w:tcPr>
          <w:p w14:paraId="68A4C296"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Total Debt</w:t>
            </w:r>
          </w:p>
        </w:tc>
        <w:tc>
          <w:tcPr>
            <w:tcW w:w="766" w:type="pct"/>
            <w:tcBorders>
              <w:top w:val="nil"/>
              <w:left w:val="nil"/>
              <w:bottom w:val="single" w:sz="4" w:space="0" w:color="auto"/>
              <w:right w:val="single" w:sz="4" w:space="0" w:color="auto"/>
            </w:tcBorders>
            <w:shd w:val="clear" w:color="auto" w:fill="auto"/>
            <w:noWrap/>
            <w:vAlign w:val="bottom"/>
            <w:hideMark/>
          </w:tcPr>
          <w:p w14:paraId="13C9E9C2"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 xml:space="preserve"> £            5,345 </w:t>
            </w:r>
          </w:p>
        </w:tc>
        <w:tc>
          <w:tcPr>
            <w:tcW w:w="766" w:type="pct"/>
            <w:tcBorders>
              <w:top w:val="nil"/>
              <w:left w:val="nil"/>
              <w:bottom w:val="single" w:sz="4" w:space="0" w:color="auto"/>
              <w:right w:val="single" w:sz="4" w:space="0" w:color="auto"/>
            </w:tcBorders>
            <w:shd w:val="clear" w:color="auto" w:fill="auto"/>
            <w:noWrap/>
            <w:vAlign w:val="bottom"/>
            <w:hideMark/>
          </w:tcPr>
          <w:p w14:paraId="44197538"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 xml:space="preserve"> £          39,650 </w:t>
            </w:r>
          </w:p>
        </w:tc>
        <w:tc>
          <w:tcPr>
            <w:tcW w:w="766" w:type="pct"/>
            <w:tcBorders>
              <w:top w:val="nil"/>
              <w:left w:val="nil"/>
              <w:bottom w:val="single" w:sz="4" w:space="0" w:color="auto"/>
              <w:right w:val="single" w:sz="4" w:space="0" w:color="auto"/>
            </w:tcBorders>
            <w:shd w:val="clear" w:color="auto" w:fill="auto"/>
            <w:noWrap/>
            <w:vAlign w:val="bottom"/>
            <w:hideMark/>
          </w:tcPr>
          <w:p w14:paraId="1FB2B299"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 xml:space="preserve"> £          47,170 </w:t>
            </w:r>
          </w:p>
        </w:tc>
      </w:tr>
      <w:tr w:rsidR="00ED5344" w:rsidRPr="005C3BEB" w14:paraId="016ACA0A" w14:textId="77777777" w:rsidTr="00546691">
        <w:trPr>
          <w:trHeight w:val="312"/>
        </w:trPr>
        <w:tc>
          <w:tcPr>
            <w:tcW w:w="2703" w:type="pct"/>
            <w:tcBorders>
              <w:top w:val="nil"/>
              <w:left w:val="single" w:sz="4" w:space="0" w:color="auto"/>
              <w:bottom w:val="single" w:sz="4" w:space="0" w:color="auto"/>
              <w:right w:val="single" w:sz="4" w:space="0" w:color="auto"/>
            </w:tcBorders>
            <w:shd w:val="clear" w:color="auto" w:fill="auto"/>
            <w:noWrap/>
            <w:vAlign w:val="center"/>
            <w:hideMark/>
          </w:tcPr>
          <w:p w14:paraId="612DDE25"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lastRenderedPageBreak/>
              <w:t>Total Assets</w:t>
            </w:r>
          </w:p>
        </w:tc>
        <w:tc>
          <w:tcPr>
            <w:tcW w:w="766" w:type="pct"/>
            <w:tcBorders>
              <w:top w:val="nil"/>
              <w:left w:val="nil"/>
              <w:bottom w:val="single" w:sz="4" w:space="0" w:color="auto"/>
              <w:right w:val="single" w:sz="4" w:space="0" w:color="auto"/>
            </w:tcBorders>
            <w:shd w:val="clear" w:color="auto" w:fill="auto"/>
            <w:noWrap/>
            <w:vAlign w:val="bottom"/>
            <w:hideMark/>
          </w:tcPr>
          <w:p w14:paraId="37B00D74"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 xml:space="preserve"> £          10,679 </w:t>
            </w:r>
          </w:p>
        </w:tc>
        <w:tc>
          <w:tcPr>
            <w:tcW w:w="766" w:type="pct"/>
            <w:tcBorders>
              <w:top w:val="nil"/>
              <w:left w:val="nil"/>
              <w:bottom w:val="single" w:sz="4" w:space="0" w:color="auto"/>
              <w:right w:val="single" w:sz="4" w:space="0" w:color="auto"/>
            </w:tcBorders>
            <w:shd w:val="clear" w:color="auto" w:fill="auto"/>
            <w:noWrap/>
            <w:vAlign w:val="bottom"/>
            <w:hideMark/>
          </w:tcPr>
          <w:p w14:paraId="7800F713"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 xml:space="preserve"> £          54,950 </w:t>
            </w:r>
          </w:p>
        </w:tc>
        <w:tc>
          <w:tcPr>
            <w:tcW w:w="766" w:type="pct"/>
            <w:tcBorders>
              <w:top w:val="nil"/>
              <w:left w:val="nil"/>
              <w:bottom w:val="single" w:sz="4" w:space="0" w:color="auto"/>
              <w:right w:val="single" w:sz="4" w:space="0" w:color="auto"/>
            </w:tcBorders>
            <w:shd w:val="clear" w:color="auto" w:fill="auto"/>
            <w:noWrap/>
            <w:vAlign w:val="bottom"/>
            <w:hideMark/>
          </w:tcPr>
          <w:p w14:paraId="58138F3C"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 xml:space="preserve"> £          66,438 </w:t>
            </w:r>
          </w:p>
        </w:tc>
      </w:tr>
      <w:tr w:rsidR="00ED5344" w:rsidRPr="005C3BEB" w14:paraId="394347B5" w14:textId="77777777" w:rsidTr="00546691">
        <w:trPr>
          <w:trHeight w:val="312"/>
        </w:trPr>
        <w:tc>
          <w:tcPr>
            <w:tcW w:w="2703" w:type="pct"/>
            <w:tcBorders>
              <w:top w:val="nil"/>
              <w:left w:val="single" w:sz="4" w:space="0" w:color="auto"/>
              <w:bottom w:val="single" w:sz="4" w:space="0" w:color="auto"/>
              <w:right w:val="single" w:sz="4" w:space="0" w:color="auto"/>
            </w:tcBorders>
            <w:shd w:val="clear" w:color="auto" w:fill="auto"/>
            <w:noWrap/>
            <w:vAlign w:val="center"/>
            <w:hideMark/>
          </w:tcPr>
          <w:p w14:paraId="78D5A1EB"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 </w:t>
            </w:r>
          </w:p>
        </w:tc>
        <w:tc>
          <w:tcPr>
            <w:tcW w:w="766" w:type="pct"/>
            <w:tcBorders>
              <w:top w:val="nil"/>
              <w:left w:val="nil"/>
              <w:bottom w:val="single" w:sz="4" w:space="0" w:color="auto"/>
              <w:right w:val="single" w:sz="4" w:space="0" w:color="auto"/>
            </w:tcBorders>
            <w:shd w:val="clear" w:color="auto" w:fill="auto"/>
            <w:noWrap/>
            <w:vAlign w:val="center"/>
            <w:hideMark/>
          </w:tcPr>
          <w:p w14:paraId="36B1AEBB"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 </w:t>
            </w:r>
          </w:p>
        </w:tc>
        <w:tc>
          <w:tcPr>
            <w:tcW w:w="766" w:type="pct"/>
            <w:tcBorders>
              <w:top w:val="nil"/>
              <w:left w:val="nil"/>
              <w:bottom w:val="single" w:sz="4" w:space="0" w:color="auto"/>
              <w:right w:val="single" w:sz="4" w:space="0" w:color="auto"/>
            </w:tcBorders>
            <w:shd w:val="clear" w:color="auto" w:fill="auto"/>
            <w:noWrap/>
            <w:vAlign w:val="center"/>
            <w:hideMark/>
          </w:tcPr>
          <w:p w14:paraId="598912C6"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 </w:t>
            </w:r>
          </w:p>
        </w:tc>
        <w:tc>
          <w:tcPr>
            <w:tcW w:w="766" w:type="pct"/>
            <w:tcBorders>
              <w:top w:val="nil"/>
              <w:left w:val="nil"/>
              <w:bottom w:val="single" w:sz="4" w:space="0" w:color="auto"/>
              <w:right w:val="single" w:sz="4" w:space="0" w:color="auto"/>
            </w:tcBorders>
            <w:shd w:val="clear" w:color="auto" w:fill="auto"/>
            <w:noWrap/>
            <w:vAlign w:val="center"/>
            <w:hideMark/>
          </w:tcPr>
          <w:p w14:paraId="7AA223C5"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 </w:t>
            </w:r>
          </w:p>
        </w:tc>
      </w:tr>
      <w:tr w:rsidR="00ED5344" w:rsidRPr="005C3BEB" w14:paraId="6514E317" w14:textId="77777777" w:rsidTr="00546691">
        <w:trPr>
          <w:trHeight w:val="312"/>
        </w:trPr>
        <w:tc>
          <w:tcPr>
            <w:tcW w:w="2703" w:type="pct"/>
            <w:tcBorders>
              <w:top w:val="nil"/>
              <w:left w:val="single" w:sz="4" w:space="0" w:color="auto"/>
              <w:bottom w:val="single" w:sz="4" w:space="0" w:color="auto"/>
              <w:right w:val="single" w:sz="4" w:space="0" w:color="auto"/>
            </w:tcBorders>
            <w:shd w:val="clear" w:color="auto" w:fill="auto"/>
            <w:vAlign w:val="center"/>
            <w:hideMark/>
          </w:tcPr>
          <w:p w14:paraId="6522D06E" w14:textId="77777777" w:rsidR="00ED5344" w:rsidRPr="005C3BEB" w:rsidRDefault="00ED5344" w:rsidP="005C3BEB">
            <w:pPr>
              <w:spacing w:after="0" w:line="360" w:lineRule="auto"/>
              <w:jc w:val="both"/>
              <w:rPr>
                <w:rFonts w:eastAsia="Times New Roman" w:cs="Times New Roman"/>
                <w:b/>
                <w:bCs/>
                <w:color w:val="000000"/>
                <w:szCs w:val="24"/>
                <w:lang w:val="en-IN" w:eastAsia="en-IN"/>
              </w:rPr>
            </w:pPr>
            <w:r w:rsidRPr="005C3BEB">
              <w:rPr>
                <w:rFonts w:eastAsia="Times New Roman" w:cs="Times New Roman"/>
                <w:b/>
                <w:bCs/>
                <w:color w:val="000000"/>
                <w:szCs w:val="24"/>
                <w:lang w:val="en-IN" w:eastAsia="en-IN"/>
              </w:rPr>
              <w:t>Debt-to-Assets Ratio </w:t>
            </w:r>
          </w:p>
        </w:tc>
        <w:tc>
          <w:tcPr>
            <w:tcW w:w="766" w:type="pct"/>
            <w:tcBorders>
              <w:top w:val="nil"/>
              <w:left w:val="nil"/>
              <w:bottom w:val="single" w:sz="4" w:space="0" w:color="auto"/>
              <w:right w:val="single" w:sz="4" w:space="0" w:color="auto"/>
            </w:tcBorders>
            <w:shd w:val="clear" w:color="auto" w:fill="auto"/>
            <w:noWrap/>
            <w:vAlign w:val="center"/>
            <w:hideMark/>
          </w:tcPr>
          <w:p w14:paraId="03A2F876" w14:textId="77777777" w:rsidR="00ED5344" w:rsidRPr="005C3BEB" w:rsidRDefault="00ED5344" w:rsidP="005C3BEB">
            <w:pPr>
              <w:spacing w:after="0" w:line="360" w:lineRule="auto"/>
              <w:jc w:val="both"/>
              <w:rPr>
                <w:rFonts w:eastAsia="Times New Roman" w:cs="Times New Roman"/>
                <w:b/>
                <w:bCs/>
                <w:color w:val="000000"/>
                <w:szCs w:val="24"/>
                <w:lang w:val="en-IN" w:eastAsia="en-IN"/>
              </w:rPr>
            </w:pPr>
            <w:r w:rsidRPr="005C3BEB">
              <w:rPr>
                <w:rFonts w:eastAsia="Times New Roman" w:cs="Times New Roman"/>
                <w:b/>
                <w:bCs/>
                <w:color w:val="000000"/>
                <w:szCs w:val="24"/>
                <w:lang w:val="en-IN" w:eastAsia="en-IN"/>
              </w:rPr>
              <w:t>0.50</w:t>
            </w:r>
          </w:p>
        </w:tc>
        <w:tc>
          <w:tcPr>
            <w:tcW w:w="766" w:type="pct"/>
            <w:tcBorders>
              <w:top w:val="nil"/>
              <w:left w:val="nil"/>
              <w:bottom w:val="single" w:sz="4" w:space="0" w:color="auto"/>
              <w:right w:val="single" w:sz="4" w:space="0" w:color="auto"/>
            </w:tcBorders>
            <w:shd w:val="clear" w:color="auto" w:fill="auto"/>
            <w:noWrap/>
            <w:vAlign w:val="center"/>
            <w:hideMark/>
          </w:tcPr>
          <w:p w14:paraId="1E227AF2" w14:textId="77777777" w:rsidR="00ED5344" w:rsidRPr="005C3BEB" w:rsidRDefault="00ED5344" w:rsidP="005C3BEB">
            <w:pPr>
              <w:spacing w:after="0" w:line="360" w:lineRule="auto"/>
              <w:jc w:val="both"/>
              <w:rPr>
                <w:rFonts w:eastAsia="Times New Roman" w:cs="Times New Roman"/>
                <w:b/>
                <w:bCs/>
                <w:color w:val="000000"/>
                <w:szCs w:val="24"/>
                <w:lang w:val="en-IN" w:eastAsia="en-IN"/>
              </w:rPr>
            </w:pPr>
            <w:r w:rsidRPr="005C3BEB">
              <w:rPr>
                <w:rFonts w:eastAsia="Times New Roman" w:cs="Times New Roman"/>
                <w:b/>
                <w:bCs/>
                <w:color w:val="000000"/>
                <w:szCs w:val="24"/>
                <w:lang w:val="en-IN" w:eastAsia="en-IN"/>
              </w:rPr>
              <w:t>0.72</w:t>
            </w:r>
          </w:p>
        </w:tc>
        <w:tc>
          <w:tcPr>
            <w:tcW w:w="766" w:type="pct"/>
            <w:tcBorders>
              <w:top w:val="nil"/>
              <w:left w:val="nil"/>
              <w:bottom w:val="single" w:sz="4" w:space="0" w:color="auto"/>
              <w:right w:val="single" w:sz="4" w:space="0" w:color="auto"/>
            </w:tcBorders>
            <w:shd w:val="clear" w:color="auto" w:fill="auto"/>
            <w:noWrap/>
            <w:vAlign w:val="center"/>
            <w:hideMark/>
          </w:tcPr>
          <w:p w14:paraId="2BD3529C" w14:textId="77777777" w:rsidR="00ED5344" w:rsidRPr="005C3BEB" w:rsidRDefault="00ED5344" w:rsidP="005C3BEB">
            <w:pPr>
              <w:spacing w:after="0" w:line="360" w:lineRule="auto"/>
              <w:jc w:val="both"/>
              <w:rPr>
                <w:rFonts w:eastAsia="Times New Roman" w:cs="Times New Roman"/>
                <w:b/>
                <w:bCs/>
                <w:color w:val="000000"/>
                <w:szCs w:val="24"/>
                <w:lang w:val="en-IN" w:eastAsia="en-IN"/>
              </w:rPr>
            </w:pPr>
            <w:r w:rsidRPr="005C3BEB">
              <w:rPr>
                <w:rFonts w:eastAsia="Times New Roman" w:cs="Times New Roman"/>
                <w:b/>
                <w:bCs/>
                <w:color w:val="000000"/>
                <w:szCs w:val="24"/>
                <w:lang w:val="en-IN" w:eastAsia="en-IN"/>
              </w:rPr>
              <w:t>0.71</w:t>
            </w:r>
          </w:p>
        </w:tc>
      </w:tr>
      <w:tr w:rsidR="00ED5344" w:rsidRPr="005C3BEB" w14:paraId="01492FE7" w14:textId="77777777" w:rsidTr="00546691">
        <w:trPr>
          <w:trHeight w:val="312"/>
        </w:trPr>
        <w:tc>
          <w:tcPr>
            <w:tcW w:w="2703" w:type="pct"/>
            <w:tcBorders>
              <w:top w:val="nil"/>
              <w:left w:val="single" w:sz="4" w:space="0" w:color="auto"/>
              <w:bottom w:val="single" w:sz="4" w:space="0" w:color="auto"/>
              <w:right w:val="single" w:sz="4" w:space="0" w:color="auto"/>
            </w:tcBorders>
            <w:shd w:val="clear" w:color="auto" w:fill="auto"/>
            <w:noWrap/>
            <w:vAlign w:val="center"/>
            <w:hideMark/>
          </w:tcPr>
          <w:p w14:paraId="6D58E0F0"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Total Debt / Total Assets</w:t>
            </w:r>
          </w:p>
        </w:tc>
        <w:tc>
          <w:tcPr>
            <w:tcW w:w="766" w:type="pct"/>
            <w:tcBorders>
              <w:top w:val="nil"/>
              <w:left w:val="nil"/>
              <w:bottom w:val="single" w:sz="4" w:space="0" w:color="auto"/>
              <w:right w:val="single" w:sz="4" w:space="0" w:color="auto"/>
            </w:tcBorders>
            <w:shd w:val="clear" w:color="auto" w:fill="auto"/>
            <w:noWrap/>
            <w:vAlign w:val="center"/>
            <w:hideMark/>
          </w:tcPr>
          <w:p w14:paraId="05BA537F"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 </w:t>
            </w:r>
          </w:p>
        </w:tc>
        <w:tc>
          <w:tcPr>
            <w:tcW w:w="766" w:type="pct"/>
            <w:tcBorders>
              <w:top w:val="nil"/>
              <w:left w:val="nil"/>
              <w:bottom w:val="single" w:sz="4" w:space="0" w:color="auto"/>
              <w:right w:val="single" w:sz="4" w:space="0" w:color="auto"/>
            </w:tcBorders>
            <w:shd w:val="clear" w:color="auto" w:fill="auto"/>
            <w:noWrap/>
            <w:vAlign w:val="center"/>
            <w:hideMark/>
          </w:tcPr>
          <w:p w14:paraId="5821EFCC"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 </w:t>
            </w:r>
          </w:p>
        </w:tc>
        <w:tc>
          <w:tcPr>
            <w:tcW w:w="766" w:type="pct"/>
            <w:tcBorders>
              <w:top w:val="nil"/>
              <w:left w:val="nil"/>
              <w:bottom w:val="single" w:sz="4" w:space="0" w:color="auto"/>
              <w:right w:val="single" w:sz="4" w:space="0" w:color="auto"/>
            </w:tcBorders>
            <w:shd w:val="clear" w:color="auto" w:fill="auto"/>
            <w:noWrap/>
            <w:vAlign w:val="center"/>
            <w:hideMark/>
          </w:tcPr>
          <w:p w14:paraId="28F95BF3"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 </w:t>
            </w:r>
          </w:p>
        </w:tc>
      </w:tr>
    </w:tbl>
    <w:p w14:paraId="6FBF745A" w14:textId="77777777" w:rsidR="00ED5344" w:rsidRPr="005C3BEB" w:rsidRDefault="00ED5344" w:rsidP="005C3BEB">
      <w:pPr>
        <w:spacing w:line="360" w:lineRule="auto"/>
        <w:jc w:val="both"/>
        <w:rPr>
          <w:rFonts w:cs="Times New Roman"/>
          <w:b/>
          <w:bCs/>
          <w:szCs w:val="24"/>
        </w:rPr>
      </w:pPr>
    </w:p>
    <w:p w14:paraId="1EDF8CD2" w14:textId="77777777" w:rsidR="00ED5344" w:rsidRPr="005C3BEB" w:rsidRDefault="00ED5344" w:rsidP="005C3BEB">
      <w:pPr>
        <w:spacing w:line="360" w:lineRule="auto"/>
        <w:jc w:val="both"/>
        <w:rPr>
          <w:rFonts w:cs="Times New Roman"/>
          <w:b/>
          <w:bCs/>
          <w:szCs w:val="24"/>
        </w:rPr>
      </w:pPr>
      <w:r w:rsidRPr="005C3BEB">
        <w:rPr>
          <w:rFonts w:cs="Times New Roman"/>
          <w:b/>
          <w:bCs/>
          <w:szCs w:val="24"/>
        </w:rPr>
        <w:t>Debt-to-Equity Ratio:</w:t>
      </w:r>
    </w:p>
    <w:p w14:paraId="012A1781" w14:textId="77777777" w:rsidR="00ED5344" w:rsidRPr="005C3BEB" w:rsidRDefault="00ED5344" w:rsidP="005C3BEB">
      <w:pPr>
        <w:spacing w:line="360" w:lineRule="auto"/>
        <w:jc w:val="both"/>
        <w:rPr>
          <w:rFonts w:cs="Times New Roman"/>
          <w:szCs w:val="24"/>
        </w:rPr>
      </w:pPr>
      <w:r w:rsidRPr="005C3BEB">
        <w:rPr>
          <w:rFonts w:cs="Times New Roman"/>
          <w:szCs w:val="24"/>
        </w:rPr>
        <w:t>Debt to equity ratio is also an important ratio which reflects company’s capital position through comparing the debt and total assets of the business. As discussed above, an ideal debt to equity ratio would not be greater than 2. UPS and FedEx’s debt to equity ratio has been reflecting both the entities are highly leveraged and operating at high risk which can backfire the business in volatile business revenues. On the other hand, Royal mail seems to operate at below optimised combination of equity and debt. Current debt to equity ratio of Royal Mail is 1 which should increase to at least 1.5 for faster growth.</w:t>
      </w:r>
    </w:p>
    <w:tbl>
      <w:tblPr>
        <w:tblW w:w="5000" w:type="pct"/>
        <w:tblLook w:val="04A0" w:firstRow="1" w:lastRow="0" w:firstColumn="1" w:lastColumn="0" w:noHBand="0" w:noVBand="1"/>
      </w:tblPr>
      <w:tblGrid>
        <w:gridCol w:w="4048"/>
        <w:gridCol w:w="1656"/>
        <w:gridCol w:w="1656"/>
        <w:gridCol w:w="1656"/>
      </w:tblGrid>
      <w:tr w:rsidR="00ED5344" w:rsidRPr="005C3BEB" w14:paraId="2629413C" w14:textId="77777777" w:rsidTr="00546691">
        <w:trPr>
          <w:trHeight w:val="312"/>
        </w:trPr>
        <w:tc>
          <w:tcPr>
            <w:tcW w:w="270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6D460B7" w14:textId="77777777" w:rsidR="00ED5344" w:rsidRPr="005C3BEB" w:rsidRDefault="00ED5344" w:rsidP="005C3BEB">
            <w:pPr>
              <w:spacing w:after="0" w:line="360" w:lineRule="auto"/>
              <w:jc w:val="both"/>
              <w:rPr>
                <w:rFonts w:eastAsia="Times New Roman" w:cs="Times New Roman"/>
                <w:b/>
                <w:bCs/>
                <w:color w:val="000000"/>
                <w:szCs w:val="24"/>
                <w:lang w:val="en-IN" w:eastAsia="en-IN"/>
              </w:rPr>
            </w:pPr>
            <w:r w:rsidRPr="005C3BEB">
              <w:rPr>
                <w:rFonts w:eastAsia="Times New Roman" w:cs="Times New Roman"/>
                <w:b/>
                <w:bCs/>
                <w:color w:val="000000"/>
                <w:szCs w:val="24"/>
                <w:lang w:val="en-IN" w:eastAsia="en-IN"/>
              </w:rPr>
              <w:t>Debt-to-Equity Ratio </w:t>
            </w:r>
          </w:p>
        </w:tc>
        <w:tc>
          <w:tcPr>
            <w:tcW w:w="766" w:type="pct"/>
            <w:tcBorders>
              <w:top w:val="single" w:sz="4" w:space="0" w:color="auto"/>
              <w:left w:val="nil"/>
              <w:bottom w:val="single" w:sz="4" w:space="0" w:color="auto"/>
              <w:right w:val="single" w:sz="4" w:space="0" w:color="auto"/>
            </w:tcBorders>
            <w:shd w:val="clear" w:color="auto" w:fill="auto"/>
            <w:noWrap/>
            <w:vAlign w:val="bottom"/>
            <w:hideMark/>
          </w:tcPr>
          <w:p w14:paraId="5C8F36CE" w14:textId="77777777" w:rsidR="00ED5344" w:rsidRPr="005C3BEB" w:rsidRDefault="00ED5344" w:rsidP="005C3BEB">
            <w:pPr>
              <w:spacing w:after="0" w:line="360" w:lineRule="auto"/>
              <w:jc w:val="both"/>
              <w:rPr>
                <w:rFonts w:eastAsia="Times New Roman" w:cs="Times New Roman"/>
                <w:b/>
                <w:bCs/>
                <w:color w:val="000000"/>
                <w:szCs w:val="24"/>
                <w:lang w:val="en-IN" w:eastAsia="en-IN"/>
              </w:rPr>
            </w:pPr>
            <w:r w:rsidRPr="005C3BEB">
              <w:rPr>
                <w:rFonts w:eastAsia="Times New Roman" w:cs="Times New Roman"/>
                <w:b/>
                <w:bCs/>
                <w:color w:val="000000"/>
                <w:szCs w:val="24"/>
                <w:lang w:val="en-IN" w:eastAsia="en-IN"/>
              </w:rPr>
              <w:t>Royal Mail</w:t>
            </w:r>
          </w:p>
        </w:tc>
        <w:tc>
          <w:tcPr>
            <w:tcW w:w="766" w:type="pct"/>
            <w:tcBorders>
              <w:top w:val="single" w:sz="4" w:space="0" w:color="auto"/>
              <w:left w:val="nil"/>
              <w:bottom w:val="single" w:sz="4" w:space="0" w:color="auto"/>
              <w:right w:val="single" w:sz="4" w:space="0" w:color="auto"/>
            </w:tcBorders>
            <w:shd w:val="clear" w:color="auto" w:fill="auto"/>
            <w:noWrap/>
            <w:vAlign w:val="bottom"/>
            <w:hideMark/>
          </w:tcPr>
          <w:p w14:paraId="7D365878" w14:textId="77777777" w:rsidR="00ED5344" w:rsidRPr="005C3BEB" w:rsidRDefault="00ED5344" w:rsidP="005C3BEB">
            <w:pPr>
              <w:spacing w:after="0" w:line="360" w:lineRule="auto"/>
              <w:jc w:val="both"/>
              <w:rPr>
                <w:rFonts w:eastAsia="Times New Roman" w:cs="Times New Roman"/>
                <w:b/>
                <w:bCs/>
                <w:color w:val="000000"/>
                <w:szCs w:val="24"/>
                <w:lang w:val="en-IN" w:eastAsia="en-IN"/>
              </w:rPr>
            </w:pPr>
            <w:r w:rsidRPr="005C3BEB">
              <w:rPr>
                <w:rFonts w:eastAsia="Times New Roman" w:cs="Times New Roman"/>
                <w:b/>
                <w:bCs/>
                <w:color w:val="000000"/>
                <w:szCs w:val="24"/>
                <w:lang w:val="en-IN" w:eastAsia="en-IN"/>
              </w:rPr>
              <w:t>UPS</w:t>
            </w:r>
          </w:p>
        </w:tc>
        <w:tc>
          <w:tcPr>
            <w:tcW w:w="766" w:type="pct"/>
            <w:tcBorders>
              <w:top w:val="single" w:sz="4" w:space="0" w:color="auto"/>
              <w:left w:val="nil"/>
              <w:bottom w:val="single" w:sz="4" w:space="0" w:color="auto"/>
              <w:right w:val="single" w:sz="4" w:space="0" w:color="auto"/>
            </w:tcBorders>
            <w:shd w:val="clear" w:color="auto" w:fill="auto"/>
            <w:noWrap/>
            <w:vAlign w:val="bottom"/>
            <w:hideMark/>
          </w:tcPr>
          <w:p w14:paraId="28ECF96B" w14:textId="77777777" w:rsidR="00ED5344" w:rsidRPr="005C3BEB" w:rsidRDefault="00ED5344" w:rsidP="005C3BEB">
            <w:pPr>
              <w:spacing w:after="0" w:line="360" w:lineRule="auto"/>
              <w:jc w:val="both"/>
              <w:rPr>
                <w:rFonts w:eastAsia="Times New Roman" w:cs="Times New Roman"/>
                <w:b/>
                <w:bCs/>
                <w:color w:val="000000"/>
                <w:szCs w:val="24"/>
                <w:lang w:val="en-IN" w:eastAsia="en-IN"/>
              </w:rPr>
            </w:pPr>
            <w:r w:rsidRPr="005C3BEB">
              <w:rPr>
                <w:rFonts w:eastAsia="Times New Roman" w:cs="Times New Roman"/>
                <w:b/>
                <w:bCs/>
                <w:color w:val="000000"/>
                <w:szCs w:val="24"/>
                <w:lang w:val="en-IN" w:eastAsia="en-IN"/>
              </w:rPr>
              <w:t>FedEx</w:t>
            </w:r>
          </w:p>
        </w:tc>
      </w:tr>
      <w:tr w:rsidR="00ED5344" w:rsidRPr="005C3BEB" w14:paraId="09E96891" w14:textId="77777777" w:rsidTr="00546691">
        <w:trPr>
          <w:trHeight w:val="312"/>
        </w:trPr>
        <w:tc>
          <w:tcPr>
            <w:tcW w:w="2703" w:type="pct"/>
            <w:tcBorders>
              <w:top w:val="nil"/>
              <w:left w:val="single" w:sz="4" w:space="0" w:color="auto"/>
              <w:bottom w:val="single" w:sz="4" w:space="0" w:color="auto"/>
              <w:right w:val="single" w:sz="4" w:space="0" w:color="auto"/>
            </w:tcBorders>
            <w:shd w:val="clear" w:color="auto" w:fill="auto"/>
            <w:noWrap/>
            <w:vAlign w:val="center"/>
            <w:hideMark/>
          </w:tcPr>
          <w:p w14:paraId="17B85997"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Particulars</w:t>
            </w:r>
          </w:p>
        </w:tc>
        <w:tc>
          <w:tcPr>
            <w:tcW w:w="766" w:type="pct"/>
            <w:tcBorders>
              <w:top w:val="nil"/>
              <w:left w:val="nil"/>
              <w:bottom w:val="single" w:sz="4" w:space="0" w:color="auto"/>
              <w:right w:val="single" w:sz="4" w:space="0" w:color="auto"/>
            </w:tcBorders>
            <w:shd w:val="clear" w:color="auto" w:fill="auto"/>
            <w:noWrap/>
            <w:vAlign w:val="center"/>
            <w:hideMark/>
          </w:tcPr>
          <w:p w14:paraId="1651B194" w14:textId="77777777" w:rsidR="00ED5344" w:rsidRPr="005C3BEB" w:rsidRDefault="00ED5344" w:rsidP="005C3BEB">
            <w:pPr>
              <w:spacing w:after="0" w:line="360" w:lineRule="auto"/>
              <w:jc w:val="both"/>
              <w:rPr>
                <w:rFonts w:eastAsia="Times New Roman" w:cs="Times New Roman"/>
                <w:b/>
                <w:bCs/>
                <w:color w:val="000000"/>
                <w:szCs w:val="24"/>
                <w:lang w:val="en-IN" w:eastAsia="en-IN"/>
              </w:rPr>
            </w:pPr>
            <w:r w:rsidRPr="005C3BEB">
              <w:rPr>
                <w:rFonts w:eastAsia="Times New Roman" w:cs="Times New Roman"/>
                <w:b/>
                <w:bCs/>
                <w:color w:val="000000"/>
                <w:szCs w:val="24"/>
                <w:lang w:val="en-IN" w:eastAsia="en-IN"/>
              </w:rPr>
              <w:t>2022 (in £ m)</w:t>
            </w:r>
          </w:p>
        </w:tc>
        <w:tc>
          <w:tcPr>
            <w:tcW w:w="766" w:type="pct"/>
            <w:tcBorders>
              <w:top w:val="nil"/>
              <w:left w:val="nil"/>
              <w:bottom w:val="single" w:sz="4" w:space="0" w:color="auto"/>
              <w:right w:val="single" w:sz="4" w:space="0" w:color="auto"/>
            </w:tcBorders>
            <w:shd w:val="clear" w:color="auto" w:fill="auto"/>
            <w:noWrap/>
            <w:vAlign w:val="center"/>
            <w:hideMark/>
          </w:tcPr>
          <w:p w14:paraId="57162553" w14:textId="77777777" w:rsidR="00ED5344" w:rsidRPr="005C3BEB" w:rsidRDefault="00ED5344" w:rsidP="005C3BEB">
            <w:pPr>
              <w:spacing w:after="0" w:line="360" w:lineRule="auto"/>
              <w:jc w:val="both"/>
              <w:rPr>
                <w:rFonts w:eastAsia="Times New Roman" w:cs="Times New Roman"/>
                <w:b/>
                <w:bCs/>
                <w:color w:val="000000"/>
                <w:szCs w:val="24"/>
                <w:lang w:val="en-IN" w:eastAsia="en-IN"/>
              </w:rPr>
            </w:pPr>
            <w:r w:rsidRPr="005C3BEB">
              <w:rPr>
                <w:rFonts w:eastAsia="Times New Roman" w:cs="Times New Roman"/>
                <w:b/>
                <w:bCs/>
                <w:color w:val="000000"/>
                <w:szCs w:val="24"/>
                <w:lang w:val="en-IN" w:eastAsia="en-IN"/>
              </w:rPr>
              <w:t>2022 (in £ m)</w:t>
            </w:r>
          </w:p>
        </w:tc>
        <w:tc>
          <w:tcPr>
            <w:tcW w:w="766" w:type="pct"/>
            <w:tcBorders>
              <w:top w:val="nil"/>
              <w:left w:val="nil"/>
              <w:bottom w:val="single" w:sz="4" w:space="0" w:color="auto"/>
              <w:right w:val="single" w:sz="4" w:space="0" w:color="auto"/>
            </w:tcBorders>
            <w:shd w:val="clear" w:color="auto" w:fill="auto"/>
            <w:noWrap/>
            <w:vAlign w:val="center"/>
            <w:hideMark/>
          </w:tcPr>
          <w:p w14:paraId="07A2C197" w14:textId="77777777" w:rsidR="00ED5344" w:rsidRPr="005C3BEB" w:rsidRDefault="00ED5344" w:rsidP="005C3BEB">
            <w:pPr>
              <w:spacing w:after="0" w:line="360" w:lineRule="auto"/>
              <w:jc w:val="both"/>
              <w:rPr>
                <w:rFonts w:eastAsia="Times New Roman" w:cs="Times New Roman"/>
                <w:b/>
                <w:bCs/>
                <w:color w:val="000000"/>
                <w:szCs w:val="24"/>
                <w:lang w:val="en-IN" w:eastAsia="en-IN"/>
              </w:rPr>
            </w:pPr>
            <w:r w:rsidRPr="005C3BEB">
              <w:rPr>
                <w:rFonts w:eastAsia="Times New Roman" w:cs="Times New Roman"/>
                <w:b/>
                <w:bCs/>
                <w:color w:val="000000"/>
                <w:szCs w:val="24"/>
                <w:lang w:val="en-IN" w:eastAsia="en-IN"/>
              </w:rPr>
              <w:t>2022 (in £ m)</w:t>
            </w:r>
          </w:p>
        </w:tc>
      </w:tr>
      <w:tr w:rsidR="00ED5344" w:rsidRPr="005C3BEB" w14:paraId="7FBDB8A4" w14:textId="77777777" w:rsidTr="00546691">
        <w:trPr>
          <w:trHeight w:val="312"/>
        </w:trPr>
        <w:tc>
          <w:tcPr>
            <w:tcW w:w="2703" w:type="pct"/>
            <w:tcBorders>
              <w:top w:val="nil"/>
              <w:left w:val="single" w:sz="4" w:space="0" w:color="auto"/>
              <w:bottom w:val="single" w:sz="4" w:space="0" w:color="auto"/>
              <w:right w:val="single" w:sz="4" w:space="0" w:color="auto"/>
            </w:tcBorders>
            <w:shd w:val="clear" w:color="auto" w:fill="auto"/>
            <w:noWrap/>
            <w:vAlign w:val="center"/>
            <w:hideMark/>
          </w:tcPr>
          <w:p w14:paraId="5A5D4AAE"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 </w:t>
            </w:r>
          </w:p>
        </w:tc>
        <w:tc>
          <w:tcPr>
            <w:tcW w:w="766" w:type="pct"/>
            <w:tcBorders>
              <w:top w:val="nil"/>
              <w:left w:val="nil"/>
              <w:bottom w:val="single" w:sz="4" w:space="0" w:color="auto"/>
              <w:right w:val="single" w:sz="4" w:space="0" w:color="auto"/>
            </w:tcBorders>
            <w:shd w:val="clear" w:color="auto" w:fill="auto"/>
            <w:noWrap/>
            <w:vAlign w:val="center"/>
            <w:hideMark/>
          </w:tcPr>
          <w:p w14:paraId="4806E468"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 </w:t>
            </w:r>
          </w:p>
        </w:tc>
        <w:tc>
          <w:tcPr>
            <w:tcW w:w="766" w:type="pct"/>
            <w:tcBorders>
              <w:top w:val="nil"/>
              <w:left w:val="nil"/>
              <w:bottom w:val="single" w:sz="4" w:space="0" w:color="auto"/>
              <w:right w:val="single" w:sz="4" w:space="0" w:color="auto"/>
            </w:tcBorders>
            <w:shd w:val="clear" w:color="auto" w:fill="auto"/>
            <w:noWrap/>
            <w:vAlign w:val="center"/>
            <w:hideMark/>
          </w:tcPr>
          <w:p w14:paraId="4B753289"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 </w:t>
            </w:r>
          </w:p>
        </w:tc>
        <w:tc>
          <w:tcPr>
            <w:tcW w:w="766" w:type="pct"/>
            <w:tcBorders>
              <w:top w:val="nil"/>
              <w:left w:val="nil"/>
              <w:bottom w:val="single" w:sz="4" w:space="0" w:color="auto"/>
              <w:right w:val="single" w:sz="4" w:space="0" w:color="auto"/>
            </w:tcBorders>
            <w:shd w:val="clear" w:color="auto" w:fill="auto"/>
            <w:noWrap/>
            <w:vAlign w:val="center"/>
            <w:hideMark/>
          </w:tcPr>
          <w:p w14:paraId="6A2099EB"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 </w:t>
            </w:r>
          </w:p>
        </w:tc>
      </w:tr>
      <w:tr w:rsidR="00ED5344" w:rsidRPr="005C3BEB" w14:paraId="26F6C7FC" w14:textId="77777777" w:rsidTr="00546691">
        <w:trPr>
          <w:trHeight w:val="312"/>
        </w:trPr>
        <w:tc>
          <w:tcPr>
            <w:tcW w:w="2703" w:type="pct"/>
            <w:tcBorders>
              <w:top w:val="nil"/>
              <w:left w:val="single" w:sz="4" w:space="0" w:color="auto"/>
              <w:bottom w:val="single" w:sz="4" w:space="0" w:color="auto"/>
              <w:right w:val="single" w:sz="4" w:space="0" w:color="auto"/>
            </w:tcBorders>
            <w:shd w:val="clear" w:color="auto" w:fill="auto"/>
            <w:noWrap/>
            <w:vAlign w:val="center"/>
            <w:hideMark/>
          </w:tcPr>
          <w:p w14:paraId="2C61577A"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Total Debt</w:t>
            </w:r>
          </w:p>
        </w:tc>
        <w:tc>
          <w:tcPr>
            <w:tcW w:w="766" w:type="pct"/>
            <w:tcBorders>
              <w:top w:val="nil"/>
              <w:left w:val="nil"/>
              <w:bottom w:val="single" w:sz="4" w:space="0" w:color="auto"/>
              <w:right w:val="single" w:sz="4" w:space="0" w:color="auto"/>
            </w:tcBorders>
            <w:shd w:val="clear" w:color="auto" w:fill="auto"/>
            <w:noWrap/>
            <w:vAlign w:val="bottom"/>
            <w:hideMark/>
          </w:tcPr>
          <w:p w14:paraId="2D65AC60"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 xml:space="preserve"> £            5,345 </w:t>
            </w:r>
          </w:p>
        </w:tc>
        <w:tc>
          <w:tcPr>
            <w:tcW w:w="766" w:type="pct"/>
            <w:tcBorders>
              <w:top w:val="nil"/>
              <w:left w:val="nil"/>
              <w:bottom w:val="single" w:sz="4" w:space="0" w:color="auto"/>
              <w:right w:val="single" w:sz="4" w:space="0" w:color="auto"/>
            </w:tcBorders>
            <w:shd w:val="clear" w:color="auto" w:fill="auto"/>
            <w:noWrap/>
            <w:vAlign w:val="bottom"/>
            <w:hideMark/>
          </w:tcPr>
          <w:p w14:paraId="3092BC89"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 xml:space="preserve"> £          39,650 </w:t>
            </w:r>
          </w:p>
        </w:tc>
        <w:tc>
          <w:tcPr>
            <w:tcW w:w="766" w:type="pct"/>
            <w:tcBorders>
              <w:top w:val="nil"/>
              <w:left w:val="nil"/>
              <w:bottom w:val="single" w:sz="4" w:space="0" w:color="auto"/>
              <w:right w:val="single" w:sz="4" w:space="0" w:color="auto"/>
            </w:tcBorders>
            <w:shd w:val="clear" w:color="auto" w:fill="auto"/>
            <w:noWrap/>
            <w:vAlign w:val="bottom"/>
            <w:hideMark/>
          </w:tcPr>
          <w:p w14:paraId="0857AF8F"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 xml:space="preserve"> £          47,170 </w:t>
            </w:r>
          </w:p>
        </w:tc>
      </w:tr>
      <w:tr w:rsidR="00ED5344" w:rsidRPr="005C3BEB" w14:paraId="3B99407F" w14:textId="77777777" w:rsidTr="00546691">
        <w:trPr>
          <w:trHeight w:val="312"/>
        </w:trPr>
        <w:tc>
          <w:tcPr>
            <w:tcW w:w="2703" w:type="pct"/>
            <w:tcBorders>
              <w:top w:val="nil"/>
              <w:left w:val="single" w:sz="4" w:space="0" w:color="auto"/>
              <w:bottom w:val="single" w:sz="4" w:space="0" w:color="auto"/>
              <w:right w:val="single" w:sz="4" w:space="0" w:color="auto"/>
            </w:tcBorders>
            <w:shd w:val="clear" w:color="auto" w:fill="auto"/>
            <w:noWrap/>
            <w:vAlign w:val="center"/>
            <w:hideMark/>
          </w:tcPr>
          <w:p w14:paraId="6462C983"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Total Equity</w:t>
            </w:r>
          </w:p>
        </w:tc>
        <w:tc>
          <w:tcPr>
            <w:tcW w:w="766" w:type="pct"/>
            <w:tcBorders>
              <w:top w:val="nil"/>
              <w:left w:val="nil"/>
              <w:bottom w:val="single" w:sz="4" w:space="0" w:color="auto"/>
              <w:right w:val="single" w:sz="4" w:space="0" w:color="auto"/>
            </w:tcBorders>
            <w:shd w:val="clear" w:color="auto" w:fill="auto"/>
            <w:noWrap/>
            <w:vAlign w:val="bottom"/>
            <w:hideMark/>
          </w:tcPr>
          <w:p w14:paraId="3CD9A4EB"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 xml:space="preserve"> £            5,334 </w:t>
            </w:r>
          </w:p>
        </w:tc>
        <w:tc>
          <w:tcPr>
            <w:tcW w:w="766" w:type="pct"/>
            <w:tcBorders>
              <w:top w:val="nil"/>
              <w:left w:val="nil"/>
              <w:bottom w:val="single" w:sz="4" w:space="0" w:color="auto"/>
              <w:right w:val="single" w:sz="4" w:space="0" w:color="auto"/>
            </w:tcBorders>
            <w:shd w:val="clear" w:color="auto" w:fill="auto"/>
            <w:noWrap/>
            <w:vAlign w:val="bottom"/>
            <w:hideMark/>
          </w:tcPr>
          <w:p w14:paraId="0498AEA8"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 xml:space="preserve"> £          15,300 </w:t>
            </w:r>
          </w:p>
        </w:tc>
        <w:tc>
          <w:tcPr>
            <w:tcW w:w="766" w:type="pct"/>
            <w:tcBorders>
              <w:top w:val="nil"/>
              <w:left w:val="nil"/>
              <w:bottom w:val="single" w:sz="4" w:space="0" w:color="auto"/>
              <w:right w:val="single" w:sz="4" w:space="0" w:color="auto"/>
            </w:tcBorders>
            <w:shd w:val="clear" w:color="auto" w:fill="auto"/>
            <w:noWrap/>
            <w:vAlign w:val="bottom"/>
            <w:hideMark/>
          </w:tcPr>
          <w:p w14:paraId="707109FE"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 xml:space="preserve"> £          19,268 </w:t>
            </w:r>
          </w:p>
        </w:tc>
      </w:tr>
      <w:tr w:rsidR="00ED5344" w:rsidRPr="005C3BEB" w14:paraId="108124BB" w14:textId="77777777" w:rsidTr="00546691">
        <w:trPr>
          <w:trHeight w:val="312"/>
        </w:trPr>
        <w:tc>
          <w:tcPr>
            <w:tcW w:w="2703" w:type="pct"/>
            <w:tcBorders>
              <w:top w:val="nil"/>
              <w:left w:val="single" w:sz="4" w:space="0" w:color="auto"/>
              <w:bottom w:val="single" w:sz="4" w:space="0" w:color="auto"/>
              <w:right w:val="single" w:sz="4" w:space="0" w:color="auto"/>
            </w:tcBorders>
            <w:shd w:val="clear" w:color="auto" w:fill="auto"/>
            <w:noWrap/>
            <w:vAlign w:val="center"/>
            <w:hideMark/>
          </w:tcPr>
          <w:p w14:paraId="014C1F48"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 </w:t>
            </w:r>
          </w:p>
        </w:tc>
        <w:tc>
          <w:tcPr>
            <w:tcW w:w="766" w:type="pct"/>
            <w:tcBorders>
              <w:top w:val="nil"/>
              <w:left w:val="nil"/>
              <w:bottom w:val="single" w:sz="4" w:space="0" w:color="auto"/>
              <w:right w:val="single" w:sz="4" w:space="0" w:color="auto"/>
            </w:tcBorders>
            <w:shd w:val="clear" w:color="auto" w:fill="auto"/>
            <w:noWrap/>
            <w:vAlign w:val="center"/>
            <w:hideMark/>
          </w:tcPr>
          <w:p w14:paraId="6058CA25"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 </w:t>
            </w:r>
          </w:p>
        </w:tc>
        <w:tc>
          <w:tcPr>
            <w:tcW w:w="766" w:type="pct"/>
            <w:tcBorders>
              <w:top w:val="nil"/>
              <w:left w:val="nil"/>
              <w:bottom w:val="single" w:sz="4" w:space="0" w:color="auto"/>
              <w:right w:val="single" w:sz="4" w:space="0" w:color="auto"/>
            </w:tcBorders>
            <w:shd w:val="clear" w:color="auto" w:fill="auto"/>
            <w:noWrap/>
            <w:vAlign w:val="center"/>
            <w:hideMark/>
          </w:tcPr>
          <w:p w14:paraId="494FE81A"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 </w:t>
            </w:r>
          </w:p>
        </w:tc>
        <w:tc>
          <w:tcPr>
            <w:tcW w:w="766" w:type="pct"/>
            <w:tcBorders>
              <w:top w:val="nil"/>
              <w:left w:val="nil"/>
              <w:bottom w:val="single" w:sz="4" w:space="0" w:color="auto"/>
              <w:right w:val="single" w:sz="4" w:space="0" w:color="auto"/>
            </w:tcBorders>
            <w:shd w:val="clear" w:color="auto" w:fill="auto"/>
            <w:noWrap/>
            <w:vAlign w:val="center"/>
            <w:hideMark/>
          </w:tcPr>
          <w:p w14:paraId="1987F9A6"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 </w:t>
            </w:r>
          </w:p>
        </w:tc>
      </w:tr>
      <w:tr w:rsidR="00ED5344" w:rsidRPr="005C3BEB" w14:paraId="24337244" w14:textId="77777777" w:rsidTr="00546691">
        <w:trPr>
          <w:trHeight w:val="312"/>
        </w:trPr>
        <w:tc>
          <w:tcPr>
            <w:tcW w:w="2703" w:type="pct"/>
            <w:tcBorders>
              <w:top w:val="nil"/>
              <w:left w:val="single" w:sz="4" w:space="0" w:color="auto"/>
              <w:bottom w:val="single" w:sz="4" w:space="0" w:color="auto"/>
              <w:right w:val="single" w:sz="4" w:space="0" w:color="auto"/>
            </w:tcBorders>
            <w:shd w:val="clear" w:color="auto" w:fill="auto"/>
            <w:vAlign w:val="center"/>
            <w:hideMark/>
          </w:tcPr>
          <w:p w14:paraId="456AE217" w14:textId="77777777" w:rsidR="00ED5344" w:rsidRPr="005C3BEB" w:rsidRDefault="00ED5344" w:rsidP="005C3BEB">
            <w:pPr>
              <w:spacing w:after="0" w:line="360" w:lineRule="auto"/>
              <w:jc w:val="both"/>
              <w:rPr>
                <w:rFonts w:eastAsia="Times New Roman" w:cs="Times New Roman"/>
                <w:b/>
                <w:bCs/>
                <w:color w:val="000000"/>
                <w:szCs w:val="24"/>
                <w:lang w:val="en-IN" w:eastAsia="en-IN"/>
              </w:rPr>
            </w:pPr>
            <w:r w:rsidRPr="005C3BEB">
              <w:rPr>
                <w:rFonts w:eastAsia="Times New Roman" w:cs="Times New Roman"/>
                <w:b/>
                <w:bCs/>
                <w:color w:val="000000"/>
                <w:szCs w:val="24"/>
                <w:lang w:val="en-IN" w:eastAsia="en-IN"/>
              </w:rPr>
              <w:t>Debt-to-Equity Ratio </w:t>
            </w:r>
          </w:p>
        </w:tc>
        <w:tc>
          <w:tcPr>
            <w:tcW w:w="766" w:type="pct"/>
            <w:tcBorders>
              <w:top w:val="nil"/>
              <w:left w:val="nil"/>
              <w:bottom w:val="single" w:sz="4" w:space="0" w:color="auto"/>
              <w:right w:val="single" w:sz="4" w:space="0" w:color="auto"/>
            </w:tcBorders>
            <w:shd w:val="clear" w:color="auto" w:fill="auto"/>
            <w:noWrap/>
            <w:vAlign w:val="center"/>
            <w:hideMark/>
          </w:tcPr>
          <w:p w14:paraId="30706320" w14:textId="77777777" w:rsidR="00ED5344" w:rsidRPr="005C3BEB" w:rsidRDefault="00ED5344" w:rsidP="005C3BEB">
            <w:pPr>
              <w:spacing w:after="0" w:line="360" w:lineRule="auto"/>
              <w:jc w:val="both"/>
              <w:rPr>
                <w:rFonts w:eastAsia="Times New Roman" w:cs="Times New Roman"/>
                <w:b/>
                <w:bCs/>
                <w:color w:val="000000"/>
                <w:szCs w:val="24"/>
                <w:lang w:val="en-IN" w:eastAsia="en-IN"/>
              </w:rPr>
            </w:pPr>
            <w:r w:rsidRPr="005C3BEB">
              <w:rPr>
                <w:rFonts w:eastAsia="Times New Roman" w:cs="Times New Roman"/>
                <w:b/>
                <w:bCs/>
                <w:color w:val="000000"/>
                <w:szCs w:val="24"/>
                <w:lang w:val="en-IN" w:eastAsia="en-IN"/>
              </w:rPr>
              <w:t>1.00</w:t>
            </w:r>
          </w:p>
        </w:tc>
        <w:tc>
          <w:tcPr>
            <w:tcW w:w="766" w:type="pct"/>
            <w:tcBorders>
              <w:top w:val="nil"/>
              <w:left w:val="nil"/>
              <w:bottom w:val="single" w:sz="4" w:space="0" w:color="auto"/>
              <w:right w:val="single" w:sz="4" w:space="0" w:color="auto"/>
            </w:tcBorders>
            <w:shd w:val="clear" w:color="auto" w:fill="auto"/>
            <w:noWrap/>
            <w:vAlign w:val="center"/>
            <w:hideMark/>
          </w:tcPr>
          <w:p w14:paraId="62978323" w14:textId="77777777" w:rsidR="00ED5344" w:rsidRPr="005C3BEB" w:rsidRDefault="00ED5344" w:rsidP="005C3BEB">
            <w:pPr>
              <w:spacing w:after="0" w:line="360" w:lineRule="auto"/>
              <w:jc w:val="both"/>
              <w:rPr>
                <w:rFonts w:eastAsia="Times New Roman" w:cs="Times New Roman"/>
                <w:b/>
                <w:bCs/>
                <w:color w:val="000000"/>
                <w:szCs w:val="24"/>
                <w:lang w:val="en-IN" w:eastAsia="en-IN"/>
              </w:rPr>
            </w:pPr>
            <w:r w:rsidRPr="005C3BEB">
              <w:rPr>
                <w:rFonts w:eastAsia="Times New Roman" w:cs="Times New Roman"/>
                <w:b/>
                <w:bCs/>
                <w:color w:val="000000"/>
                <w:szCs w:val="24"/>
                <w:lang w:val="en-IN" w:eastAsia="en-IN"/>
              </w:rPr>
              <w:t>2.59</w:t>
            </w:r>
          </w:p>
        </w:tc>
        <w:tc>
          <w:tcPr>
            <w:tcW w:w="766" w:type="pct"/>
            <w:tcBorders>
              <w:top w:val="nil"/>
              <w:left w:val="nil"/>
              <w:bottom w:val="single" w:sz="4" w:space="0" w:color="auto"/>
              <w:right w:val="single" w:sz="4" w:space="0" w:color="auto"/>
            </w:tcBorders>
            <w:shd w:val="clear" w:color="auto" w:fill="auto"/>
            <w:noWrap/>
            <w:vAlign w:val="center"/>
            <w:hideMark/>
          </w:tcPr>
          <w:p w14:paraId="698EBE9D" w14:textId="77777777" w:rsidR="00ED5344" w:rsidRPr="005C3BEB" w:rsidRDefault="00ED5344" w:rsidP="005C3BEB">
            <w:pPr>
              <w:spacing w:after="0" w:line="360" w:lineRule="auto"/>
              <w:jc w:val="both"/>
              <w:rPr>
                <w:rFonts w:eastAsia="Times New Roman" w:cs="Times New Roman"/>
                <w:b/>
                <w:bCs/>
                <w:color w:val="000000"/>
                <w:szCs w:val="24"/>
                <w:lang w:val="en-IN" w:eastAsia="en-IN"/>
              </w:rPr>
            </w:pPr>
            <w:r w:rsidRPr="005C3BEB">
              <w:rPr>
                <w:rFonts w:eastAsia="Times New Roman" w:cs="Times New Roman"/>
                <w:b/>
                <w:bCs/>
                <w:color w:val="000000"/>
                <w:szCs w:val="24"/>
                <w:lang w:val="en-IN" w:eastAsia="en-IN"/>
              </w:rPr>
              <w:t>2.45</w:t>
            </w:r>
          </w:p>
        </w:tc>
      </w:tr>
      <w:tr w:rsidR="00ED5344" w:rsidRPr="005C3BEB" w14:paraId="69766C3B" w14:textId="77777777" w:rsidTr="00546691">
        <w:trPr>
          <w:trHeight w:val="312"/>
        </w:trPr>
        <w:tc>
          <w:tcPr>
            <w:tcW w:w="2703" w:type="pct"/>
            <w:tcBorders>
              <w:top w:val="nil"/>
              <w:left w:val="single" w:sz="4" w:space="0" w:color="auto"/>
              <w:bottom w:val="single" w:sz="4" w:space="0" w:color="auto"/>
              <w:right w:val="single" w:sz="4" w:space="0" w:color="auto"/>
            </w:tcBorders>
            <w:shd w:val="clear" w:color="auto" w:fill="auto"/>
            <w:noWrap/>
            <w:vAlign w:val="center"/>
            <w:hideMark/>
          </w:tcPr>
          <w:p w14:paraId="64B35D63"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Total Debt / Total Equity</w:t>
            </w:r>
          </w:p>
        </w:tc>
        <w:tc>
          <w:tcPr>
            <w:tcW w:w="766" w:type="pct"/>
            <w:tcBorders>
              <w:top w:val="nil"/>
              <w:left w:val="nil"/>
              <w:bottom w:val="single" w:sz="4" w:space="0" w:color="auto"/>
              <w:right w:val="single" w:sz="4" w:space="0" w:color="auto"/>
            </w:tcBorders>
            <w:shd w:val="clear" w:color="auto" w:fill="auto"/>
            <w:noWrap/>
            <w:vAlign w:val="center"/>
            <w:hideMark/>
          </w:tcPr>
          <w:p w14:paraId="50129221"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 </w:t>
            </w:r>
          </w:p>
        </w:tc>
        <w:tc>
          <w:tcPr>
            <w:tcW w:w="766" w:type="pct"/>
            <w:tcBorders>
              <w:top w:val="nil"/>
              <w:left w:val="nil"/>
              <w:bottom w:val="single" w:sz="4" w:space="0" w:color="auto"/>
              <w:right w:val="single" w:sz="4" w:space="0" w:color="auto"/>
            </w:tcBorders>
            <w:shd w:val="clear" w:color="auto" w:fill="auto"/>
            <w:noWrap/>
            <w:vAlign w:val="center"/>
            <w:hideMark/>
          </w:tcPr>
          <w:p w14:paraId="737CDCCB"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 </w:t>
            </w:r>
          </w:p>
        </w:tc>
        <w:tc>
          <w:tcPr>
            <w:tcW w:w="766" w:type="pct"/>
            <w:tcBorders>
              <w:top w:val="nil"/>
              <w:left w:val="nil"/>
              <w:bottom w:val="single" w:sz="4" w:space="0" w:color="auto"/>
              <w:right w:val="single" w:sz="4" w:space="0" w:color="auto"/>
            </w:tcBorders>
            <w:shd w:val="clear" w:color="auto" w:fill="auto"/>
            <w:noWrap/>
            <w:vAlign w:val="center"/>
            <w:hideMark/>
          </w:tcPr>
          <w:p w14:paraId="182F4BAA"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 </w:t>
            </w:r>
          </w:p>
        </w:tc>
      </w:tr>
    </w:tbl>
    <w:p w14:paraId="7F230B77" w14:textId="77777777" w:rsidR="00ED5344" w:rsidRPr="005C3BEB" w:rsidRDefault="00ED5344" w:rsidP="005C3BEB">
      <w:pPr>
        <w:spacing w:line="360" w:lineRule="auto"/>
        <w:jc w:val="both"/>
        <w:rPr>
          <w:rFonts w:cs="Times New Roman"/>
          <w:b/>
          <w:bCs/>
          <w:szCs w:val="24"/>
        </w:rPr>
      </w:pPr>
    </w:p>
    <w:p w14:paraId="7E7BD3FB" w14:textId="77777777" w:rsidR="00ED5344" w:rsidRPr="005C3BEB" w:rsidRDefault="00ED5344" w:rsidP="005C3BEB">
      <w:pPr>
        <w:spacing w:line="360" w:lineRule="auto"/>
        <w:jc w:val="both"/>
        <w:rPr>
          <w:rFonts w:cs="Times New Roman"/>
          <w:b/>
          <w:bCs/>
          <w:szCs w:val="24"/>
        </w:rPr>
      </w:pPr>
      <w:r w:rsidRPr="005C3BEB">
        <w:rPr>
          <w:rFonts w:cs="Times New Roman"/>
          <w:b/>
          <w:bCs/>
          <w:szCs w:val="24"/>
        </w:rPr>
        <w:t>Debt-to-Capital Ratio:</w:t>
      </w:r>
    </w:p>
    <w:p w14:paraId="6F8038D8" w14:textId="77777777" w:rsidR="00ED5344" w:rsidRPr="005C3BEB" w:rsidRDefault="00ED5344" w:rsidP="005C3BEB">
      <w:pPr>
        <w:spacing w:line="360" w:lineRule="auto"/>
        <w:jc w:val="both"/>
        <w:rPr>
          <w:rFonts w:cs="Times New Roman"/>
          <w:szCs w:val="24"/>
        </w:rPr>
      </w:pPr>
      <w:r w:rsidRPr="005C3BEB">
        <w:rPr>
          <w:rFonts w:cs="Times New Roman"/>
          <w:szCs w:val="24"/>
        </w:rPr>
        <w:t xml:space="preserve">Debt to Capital ratio is also a part of leverage ratio that conveys capital structure of business in a clear manner. Ratio of Royal Mail was 0.5 and that of UPS and FedEx are 0.72 and 0.71. Debt to capital ratio is similar to debt to asset ratio and similar recommendations can be applied here to improve the ratio. </w:t>
      </w:r>
    </w:p>
    <w:tbl>
      <w:tblPr>
        <w:tblW w:w="5000" w:type="pct"/>
        <w:tblLook w:val="04A0" w:firstRow="1" w:lastRow="0" w:firstColumn="1" w:lastColumn="0" w:noHBand="0" w:noVBand="1"/>
      </w:tblPr>
      <w:tblGrid>
        <w:gridCol w:w="4048"/>
        <w:gridCol w:w="1656"/>
        <w:gridCol w:w="1656"/>
        <w:gridCol w:w="1656"/>
      </w:tblGrid>
      <w:tr w:rsidR="00ED5344" w:rsidRPr="005C3BEB" w14:paraId="6406E0A3" w14:textId="77777777" w:rsidTr="00546691">
        <w:trPr>
          <w:trHeight w:val="312"/>
        </w:trPr>
        <w:tc>
          <w:tcPr>
            <w:tcW w:w="270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511AFA1" w14:textId="77777777" w:rsidR="00ED5344" w:rsidRPr="005C3BEB" w:rsidRDefault="00ED5344" w:rsidP="005C3BEB">
            <w:pPr>
              <w:spacing w:after="0" w:line="360" w:lineRule="auto"/>
              <w:jc w:val="both"/>
              <w:rPr>
                <w:rFonts w:eastAsia="Times New Roman" w:cs="Times New Roman"/>
                <w:b/>
                <w:bCs/>
                <w:color w:val="000000"/>
                <w:szCs w:val="24"/>
                <w:lang w:val="en-IN" w:eastAsia="en-IN"/>
              </w:rPr>
            </w:pPr>
            <w:r w:rsidRPr="005C3BEB">
              <w:rPr>
                <w:rFonts w:eastAsia="Times New Roman" w:cs="Times New Roman"/>
                <w:b/>
                <w:bCs/>
                <w:color w:val="000000"/>
                <w:szCs w:val="24"/>
                <w:lang w:val="en-IN" w:eastAsia="en-IN"/>
              </w:rPr>
              <w:t>Debt-to-Capital Ratio </w:t>
            </w:r>
          </w:p>
        </w:tc>
        <w:tc>
          <w:tcPr>
            <w:tcW w:w="766" w:type="pct"/>
            <w:tcBorders>
              <w:top w:val="single" w:sz="4" w:space="0" w:color="auto"/>
              <w:left w:val="nil"/>
              <w:bottom w:val="single" w:sz="4" w:space="0" w:color="auto"/>
              <w:right w:val="single" w:sz="4" w:space="0" w:color="auto"/>
            </w:tcBorders>
            <w:shd w:val="clear" w:color="auto" w:fill="auto"/>
            <w:noWrap/>
            <w:vAlign w:val="bottom"/>
            <w:hideMark/>
          </w:tcPr>
          <w:p w14:paraId="328B8264" w14:textId="77777777" w:rsidR="00ED5344" w:rsidRPr="005C3BEB" w:rsidRDefault="00ED5344" w:rsidP="005C3BEB">
            <w:pPr>
              <w:spacing w:after="0" w:line="360" w:lineRule="auto"/>
              <w:jc w:val="both"/>
              <w:rPr>
                <w:rFonts w:eastAsia="Times New Roman" w:cs="Times New Roman"/>
                <w:b/>
                <w:bCs/>
                <w:color w:val="000000"/>
                <w:szCs w:val="24"/>
                <w:lang w:val="en-IN" w:eastAsia="en-IN"/>
              </w:rPr>
            </w:pPr>
            <w:r w:rsidRPr="005C3BEB">
              <w:rPr>
                <w:rFonts w:eastAsia="Times New Roman" w:cs="Times New Roman"/>
                <w:b/>
                <w:bCs/>
                <w:color w:val="000000"/>
                <w:szCs w:val="24"/>
                <w:lang w:val="en-IN" w:eastAsia="en-IN"/>
              </w:rPr>
              <w:t>Royal Mail</w:t>
            </w:r>
          </w:p>
        </w:tc>
        <w:tc>
          <w:tcPr>
            <w:tcW w:w="766" w:type="pct"/>
            <w:tcBorders>
              <w:top w:val="single" w:sz="4" w:space="0" w:color="auto"/>
              <w:left w:val="nil"/>
              <w:bottom w:val="single" w:sz="4" w:space="0" w:color="auto"/>
              <w:right w:val="single" w:sz="4" w:space="0" w:color="auto"/>
            </w:tcBorders>
            <w:shd w:val="clear" w:color="auto" w:fill="auto"/>
            <w:noWrap/>
            <w:vAlign w:val="bottom"/>
            <w:hideMark/>
          </w:tcPr>
          <w:p w14:paraId="2D15F412" w14:textId="77777777" w:rsidR="00ED5344" w:rsidRPr="005C3BEB" w:rsidRDefault="00ED5344" w:rsidP="005C3BEB">
            <w:pPr>
              <w:spacing w:after="0" w:line="360" w:lineRule="auto"/>
              <w:jc w:val="both"/>
              <w:rPr>
                <w:rFonts w:eastAsia="Times New Roman" w:cs="Times New Roman"/>
                <w:b/>
                <w:bCs/>
                <w:color w:val="000000"/>
                <w:szCs w:val="24"/>
                <w:lang w:val="en-IN" w:eastAsia="en-IN"/>
              </w:rPr>
            </w:pPr>
            <w:r w:rsidRPr="005C3BEB">
              <w:rPr>
                <w:rFonts w:eastAsia="Times New Roman" w:cs="Times New Roman"/>
                <w:b/>
                <w:bCs/>
                <w:color w:val="000000"/>
                <w:szCs w:val="24"/>
                <w:lang w:val="en-IN" w:eastAsia="en-IN"/>
              </w:rPr>
              <w:t>UPS</w:t>
            </w:r>
          </w:p>
        </w:tc>
        <w:tc>
          <w:tcPr>
            <w:tcW w:w="766" w:type="pct"/>
            <w:tcBorders>
              <w:top w:val="single" w:sz="4" w:space="0" w:color="auto"/>
              <w:left w:val="nil"/>
              <w:bottom w:val="single" w:sz="4" w:space="0" w:color="auto"/>
              <w:right w:val="single" w:sz="4" w:space="0" w:color="auto"/>
            </w:tcBorders>
            <w:shd w:val="clear" w:color="auto" w:fill="auto"/>
            <w:noWrap/>
            <w:vAlign w:val="bottom"/>
            <w:hideMark/>
          </w:tcPr>
          <w:p w14:paraId="3E4123CA" w14:textId="77777777" w:rsidR="00ED5344" w:rsidRPr="005C3BEB" w:rsidRDefault="00ED5344" w:rsidP="005C3BEB">
            <w:pPr>
              <w:spacing w:after="0" w:line="360" w:lineRule="auto"/>
              <w:jc w:val="both"/>
              <w:rPr>
                <w:rFonts w:eastAsia="Times New Roman" w:cs="Times New Roman"/>
                <w:b/>
                <w:bCs/>
                <w:color w:val="000000"/>
                <w:szCs w:val="24"/>
                <w:lang w:val="en-IN" w:eastAsia="en-IN"/>
              </w:rPr>
            </w:pPr>
            <w:r w:rsidRPr="005C3BEB">
              <w:rPr>
                <w:rFonts w:eastAsia="Times New Roman" w:cs="Times New Roman"/>
                <w:b/>
                <w:bCs/>
                <w:color w:val="000000"/>
                <w:szCs w:val="24"/>
                <w:lang w:val="en-IN" w:eastAsia="en-IN"/>
              </w:rPr>
              <w:t>FedEx</w:t>
            </w:r>
          </w:p>
        </w:tc>
      </w:tr>
      <w:tr w:rsidR="00ED5344" w:rsidRPr="005C3BEB" w14:paraId="604677C5" w14:textId="77777777" w:rsidTr="00546691">
        <w:trPr>
          <w:trHeight w:val="312"/>
        </w:trPr>
        <w:tc>
          <w:tcPr>
            <w:tcW w:w="2703" w:type="pct"/>
            <w:tcBorders>
              <w:top w:val="nil"/>
              <w:left w:val="single" w:sz="4" w:space="0" w:color="auto"/>
              <w:bottom w:val="single" w:sz="4" w:space="0" w:color="auto"/>
              <w:right w:val="single" w:sz="4" w:space="0" w:color="auto"/>
            </w:tcBorders>
            <w:shd w:val="clear" w:color="auto" w:fill="auto"/>
            <w:noWrap/>
            <w:vAlign w:val="center"/>
            <w:hideMark/>
          </w:tcPr>
          <w:p w14:paraId="76E4A866"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Particulars</w:t>
            </w:r>
          </w:p>
        </w:tc>
        <w:tc>
          <w:tcPr>
            <w:tcW w:w="766" w:type="pct"/>
            <w:tcBorders>
              <w:top w:val="nil"/>
              <w:left w:val="nil"/>
              <w:bottom w:val="single" w:sz="4" w:space="0" w:color="auto"/>
              <w:right w:val="single" w:sz="4" w:space="0" w:color="auto"/>
            </w:tcBorders>
            <w:shd w:val="clear" w:color="auto" w:fill="auto"/>
            <w:noWrap/>
            <w:vAlign w:val="center"/>
            <w:hideMark/>
          </w:tcPr>
          <w:p w14:paraId="3D1D536E" w14:textId="77777777" w:rsidR="00ED5344" w:rsidRPr="005C3BEB" w:rsidRDefault="00ED5344" w:rsidP="005C3BEB">
            <w:pPr>
              <w:spacing w:after="0" w:line="360" w:lineRule="auto"/>
              <w:jc w:val="both"/>
              <w:rPr>
                <w:rFonts w:eastAsia="Times New Roman" w:cs="Times New Roman"/>
                <w:b/>
                <w:bCs/>
                <w:color w:val="000000"/>
                <w:szCs w:val="24"/>
                <w:lang w:val="en-IN" w:eastAsia="en-IN"/>
              </w:rPr>
            </w:pPr>
            <w:r w:rsidRPr="005C3BEB">
              <w:rPr>
                <w:rFonts w:eastAsia="Times New Roman" w:cs="Times New Roman"/>
                <w:b/>
                <w:bCs/>
                <w:color w:val="000000"/>
                <w:szCs w:val="24"/>
                <w:lang w:val="en-IN" w:eastAsia="en-IN"/>
              </w:rPr>
              <w:t>2022 (in £ m)</w:t>
            </w:r>
          </w:p>
        </w:tc>
        <w:tc>
          <w:tcPr>
            <w:tcW w:w="766" w:type="pct"/>
            <w:tcBorders>
              <w:top w:val="nil"/>
              <w:left w:val="nil"/>
              <w:bottom w:val="single" w:sz="4" w:space="0" w:color="auto"/>
              <w:right w:val="single" w:sz="4" w:space="0" w:color="auto"/>
            </w:tcBorders>
            <w:shd w:val="clear" w:color="auto" w:fill="auto"/>
            <w:noWrap/>
            <w:vAlign w:val="center"/>
            <w:hideMark/>
          </w:tcPr>
          <w:p w14:paraId="29167EE6" w14:textId="77777777" w:rsidR="00ED5344" w:rsidRPr="005C3BEB" w:rsidRDefault="00ED5344" w:rsidP="005C3BEB">
            <w:pPr>
              <w:spacing w:after="0" w:line="360" w:lineRule="auto"/>
              <w:jc w:val="both"/>
              <w:rPr>
                <w:rFonts w:eastAsia="Times New Roman" w:cs="Times New Roman"/>
                <w:b/>
                <w:bCs/>
                <w:color w:val="000000"/>
                <w:szCs w:val="24"/>
                <w:lang w:val="en-IN" w:eastAsia="en-IN"/>
              </w:rPr>
            </w:pPr>
            <w:r w:rsidRPr="005C3BEB">
              <w:rPr>
                <w:rFonts w:eastAsia="Times New Roman" w:cs="Times New Roman"/>
                <w:b/>
                <w:bCs/>
                <w:color w:val="000000"/>
                <w:szCs w:val="24"/>
                <w:lang w:val="en-IN" w:eastAsia="en-IN"/>
              </w:rPr>
              <w:t>2022 (in £ m)</w:t>
            </w:r>
          </w:p>
        </w:tc>
        <w:tc>
          <w:tcPr>
            <w:tcW w:w="766" w:type="pct"/>
            <w:tcBorders>
              <w:top w:val="nil"/>
              <w:left w:val="nil"/>
              <w:bottom w:val="single" w:sz="4" w:space="0" w:color="auto"/>
              <w:right w:val="single" w:sz="4" w:space="0" w:color="auto"/>
            </w:tcBorders>
            <w:shd w:val="clear" w:color="auto" w:fill="auto"/>
            <w:noWrap/>
            <w:vAlign w:val="center"/>
            <w:hideMark/>
          </w:tcPr>
          <w:p w14:paraId="5F0F1286" w14:textId="77777777" w:rsidR="00ED5344" w:rsidRPr="005C3BEB" w:rsidRDefault="00ED5344" w:rsidP="005C3BEB">
            <w:pPr>
              <w:spacing w:after="0" w:line="360" w:lineRule="auto"/>
              <w:jc w:val="both"/>
              <w:rPr>
                <w:rFonts w:eastAsia="Times New Roman" w:cs="Times New Roman"/>
                <w:b/>
                <w:bCs/>
                <w:color w:val="000000"/>
                <w:szCs w:val="24"/>
                <w:lang w:val="en-IN" w:eastAsia="en-IN"/>
              </w:rPr>
            </w:pPr>
            <w:r w:rsidRPr="005C3BEB">
              <w:rPr>
                <w:rFonts w:eastAsia="Times New Roman" w:cs="Times New Roman"/>
                <w:b/>
                <w:bCs/>
                <w:color w:val="000000"/>
                <w:szCs w:val="24"/>
                <w:lang w:val="en-IN" w:eastAsia="en-IN"/>
              </w:rPr>
              <w:t>2022 (in £ m)</w:t>
            </w:r>
          </w:p>
        </w:tc>
      </w:tr>
      <w:tr w:rsidR="00ED5344" w:rsidRPr="005C3BEB" w14:paraId="1A829712" w14:textId="77777777" w:rsidTr="00546691">
        <w:trPr>
          <w:trHeight w:val="312"/>
        </w:trPr>
        <w:tc>
          <w:tcPr>
            <w:tcW w:w="2703" w:type="pct"/>
            <w:tcBorders>
              <w:top w:val="nil"/>
              <w:left w:val="single" w:sz="4" w:space="0" w:color="auto"/>
              <w:bottom w:val="single" w:sz="4" w:space="0" w:color="auto"/>
              <w:right w:val="single" w:sz="4" w:space="0" w:color="auto"/>
            </w:tcBorders>
            <w:shd w:val="clear" w:color="auto" w:fill="auto"/>
            <w:noWrap/>
            <w:vAlign w:val="center"/>
            <w:hideMark/>
          </w:tcPr>
          <w:p w14:paraId="0A6D9949"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 </w:t>
            </w:r>
          </w:p>
        </w:tc>
        <w:tc>
          <w:tcPr>
            <w:tcW w:w="766" w:type="pct"/>
            <w:tcBorders>
              <w:top w:val="nil"/>
              <w:left w:val="nil"/>
              <w:bottom w:val="single" w:sz="4" w:space="0" w:color="auto"/>
              <w:right w:val="single" w:sz="4" w:space="0" w:color="auto"/>
            </w:tcBorders>
            <w:shd w:val="clear" w:color="auto" w:fill="auto"/>
            <w:noWrap/>
            <w:vAlign w:val="center"/>
            <w:hideMark/>
          </w:tcPr>
          <w:p w14:paraId="299E3B65"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 </w:t>
            </w:r>
          </w:p>
        </w:tc>
        <w:tc>
          <w:tcPr>
            <w:tcW w:w="766" w:type="pct"/>
            <w:tcBorders>
              <w:top w:val="nil"/>
              <w:left w:val="nil"/>
              <w:bottom w:val="single" w:sz="4" w:space="0" w:color="auto"/>
              <w:right w:val="single" w:sz="4" w:space="0" w:color="auto"/>
            </w:tcBorders>
            <w:shd w:val="clear" w:color="auto" w:fill="auto"/>
            <w:noWrap/>
            <w:vAlign w:val="center"/>
            <w:hideMark/>
          </w:tcPr>
          <w:p w14:paraId="36595C2C"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 </w:t>
            </w:r>
          </w:p>
        </w:tc>
        <w:tc>
          <w:tcPr>
            <w:tcW w:w="766" w:type="pct"/>
            <w:tcBorders>
              <w:top w:val="nil"/>
              <w:left w:val="nil"/>
              <w:bottom w:val="single" w:sz="4" w:space="0" w:color="auto"/>
              <w:right w:val="single" w:sz="4" w:space="0" w:color="auto"/>
            </w:tcBorders>
            <w:shd w:val="clear" w:color="auto" w:fill="auto"/>
            <w:noWrap/>
            <w:vAlign w:val="center"/>
            <w:hideMark/>
          </w:tcPr>
          <w:p w14:paraId="1D31CC98"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 </w:t>
            </w:r>
          </w:p>
        </w:tc>
      </w:tr>
      <w:tr w:rsidR="00ED5344" w:rsidRPr="005C3BEB" w14:paraId="57E77E53" w14:textId="77777777" w:rsidTr="00546691">
        <w:trPr>
          <w:trHeight w:val="312"/>
        </w:trPr>
        <w:tc>
          <w:tcPr>
            <w:tcW w:w="2703" w:type="pct"/>
            <w:tcBorders>
              <w:top w:val="nil"/>
              <w:left w:val="single" w:sz="4" w:space="0" w:color="auto"/>
              <w:bottom w:val="single" w:sz="4" w:space="0" w:color="auto"/>
              <w:right w:val="single" w:sz="4" w:space="0" w:color="auto"/>
            </w:tcBorders>
            <w:shd w:val="clear" w:color="auto" w:fill="auto"/>
            <w:noWrap/>
            <w:vAlign w:val="center"/>
            <w:hideMark/>
          </w:tcPr>
          <w:p w14:paraId="1EEA5BB1"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lastRenderedPageBreak/>
              <w:t>Total Debt</w:t>
            </w:r>
          </w:p>
        </w:tc>
        <w:tc>
          <w:tcPr>
            <w:tcW w:w="766" w:type="pct"/>
            <w:tcBorders>
              <w:top w:val="nil"/>
              <w:left w:val="nil"/>
              <w:bottom w:val="single" w:sz="4" w:space="0" w:color="auto"/>
              <w:right w:val="single" w:sz="4" w:space="0" w:color="auto"/>
            </w:tcBorders>
            <w:shd w:val="clear" w:color="auto" w:fill="auto"/>
            <w:noWrap/>
            <w:vAlign w:val="bottom"/>
            <w:hideMark/>
          </w:tcPr>
          <w:p w14:paraId="1FCC5A16"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 xml:space="preserve"> £            5,345 </w:t>
            </w:r>
          </w:p>
        </w:tc>
        <w:tc>
          <w:tcPr>
            <w:tcW w:w="766" w:type="pct"/>
            <w:tcBorders>
              <w:top w:val="nil"/>
              <w:left w:val="nil"/>
              <w:bottom w:val="single" w:sz="4" w:space="0" w:color="auto"/>
              <w:right w:val="single" w:sz="4" w:space="0" w:color="auto"/>
            </w:tcBorders>
            <w:shd w:val="clear" w:color="auto" w:fill="auto"/>
            <w:noWrap/>
            <w:vAlign w:val="bottom"/>
            <w:hideMark/>
          </w:tcPr>
          <w:p w14:paraId="7DA8CE16"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 xml:space="preserve"> £          39,650 </w:t>
            </w:r>
          </w:p>
        </w:tc>
        <w:tc>
          <w:tcPr>
            <w:tcW w:w="766" w:type="pct"/>
            <w:tcBorders>
              <w:top w:val="nil"/>
              <w:left w:val="nil"/>
              <w:bottom w:val="single" w:sz="4" w:space="0" w:color="auto"/>
              <w:right w:val="single" w:sz="4" w:space="0" w:color="auto"/>
            </w:tcBorders>
            <w:shd w:val="clear" w:color="auto" w:fill="auto"/>
            <w:noWrap/>
            <w:vAlign w:val="bottom"/>
            <w:hideMark/>
          </w:tcPr>
          <w:p w14:paraId="4FF728DD"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 xml:space="preserve"> £          47,170 </w:t>
            </w:r>
          </w:p>
        </w:tc>
      </w:tr>
      <w:tr w:rsidR="00ED5344" w:rsidRPr="005C3BEB" w14:paraId="2CEECCE0" w14:textId="77777777" w:rsidTr="00546691">
        <w:trPr>
          <w:trHeight w:val="312"/>
        </w:trPr>
        <w:tc>
          <w:tcPr>
            <w:tcW w:w="2703" w:type="pct"/>
            <w:tcBorders>
              <w:top w:val="nil"/>
              <w:left w:val="single" w:sz="4" w:space="0" w:color="auto"/>
              <w:bottom w:val="single" w:sz="4" w:space="0" w:color="auto"/>
              <w:right w:val="single" w:sz="4" w:space="0" w:color="auto"/>
            </w:tcBorders>
            <w:shd w:val="clear" w:color="auto" w:fill="auto"/>
            <w:noWrap/>
            <w:vAlign w:val="center"/>
            <w:hideMark/>
          </w:tcPr>
          <w:p w14:paraId="66E62066"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Total Equity</w:t>
            </w:r>
          </w:p>
        </w:tc>
        <w:tc>
          <w:tcPr>
            <w:tcW w:w="766" w:type="pct"/>
            <w:tcBorders>
              <w:top w:val="nil"/>
              <w:left w:val="nil"/>
              <w:bottom w:val="single" w:sz="4" w:space="0" w:color="auto"/>
              <w:right w:val="single" w:sz="4" w:space="0" w:color="auto"/>
            </w:tcBorders>
            <w:shd w:val="clear" w:color="auto" w:fill="auto"/>
            <w:noWrap/>
            <w:vAlign w:val="bottom"/>
            <w:hideMark/>
          </w:tcPr>
          <w:p w14:paraId="2575D8A0"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 xml:space="preserve"> £            5,334 </w:t>
            </w:r>
          </w:p>
        </w:tc>
        <w:tc>
          <w:tcPr>
            <w:tcW w:w="766" w:type="pct"/>
            <w:tcBorders>
              <w:top w:val="nil"/>
              <w:left w:val="nil"/>
              <w:bottom w:val="single" w:sz="4" w:space="0" w:color="auto"/>
              <w:right w:val="single" w:sz="4" w:space="0" w:color="auto"/>
            </w:tcBorders>
            <w:shd w:val="clear" w:color="auto" w:fill="auto"/>
            <w:noWrap/>
            <w:vAlign w:val="bottom"/>
            <w:hideMark/>
          </w:tcPr>
          <w:p w14:paraId="3504375C"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 xml:space="preserve"> £          15,300 </w:t>
            </w:r>
          </w:p>
        </w:tc>
        <w:tc>
          <w:tcPr>
            <w:tcW w:w="766" w:type="pct"/>
            <w:tcBorders>
              <w:top w:val="nil"/>
              <w:left w:val="nil"/>
              <w:bottom w:val="single" w:sz="4" w:space="0" w:color="auto"/>
              <w:right w:val="single" w:sz="4" w:space="0" w:color="auto"/>
            </w:tcBorders>
            <w:shd w:val="clear" w:color="auto" w:fill="auto"/>
            <w:noWrap/>
            <w:vAlign w:val="bottom"/>
            <w:hideMark/>
          </w:tcPr>
          <w:p w14:paraId="7DCC97F7"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 xml:space="preserve"> £          19,268 </w:t>
            </w:r>
          </w:p>
        </w:tc>
      </w:tr>
      <w:tr w:rsidR="00ED5344" w:rsidRPr="005C3BEB" w14:paraId="7CA68E8C" w14:textId="77777777" w:rsidTr="00546691">
        <w:trPr>
          <w:trHeight w:val="312"/>
        </w:trPr>
        <w:tc>
          <w:tcPr>
            <w:tcW w:w="2703" w:type="pct"/>
            <w:tcBorders>
              <w:top w:val="nil"/>
              <w:left w:val="single" w:sz="4" w:space="0" w:color="auto"/>
              <w:bottom w:val="single" w:sz="4" w:space="0" w:color="auto"/>
              <w:right w:val="single" w:sz="4" w:space="0" w:color="auto"/>
            </w:tcBorders>
            <w:shd w:val="clear" w:color="auto" w:fill="auto"/>
            <w:noWrap/>
            <w:vAlign w:val="center"/>
            <w:hideMark/>
          </w:tcPr>
          <w:p w14:paraId="603687D0"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Total Debt + Total Equity</w:t>
            </w:r>
          </w:p>
        </w:tc>
        <w:tc>
          <w:tcPr>
            <w:tcW w:w="766" w:type="pct"/>
            <w:tcBorders>
              <w:top w:val="nil"/>
              <w:left w:val="nil"/>
              <w:bottom w:val="single" w:sz="4" w:space="0" w:color="auto"/>
              <w:right w:val="single" w:sz="4" w:space="0" w:color="auto"/>
            </w:tcBorders>
            <w:shd w:val="clear" w:color="auto" w:fill="auto"/>
            <w:noWrap/>
            <w:vAlign w:val="bottom"/>
            <w:hideMark/>
          </w:tcPr>
          <w:p w14:paraId="2705199F"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 xml:space="preserve"> £          10,679 </w:t>
            </w:r>
          </w:p>
        </w:tc>
        <w:tc>
          <w:tcPr>
            <w:tcW w:w="766" w:type="pct"/>
            <w:tcBorders>
              <w:top w:val="nil"/>
              <w:left w:val="nil"/>
              <w:bottom w:val="single" w:sz="4" w:space="0" w:color="auto"/>
              <w:right w:val="single" w:sz="4" w:space="0" w:color="auto"/>
            </w:tcBorders>
            <w:shd w:val="clear" w:color="auto" w:fill="auto"/>
            <w:noWrap/>
            <w:vAlign w:val="bottom"/>
            <w:hideMark/>
          </w:tcPr>
          <w:p w14:paraId="09B4A130"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 xml:space="preserve"> £          54,950 </w:t>
            </w:r>
          </w:p>
        </w:tc>
        <w:tc>
          <w:tcPr>
            <w:tcW w:w="766" w:type="pct"/>
            <w:tcBorders>
              <w:top w:val="nil"/>
              <w:left w:val="nil"/>
              <w:bottom w:val="single" w:sz="4" w:space="0" w:color="auto"/>
              <w:right w:val="single" w:sz="4" w:space="0" w:color="auto"/>
            </w:tcBorders>
            <w:shd w:val="clear" w:color="auto" w:fill="auto"/>
            <w:noWrap/>
            <w:vAlign w:val="bottom"/>
            <w:hideMark/>
          </w:tcPr>
          <w:p w14:paraId="7198594B"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 xml:space="preserve"> £          66,438 </w:t>
            </w:r>
          </w:p>
        </w:tc>
      </w:tr>
      <w:tr w:rsidR="00ED5344" w:rsidRPr="005C3BEB" w14:paraId="296F8DE8" w14:textId="77777777" w:rsidTr="00546691">
        <w:trPr>
          <w:trHeight w:val="312"/>
        </w:trPr>
        <w:tc>
          <w:tcPr>
            <w:tcW w:w="2703" w:type="pct"/>
            <w:tcBorders>
              <w:top w:val="nil"/>
              <w:left w:val="single" w:sz="4" w:space="0" w:color="auto"/>
              <w:bottom w:val="single" w:sz="4" w:space="0" w:color="auto"/>
              <w:right w:val="single" w:sz="4" w:space="0" w:color="auto"/>
            </w:tcBorders>
            <w:shd w:val="clear" w:color="auto" w:fill="auto"/>
            <w:noWrap/>
            <w:vAlign w:val="center"/>
            <w:hideMark/>
          </w:tcPr>
          <w:p w14:paraId="1CB79E40"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 </w:t>
            </w:r>
          </w:p>
        </w:tc>
        <w:tc>
          <w:tcPr>
            <w:tcW w:w="766" w:type="pct"/>
            <w:tcBorders>
              <w:top w:val="nil"/>
              <w:left w:val="nil"/>
              <w:bottom w:val="single" w:sz="4" w:space="0" w:color="auto"/>
              <w:right w:val="single" w:sz="4" w:space="0" w:color="auto"/>
            </w:tcBorders>
            <w:shd w:val="clear" w:color="auto" w:fill="auto"/>
            <w:noWrap/>
            <w:vAlign w:val="center"/>
            <w:hideMark/>
          </w:tcPr>
          <w:p w14:paraId="4B3ECDCC"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 </w:t>
            </w:r>
          </w:p>
        </w:tc>
        <w:tc>
          <w:tcPr>
            <w:tcW w:w="766" w:type="pct"/>
            <w:tcBorders>
              <w:top w:val="nil"/>
              <w:left w:val="nil"/>
              <w:bottom w:val="single" w:sz="4" w:space="0" w:color="auto"/>
              <w:right w:val="single" w:sz="4" w:space="0" w:color="auto"/>
            </w:tcBorders>
            <w:shd w:val="clear" w:color="auto" w:fill="auto"/>
            <w:noWrap/>
            <w:vAlign w:val="center"/>
            <w:hideMark/>
          </w:tcPr>
          <w:p w14:paraId="4369EF10"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 </w:t>
            </w:r>
          </w:p>
        </w:tc>
        <w:tc>
          <w:tcPr>
            <w:tcW w:w="766" w:type="pct"/>
            <w:tcBorders>
              <w:top w:val="nil"/>
              <w:left w:val="nil"/>
              <w:bottom w:val="single" w:sz="4" w:space="0" w:color="auto"/>
              <w:right w:val="single" w:sz="4" w:space="0" w:color="auto"/>
            </w:tcBorders>
            <w:shd w:val="clear" w:color="auto" w:fill="auto"/>
            <w:noWrap/>
            <w:vAlign w:val="center"/>
            <w:hideMark/>
          </w:tcPr>
          <w:p w14:paraId="52051E7D"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 </w:t>
            </w:r>
          </w:p>
        </w:tc>
      </w:tr>
      <w:tr w:rsidR="00ED5344" w:rsidRPr="005C3BEB" w14:paraId="090B22F6" w14:textId="77777777" w:rsidTr="00546691">
        <w:trPr>
          <w:trHeight w:val="312"/>
        </w:trPr>
        <w:tc>
          <w:tcPr>
            <w:tcW w:w="2703" w:type="pct"/>
            <w:tcBorders>
              <w:top w:val="nil"/>
              <w:left w:val="single" w:sz="4" w:space="0" w:color="auto"/>
              <w:bottom w:val="single" w:sz="4" w:space="0" w:color="auto"/>
              <w:right w:val="single" w:sz="4" w:space="0" w:color="auto"/>
            </w:tcBorders>
            <w:shd w:val="clear" w:color="auto" w:fill="auto"/>
            <w:vAlign w:val="center"/>
            <w:hideMark/>
          </w:tcPr>
          <w:p w14:paraId="37A3D7B8" w14:textId="77777777" w:rsidR="00ED5344" w:rsidRPr="005C3BEB" w:rsidRDefault="00ED5344" w:rsidP="005C3BEB">
            <w:pPr>
              <w:spacing w:after="0" w:line="360" w:lineRule="auto"/>
              <w:jc w:val="both"/>
              <w:rPr>
                <w:rFonts w:eastAsia="Times New Roman" w:cs="Times New Roman"/>
                <w:b/>
                <w:bCs/>
                <w:color w:val="000000"/>
                <w:szCs w:val="24"/>
                <w:lang w:val="en-IN" w:eastAsia="en-IN"/>
              </w:rPr>
            </w:pPr>
            <w:r w:rsidRPr="005C3BEB">
              <w:rPr>
                <w:rFonts w:eastAsia="Times New Roman" w:cs="Times New Roman"/>
                <w:b/>
                <w:bCs/>
                <w:color w:val="000000"/>
                <w:szCs w:val="24"/>
                <w:lang w:val="en-IN" w:eastAsia="en-IN"/>
              </w:rPr>
              <w:t>Debt-to-Capital Ratio </w:t>
            </w:r>
          </w:p>
        </w:tc>
        <w:tc>
          <w:tcPr>
            <w:tcW w:w="766" w:type="pct"/>
            <w:tcBorders>
              <w:top w:val="nil"/>
              <w:left w:val="nil"/>
              <w:bottom w:val="single" w:sz="4" w:space="0" w:color="auto"/>
              <w:right w:val="single" w:sz="4" w:space="0" w:color="auto"/>
            </w:tcBorders>
            <w:shd w:val="clear" w:color="auto" w:fill="auto"/>
            <w:noWrap/>
            <w:vAlign w:val="center"/>
            <w:hideMark/>
          </w:tcPr>
          <w:p w14:paraId="239790E7" w14:textId="77777777" w:rsidR="00ED5344" w:rsidRPr="005C3BEB" w:rsidRDefault="00ED5344" w:rsidP="005C3BEB">
            <w:pPr>
              <w:spacing w:after="0" w:line="360" w:lineRule="auto"/>
              <w:jc w:val="both"/>
              <w:rPr>
                <w:rFonts w:eastAsia="Times New Roman" w:cs="Times New Roman"/>
                <w:b/>
                <w:bCs/>
                <w:color w:val="000000"/>
                <w:szCs w:val="24"/>
                <w:lang w:val="en-IN" w:eastAsia="en-IN"/>
              </w:rPr>
            </w:pPr>
            <w:r w:rsidRPr="005C3BEB">
              <w:rPr>
                <w:rFonts w:eastAsia="Times New Roman" w:cs="Times New Roman"/>
                <w:b/>
                <w:bCs/>
                <w:color w:val="000000"/>
                <w:szCs w:val="24"/>
                <w:lang w:val="en-IN" w:eastAsia="en-IN"/>
              </w:rPr>
              <w:t>0.50</w:t>
            </w:r>
          </w:p>
        </w:tc>
        <w:tc>
          <w:tcPr>
            <w:tcW w:w="766" w:type="pct"/>
            <w:tcBorders>
              <w:top w:val="nil"/>
              <w:left w:val="nil"/>
              <w:bottom w:val="single" w:sz="4" w:space="0" w:color="auto"/>
              <w:right w:val="single" w:sz="4" w:space="0" w:color="auto"/>
            </w:tcBorders>
            <w:shd w:val="clear" w:color="auto" w:fill="auto"/>
            <w:noWrap/>
            <w:vAlign w:val="center"/>
            <w:hideMark/>
          </w:tcPr>
          <w:p w14:paraId="089EA658" w14:textId="77777777" w:rsidR="00ED5344" w:rsidRPr="005C3BEB" w:rsidRDefault="00ED5344" w:rsidP="005C3BEB">
            <w:pPr>
              <w:spacing w:after="0" w:line="360" w:lineRule="auto"/>
              <w:jc w:val="both"/>
              <w:rPr>
                <w:rFonts w:eastAsia="Times New Roman" w:cs="Times New Roman"/>
                <w:b/>
                <w:bCs/>
                <w:color w:val="000000"/>
                <w:szCs w:val="24"/>
                <w:lang w:val="en-IN" w:eastAsia="en-IN"/>
              </w:rPr>
            </w:pPr>
            <w:r w:rsidRPr="005C3BEB">
              <w:rPr>
                <w:rFonts w:eastAsia="Times New Roman" w:cs="Times New Roman"/>
                <w:b/>
                <w:bCs/>
                <w:color w:val="000000"/>
                <w:szCs w:val="24"/>
                <w:lang w:val="en-IN" w:eastAsia="en-IN"/>
              </w:rPr>
              <w:t>0.72</w:t>
            </w:r>
          </w:p>
        </w:tc>
        <w:tc>
          <w:tcPr>
            <w:tcW w:w="766" w:type="pct"/>
            <w:tcBorders>
              <w:top w:val="nil"/>
              <w:left w:val="nil"/>
              <w:bottom w:val="single" w:sz="4" w:space="0" w:color="auto"/>
              <w:right w:val="single" w:sz="4" w:space="0" w:color="auto"/>
            </w:tcBorders>
            <w:shd w:val="clear" w:color="auto" w:fill="auto"/>
            <w:noWrap/>
            <w:vAlign w:val="center"/>
            <w:hideMark/>
          </w:tcPr>
          <w:p w14:paraId="496028D4" w14:textId="77777777" w:rsidR="00ED5344" w:rsidRPr="005C3BEB" w:rsidRDefault="00ED5344" w:rsidP="005C3BEB">
            <w:pPr>
              <w:spacing w:after="0" w:line="360" w:lineRule="auto"/>
              <w:jc w:val="both"/>
              <w:rPr>
                <w:rFonts w:eastAsia="Times New Roman" w:cs="Times New Roman"/>
                <w:b/>
                <w:bCs/>
                <w:color w:val="000000"/>
                <w:szCs w:val="24"/>
                <w:lang w:val="en-IN" w:eastAsia="en-IN"/>
              </w:rPr>
            </w:pPr>
            <w:r w:rsidRPr="005C3BEB">
              <w:rPr>
                <w:rFonts w:eastAsia="Times New Roman" w:cs="Times New Roman"/>
                <w:b/>
                <w:bCs/>
                <w:color w:val="000000"/>
                <w:szCs w:val="24"/>
                <w:lang w:val="en-IN" w:eastAsia="en-IN"/>
              </w:rPr>
              <w:t>0.71</w:t>
            </w:r>
          </w:p>
        </w:tc>
      </w:tr>
      <w:tr w:rsidR="00ED5344" w:rsidRPr="005C3BEB" w14:paraId="3C4C2A9E" w14:textId="77777777" w:rsidTr="00546691">
        <w:trPr>
          <w:trHeight w:val="312"/>
        </w:trPr>
        <w:tc>
          <w:tcPr>
            <w:tcW w:w="2703" w:type="pct"/>
            <w:tcBorders>
              <w:top w:val="nil"/>
              <w:left w:val="single" w:sz="4" w:space="0" w:color="auto"/>
              <w:bottom w:val="single" w:sz="4" w:space="0" w:color="auto"/>
              <w:right w:val="single" w:sz="4" w:space="0" w:color="auto"/>
            </w:tcBorders>
            <w:shd w:val="clear" w:color="auto" w:fill="auto"/>
            <w:noWrap/>
            <w:vAlign w:val="center"/>
            <w:hideMark/>
          </w:tcPr>
          <w:p w14:paraId="0B48F7F5"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Total Debt / Total Debt + Total Equity</w:t>
            </w:r>
          </w:p>
        </w:tc>
        <w:tc>
          <w:tcPr>
            <w:tcW w:w="766" w:type="pct"/>
            <w:tcBorders>
              <w:top w:val="nil"/>
              <w:left w:val="nil"/>
              <w:bottom w:val="single" w:sz="4" w:space="0" w:color="auto"/>
              <w:right w:val="single" w:sz="4" w:space="0" w:color="auto"/>
            </w:tcBorders>
            <w:shd w:val="clear" w:color="auto" w:fill="auto"/>
            <w:noWrap/>
            <w:vAlign w:val="center"/>
            <w:hideMark/>
          </w:tcPr>
          <w:p w14:paraId="095D3B83"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 </w:t>
            </w:r>
          </w:p>
        </w:tc>
        <w:tc>
          <w:tcPr>
            <w:tcW w:w="766" w:type="pct"/>
            <w:tcBorders>
              <w:top w:val="nil"/>
              <w:left w:val="nil"/>
              <w:bottom w:val="single" w:sz="4" w:space="0" w:color="auto"/>
              <w:right w:val="single" w:sz="4" w:space="0" w:color="auto"/>
            </w:tcBorders>
            <w:shd w:val="clear" w:color="auto" w:fill="auto"/>
            <w:noWrap/>
            <w:vAlign w:val="center"/>
            <w:hideMark/>
          </w:tcPr>
          <w:p w14:paraId="58C0CB55"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 </w:t>
            </w:r>
          </w:p>
        </w:tc>
        <w:tc>
          <w:tcPr>
            <w:tcW w:w="766" w:type="pct"/>
            <w:tcBorders>
              <w:top w:val="nil"/>
              <w:left w:val="nil"/>
              <w:bottom w:val="single" w:sz="4" w:space="0" w:color="auto"/>
              <w:right w:val="single" w:sz="4" w:space="0" w:color="auto"/>
            </w:tcBorders>
            <w:shd w:val="clear" w:color="auto" w:fill="auto"/>
            <w:noWrap/>
            <w:vAlign w:val="center"/>
            <w:hideMark/>
          </w:tcPr>
          <w:p w14:paraId="7745654D"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 </w:t>
            </w:r>
          </w:p>
        </w:tc>
      </w:tr>
    </w:tbl>
    <w:p w14:paraId="510BBBC0" w14:textId="77777777" w:rsidR="0093589A" w:rsidRDefault="0093589A" w:rsidP="005C3BEB">
      <w:pPr>
        <w:spacing w:line="360" w:lineRule="auto"/>
        <w:jc w:val="both"/>
        <w:rPr>
          <w:rFonts w:cs="Times New Roman"/>
          <w:szCs w:val="24"/>
        </w:rPr>
      </w:pPr>
    </w:p>
    <w:p w14:paraId="4A2E921C" w14:textId="77777777" w:rsidR="00ED5344" w:rsidRPr="005C3BEB" w:rsidRDefault="00ED5344" w:rsidP="005C3BEB">
      <w:pPr>
        <w:spacing w:line="360" w:lineRule="auto"/>
        <w:jc w:val="both"/>
        <w:rPr>
          <w:rFonts w:cs="Times New Roman"/>
          <w:szCs w:val="24"/>
        </w:rPr>
      </w:pPr>
      <w:r w:rsidRPr="005C3BEB">
        <w:rPr>
          <w:rFonts w:cs="Times New Roman"/>
          <w:szCs w:val="24"/>
        </w:rPr>
        <w:t xml:space="preserve">(Source: </w:t>
      </w:r>
      <w:bookmarkStart w:id="5" w:name="_Hlk174828741"/>
      <w:r w:rsidRPr="005C3BEB">
        <w:rPr>
          <w:rFonts w:cs="Times New Roman"/>
          <w:szCs w:val="24"/>
        </w:rPr>
        <w:t>Annual Reports, 202</w:t>
      </w:r>
      <w:bookmarkEnd w:id="5"/>
      <w:r w:rsidRPr="005C3BEB">
        <w:rPr>
          <w:rFonts w:cs="Times New Roman"/>
          <w:szCs w:val="24"/>
        </w:rPr>
        <w:t>2), (Source: UPS, 2022), and (Source: FedEx, 2022).</w:t>
      </w:r>
    </w:p>
    <w:p w14:paraId="77A82272" w14:textId="77777777" w:rsidR="00ED5344" w:rsidRPr="005C3BEB" w:rsidRDefault="00ED5344" w:rsidP="005C3BEB">
      <w:pPr>
        <w:pStyle w:val="Heading2"/>
        <w:spacing w:line="360" w:lineRule="auto"/>
        <w:jc w:val="both"/>
        <w:rPr>
          <w:rFonts w:cs="Times New Roman"/>
          <w:szCs w:val="24"/>
        </w:rPr>
      </w:pPr>
      <w:bookmarkStart w:id="6" w:name="_Toc174467525"/>
      <w:bookmarkStart w:id="7" w:name="_Toc174875580"/>
      <w:r w:rsidRPr="005C3BEB">
        <w:rPr>
          <w:rFonts w:cs="Times New Roman"/>
          <w:szCs w:val="24"/>
        </w:rPr>
        <w:t>B2: ALTERNATE CAPITAL STRUCTURE THEORIES AND THEIR IMPLICATIONS</w:t>
      </w:r>
      <w:bookmarkEnd w:id="6"/>
      <w:bookmarkEnd w:id="7"/>
    </w:p>
    <w:p w14:paraId="083E6D4C" w14:textId="77777777" w:rsidR="00ED5344" w:rsidRPr="005C3BEB" w:rsidRDefault="00ED5344" w:rsidP="005C3BEB">
      <w:pPr>
        <w:spacing w:line="360" w:lineRule="auto"/>
        <w:jc w:val="both"/>
        <w:rPr>
          <w:rFonts w:cs="Times New Roman"/>
          <w:b/>
          <w:bCs/>
          <w:i/>
          <w:iCs/>
          <w:szCs w:val="24"/>
          <w:u w:val="single"/>
        </w:rPr>
      </w:pPr>
      <w:r w:rsidRPr="005C3BEB">
        <w:rPr>
          <w:rFonts w:cs="Times New Roman"/>
          <w:b/>
          <w:bCs/>
          <w:i/>
          <w:iCs/>
          <w:szCs w:val="24"/>
          <w:u w:val="single"/>
        </w:rPr>
        <w:t>Capital structure theories drawing on published empirical research</w:t>
      </w:r>
    </w:p>
    <w:p w14:paraId="5DF3B614" w14:textId="77777777" w:rsidR="00ED5344" w:rsidRPr="005C3BEB" w:rsidRDefault="00ED5344" w:rsidP="005C3BEB">
      <w:pPr>
        <w:pStyle w:val="ListParagraph"/>
        <w:numPr>
          <w:ilvl w:val="0"/>
          <w:numId w:val="3"/>
        </w:numPr>
        <w:spacing w:line="360" w:lineRule="auto"/>
        <w:jc w:val="both"/>
        <w:rPr>
          <w:rFonts w:cs="Times New Roman"/>
          <w:szCs w:val="24"/>
        </w:rPr>
      </w:pPr>
      <w:r w:rsidRPr="005C3BEB">
        <w:rPr>
          <w:rFonts w:cs="Times New Roman"/>
          <w:szCs w:val="24"/>
          <w:u w:val="single"/>
        </w:rPr>
        <w:t>Modigliani-Miller Theorem</w:t>
      </w:r>
      <w:r w:rsidRPr="005C3BEB">
        <w:rPr>
          <w:rFonts w:cs="Times New Roman"/>
          <w:szCs w:val="24"/>
        </w:rPr>
        <w:t>:</w:t>
      </w:r>
    </w:p>
    <w:p w14:paraId="699D0351" w14:textId="77777777" w:rsidR="00ED5344" w:rsidRPr="005C3BEB" w:rsidRDefault="00ED5344" w:rsidP="005C3BEB">
      <w:pPr>
        <w:spacing w:line="360" w:lineRule="auto"/>
        <w:jc w:val="both"/>
        <w:rPr>
          <w:rFonts w:cs="Times New Roman"/>
          <w:szCs w:val="24"/>
        </w:rPr>
      </w:pPr>
      <w:r w:rsidRPr="005C3BEB">
        <w:rPr>
          <w:rFonts w:cs="Times New Roman"/>
          <w:szCs w:val="24"/>
        </w:rPr>
        <w:t xml:space="preserve">According to </w:t>
      </w:r>
      <w:proofErr w:type="spellStart"/>
      <w:r w:rsidRPr="005C3BEB">
        <w:rPr>
          <w:rFonts w:cs="Times New Roman"/>
          <w:szCs w:val="24"/>
        </w:rPr>
        <w:t>Brusov</w:t>
      </w:r>
      <w:proofErr w:type="spellEnd"/>
      <w:r w:rsidRPr="005C3BEB">
        <w:rPr>
          <w:rFonts w:cs="Times New Roman"/>
          <w:szCs w:val="24"/>
        </w:rPr>
        <w:t xml:space="preserve"> and Filatova (2021), Modigliani and Miller theory argues that the value of entity with leveraged capital and the value of unleveraged entity are </w:t>
      </w:r>
      <w:proofErr w:type="gramStart"/>
      <w:r w:rsidRPr="005C3BEB">
        <w:rPr>
          <w:rFonts w:cs="Times New Roman"/>
          <w:szCs w:val="24"/>
        </w:rPr>
        <w:t>equal</w:t>
      </w:r>
      <w:proofErr w:type="gramEnd"/>
      <w:r w:rsidRPr="005C3BEB">
        <w:rPr>
          <w:rFonts w:cs="Times New Roman"/>
          <w:szCs w:val="24"/>
        </w:rPr>
        <w:t xml:space="preserve"> or it can be said that there is no relationship between valuation of business and its capital structure under defined assumptions ignoring external factors. Few assumptions of the Modigliani and Miller theory includes perfectly capital market, taxes are zero, and entities are operating on same risk.</w:t>
      </w:r>
    </w:p>
    <w:p w14:paraId="47952366" w14:textId="77777777" w:rsidR="00ED5344" w:rsidRPr="005C3BEB" w:rsidRDefault="00ED5344" w:rsidP="005C3BEB">
      <w:pPr>
        <w:pStyle w:val="ListParagraph"/>
        <w:numPr>
          <w:ilvl w:val="0"/>
          <w:numId w:val="3"/>
        </w:numPr>
        <w:spacing w:line="360" w:lineRule="auto"/>
        <w:jc w:val="both"/>
        <w:rPr>
          <w:rFonts w:cs="Times New Roman"/>
          <w:szCs w:val="24"/>
          <w:u w:val="single"/>
        </w:rPr>
      </w:pPr>
      <w:r w:rsidRPr="005C3BEB">
        <w:rPr>
          <w:rFonts w:cs="Times New Roman"/>
          <w:szCs w:val="24"/>
          <w:u w:val="single"/>
        </w:rPr>
        <w:t>Trade-Off Theory:</w:t>
      </w:r>
    </w:p>
    <w:p w14:paraId="3F7BEC40" w14:textId="77777777" w:rsidR="00ED5344" w:rsidRPr="005C3BEB" w:rsidRDefault="00ED5344" w:rsidP="005C3BEB">
      <w:pPr>
        <w:spacing w:line="360" w:lineRule="auto"/>
        <w:jc w:val="both"/>
        <w:rPr>
          <w:rFonts w:cs="Times New Roman"/>
          <w:szCs w:val="24"/>
        </w:rPr>
      </w:pPr>
      <w:r w:rsidRPr="005C3BEB">
        <w:rPr>
          <w:rFonts w:cs="Times New Roman"/>
          <w:szCs w:val="24"/>
        </w:rPr>
        <w:t>According to Ai et al., (2020), trade off theory states a business can achieve its maximum efficiency by determining and operating at an optimal mix of equity and debt. Optimisation of equity and debt portion in its capital structure is innate assumption of the theory. Company can use the benefit of interest tax shield and no repayment of principle &amp; interest using this trade theory by balancing between both.</w:t>
      </w:r>
    </w:p>
    <w:p w14:paraId="1023382F" w14:textId="77777777" w:rsidR="00ED5344" w:rsidRPr="005C3BEB" w:rsidRDefault="00ED5344" w:rsidP="005C3BEB">
      <w:pPr>
        <w:pStyle w:val="ListParagraph"/>
        <w:numPr>
          <w:ilvl w:val="0"/>
          <w:numId w:val="3"/>
        </w:numPr>
        <w:spacing w:line="360" w:lineRule="auto"/>
        <w:jc w:val="both"/>
        <w:rPr>
          <w:rFonts w:cs="Times New Roman"/>
          <w:szCs w:val="24"/>
        </w:rPr>
      </w:pPr>
      <w:r w:rsidRPr="005C3BEB">
        <w:rPr>
          <w:rFonts w:cs="Times New Roman"/>
          <w:szCs w:val="24"/>
          <w:u w:val="single"/>
        </w:rPr>
        <w:t>Pecking Order Theory</w:t>
      </w:r>
      <w:r w:rsidRPr="005C3BEB">
        <w:rPr>
          <w:rFonts w:cs="Times New Roman"/>
          <w:szCs w:val="24"/>
        </w:rPr>
        <w:t>:</w:t>
      </w:r>
    </w:p>
    <w:p w14:paraId="322F09E3" w14:textId="77777777" w:rsidR="00ED5344" w:rsidRPr="005C3BEB" w:rsidRDefault="00ED5344" w:rsidP="005C3BEB">
      <w:pPr>
        <w:spacing w:line="360" w:lineRule="auto"/>
        <w:jc w:val="both"/>
        <w:rPr>
          <w:rFonts w:cs="Times New Roman"/>
          <w:szCs w:val="24"/>
        </w:rPr>
      </w:pPr>
      <w:r w:rsidRPr="005C3BEB">
        <w:rPr>
          <w:rFonts w:cs="Times New Roman"/>
          <w:szCs w:val="24"/>
        </w:rPr>
        <w:t>Pecking order theory states that companies should prefer internal sources of finance to meet their financial requirements instead of external sources. It is more beneficial for the business as it lowers the cost and provide a right use to the available funds of business (</w:t>
      </w:r>
      <w:proofErr w:type="spellStart"/>
      <w:r w:rsidRPr="005C3BEB">
        <w:rPr>
          <w:rFonts w:cs="Times New Roman"/>
          <w:szCs w:val="24"/>
        </w:rPr>
        <w:t>Oktaviani</w:t>
      </w:r>
      <w:proofErr w:type="spellEnd"/>
      <w:r w:rsidRPr="005C3BEB">
        <w:rPr>
          <w:rFonts w:cs="Times New Roman"/>
          <w:szCs w:val="24"/>
        </w:rPr>
        <w:t xml:space="preserve"> et al., 2020).</w:t>
      </w:r>
    </w:p>
    <w:p w14:paraId="519B26C0" w14:textId="77777777" w:rsidR="00ED5344" w:rsidRPr="005C3BEB" w:rsidRDefault="00ED5344" w:rsidP="005C3BEB">
      <w:pPr>
        <w:spacing w:line="360" w:lineRule="auto"/>
        <w:jc w:val="both"/>
        <w:rPr>
          <w:rFonts w:cs="Times New Roman"/>
          <w:b/>
          <w:bCs/>
          <w:i/>
          <w:iCs/>
          <w:szCs w:val="24"/>
          <w:u w:val="single"/>
        </w:rPr>
      </w:pPr>
      <w:r w:rsidRPr="005C3BEB">
        <w:rPr>
          <w:rFonts w:cs="Times New Roman"/>
          <w:b/>
          <w:bCs/>
          <w:i/>
          <w:iCs/>
          <w:szCs w:val="24"/>
          <w:u w:val="single"/>
        </w:rPr>
        <w:lastRenderedPageBreak/>
        <w:t>Monthly share prices of the company and Calculation of average annual share returns for the past five years (use average for 12 months)</w:t>
      </w:r>
      <w:r w:rsidRPr="005C3BEB">
        <w:rPr>
          <w:rFonts w:cs="Times New Roman"/>
          <w:b/>
          <w:bCs/>
          <w:i/>
          <w:iCs/>
          <w:szCs w:val="24"/>
          <w:u w:val="single"/>
        </w:rPr>
        <w:tab/>
      </w:r>
    </w:p>
    <w:p w14:paraId="482A730F" w14:textId="77777777" w:rsidR="00ED5344" w:rsidRPr="005C3BEB" w:rsidRDefault="00ED5344" w:rsidP="005C3BEB">
      <w:pPr>
        <w:spacing w:line="360" w:lineRule="auto"/>
        <w:jc w:val="both"/>
        <w:rPr>
          <w:rFonts w:cs="Times New Roman"/>
          <w:szCs w:val="24"/>
        </w:rPr>
      </w:pPr>
      <w:r w:rsidRPr="005C3BEB">
        <w:rPr>
          <w:rFonts w:cs="Times New Roman"/>
          <w:szCs w:val="24"/>
        </w:rPr>
        <w:t xml:space="preserve">Following is the tabular presentation of 5 years share price of Royal Mail private limited company which represents the monthly percentage returns of share price and average annual share returns. </w:t>
      </w:r>
      <w:r w:rsidR="0093589A">
        <w:rPr>
          <w:rFonts w:cs="Times New Roman"/>
          <w:szCs w:val="24"/>
        </w:rPr>
        <w:t xml:space="preserve">The average annual share returns have been calculated by considering every month and </w:t>
      </w:r>
      <w:r w:rsidR="009D2560">
        <w:rPr>
          <w:rFonts w:cs="Times New Roman"/>
          <w:szCs w:val="24"/>
        </w:rPr>
        <w:t>evaluating the average for the same.</w:t>
      </w:r>
    </w:p>
    <w:tbl>
      <w:tblPr>
        <w:tblW w:w="5000" w:type="pct"/>
        <w:tblLook w:val="04A0" w:firstRow="1" w:lastRow="0" w:firstColumn="1" w:lastColumn="0" w:noHBand="0" w:noVBand="1"/>
      </w:tblPr>
      <w:tblGrid>
        <w:gridCol w:w="985"/>
        <w:gridCol w:w="1381"/>
        <w:gridCol w:w="3289"/>
        <w:gridCol w:w="3361"/>
      </w:tblGrid>
      <w:tr w:rsidR="00ED5344" w:rsidRPr="005C3BEB" w14:paraId="4DEC41D7" w14:textId="77777777" w:rsidTr="00546691">
        <w:trPr>
          <w:trHeight w:val="288"/>
        </w:trPr>
        <w:tc>
          <w:tcPr>
            <w:tcW w:w="59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F8CE217" w14:textId="77777777" w:rsidR="00ED5344" w:rsidRPr="005C3BEB" w:rsidRDefault="00ED5344" w:rsidP="005C3BEB">
            <w:pPr>
              <w:spacing w:after="0" w:line="360" w:lineRule="auto"/>
              <w:jc w:val="both"/>
              <w:rPr>
                <w:rFonts w:eastAsia="Times New Roman" w:cs="Times New Roman"/>
                <w:b/>
                <w:bCs/>
                <w:color w:val="000000"/>
                <w:szCs w:val="24"/>
                <w:lang w:val="en-IN" w:eastAsia="en-IN"/>
              </w:rPr>
            </w:pPr>
            <w:r w:rsidRPr="005C3BEB">
              <w:rPr>
                <w:rFonts w:eastAsia="Times New Roman" w:cs="Times New Roman"/>
                <w:b/>
                <w:bCs/>
                <w:color w:val="000000"/>
                <w:szCs w:val="24"/>
                <w:lang w:val="en-IN" w:eastAsia="en-IN"/>
              </w:rPr>
              <w:t>Months</w:t>
            </w:r>
          </w:p>
        </w:tc>
        <w:tc>
          <w:tcPr>
            <w:tcW w:w="723" w:type="pct"/>
            <w:tcBorders>
              <w:top w:val="single" w:sz="4" w:space="0" w:color="auto"/>
              <w:left w:val="nil"/>
              <w:bottom w:val="single" w:sz="4" w:space="0" w:color="auto"/>
              <w:right w:val="single" w:sz="4" w:space="0" w:color="auto"/>
            </w:tcBorders>
            <w:shd w:val="clear" w:color="auto" w:fill="auto"/>
            <w:noWrap/>
            <w:vAlign w:val="center"/>
            <w:hideMark/>
          </w:tcPr>
          <w:p w14:paraId="7ACA4573" w14:textId="77777777" w:rsidR="00ED5344" w:rsidRPr="005C3BEB" w:rsidRDefault="00ED5344" w:rsidP="005C3BEB">
            <w:pPr>
              <w:spacing w:after="0" w:line="360" w:lineRule="auto"/>
              <w:jc w:val="both"/>
              <w:rPr>
                <w:rFonts w:eastAsia="Times New Roman" w:cs="Times New Roman"/>
                <w:b/>
                <w:bCs/>
                <w:color w:val="000000"/>
                <w:szCs w:val="24"/>
                <w:lang w:val="en-IN" w:eastAsia="en-IN"/>
              </w:rPr>
            </w:pPr>
            <w:r w:rsidRPr="005C3BEB">
              <w:rPr>
                <w:rFonts w:eastAsia="Times New Roman" w:cs="Times New Roman"/>
                <w:b/>
                <w:bCs/>
                <w:color w:val="000000"/>
                <w:szCs w:val="24"/>
                <w:lang w:val="en-IN" w:eastAsia="en-IN"/>
              </w:rPr>
              <w:t>Share Price</w:t>
            </w:r>
          </w:p>
        </w:tc>
        <w:tc>
          <w:tcPr>
            <w:tcW w:w="1807" w:type="pct"/>
            <w:tcBorders>
              <w:top w:val="single" w:sz="4" w:space="0" w:color="auto"/>
              <w:left w:val="nil"/>
              <w:bottom w:val="single" w:sz="4" w:space="0" w:color="auto"/>
              <w:right w:val="single" w:sz="4" w:space="0" w:color="auto"/>
            </w:tcBorders>
            <w:shd w:val="clear" w:color="auto" w:fill="auto"/>
            <w:noWrap/>
            <w:vAlign w:val="center"/>
            <w:hideMark/>
          </w:tcPr>
          <w:p w14:paraId="3CD7365A" w14:textId="77777777" w:rsidR="00ED5344" w:rsidRPr="005C3BEB" w:rsidRDefault="00ED5344" w:rsidP="005C3BEB">
            <w:pPr>
              <w:spacing w:after="0" w:line="360" w:lineRule="auto"/>
              <w:jc w:val="both"/>
              <w:rPr>
                <w:rFonts w:eastAsia="Times New Roman" w:cs="Times New Roman"/>
                <w:b/>
                <w:bCs/>
                <w:color w:val="000000"/>
                <w:szCs w:val="24"/>
                <w:lang w:val="en-IN" w:eastAsia="en-IN"/>
              </w:rPr>
            </w:pPr>
            <w:r w:rsidRPr="005C3BEB">
              <w:rPr>
                <w:rFonts w:eastAsia="Times New Roman" w:cs="Times New Roman"/>
                <w:b/>
                <w:bCs/>
                <w:color w:val="000000"/>
                <w:szCs w:val="24"/>
                <w:lang w:val="en-IN" w:eastAsia="en-IN"/>
              </w:rPr>
              <w:t>Monthly Share Returns (in %)</w:t>
            </w:r>
          </w:p>
        </w:tc>
        <w:tc>
          <w:tcPr>
            <w:tcW w:w="1872" w:type="pct"/>
            <w:tcBorders>
              <w:top w:val="single" w:sz="4" w:space="0" w:color="auto"/>
              <w:left w:val="nil"/>
              <w:bottom w:val="single" w:sz="4" w:space="0" w:color="auto"/>
              <w:right w:val="single" w:sz="4" w:space="0" w:color="auto"/>
            </w:tcBorders>
            <w:shd w:val="clear" w:color="auto" w:fill="auto"/>
            <w:noWrap/>
            <w:vAlign w:val="center"/>
            <w:hideMark/>
          </w:tcPr>
          <w:p w14:paraId="274CF1FD" w14:textId="77777777" w:rsidR="00ED5344" w:rsidRPr="005C3BEB" w:rsidRDefault="00ED5344" w:rsidP="005C3BEB">
            <w:pPr>
              <w:spacing w:after="0" w:line="360" w:lineRule="auto"/>
              <w:jc w:val="both"/>
              <w:rPr>
                <w:rFonts w:eastAsia="Times New Roman" w:cs="Times New Roman"/>
                <w:b/>
                <w:bCs/>
                <w:color w:val="000000"/>
                <w:szCs w:val="24"/>
                <w:lang w:val="en-IN" w:eastAsia="en-IN"/>
              </w:rPr>
            </w:pPr>
            <w:r w:rsidRPr="005C3BEB">
              <w:rPr>
                <w:rFonts w:eastAsia="Times New Roman" w:cs="Times New Roman"/>
                <w:b/>
                <w:bCs/>
                <w:color w:val="000000"/>
                <w:szCs w:val="24"/>
                <w:lang w:val="en-IN" w:eastAsia="en-IN"/>
              </w:rPr>
              <w:t>Average Annual Share Returns</w:t>
            </w:r>
          </w:p>
        </w:tc>
      </w:tr>
      <w:tr w:rsidR="00ED5344" w:rsidRPr="005C3BEB" w14:paraId="43FE884E" w14:textId="77777777" w:rsidTr="00546691">
        <w:trPr>
          <w:trHeight w:val="516"/>
        </w:trPr>
        <w:tc>
          <w:tcPr>
            <w:tcW w:w="598" w:type="pct"/>
            <w:tcBorders>
              <w:top w:val="nil"/>
              <w:left w:val="single" w:sz="4" w:space="0" w:color="auto"/>
              <w:bottom w:val="single" w:sz="4" w:space="0" w:color="auto"/>
              <w:right w:val="single" w:sz="4" w:space="0" w:color="auto"/>
            </w:tcBorders>
            <w:shd w:val="clear" w:color="auto" w:fill="auto"/>
            <w:noWrap/>
            <w:vAlign w:val="center"/>
            <w:hideMark/>
          </w:tcPr>
          <w:p w14:paraId="7BA6A128"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Dec-17</w:t>
            </w:r>
          </w:p>
        </w:tc>
        <w:tc>
          <w:tcPr>
            <w:tcW w:w="723" w:type="pct"/>
            <w:tcBorders>
              <w:top w:val="nil"/>
              <w:left w:val="nil"/>
              <w:bottom w:val="single" w:sz="4" w:space="0" w:color="auto"/>
              <w:right w:val="single" w:sz="4" w:space="0" w:color="auto"/>
            </w:tcBorders>
            <w:shd w:val="clear" w:color="auto" w:fill="auto"/>
            <w:noWrap/>
            <w:vAlign w:val="center"/>
            <w:hideMark/>
          </w:tcPr>
          <w:p w14:paraId="42816362"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452</w:t>
            </w:r>
          </w:p>
        </w:tc>
        <w:tc>
          <w:tcPr>
            <w:tcW w:w="1807" w:type="pct"/>
            <w:tcBorders>
              <w:top w:val="nil"/>
              <w:left w:val="nil"/>
              <w:bottom w:val="single" w:sz="4" w:space="0" w:color="auto"/>
              <w:right w:val="single" w:sz="4" w:space="0" w:color="auto"/>
            </w:tcBorders>
            <w:shd w:val="clear" w:color="auto" w:fill="auto"/>
            <w:noWrap/>
            <w:vAlign w:val="center"/>
            <w:hideMark/>
          </w:tcPr>
          <w:p w14:paraId="78CE7725"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w:t>
            </w:r>
          </w:p>
        </w:tc>
        <w:tc>
          <w:tcPr>
            <w:tcW w:w="1872" w:type="pct"/>
            <w:tcBorders>
              <w:top w:val="nil"/>
              <w:left w:val="nil"/>
              <w:bottom w:val="single" w:sz="4" w:space="0" w:color="auto"/>
              <w:right w:val="single" w:sz="4" w:space="0" w:color="auto"/>
            </w:tcBorders>
            <w:shd w:val="clear" w:color="auto" w:fill="auto"/>
            <w:noWrap/>
            <w:vAlign w:val="center"/>
            <w:hideMark/>
          </w:tcPr>
          <w:p w14:paraId="23BDD0C3" w14:textId="77777777" w:rsidR="00ED5344" w:rsidRPr="005C3BEB" w:rsidRDefault="00ED5344" w:rsidP="005C3BEB">
            <w:pPr>
              <w:spacing w:after="0" w:line="360" w:lineRule="auto"/>
              <w:jc w:val="both"/>
              <w:rPr>
                <w:rFonts w:eastAsia="Times New Roman" w:cs="Times New Roman"/>
                <w:b/>
                <w:bCs/>
                <w:color w:val="000000"/>
                <w:szCs w:val="24"/>
                <w:lang w:val="en-IN" w:eastAsia="en-IN"/>
              </w:rPr>
            </w:pPr>
            <w:r w:rsidRPr="005C3BEB">
              <w:rPr>
                <w:rFonts w:eastAsia="Times New Roman" w:cs="Times New Roman"/>
                <w:b/>
                <w:bCs/>
                <w:color w:val="000000"/>
                <w:szCs w:val="24"/>
                <w:lang w:val="en-IN" w:eastAsia="en-IN"/>
              </w:rPr>
              <w:t> </w:t>
            </w:r>
          </w:p>
        </w:tc>
      </w:tr>
      <w:tr w:rsidR="00ED5344" w:rsidRPr="005C3BEB" w14:paraId="03385907" w14:textId="77777777" w:rsidTr="00546691">
        <w:trPr>
          <w:trHeight w:val="288"/>
        </w:trPr>
        <w:tc>
          <w:tcPr>
            <w:tcW w:w="598" w:type="pct"/>
            <w:tcBorders>
              <w:top w:val="nil"/>
              <w:left w:val="single" w:sz="4" w:space="0" w:color="auto"/>
              <w:bottom w:val="single" w:sz="4" w:space="0" w:color="auto"/>
              <w:right w:val="single" w:sz="4" w:space="0" w:color="auto"/>
            </w:tcBorders>
            <w:shd w:val="clear" w:color="auto" w:fill="auto"/>
            <w:noWrap/>
            <w:vAlign w:val="center"/>
            <w:hideMark/>
          </w:tcPr>
          <w:p w14:paraId="16BFEC69"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Jan-18</w:t>
            </w:r>
          </w:p>
        </w:tc>
        <w:tc>
          <w:tcPr>
            <w:tcW w:w="723" w:type="pct"/>
            <w:tcBorders>
              <w:top w:val="nil"/>
              <w:left w:val="nil"/>
              <w:bottom w:val="single" w:sz="4" w:space="0" w:color="auto"/>
              <w:right w:val="single" w:sz="4" w:space="0" w:color="auto"/>
            </w:tcBorders>
            <w:shd w:val="clear" w:color="auto" w:fill="auto"/>
            <w:noWrap/>
            <w:vAlign w:val="center"/>
            <w:hideMark/>
          </w:tcPr>
          <w:p w14:paraId="5BDD23FA"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469.5</w:t>
            </w:r>
          </w:p>
        </w:tc>
        <w:tc>
          <w:tcPr>
            <w:tcW w:w="1807" w:type="pct"/>
            <w:tcBorders>
              <w:top w:val="nil"/>
              <w:left w:val="nil"/>
              <w:bottom w:val="single" w:sz="4" w:space="0" w:color="auto"/>
              <w:right w:val="single" w:sz="4" w:space="0" w:color="auto"/>
            </w:tcBorders>
            <w:shd w:val="clear" w:color="auto" w:fill="auto"/>
            <w:noWrap/>
            <w:vAlign w:val="center"/>
            <w:hideMark/>
          </w:tcPr>
          <w:p w14:paraId="4DBA11A0"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3.87%</w:t>
            </w:r>
          </w:p>
        </w:tc>
        <w:tc>
          <w:tcPr>
            <w:tcW w:w="1872"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7642FEDD" w14:textId="77777777" w:rsidR="00ED5344" w:rsidRPr="005C3BEB" w:rsidRDefault="00ED5344" w:rsidP="005C3BEB">
            <w:pPr>
              <w:spacing w:after="0" w:line="360" w:lineRule="auto"/>
              <w:jc w:val="both"/>
              <w:rPr>
                <w:rFonts w:eastAsia="Times New Roman" w:cs="Times New Roman"/>
                <w:b/>
                <w:bCs/>
                <w:color w:val="000000"/>
                <w:szCs w:val="24"/>
                <w:lang w:val="en-IN" w:eastAsia="en-IN"/>
              </w:rPr>
            </w:pPr>
            <w:r w:rsidRPr="005C3BEB">
              <w:rPr>
                <w:rFonts w:eastAsia="Times New Roman" w:cs="Times New Roman"/>
                <w:b/>
                <w:bCs/>
                <w:color w:val="000000"/>
                <w:szCs w:val="24"/>
                <w:lang w:val="en-IN" w:eastAsia="en-IN"/>
              </w:rPr>
              <w:t>-3.48%</w:t>
            </w:r>
          </w:p>
        </w:tc>
      </w:tr>
      <w:tr w:rsidR="00ED5344" w:rsidRPr="005C3BEB" w14:paraId="52E782B7" w14:textId="77777777" w:rsidTr="00546691">
        <w:trPr>
          <w:trHeight w:val="288"/>
        </w:trPr>
        <w:tc>
          <w:tcPr>
            <w:tcW w:w="598" w:type="pct"/>
            <w:tcBorders>
              <w:top w:val="nil"/>
              <w:left w:val="single" w:sz="4" w:space="0" w:color="auto"/>
              <w:bottom w:val="single" w:sz="4" w:space="0" w:color="auto"/>
              <w:right w:val="single" w:sz="4" w:space="0" w:color="auto"/>
            </w:tcBorders>
            <w:shd w:val="clear" w:color="auto" w:fill="auto"/>
            <w:noWrap/>
            <w:vAlign w:val="center"/>
            <w:hideMark/>
          </w:tcPr>
          <w:p w14:paraId="23BC1505"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Feb-18</w:t>
            </w:r>
          </w:p>
        </w:tc>
        <w:tc>
          <w:tcPr>
            <w:tcW w:w="723" w:type="pct"/>
            <w:tcBorders>
              <w:top w:val="nil"/>
              <w:left w:val="nil"/>
              <w:bottom w:val="single" w:sz="4" w:space="0" w:color="auto"/>
              <w:right w:val="single" w:sz="4" w:space="0" w:color="auto"/>
            </w:tcBorders>
            <w:shd w:val="clear" w:color="auto" w:fill="auto"/>
            <w:noWrap/>
            <w:vAlign w:val="center"/>
            <w:hideMark/>
          </w:tcPr>
          <w:p w14:paraId="017F327F"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560</w:t>
            </w:r>
          </w:p>
        </w:tc>
        <w:tc>
          <w:tcPr>
            <w:tcW w:w="1807" w:type="pct"/>
            <w:tcBorders>
              <w:top w:val="nil"/>
              <w:left w:val="nil"/>
              <w:bottom w:val="single" w:sz="4" w:space="0" w:color="auto"/>
              <w:right w:val="single" w:sz="4" w:space="0" w:color="auto"/>
            </w:tcBorders>
            <w:shd w:val="clear" w:color="auto" w:fill="auto"/>
            <w:noWrap/>
            <w:vAlign w:val="center"/>
            <w:hideMark/>
          </w:tcPr>
          <w:p w14:paraId="07C0D5CE"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19.28%</w:t>
            </w:r>
          </w:p>
        </w:tc>
        <w:tc>
          <w:tcPr>
            <w:tcW w:w="1872" w:type="pct"/>
            <w:vMerge/>
            <w:tcBorders>
              <w:top w:val="nil"/>
              <w:left w:val="single" w:sz="4" w:space="0" w:color="auto"/>
              <w:bottom w:val="single" w:sz="4" w:space="0" w:color="auto"/>
              <w:right w:val="single" w:sz="4" w:space="0" w:color="auto"/>
            </w:tcBorders>
            <w:vAlign w:val="center"/>
            <w:hideMark/>
          </w:tcPr>
          <w:p w14:paraId="0BD70500" w14:textId="77777777" w:rsidR="00ED5344" w:rsidRPr="005C3BEB" w:rsidRDefault="00ED5344" w:rsidP="005C3BEB">
            <w:pPr>
              <w:spacing w:after="0" w:line="360" w:lineRule="auto"/>
              <w:jc w:val="both"/>
              <w:rPr>
                <w:rFonts w:eastAsia="Times New Roman" w:cs="Times New Roman"/>
                <w:b/>
                <w:bCs/>
                <w:color w:val="000000"/>
                <w:szCs w:val="24"/>
                <w:lang w:val="en-IN" w:eastAsia="en-IN"/>
              </w:rPr>
            </w:pPr>
          </w:p>
        </w:tc>
      </w:tr>
      <w:tr w:rsidR="00ED5344" w:rsidRPr="005C3BEB" w14:paraId="442D159F" w14:textId="77777777" w:rsidTr="00546691">
        <w:trPr>
          <w:trHeight w:val="288"/>
        </w:trPr>
        <w:tc>
          <w:tcPr>
            <w:tcW w:w="598" w:type="pct"/>
            <w:tcBorders>
              <w:top w:val="nil"/>
              <w:left w:val="single" w:sz="4" w:space="0" w:color="auto"/>
              <w:bottom w:val="single" w:sz="4" w:space="0" w:color="auto"/>
              <w:right w:val="single" w:sz="4" w:space="0" w:color="auto"/>
            </w:tcBorders>
            <w:shd w:val="clear" w:color="auto" w:fill="auto"/>
            <w:noWrap/>
            <w:vAlign w:val="center"/>
            <w:hideMark/>
          </w:tcPr>
          <w:p w14:paraId="168E8109"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Mar-18</w:t>
            </w:r>
          </w:p>
        </w:tc>
        <w:tc>
          <w:tcPr>
            <w:tcW w:w="723" w:type="pct"/>
            <w:tcBorders>
              <w:top w:val="nil"/>
              <w:left w:val="nil"/>
              <w:bottom w:val="single" w:sz="4" w:space="0" w:color="auto"/>
              <w:right w:val="single" w:sz="4" w:space="0" w:color="auto"/>
            </w:tcBorders>
            <w:shd w:val="clear" w:color="auto" w:fill="auto"/>
            <w:noWrap/>
            <w:vAlign w:val="center"/>
            <w:hideMark/>
          </w:tcPr>
          <w:p w14:paraId="73F8EA44"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540</w:t>
            </w:r>
          </w:p>
        </w:tc>
        <w:tc>
          <w:tcPr>
            <w:tcW w:w="1807" w:type="pct"/>
            <w:tcBorders>
              <w:top w:val="nil"/>
              <w:left w:val="nil"/>
              <w:bottom w:val="single" w:sz="4" w:space="0" w:color="auto"/>
              <w:right w:val="single" w:sz="4" w:space="0" w:color="auto"/>
            </w:tcBorders>
            <w:shd w:val="clear" w:color="auto" w:fill="auto"/>
            <w:noWrap/>
            <w:vAlign w:val="center"/>
            <w:hideMark/>
          </w:tcPr>
          <w:p w14:paraId="2F403528"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-3.57%</w:t>
            </w:r>
          </w:p>
        </w:tc>
        <w:tc>
          <w:tcPr>
            <w:tcW w:w="1872" w:type="pct"/>
            <w:vMerge/>
            <w:tcBorders>
              <w:top w:val="nil"/>
              <w:left w:val="single" w:sz="4" w:space="0" w:color="auto"/>
              <w:bottom w:val="single" w:sz="4" w:space="0" w:color="auto"/>
              <w:right w:val="single" w:sz="4" w:space="0" w:color="auto"/>
            </w:tcBorders>
            <w:vAlign w:val="center"/>
            <w:hideMark/>
          </w:tcPr>
          <w:p w14:paraId="4D43FC26" w14:textId="77777777" w:rsidR="00ED5344" w:rsidRPr="005C3BEB" w:rsidRDefault="00ED5344" w:rsidP="005C3BEB">
            <w:pPr>
              <w:spacing w:after="0" w:line="360" w:lineRule="auto"/>
              <w:jc w:val="both"/>
              <w:rPr>
                <w:rFonts w:eastAsia="Times New Roman" w:cs="Times New Roman"/>
                <w:b/>
                <w:bCs/>
                <w:color w:val="000000"/>
                <w:szCs w:val="24"/>
                <w:lang w:val="en-IN" w:eastAsia="en-IN"/>
              </w:rPr>
            </w:pPr>
          </w:p>
        </w:tc>
      </w:tr>
      <w:tr w:rsidR="00ED5344" w:rsidRPr="005C3BEB" w14:paraId="6CD4F648" w14:textId="77777777" w:rsidTr="00546691">
        <w:trPr>
          <w:trHeight w:val="288"/>
        </w:trPr>
        <w:tc>
          <w:tcPr>
            <w:tcW w:w="598" w:type="pct"/>
            <w:tcBorders>
              <w:top w:val="nil"/>
              <w:left w:val="single" w:sz="4" w:space="0" w:color="auto"/>
              <w:bottom w:val="single" w:sz="4" w:space="0" w:color="auto"/>
              <w:right w:val="single" w:sz="4" w:space="0" w:color="auto"/>
            </w:tcBorders>
            <w:shd w:val="clear" w:color="auto" w:fill="auto"/>
            <w:noWrap/>
            <w:vAlign w:val="center"/>
            <w:hideMark/>
          </w:tcPr>
          <w:p w14:paraId="10A34A1C"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Apr-18</w:t>
            </w:r>
          </w:p>
        </w:tc>
        <w:tc>
          <w:tcPr>
            <w:tcW w:w="723" w:type="pct"/>
            <w:tcBorders>
              <w:top w:val="nil"/>
              <w:left w:val="nil"/>
              <w:bottom w:val="single" w:sz="4" w:space="0" w:color="auto"/>
              <w:right w:val="single" w:sz="4" w:space="0" w:color="auto"/>
            </w:tcBorders>
            <w:shd w:val="clear" w:color="auto" w:fill="auto"/>
            <w:noWrap/>
            <w:vAlign w:val="center"/>
            <w:hideMark/>
          </w:tcPr>
          <w:p w14:paraId="635EC360"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581</w:t>
            </w:r>
          </w:p>
        </w:tc>
        <w:tc>
          <w:tcPr>
            <w:tcW w:w="1807" w:type="pct"/>
            <w:tcBorders>
              <w:top w:val="nil"/>
              <w:left w:val="nil"/>
              <w:bottom w:val="single" w:sz="4" w:space="0" w:color="auto"/>
              <w:right w:val="single" w:sz="4" w:space="0" w:color="auto"/>
            </w:tcBorders>
            <w:shd w:val="clear" w:color="auto" w:fill="auto"/>
            <w:noWrap/>
            <w:vAlign w:val="center"/>
            <w:hideMark/>
          </w:tcPr>
          <w:p w14:paraId="457A2459"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7.59%</w:t>
            </w:r>
          </w:p>
        </w:tc>
        <w:tc>
          <w:tcPr>
            <w:tcW w:w="1872" w:type="pct"/>
            <w:vMerge/>
            <w:tcBorders>
              <w:top w:val="nil"/>
              <w:left w:val="single" w:sz="4" w:space="0" w:color="auto"/>
              <w:bottom w:val="single" w:sz="4" w:space="0" w:color="auto"/>
              <w:right w:val="single" w:sz="4" w:space="0" w:color="auto"/>
            </w:tcBorders>
            <w:vAlign w:val="center"/>
            <w:hideMark/>
          </w:tcPr>
          <w:p w14:paraId="79D14870" w14:textId="77777777" w:rsidR="00ED5344" w:rsidRPr="005C3BEB" w:rsidRDefault="00ED5344" w:rsidP="005C3BEB">
            <w:pPr>
              <w:spacing w:after="0" w:line="360" w:lineRule="auto"/>
              <w:jc w:val="both"/>
              <w:rPr>
                <w:rFonts w:eastAsia="Times New Roman" w:cs="Times New Roman"/>
                <w:b/>
                <w:bCs/>
                <w:color w:val="000000"/>
                <w:szCs w:val="24"/>
                <w:lang w:val="en-IN" w:eastAsia="en-IN"/>
              </w:rPr>
            </w:pPr>
          </w:p>
        </w:tc>
      </w:tr>
      <w:tr w:rsidR="00ED5344" w:rsidRPr="005C3BEB" w14:paraId="050E60EC" w14:textId="77777777" w:rsidTr="00546691">
        <w:trPr>
          <w:trHeight w:val="288"/>
        </w:trPr>
        <w:tc>
          <w:tcPr>
            <w:tcW w:w="598" w:type="pct"/>
            <w:tcBorders>
              <w:top w:val="nil"/>
              <w:left w:val="single" w:sz="4" w:space="0" w:color="auto"/>
              <w:bottom w:val="single" w:sz="4" w:space="0" w:color="auto"/>
              <w:right w:val="single" w:sz="4" w:space="0" w:color="auto"/>
            </w:tcBorders>
            <w:shd w:val="clear" w:color="auto" w:fill="auto"/>
            <w:noWrap/>
            <w:vAlign w:val="center"/>
            <w:hideMark/>
          </w:tcPr>
          <w:p w14:paraId="40F92344"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May-18</w:t>
            </w:r>
          </w:p>
        </w:tc>
        <w:tc>
          <w:tcPr>
            <w:tcW w:w="723" w:type="pct"/>
            <w:tcBorders>
              <w:top w:val="nil"/>
              <w:left w:val="nil"/>
              <w:bottom w:val="single" w:sz="4" w:space="0" w:color="auto"/>
              <w:right w:val="single" w:sz="4" w:space="0" w:color="auto"/>
            </w:tcBorders>
            <w:shd w:val="clear" w:color="auto" w:fill="auto"/>
            <w:noWrap/>
            <w:vAlign w:val="center"/>
            <w:hideMark/>
          </w:tcPr>
          <w:p w14:paraId="30CAABF7"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509</w:t>
            </w:r>
          </w:p>
        </w:tc>
        <w:tc>
          <w:tcPr>
            <w:tcW w:w="1807" w:type="pct"/>
            <w:tcBorders>
              <w:top w:val="nil"/>
              <w:left w:val="nil"/>
              <w:bottom w:val="single" w:sz="4" w:space="0" w:color="auto"/>
              <w:right w:val="single" w:sz="4" w:space="0" w:color="auto"/>
            </w:tcBorders>
            <w:shd w:val="clear" w:color="auto" w:fill="auto"/>
            <w:noWrap/>
            <w:vAlign w:val="center"/>
            <w:hideMark/>
          </w:tcPr>
          <w:p w14:paraId="6A33E869"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-12.39%</w:t>
            </w:r>
          </w:p>
        </w:tc>
        <w:tc>
          <w:tcPr>
            <w:tcW w:w="1872" w:type="pct"/>
            <w:vMerge/>
            <w:tcBorders>
              <w:top w:val="nil"/>
              <w:left w:val="single" w:sz="4" w:space="0" w:color="auto"/>
              <w:bottom w:val="single" w:sz="4" w:space="0" w:color="auto"/>
              <w:right w:val="single" w:sz="4" w:space="0" w:color="auto"/>
            </w:tcBorders>
            <w:vAlign w:val="center"/>
            <w:hideMark/>
          </w:tcPr>
          <w:p w14:paraId="6468017F" w14:textId="77777777" w:rsidR="00ED5344" w:rsidRPr="005C3BEB" w:rsidRDefault="00ED5344" w:rsidP="005C3BEB">
            <w:pPr>
              <w:spacing w:after="0" w:line="360" w:lineRule="auto"/>
              <w:jc w:val="both"/>
              <w:rPr>
                <w:rFonts w:eastAsia="Times New Roman" w:cs="Times New Roman"/>
                <w:b/>
                <w:bCs/>
                <w:color w:val="000000"/>
                <w:szCs w:val="24"/>
                <w:lang w:val="en-IN" w:eastAsia="en-IN"/>
              </w:rPr>
            </w:pPr>
          </w:p>
        </w:tc>
      </w:tr>
      <w:tr w:rsidR="00ED5344" w:rsidRPr="005C3BEB" w14:paraId="66AC3F11" w14:textId="77777777" w:rsidTr="00546691">
        <w:trPr>
          <w:trHeight w:val="288"/>
        </w:trPr>
        <w:tc>
          <w:tcPr>
            <w:tcW w:w="598" w:type="pct"/>
            <w:tcBorders>
              <w:top w:val="nil"/>
              <w:left w:val="single" w:sz="4" w:space="0" w:color="auto"/>
              <w:bottom w:val="single" w:sz="4" w:space="0" w:color="auto"/>
              <w:right w:val="single" w:sz="4" w:space="0" w:color="auto"/>
            </w:tcBorders>
            <w:shd w:val="clear" w:color="auto" w:fill="auto"/>
            <w:noWrap/>
            <w:vAlign w:val="center"/>
            <w:hideMark/>
          </w:tcPr>
          <w:p w14:paraId="13A8F3E9"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Jun-18</w:t>
            </w:r>
          </w:p>
        </w:tc>
        <w:tc>
          <w:tcPr>
            <w:tcW w:w="723" w:type="pct"/>
            <w:tcBorders>
              <w:top w:val="nil"/>
              <w:left w:val="nil"/>
              <w:bottom w:val="single" w:sz="4" w:space="0" w:color="auto"/>
              <w:right w:val="single" w:sz="4" w:space="0" w:color="auto"/>
            </w:tcBorders>
            <w:shd w:val="clear" w:color="auto" w:fill="auto"/>
            <w:noWrap/>
            <w:vAlign w:val="center"/>
            <w:hideMark/>
          </w:tcPr>
          <w:p w14:paraId="53A1F1A2"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505</w:t>
            </w:r>
          </w:p>
        </w:tc>
        <w:tc>
          <w:tcPr>
            <w:tcW w:w="1807" w:type="pct"/>
            <w:tcBorders>
              <w:top w:val="nil"/>
              <w:left w:val="nil"/>
              <w:bottom w:val="single" w:sz="4" w:space="0" w:color="auto"/>
              <w:right w:val="single" w:sz="4" w:space="0" w:color="auto"/>
            </w:tcBorders>
            <w:shd w:val="clear" w:color="auto" w:fill="auto"/>
            <w:noWrap/>
            <w:vAlign w:val="center"/>
            <w:hideMark/>
          </w:tcPr>
          <w:p w14:paraId="06BFB257"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-0.79%</w:t>
            </w:r>
          </w:p>
        </w:tc>
        <w:tc>
          <w:tcPr>
            <w:tcW w:w="1872" w:type="pct"/>
            <w:vMerge/>
            <w:tcBorders>
              <w:top w:val="nil"/>
              <w:left w:val="single" w:sz="4" w:space="0" w:color="auto"/>
              <w:bottom w:val="single" w:sz="4" w:space="0" w:color="auto"/>
              <w:right w:val="single" w:sz="4" w:space="0" w:color="auto"/>
            </w:tcBorders>
            <w:vAlign w:val="center"/>
            <w:hideMark/>
          </w:tcPr>
          <w:p w14:paraId="032968F5" w14:textId="77777777" w:rsidR="00ED5344" w:rsidRPr="005C3BEB" w:rsidRDefault="00ED5344" w:rsidP="005C3BEB">
            <w:pPr>
              <w:spacing w:after="0" w:line="360" w:lineRule="auto"/>
              <w:jc w:val="both"/>
              <w:rPr>
                <w:rFonts w:eastAsia="Times New Roman" w:cs="Times New Roman"/>
                <w:b/>
                <w:bCs/>
                <w:color w:val="000000"/>
                <w:szCs w:val="24"/>
                <w:lang w:val="en-IN" w:eastAsia="en-IN"/>
              </w:rPr>
            </w:pPr>
          </w:p>
        </w:tc>
      </w:tr>
      <w:tr w:rsidR="00ED5344" w:rsidRPr="005C3BEB" w14:paraId="6213327C" w14:textId="77777777" w:rsidTr="00546691">
        <w:trPr>
          <w:trHeight w:val="288"/>
        </w:trPr>
        <w:tc>
          <w:tcPr>
            <w:tcW w:w="598" w:type="pct"/>
            <w:tcBorders>
              <w:top w:val="nil"/>
              <w:left w:val="single" w:sz="4" w:space="0" w:color="auto"/>
              <w:bottom w:val="single" w:sz="4" w:space="0" w:color="auto"/>
              <w:right w:val="single" w:sz="4" w:space="0" w:color="auto"/>
            </w:tcBorders>
            <w:shd w:val="clear" w:color="auto" w:fill="auto"/>
            <w:noWrap/>
            <w:vAlign w:val="center"/>
            <w:hideMark/>
          </w:tcPr>
          <w:p w14:paraId="78FC54A1"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Jul-18</w:t>
            </w:r>
          </w:p>
        </w:tc>
        <w:tc>
          <w:tcPr>
            <w:tcW w:w="723" w:type="pct"/>
            <w:tcBorders>
              <w:top w:val="nil"/>
              <w:left w:val="nil"/>
              <w:bottom w:val="single" w:sz="4" w:space="0" w:color="auto"/>
              <w:right w:val="single" w:sz="4" w:space="0" w:color="auto"/>
            </w:tcBorders>
            <w:shd w:val="clear" w:color="auto" w:fill="auto"/>
            <w:noWrap/>
            <w:vAlign w:val="center"/>
            <w:hideMark/>
          </w:tcPr>
          <w:p w14:paraId="03479316"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468</w:t>
            </w:r>
          </w:p>
        </w:tc>
        <w:tc>
          <w:tcPr>
            <w:tcW w:w="1807" w:type="pct"/>
            <w:tcBorders>
              <w:top w:val="nil"/>
              <w:left w:val="nil"/>
              <w:bottom w:val="single" w:sz="4" w:space="0" w:color="auto"/>
              <w:right w:val="single" w:sz="4" w:space="0" w:color="auto"/>
            </w:tcBorders>
            <w:shd w:val="clear" w:color="auto" w:fill="auto"/>
            <w:noWrap/>
            <w:vAlign w:val="center"/>
            <w:hideMark/>
          </w:tcPr>
          <w:p w14:paraId="6BE26A5D"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-7.33%</w:t>
            </w:r>
          </w:p>
        </w:tc>
        <w:tc>
          <w:tcPr>
            <w:tcW w:w="1872" w:type="pct"/>
            <w:vMerge/>
            <w:tcBorders>
              <w:top w:val="nil"/>
              <w:left w:val="single" w:sz="4" w:space="0" w:color="auto"/>
              <w:bottom w:val="single" w:sz="4" w:space="0" w:color="auto"/>
              <w:right w:val="single" w:sz="4" w:space="0" w:color="auto"/>
            </w:tcBorders>
            <w:vAlign w:val="center"/>
            <w:hideMark/>
          </w:tcPr>
          <w:p w14:paraId="6817548A" w14:textId="77777777" w:rsidR="00ED5344" w:rsidRPr="005C3BEB" w:rsidRDefault="00ED5344" w:rsidP="005C3BEB">
            <w:pPr>
              <w:spacing w:after="0" w:line="360" w:lineRule="auto"/>
              <w:jc w:val="both"/>
              <w:rPr>
                <w:rFonts w:eastAsia="Times New Roman" w:cs="Times New Roman"/>
                <w:b/>
                <w:bCs/>
                <w:color w:val="000000"/>
                <w:szCs w:val="24"/>
                <w:lang w:val="en-IN" w:eastAsia="en-IN"/>
              </w:rPr>
            </w:pPr>
          </w:p>
        </w:tc>
      </w:tr>
      <w:tr w:rsidR="00ED5344" w:rsidRPr="005C3BEB" w14:paraId="5F593C6F" w14:textId="77777777" w:rsidTr="00546691">
        <w:trPr>
          <w:trHeight w:val="288"/>
        </w:trPr>
        <w:tc>
          <w:tcPr>
            <w:tcW w:w="598" w:type="pct"/>
            <w:tcBorders>
              <w:top w:val="nil"/>
              <w:left w:val="single" w:sz="4" w:space="0" w:color="auto"/>
              <w:bottom w:val="single" w:sz="4" w:space="0" w:color="auto"/>
              <w:right w:val="single" w:sz="4" w:space="0" w:color="auto"/>
            </w:tcBorders>
            <w:shd w:val="clear" w:color="auto" w:fill="auto"/>
            <w:noWrap/>
            <w:vAlign w:val="center"/>
            <w:hideMark/>
          </w:tcPr>
          <w:p w14:paraId="15849EA9"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Aug-18</w:t>
            </w:r>
          </w:p>
        </w:tc>
        <w:tc>
          <w:tcPr>
            <w:tcW w:w="723" w:type="pct"/>
            <w:tcBorders>
              <w:top w:val="nil"/>
              <w:left w:val="nil"/>
              <w:bottom w:val="single" w:sz="4" w:space="0" w:color="auto"/>
              <w:right w:val="single" w:sz="4" w:space="0" w:color="auto"/>
            </w:tcBorders>
            <w:shd w:val="clear" w:color="auto" w:fill="auto"/>
            <w:noWrap/>
            <w:vAlign w:val="center"/>
            <w:hideMark/>
          </w:tcPr>
          <w:p w14:paraId="1BC7642E"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448</w:t>
            </w:r>
          </w:p>
        </w:tc>
        <w:tc>
          <w:tcPr>
            <w:tcW w:w="1807" w:type="pct"/>
            <w:tcBorders>
              <w:top w:val="nil"/>
              <w:left w:val="nil"/>
              <w:bottom w:val="single" w:sz="4" w:space="0" w:color="auto"/>
              <w:right w:val="single" w:sz="4" w:space="0" w:color="auto"/>
            </w:tcBorders>
            <w:shd w:val="clear" w:color="auto" w:fill="auto"/>
            <w:noWrap/>
            <w:vAlign w:val="center"/>
            <w:hideMark/>
          </w:tcPr>
          <w:p w14:paraId="4B5B07AF"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-4.27%</w:t>
            </w:r>
          </w:p>
        </w:tc>
        <w:tc>
          <w:tcPr>
            <w:tcW w:w="1872" w:type="pct"/>
            <w:vMerge/>
            <w:tcBorders>
              <w:top w:val="nil"/>
              <w:left w:val="single" w:sz="4" w:space="0" w:color="auto"/>
              <w:bottom w:val="single" w:sz="4" w:space="0" w:color="auto"/>
              <w:right w:val="single" w:sz="4" w:space="0" w:color="auto"/>
            </w:tcBorders>
            <w:vAlign w:val="center"/>
            <w:hideMark/>
          </w:tcPr>
          <w:p w14:paraId="7E42AFA5" w14:textId="77777777" w:rsidR="00ED5344" w:rsidRPr="005C3BEB" w:rsidRDefault="00ED5344" w:rsidP="005C3BEB">
            <w:pPr>
              <w:spacing w:after="0" w:line="360" w:lineRule="auto"/>
              <w:jc w:val="both"/>
              <w:rPr>
                <w:rFonts w:eastAsia="Times New Roman" w:cs="Times New Roman"/>
                <w:b/>
                <w:bCs/>
                <w:color w:val="000000"/>
                <w:szCs w:val="24"/>
                <w:lang w:val="en-IN" w:eastAsia="en-IN"/>
              </w:rPr>
            </w:pPr>
          </w:p>
        </w:tc>
      </w:tr>
      <w:tr w:rsidR="00ED5344" w:rsidRPr="005C3BEB" w14:paraId="574E17E7" w14:textId="77777777" w:rsidTr="00546691">
        <w:trPr>
          <w:trHeight w:val="288"/>
        </w:trPr>
        <w:tc>
          <w:tcPr>
            <w:tcW w:w="598" w:type="pct"/>
            <w:tcBorders>
              <w:top w:val="nil"/>
              <w:left w:val="single" w:sz="4" w:space="0" w:color="auto"/>
              <w:bottom w:val="single" w:sz="4" w:space="0" w:color="auto"/>
              <w:right w:val="single" w:sz="4" w:space="0" w:color="auto"/>
            </w:tcBorders>
            <w:shd w:val="clear" w:color="auto" w:fill="auto"/>
            <w:noWrap/>
            <w:vAlign w:val="center"/>
            <w:hideMark/>
          </w:tcPr>
          <w:p w14:paraId="7D7052F3"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Sep-18</w:t>
            </w:r>
          </w:p>
        </w:tc>
        <w:tc>
          <w:tcPr>
            <w:tcW w:w="723" w:type="pct"/>
            <w:tcBorders>
              <w:top w:val="nil"/>
              <w:left w:val="nil"/>
              <w:bottom w:val="single" w:sz="4" w:space="0" w:color="auto"/>
              <w:right w:val="single" w:sz="4" w:space="0" w:color="auto"/>
            </w:tcBorders>
            <w:shd w:val="clear" w:color="auto" w:fill="auto"/>
            <w:noWrap/>
            <w:vAlign w:val="center"/>
            <w:hideMark/>
          </w:tcPr>
          <w:p w14:paraId="592B324E"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477</w:t>
            </w:r>
          </w:p>
        </w:tc>
        <w:tc>
          <w:tcPr>
            <w:tcW w:w="1807" w:type="pct"/>
            <w:tcBorders>
              <w:top w:val="nil"/>
              <w:left w:val="nil"/>
              <w:bottom w:val="single" w:sz="4" w:space="0" w:color="auto"/>
              <w:right w:val="single" w:sz="4" w:space="0" w:color="auto"/>
            </w:tcBorders>
            <w:shd w:val="clear" w:color="auto" w:fill="auto"/>
            <w:noWrap/>
            <w:vAlign w:val="center"/>
            <w:hideMark/>
          </w:tcPr>
          <w:p w14:paraId="6935C841"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6.47%</w:t>
            </w:r>
          </w:p>
        </w:tc>
        <w:tc>
          <w:tcPr>
            <w:tcW w:w="1872" w:type="pct"/>
            <w:vMerge/>
            <w:tcBorders>
              <w:top w:val="nil"/>
              <w:left w:val="single" w:sz="4" w:space="0" w:color="auto"/>
              <w:bottom w:val="single" w:sz="4" w:space="0" w:color="auto"/>
              <w:right w:val="single" w:sz="4" w:space="0" w:color="auto"/>
            </w:tcBorders>
            <w:vAlign w:val="center"/>
            <w:hideMark/>
          </w:tcPr>
          <w:p w14:paraId="4F50515C" w14:textId="77777777" w:rsidR="00ED5344" w:rsidRPr="005C3BEB" w:rsidRDefault="00ED5344" w:rsidP="005C3BEB">
            <w:pPr>
              <w:spacing w:after="0" w:line="360" w:lineRule="auto"/>
              <w:jc w:val="both"/>
              <w:rPr>
                <w:rFonts w:eastAsia="Times New Roman" w:cs="Times New Roman"/>
                <w:b/>
                <w:bCs/>
                <w:color w:val="000000"/>
                <w:szCs w:val="24"/>
                <w:lang w:val="en-IN" w:eastAsia="en-IN"/>
              </w:rPr>
            </w:pPr>
          </w:p>
        </w:tc>
      </w:tr>
      <w:tr w:rsidR="00ED5344" w:rsidRPr="005C3BEB" w14:paraId="6DDADF7D" w14:textId="77777777" w:rsidTr="00546691">
        <w:trPr>
          <w:trHeight w:val="288"/>
        </w:trPr>
        <w:tc>
          <w:tcPr>
            <w:tcW w:w="598" w:type="pct"/>
            <w:tcBorders>
              <w:top w:val="nil"/>
              <w:left w:val="single" w:sz="4" w:space="0" w:color="auto"/>
              <w:bottom w:val="single" w:sz="4" w:space="0" w:color="auto"/>
              <w:right w:val="single" w:sz="4" w:space="0" w:color="auto"/>
            </w:tcBorders>
            <w:shd w:val="clear" w:color="auto" w:fill="auto"/>
            <w:noWrap/>
            <w:vAlign w:val="center"/>
            <w:hideMark/>
          </w:tcPr>
          <w:p w14:paraId="69F7DED1"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Oct-18</w:t>
            </w:r>
          </w:p>
        </w:tc>
        <w:tc>
          <w:tcPr>
            <w:tcW w:w="723" w:type="pct"/>
            <w:tcBorders>
              <w:top w:val="nil"/>
              <w:left w:val="nil"/>
              <w:bottom w:val="single" w:sz="4" w:space="0" w:color="auto"/>
              <w:right w:val="single" w:sz="4" w:space="0" w:color="auto"/>
            </w:tcBorders>
            <w:shd w:val="clear" w:color="auto" w:fill="auto"/>
            <w:noWrap/>
            <w:vAlign w:val="center"/>
            <w:hideMark/>
          </w:tcPr>
          <w:p w14:paraId="652BF953"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359</w:t>
            </w:r>
          </w:p>
        </w:tc>
        <w:tc>
          <w:tcPr>
            <w:tcW w:w="1807" w:type="pct"/>
            <w:tcBorders>
              <w:top w:val="nil"/>
              <w:left w:val="nil"/>
              <w:bottom w:val="single" w:sz="4" w:space="0" w:color="auto"/>
              <w:right w:val="single" w:sz="4" w:space="0" w:color="auto"/>
            </w:tcBorders>
            <w:shd w:val="clear" w:color="auto" w:fill="auto"/>
            <w:noWrap/>
            <w:vAlign w:val="center"/>
            <w:hideMark/>
          </w:tcPr>
          <w:p w14:paraId="6308D997"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-24.74%</w:t>
            </w:r>
          </w:p>
        </w:tc>
        <w:tc>
          <w:tcPr>
            <w:tcW w:w="1872" w:type="pct"/>
            <w:vMerge/>
            <w:tcBorders>
              <w:top w:val="nil"/>
              <w:left w:val="single" w:sz="4" w:space="0" w:color="auto"/>
              <w:bottom w:val="single" w:sz="4" w:space="0" w:color="auto"/>
              <w:right w:val="single" w:sz="4" w:space="0" w:color="auto"/>
            </w:tcBorders>
            <w:vAlign w:val="center"/>
            <w:hideMark/>
          </w:tcPr>
          <w:p w14:paraId="65905A08" w14:textId="77777777" w:rsidR="00ED5344" w:rsidRPr="005C3BEB" w:rsidRDefault="00ED5344" w:rsidP="005C3BEB">
            <w:pPr>
              <w:spacing w:after="0" w:line="360" w:lineRule="auto"/>
              <w:jc w:val="both"/>
              <w:rPr>
                <w:rFonts w:eastAsia="Times New Roman" w:cs="Times New Roman"/>
                <w:b/>
                <w:bCs/>
                <w:color w:val="000000"/>
                <w:szCs w:val="24"/>
                <w:lang w:val="en-IN" w:eastAsia="en-IN"/>
              </w:rPr>
            </w:pPr>
          </w:p>
        </w:tc>
      </w:tr>
      <w:tr w:rsidR="00ED5344" w:rsidRPr="005C3BEB" w14:paraId="7559225B" w14:textId="77777777" w:rsidTr="00546691">
        <w:trPr>
          <w:trHeight w:val="288"/>
        </w:trPr>
        <w:tc>
          <w:tcPr>
            <w:tcW w:w="598" w:type="pct"/>
            <w:tcBorders>
              <w:top w:val="nil"/>
              <w:left w:val="single" w:sz="4" w:space="0" w:color="auto"/>
              <w:bottom w:val="single" w:sz="4" w:space="0" w:color="auto"/>
              <w:right w:val="single" w:sz="4" w:space="0" w:color="auto"/>
            </w:tcBorders>
            <w:shd w:val="clear" w:color="auto" w:fill="auto"/>
            <w:noWrap/>
            <w:vAlign w:val="center"/>
            <w:hideMark/>
          </w:tcPr>
          <w:p w14:paraId="00BC9E8C"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Nov-18</w:t>
            </w:r>
          </w:p>
        </w:tc>
        <w:tc>
          <w:tcPr>
            <w:tcW w:w="723" w:type="pct"/>
            <w:tcBorders>
              <w:top w:val="nil"/>
              <w:left w:val="nil"/>
              <w:bottom w:val="single" w:sz="4" w:space="0" w:color="auto"/>
              <w:right w:val="single" w:sz="4" w:space="0" w:color="auto"/>
            </w:tcBorders>
            <w:shd w:val="clear" w:color="auto" w:fill="auto"/>
            <w:noWrap/>
            <w:vAlign w:val="center"/>
            <w:hideMark/>
          </w:tcPr>
          <w:p w14:paraId="5F1B1622"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319</w:t>
            </w:r>
          </w:p>
        </w:tc>
        <w:tc>
          <w:tcPr>
            <w:tcW w:w="1807" w:type="pct"/>
            <w:tcBorders>
              <w:top w:val="nil"/>
              <w:left w:val="nil"/>
              <w:bottom w:val="single" w:sz="4" w:space="0" w:color="auto"/>
              <w:right w:val="single" w:sz="4" w:space="0" w:color="auto"/>
            </w:tcBorders>
            <w:shd w:val="clear" w:color="auto" w:fill="auto"/>
            <w:noWrap/>
            <w:vAlign w:val="center"/>
            <w:hideMark/>
          </w:tcPr>
          <w:p w14:paraId="2D2CF5D0"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-11.14%</w:t>
            </w:r>
          </w:p>
        </w:tc>
        <w:tc>
          <w:tcPr>
            <w:tcW w:w="1872" w:type="pct"/>
            <w:vMerge/>
            <w:tcBorders>
              <w:top w:val="nil"/>
              <w:left w:val="single" w:sz="4" w:space="0" w:color="auto"/>
              <w:bottom w:val="single" w:sz="4" w:space="0" w:color="auto"/>
              <w:right w:val="single" w:sz="4" w:space="0" w:color="auto"/>
            </w:tcBorders>
            <w:vAlign w:val="center"/>
            <w:hideMark/>
          </w:tcPr>
          <w:p w14:paraId="30DEFB3D" w14:textId="77777777" w:rsidR="00ED5344" w:rsidRPr="005C3BEB" w:rsidRDefault="00ED5344" w:rsidP="005C3BEB">
            <w:pPr>
              <w:spacing w:after="0" w:line="360" w:lineRule="auto"/>
              <w:jc w:val="both"/>
              <w:rPr>
                <w:rFonts w:eastAsia="Times New Roman" w:cs="Times New Roman"/>
                <w:b/>
                <w:bCs/>
                <w:color w:val="000000"/>
                <w:szCs w:val="24"/>
                <w:lang w:val="en-IN" w:eastAsia="en-IN"/>
              </w:rPr>
            </w:pPr>
          </w:p>
        </w:tc>
      </w:tr>
      <w:tr w:rsidR="00ED5344" w:rsidRPr="005C3BEB" w14:paraId="5983EB2E" w14:textId="77777777" w:rsidTr="00546691">
        <w:trPr>
          <w:trHeight w:val="288"/>
        </w:trPr>
        <w:tc>
          <w:tcPr>
            <w:tcW w:w="598" w:type="pct"/>
            <w:tcBorders>
              <w:top w:val="nil"/>
              <w:left w:val="single" w:sz="4" w:space="0" w:color="auto"/>
              <w:bottom w:val="single" w:sz="4" w:space="0" w:color="auto"/>
              <w:right w:val="single" w:sz="4" w:space="0" w:color="auto"/>
            </w:tcBorders>
            <w:shd w:val="clear" w:color="auto" w:fill="auto"/>
            <w:noWrap/>
            <w:vAlign w:val="center"/>
            <w:hideMark/>
          </w:tcPr>
          <w:p w14:paraId="7787FD08"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Dec-18</w:t>
            </w:r>
          </w:p>
        </w:tc>
        <w:tc>
          <w:tcPr>
            <w:tcW w:w="723" w:type="pct"/>
            <w:tcBorders>
              <w:top w:val="nil"/>
              <w:left w:val="nil"/>
              <w:bottom w:val="single" w:sz="4" w:space="0" w:color="auto"/>
              <w:right w:val="single" w:sz="4" w:space="0" w:color="auto"/>
            </w:tcBorders>
            <w:shd w:val="clear" w:color="auto" w:fill="auto"/>
            <w:noWrap/>
            <w:vAlign w:val="center"/>
            <w:hideMark/>
          </w:tcPr>
          <w:p w14:paraId="37032567"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272</w:t>
            </w:r>
          </w:p>
        </w:tc>
        <w:tc>
          <w:tcPr>
            <w:tcW w:w="1807" w:type="pct"/>
            <w:tcBorders>
              <w:top w:val="nil"/>
              <w:left w:val="nil"/>
              <w:bottom w:val="single" w:sz="4" w:space="0" w:color="auto"/>
              <w:right w:val="single" w:sz="4" w:space="0" w:color="auto"/>
            </w:tcBorders>
            <w:shd w:val="clear" w:color="auto" w:fill="auto"/>
            <w:noWrap/>
            <w:vAlign w:val="center"/>
            <w:hideMark/>
          </w:tcPr>
          <w:p w14:paraId="0EBE9FE3"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-14.73%</w:t>
            </w:r>
          </w:p>
        </w:tc>
        <w:tc>
          <w:tcPr>
            <w:tcW w:w="1872" w:type="pct"/>
            <w:vMerge/>
            <w:tcBorders>
              <w:top w:val="nil"/>
              <w:left w:val="single" w:sz="4" w:space="0" w:color="auto"/>
              <w:bottom w:val="single" w:sz="4" w:space="0" w:color="auto"/>
              <w:right w:val="single" w:sz="4" w:space="0" w:color="auto"/>
            </w:tcBorders>
            <w:vAlign w:val="center"/>
            <w:hideMark/>
          </w:tcPr>
          <w:p w14:paraId="4208752C" w14:textId="77777777" w:rsidR="00ED5344" w:rsidRPr="005C3BEB" w:rsidRDefault="00ED5344" w:rsidP="005C3BEB">
            <w:pPr>
              <w:spacing w:after="0" w:line="360" w:lineRule="auto"/>
              <w:jc w:val="both"/>
              <w:rPr>
                <w:rFonts w:eastAsia="Times New Roman" w:cs="Times New Roman"/>
                <w:b/>
                <w:bCs/>
                <w:color w:val="000000"/>
                <w:szCs w:val="24"/>
                <w:lang w:val="en-IN" w:eastAsia="en-IN"/>
              </w:rPr>
            </w:pPr>
          </w:p>
        </w:tc>
      </w:tr>
      <w:tr w:rsidR="00ED5344" w:rsidRPr="005C3BEB" w14:paraId="68820DE3" w14:textId="77777777" w:rsidTr="00546691">
        <w:trPr>
          <w:trHeight w:val="288"/>
        </w:trPr>
        <w:tc>
          <w:tcPr>
            <w:tcW w:w="598" w:type="pct"/>
            <w:tcBorders>
              <w:top w:val="nil"/>
              <w:left w:val="single" w:sz="4" w:space="0" w:color="auto"/>
              <w:bottom w:val="single" w:sz="4" w:space="0" w:color="auto"/>
              <w:right w:val="single" w:sz="4" w:space="0" w:color="auto"/>
            </w:tcBorders>
            <w:shd w:val="clear" w:color="auto" w:fill="auto"/>
            <w:noWrap/>
            <w:vAlign w:val="center"/>
            <w:hideMark/>
          </w:tcPr>
          <w:p w14:paraId="34E22784"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Jan-19</w:t>
            </w:r>
          </w:p>
        </w:tc>
        <w:tc>
          <w:tcPr>
            <w:tcW w:w="723" w:type="pct"/>
            <w:tcBorders>
              <w:top w:val="nil"/>
              <w:left w:val="nil"/>
              <w:bottom w:val="single" w:sz="4" w:space="0" w:color="auto"/>
              <w:right w:val="single" w:sz="4" w:space="0" w:color="auto"/>
            </w:tcBorders>
            <w:shd w:val="clear" w:color="auto" w:fill="auto"/>
            <w:noWrap/>
            <w:vAlign w:val="center"/>
            <w:hideMark/>
          </w:tcPr>
          <w:p w14:paraId="6312CAB1"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268</w:t>
            </w:r>
          </w:p>
        </w:tc>
        <w:tc>
          <w:tcPr>
            <w:tcW w:w="1807" w:type="pct"/>
            <w:tcBorders>
              <w:top w:val="nil"/>
              <w:left w:val="nil"/>
              <w:bottom w:val="single" w:sz="4" w:space="0" w:color="auto"/>
              <w:right w:val="single" w:sz="4" w:space="0" w:color="auto"/>
            </w:tcBorders>
            <w:shd w:val="clear" w:color="auto" w:fill="auto"/>
            <w:noWrap/>
            <w:vAlign w:val="center"/>
            <w:hideMark/>
          </w:tcPr>
          <w:p w14:paraId="62F6DD0A"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-1.47%</w:t>
            </w:r>
          </w:p>
        </w:tc>
        <w:tc>
          <w:tcPr>
            <w:tcW w:w="1872"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338AA253" w14:textId="77777777" w:rsidR="00ED5344" w:rsidRPr="005C3BEB" w:rsidRDefault="00ED5344" w:rsidP="005C3BEB">
            <w:pPr>
              <w:spacing w:after="0" w:line="360" w:lineRule="auto"/>
              <w:jc w:val="both"/>
              <w:rPr>
                <w:rFonts w:eastAsia="Times New Roman" w:cs="Times New Roman"/>
                <w:b/>
                <w:bCs/>
                <w:color w:val="000000"/>
                <w:szCs w:val="24"/>
                <w:lang w:val="en-IN" w:eastAsia="en-IN"/>
              </w:rPr>
            </w:pPr>
            <w:r w:rsidRPr="005C3BEB">
              <w:rPr>
                <w:rFonts w:eastAsia="Times New Roman" w:cs="Times New Roman"/>
                <w:b/>
                <w:bCs/>
                <w:color w:val="000000"/>
                <w:szCs w:val="24"/>
                <w:lang w:val="en-IN" w:eastAsia="en-IN"/>
              </w:rPr>
              <w:t>-1.16%</w:t>
            </w:r>
          </w:p>
        </w:tc>
      </w:tr>
      <w:tr w:rsidR="00ED5344" w:rsidRPr="005C3BEB" w14:paraId="3712B5C1" w14:textId="77777777" w:rsidTr="00546691">
        <w:trPr>
          <w:trHeight w:val="288"/>
        </w:trPr>
        <w:tc>
          <w:tcPr>
            <w:tcW w:w="598" w:type="pct"/>
            <w:tcBorders>
              <w:top w:val="nil"/>
              <w:left w:val="single" w:sz="4" w:space="0" w:color="auto"/>
              <w:bottom w:val="single" w:sz="4" w:space="0" w:color="auto"/>
              <w:right w:val="single" w:sz="4" w:space="0" w:color="auto"/>
            </w:tcBorders>
            <w:shd w:val="clear" w:color="auto" w:fill="auto"/>
            <w:noWrap/>
            <w:vAlign w:val="center"/>
            <w:hideMark/>
          </w:tcPr>
          <w:p w14:paraId="605B9F18"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Feb-19</w:t>
            </w:r>
          </w:p>
        </w:tc>
        <w:tc>
          <w:tcPr>
            <w:tcW w:w="723" w:type="pct"/>
            <w:tcBorders>
              <w:top w:val="nil"/>
              <w:left w:val="nil"/>
              <w:bottom w:val="single" w:sz="4" w:space="0" w:color="auto"/>
              <w:right w:val="single" w:sz="4" w:space="0" w:color="auto"/>
            </w:tcBorders>
            <w:shd w:val="clear" w:color="auto" w:fill="auto"/>
            <w:noWrap/>
            <w:vAlign w:val="center"/>
            <w:hideMark/>
          </w:tcPr>
          <w:p w14:paraId="35F34F8F"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282</w:t>
            </w:r>
          </w:p>
        </w:tc>
        <w:tc>
          <w:tcPr>
            <w:tcW w:w="1807" w:type="pct"/>
            <w:tcBorders>
              <w:top w:val="nil"/>
              <w:left w:val="nil"/>
              <w:bottom w:val="single" w:sz="4" w:space="0" w:color="auto"/>
              <w:right w:val="single" w:sz="4" w:space="0" w:color="auto"/>
            </w:tcBorders>
            <w:shd w:val="clear" w:color="auto" w:fill="auto"/>
            <w:noWrap/>
            <w:vAlign w:val="center"/>
            <w:hideMark/>
          </w:tcPr>
          <w:p w14:paraId="523FF3BF"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5.22%</w:t>
            </w:r>
          </w:p>
        </w:tc>
        <w:tc>
          <w:tcPr>
            <w:tcW w:w="1872" w:type="pct"/>
            <w:vMerge/>
            <w:tcBorders>
              <w:top w:val="nil"/>
              <w:left w:val="single" w:sz="4" w:space="0" w:color="auto"/>
              <w:bottom w:val="single" w:sz="4" w:space="0" w:color="auto"/>
              <w:right w:val="single" w:sz="4" w:space="0" w:color="auto"/>
            </w:tcBorders>
            <w:vAlign w:val="center"/>
            <w:hideMark/>
          </w:tcPr>
          <w:p w14:paraId="7A76B535" w14:textId="77777777" w:rsidR="00ED5344" w:rsidRPr="005C3BEB" w:rsidRDefault="00ED5344" w:rsidP="005C3BEB">
            <w:pPr>
              <w:spacing w:after="0" w:line="360" w:lineRule="auto"/>
              <w:jc w:val="both"/>
              <w:rPr>
                <w:rFonts w:eastAsia="Times New Roman" w:cs="Times New Roman"/>
                <w:b/>
                <w:bCs/>
                <w:color w:val="000000"/>
                <w:szCs w:val="24"/>
                <w:lang w:val="en-IN" w:eastAsia="en-IN"/>
              </w:rPr>
            </w:pPr>
          </w:p>
        </w:tc>
      </w:tr>
      <w:tr w:rsidR="00ED5344" w:rsidRPr="005C3BEB" w14:paraId="0D736E94" w14:textId="77777777" w:rsidTr="00546691">
        <w:trPr>
          <w:trHeight w:val="288"/>
        </w:trPr>
        <w:tc>
          <w:tcPr>
            <w:tcW w:w="598" w:type="pct"/>
            <w:tcBorders>
              <w:top w:val="nil"/>
              <w:left w:val="single" w:sz="4" w:space="0" w:color="auto"/>
              <w:bottom w:val="single" w:sz="4" w:space="0" w:color="auto"/>
              <w:right w:val="single" w:sz="4" w:space="0" w:color="auto"/>
            </w:tcBorders>
            <w:shd w:val="clear" w:color="auto" w:fill="auto"/>
            <w:noWrap/>
            <w:vAlign w:val="center"/>
            <w:hideMark/>
          </w:tcPr>
          <w:p w14:paraId="63D37E8F"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Mar-19</w:t>
            </w:r>
          </w:p>
        </w:tc>
        <w:tc>
          <w:tcPr>
            <w:tcW w:w="723" w:type="pct"/>
            <w:tcBorders>
              <w:top w:val="nil"/>
              <w:left w:val="nil"/>
              <w:bottom w:val="single" w:sz="4" w:space="0" w:color="auto"/>
              <w:right w:val="single" w:sz="4" w:space="0" w:color="auto"/>
            </w:tcBorders>
            <w:shd w:val="clear" w:color="auto" w:fill="auto"/>
            <w:noWrap/>
            <w:vAlign w:val="center"/>
            <w:hideMark/>
          </w:tcPr>
          <w:p w14:paraId="43AB1ECC"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238</w:t>
            </w:r>
          </w:p>
        </w:tc>
        <w:tc>
          <w:tcPr>
            <w:tcW w:w="1807" w:type="pct"/>
            <w:tcBorders>
              <w:top w:val="nil"/>
              <w:left w:val="nil"/>
              <w:bottom w:val="single" w:sz="4" w:space="0" w:color="auto"/>
              <w:right w:val="single" w:sz="4" w:space="0" w:color="auto"/>
            </w:tcBorders>
            <w:shd w:val="clear" w:color="auto" w:fill="auto"/>
            <w:noWrap/>
            <w:vAlign w:val="center"/>
            <w:hideMark/>
          </w:tcPr>
          <w:p w14:paraId="16C952B3"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-15.60%</w:t>
            </w:r>
          </w:p>
        </w:tc>
        <w:tc>
          <w:tcPr>
            <w:tcW w:w="1872" w:type="pct"/>
            <w:vMerge/>
            <w:tcBorders>
              <w:top w:val="nil"/>
              <w:left w:val="single" w:sz="4" w:space="0" w:color="auto"/>
              <w:bottom w:val="single" w:sz="4" w:space="0" w:color="auto"/>
              <w:right w:val="single" w:sz="4" w:space="0" w:color="auto"/>
            </w:tcBorders>
            <w:vAlign w:val="center"/>
            <w:hideMark/>
          </w:tcPr>
          <w:p w14:paraId="447667A8" w14:textId="77777777" w:rsidR="00ED5344" w:rsidRPr="005C3BEB" w:rsidRDefault="00ED5344" w:rsidP="005C3BEB">
            <w:pPr>
              <w:spacing w:after="0" w:line="360" w:lineRule="auto"/>
              <w:jc w:val="both"/>
              <w:rPr>
                <w:rFonts w:eastAsia="Times New Roman" w:cs="Times New Roman"/>
                <w:b/>
                <w:bCs/>
                <w:color w:val="000000"/>
                <w:szCs w:val="24"/>
                <w:lang w:val="en-IN" w:eastAsia="en-IN"/>
              </w:rPr>
            </w:pPr>
          </w:p>
        </w:tc>
      </w:tr>
      <w:tr w:rsidR="00ED5344" w:rsidRPr="005C3BEB" w14:paraId="2BDAA492" w14:textId="77777777" w:rsidTr="00546691">
        <w:trPr>
          <w:trHeight w:val="288"/>
        </w:trPr>
        <w:tc>
          <w:tcPr>
            <w:tcW w:w="598" w:type="pct"/>
            <w:tcBorders>
              <w:top w:val="nil"/>
              <w:left w:val="single" w:sz="4" w:space="0" w:color="auto"/>
              <w:bottom w:val="single" w:sz="4" w:space="0" w:color="auto"/>
              <w:right w:val="single" w:sz="4" w:space="0" w:color="auto"/>
            </w:tcBorders>
            <w:shd w:val="clear" w:color="auto" w:fill="auto"/>
            <w:noWrap/>
            <w:vAlign w:val="center"/>
            <w:hideMark/>
          </w:tcPr>
          <w:p w14:paraId="2065CF60"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Apr-19</w:t>
            </w:r>
          </w:p>
        </w:tc>
        <w:tc>
          <w:tcPr>
            <w:tcW w:w="723" w:type="pct"/>
            <w:tcBorders>
              <w:top w:val="nil"/>
              <w:left w:val="nil"/>
              <w:bottom w:val="single" w:sz="4" w:space="0" w:color="auto"/>
              <w:right w:val="single" w:sz="4" w:space="0" w:color="auto"/>
            </w:tcBorders>
            <w:shd w:val="clear" w:color="auto" w:fill="auto"/>
            <w:noWrap/>
            <w:vAlign w:val="center"/>
            <w:hideMark/>
          </w:tcPr>
          <w:p w14:paraId="7CD164C5"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252</w:t>
            </w:r>
          </w:p>
        </w:tc>
        <w:tc>
          <w:tcPr>
            <w:tcW w:w="1807" w:type="pct"/>
            <w:tcBorders>
              <w:top w:val="nil"/>
              <w:left w:val="nil"/>
              <w:bottom w:val="single" w:sz="4" w:space="0" w:color="auto"/>
              <w:right w:val="single" w:sz="4" w:space="0" w:color="auto"/>
            </w:tcBorders>
            <w:shd w:val="clear" w:color="auto" w:fill="auto"/>
            <w:noWrap/>
            <w:vAlign w:val="center"/>
            <w:hideMark/>
          </w:tcPr>
          <w:p w14:paraId="0813E40A"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5.88%</w:t>
            </w:r>
          </w:p>
        </w:tc>
        <w:tc>
          <w:tcPr>
            <w:tcW w:w="1872" w:type="pct"/>
            <w:vMerge/>
            <w:tcBorders>
              <w:top w:val="nil"/>
              <w:left w:val="single" w:sz="4" w:space="0" w:color="auto"/>
              <w:bottom w:val="single" w:sz="4" w:space="0" w:color="auto"/>
              <w:right w:val="single" w:sz="4" w:space="0" w:color="auto"/>
            </w:tcBorders>
            <w:vAlign w:val="center"/>
            <w:hideMark/>
          </w:tcPr>
          <w:p w14:paraId="7E1FFA84" w14:textId="77777777" w:rsidR="00ED5344" w:rsidRPr="005C3BEB" w:rsidRDefault="00ED5344" w:rsidP="005C3BEB">
            <w:pPr>
              <w:spacing w:after="0" w:line="360" w:lineRule="auto"/>
              <w:jc w:val="both"/>
              <w:rPr>
                <w:rFonts w:eastAsia="Times New Roman" w:cs="Times New Roman"/>
                <w:b/>
                <w:bCs/>
                <w:color w:val="000000"/>
                <w:szCs w:val="24"/>
                <w:lang w:val="en-IN" w:eastAsia="en-IN"/>
              </w:rPr>
            </w:pPr>
          </w:p>
        </w:tc>
      </w:tr>
      <w:tr w:rsidR="00ED5344" w:rsidRPr="005C3BEB" w14:paraId="2876E28D" w14:textId="77777777" w:rsidTr="00546691">
        <w:trPr>
          <w:trHeight w:val="288"/>
        </w:trPr>
        <w:tc>
          <w:tcPr>
            <w:tcW w:w="598" w:type="pct"/>
            <w:tcBorders>
              <w:top w:val="nil"/>
              <w:left w:val="single" w:sz="4" w:space="0" w:color="auto"/>
              <w:bottom w:val="single" w:sz="4" w:space="0" w:color="auto"/>
              <w:right w:val="single" w:sz="4" w:space="0" w:color="auto"/>
            </w:tcBorders>
            <w:shd w:val="clear" w:color="auto" w:fill="auto"/>
            <w:noWrap/>
            <w:vAlign w:val="center"/>
            <w:hideMark/>
          </w:tcPr>
          <w:p w14:paraId="7DE85060"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May-19</w:t>
            </w:r>
          </w:p>
        </w:tc>
        <w:tc>
          <w:tcPr>
            <w:tcW w:w="723" w:type="pct"/>
            <w:tcBorders>
              <w:top w:val="nil"/>
              <w:left w:val="nil"/>
              <w:bottom w:val="single" w:sz="4" w:space="0" w:color="auto"/>
              <w:right w:val="single" w:sz="4" w:space="0" w:color="auto"/>
            </w:tcBorders>
            <w:shd w:val="clear" w:color="auto" w:fill="auto"/>
            <w:noWrap/>
            <w:vAlign w:val="center"/>
            <w:hideMark/>
          </w:tcPr>
          <w:p w14:paraId="54605CD3"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205</w:t>
            </w:r>
          </w:p>
        </w:tc>
        <w:tc>
          <w:tcPr>
            <w:tcW w:w="1807" w:type="pct"/>
            <w:tcBorders>
              <w:top w:val="nil"/>
              <w:left w:val="nil"/>
              <w:bottom w:val="single" w:sz="4" w:space="0" w:color="auto"/>
              <w:right w:val="single" w:sz="4" w:space="0" w:color="auto"/>
            </w:tcBorders>
            <w:shd w:val="clear" w:color="auto" w:fill="auto"/>
            <w:noWrap/>
            <w:vAlign w:val="center"/>
            <w:hideMark/>
          </w:tcPr>
          <w:p w14:paraId="0FD5DE80"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-18.65%</w:t>
            </w:r>
          </w:p>
        </w:tc>
        <w:tc>
          <w:tcPr>
            <w:tcW w:w="1872" w:type="pct"/>
            <w:vMerge/>
            <w:tcBorders>
              <w:top w:val="nil"/>
              <w:left w:val="single" w:sz="4" w:space="0" w:color="auto"/>
              <w:bottom w:val="single" w:sz="4" w:space="0" w:color="auto"/>
              <w:right w:val="single" w:sz="4" w:space="0" w:color="auto"/>
            </w:tcBorders>
            <w:vAlign w:val="center"/>
            <w:hideMark/>
          </w:tcPr>
          <w:p w14:paraId="1AC591CB" w14:textId="77777777" w:rsidR="00ED5344" w:rsidRPr="005C3BEB" w:rsidRDefault="00ED5344" w:rsidP="005C3BEB">
            <w:pPr>
              <w:spacing w:after="0" w:line="360" w:lineRule="auto"/>
              <w:jc w:val="both"/>
              <w:rPr>
                <w:rFonts w:eastAsia="Times New Roman" w:cs="Times New Roman"/>
                <w:b/>
                <w:bCs/>
                <w:color w:val="000000"/>
                <w:szCs w:val="24"/>
                <w:lang w:val="en-IN" w:eastAsia="en-IN"/>
              </w:rPr>
            </w:pPr>
          </w:p>
        </w:tc>
      </w:tr>
      <w:tr w:rsidR="00ED5344" w:rsidRPr="005C3BEB" w14:paraId="0E5F2DCA" w14:textId="77777777" w:rsidTr="00546691">
        <w:trPr>
          <w:trHeight w:val="288"/>
        </w:trPr>
        <w:tc>
          <w:tcPr>
            <w:tcW w:w="598" w:type="pct"/>
            <w:tcBorders>
              <w:top w:val="nil"/>
              <w:left w:val="single" w:sz="4" w:space="0" w:color="auto"/>
              <w:bottom w:val="single" w:sz="4" w:space="0" w:color="auto"/>
              <w:right w:val="single" w:sz="4" w:space="0" w:color="auto"/>
            </w:tcBorders>
            <w:shd w:val="clear" w:color="auto" w:fill="auto"/>
            <w:noWrap/>
            <w:vAlign w:val="center"/>
            <w:hideMark/>
          </w:tcPr>
          <w:p w14:paraId="73DE11D6"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Jun-19</w:t>
            </w:r>
          </w:p>
        </w:tc>
        <w:tc>
          <w:tcPr>
            <w:tcW w:w="723" w:type="pct"/>
            <w:tcBorders>
              <w:top w:val="nil"/>
              <w:left w:val="nil"/>
              <w:bottom w:val="single" w:sz="4" w:space="0" w:color="auto"/>
              <w:right w:val="single" w:sz="4" w:space="0" w:color="auto"/>
            </w:tcBorders>
            <w:shd w:val="clear" w:color="auto" w:fill="auto"/>
            <w:noWrap/>
            <w:vAlign w:val="center"/>
            <w:hideMark/>
          </w:tcPr>
          <w:p w14:paraId="295F3E0C"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211</w:t>
            </w:r>
          </w:p>
        </w:tc>
        <w:tc>
          <w:tcPr>
            <w:tcW w:w="1807" w:type="pct"/>
            <w:tcBorders>
              <w:top w:val="nil"/>
              <w:left w:val="nil"/>
              <w:bottom w:val="single" w:sz="4" w:space="0" w:color="auto"/>
              <w:right w:val="single" w:sz="4" w:space="0" w:color="auto"/>
            </w:tcBorders>
            <w:shd w:val="clear" w:color="auto" w:fill="auto"/>
            <w:noWrap/>
            <w:vAlign w:val="center"/>
            <w:hideMark/>
          </w:tcPr>
          <w:p w14:paraId="45DC1D36"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2.93%</w:t>
            </w:r>
          </w:p>
        </w:tc>
        <w:tc>
          <w:tcPr>
            <w:tcW w:w="1872" w:type="pct"/>
            <w:vMerge/>
            <w:tcBorders>
              <w:top w:val="nil"/>
              <w:left w:val="single" w:sz="4" w:space="0" w:color="auto"/>
              <w:bottom w:val="single" w:sz="4" w:space="0" w:color="auto"/>
              <w:right w:val="single" w:sz="4" w:space="0" w:color="auto"/>
            </w:tcBorders>
            <w:vAlign w:val="center"/>
            <w:hideMark/>
          </w:tcPr>
          <w:p w14:paraId="28598C11" w14:textId="77777777" w:rsidR="00ED5344" w:rsidRPr="005C3BEB" w:rsidRDefault="00ED5344" w:rsidP="005C3BEB">
            <w:pPr>
              <w:spacing w:after="0" w:line="360" w:lineRule="auto"/>
              <w:jc w:val="both"/>
              <w:rPr>
                <w:rFonts w:eastAsia="Times New Roman" w:cs="Times New Roman"/>
                <w:b/>
                <w:bCs/>
                <w:color w:val="000000"/>
                <w:szCs w:val="24"/>
                <w:lang w:val="en-IN" w:eastAsia="en-IN"/>
              </w:rPr>
            </w:pPr>
          </w:p>
        </w:tc>
      </w:tr>
      <w:tr w:rsidR="00ED5344" w:rsidRPr="005C3BEB" w14:paraId="152DBBBC" w14:textId="77777777" w:rsidTr="00546691">
        <w:trPr>
          <w:trHeight w:val="288"/>
        </w:trPr>
        <w:tc>
          <w:tcPr>
            <w:tcW w:w="598" w:type="pct"/>
            <w:tcBorders>
              <w:top w:val="nil"/>
              <w:left w:val="single" w:sz="4" w:space="0" w:color="auto"/>
              <w:bottom w:val="single" w:sz="4" w:space="0" w:color="auto"/>
              <w:right w:val="single" w:sz="4" w:space="0" w:color="auto"/>
            </w:tcBorders>
            <w:shd w:val="clear" w:color="auto" w:fill="auto"/>
            <w:noWrap/>
            <w:vAlign w:val="center"/>
            <w:hideMark/>
          </w:tcPr>
          <w:p w14:paraId="746C480A"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Jul-19</w:t>
            </w:r>
          </w:p>
        </w:tc>
        <w:tc>
          <w:tcPr>
            <w:tcW w:w="723" w:type="pct"/>
            <w:tcBorders>
              <w:top w:val="nil"/>
              <w:left w:val="nil"/>
              <w:bottom w:val="single" w:sz="4" w:space="0" w:color="auto"/>
              <w:right w:val="single" w:sz="4" w:space="0" w:color="auto"/>
            </w:tcBorders>
            <w:shd w:val="clear" w:color="auto" w:fill="auto"/>
            <w:noWrap/>
            <w:vAlign w:val="center"/>
            <w:hideMark/>
          </w:tcPr>
          <w:p w14:paraId="7914A788"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209</w:t>
            </w:r>
          </w:p>
        </w:tc>
        <w:tc>
          <w:tcPr>
            <w:tcW w:w="1807" w:type="pct"/>
            <w:tcBorders>
              <w:top w:val="nil"/>
              <w:left w:val="nil"/>
              <w:bottom w:val="single" w:sz="4" w:space="0" w:color="auto"/>
              <w:right w:val="single" w:sz="4" w:space="0" w:color="auto"/>
            </w:tcBorders>
            <w:shd w:val="clear" w:color="auto" w:fill="auto"/>
            <w:noWrap/>
            <w:vAlign w:val="center"/>
            <w:hideMark/>
          </w:tcPr>
          <w:p w14:paraId="286C0F02"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-0.95%</w:t>
            </w:r>
          </w:p>
        </w:tc>
        <w:tc>
          <w:tcPr>
            <w:tcW w:w="1872" w:type="pct"/>
            <w:vMerge/>
            <w:tcBorders>
              <w:top w:val="nil"/>
              <w:left w:val="single" w:sz="4" w:space="0" w:color="auto"/>
              <w:bottom w:val="single" w:sz="4" w:space="0" w:color="auto"/>
              <w:right w:val="single" w:sz="4" w:space="0" w:color="auto"/>
            </w:tcBorders>
            <w:vAlign w:val="center"/>
            <w:hideMark/>
          </w:tcPr>
          <w:p w14:paraId="54888A47" w14:textId="77777777" w:rsidR="00ED5344" w:rsidRPr="005C3BEB" w:rsidRDefault="00ED5344" w:rsidP="005C3BEB">
            <w:pPr>
              <w:spacing w:after="0" w:line="360" w:lineRule="auto"/>
              <w:jc w:val="both"/>
              <w:rPr>
                <w:rFonts w:eastAsia="Times New Roman" w:cs="Times New Roman"/>
                <w:b/>
                <w:bCs/>
                <w:color w:val="000000"/>
                <w:szCs w:val="24"/>
                <w:lang w:val="en-IN" w:eastAsia="en-IN"/>
              </w:rPr>
            </w:pPr>
          </w:p>
        </w:tc>
      </w:tr>
      <w:tr w:rsidR="00ED5344" w:rsidRPr="005C3BEB" w14:paraId="29BE97C5" w14:textId="77777777" w:rsidTr="00546691">
        <w:trPr>
          <w:trHeight w:val="288"/>
        </w:trPr>
        <w:tc>
          <w:tcPr>
            <w:tcW w:w="598" w:type="pct"/>
            <w:tcBorders>
              <w:top w:val="nil"/>
              <w:left w:val="single" w:sz="4" w:space="0" w:color="auto"/>
              <w:bottom w:val="single" w:sz="4" w:space="0" w:color="auto"/>
              <w:right w:val="single" w:sz="4" w:space="0" w:color="auto"/>
            </w:tcBorders>
            <w:shd w:val="clear" w:color="auto" w:fill="auto"/>
            <w:noWrap/>
            <w:vAlign w:val="center"/>
            <w:hideMark/>
          </w:tcPr>
          <w:p w14:paraId="1687CB07"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Aug-19</w:t>
            </w:r>
          </w:p>
        </w:tc>
        <w:tc>
          <w:tcPr>
            <w:tcW w:w="723" w:type="pct"/>
            <w:tcBorders>
              <w:top w:val="nil"/>
              <w:left w:val="nil"/>
              <w:bottom w:val="single" w:sz="4" w:space="0" w:color="auto"/>
              <w:right w:val="single" w:sz="4" w:space="0" w:color="auto"/>
            </w:tcBorders>
            <w:shd w:val="clear" w:color="auto" w:fill="auto"/>
            <w:noWrap/>
            <w:vAlign w:val="center"/>
            <w:hideMark/>
          </w:tcPr>
          <w:p w14:paraId="72849A11"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206</w:t>
            </w:r>
          </w:p>
        </w:tc>
        <w:tc>
          <w:tcPr>
            <w:tcW w:w="1807" w:type="pct"/>
            <w:tcBorders>
              <w:top w:val="nil"/>
              <w:left w:val="nil"/>
              <w:bottom w:val="single" w:sz="4" w:space="0" w:color="auto"/>
              <w:right w:val="single" w:sz="4" w:space="0" w:color="auto"/>
            </w:tcBorders>
            <w:shd w:val="clear" w:color="auto" w:fill="auto"/>
            <w:noWrap/>
            <w:vAlign w:val="center"/>
            <w:hideMark/>
          </w:tcPr>
          <w:p w14:paraId="641765CD"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-1.44%</w:t>
            </w:r>
          </w:p>
        </w:tc>
        <w:tc>
          <w:tcPr>
            <w:tcW w:w="1872" w:type="pct"/>
            <w:vMerge/>
            <w:tcBorders>
              <w:top w:val="nil"/>
              <w:left w:val="single" w:sz="4" w:space="0" w:color="auto"/>
              <w:bottom w:val="single" w:sz="4" w:space="0" w:color="auto"/>
              <w:right w:val="single" w:sz="4" w:space="0" w:color="auto"/>
            </w:tcBorders>
            <w:vAlign w:val="center"/>
            <w:hideMark/>
          </w:tcPr>
          <w:p w14:paraId="70A94B67" w14:textId="77777777" w:rsidR="00ED5344" w:rsidRPr="005C3BEB" w:rsidRDefault="00ED5344" w:rsidP="005C3BEB">
            <w:pPr>
              <w:spacing w:after="0" w:line="360" w:lineRule="auto"/>
              <w:jc w:val="both"/>
              <w:rPr>
                <w:rFonts w:eastAsia="Times New Roman" w:cs="Times New Roman"/>
                <w:b/>
                <w:bCs/>
                <w:color w:val="000000"/>
                <w:szCs w:val="24"/>
                <w:lang w:val="en-IN" w:eastAsia="en-IN"/>
              </w:rPr>
            </w:pPr>
          </w:p>
        </w:tc>
      </w:tr>
      <w:tr w:rsidR="00ED5344" w:rsidRPr="005C3BEB" w14:paraId="659E5A7A" w14:textId="77777777" w:rsidTr="00546691">
        <w:trPr>
          <w:trHeight w:val="288"/>
        </w:trPr>
        <w:tc>
          <w:tcPr>
            <w:tcW w:w="598" w:type="pct"/>
            <w:tcBorders>
              <w:top w:val="nil"/>
              <w:left w:val="single" w:sz="4" w:space="0" w:color="auto"/>
              <w:bottom w:val="single" w:sz="4" w:space="0" w:color="auto"/>
              <w:right w:val="single" w:sz="4" w:space="0" w:color="auto"/>
            </w:tcBorders>
            <w:shd w:val="clear" w:color="auto" w:fill="auto"/>
            <w:noWrap/>
            <w:vAlign w:val="center"/>
            <w:hideMark/>
          </w:tcPr>
          <w:p w14:paraId="0FD12308"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Sep-19</w:t>
            </w:r>
          </w:p>
        </w:tc>
        <w:tc>
          <w:tcPr>
            <w:tcW w:w="723" w:type="pct"/>
            <w:tcBorders>
              <w:top w:val="nil"/>
              <w:left w:val="nil"/>
              <w:bottom w:val="single" w:sz="4" w:space="0" w:color="auto"/>
              <w:right w:val="single" w:sz="4" w:space="0" w:color="auto"/>
            </w:tcBorders>
            <w:shd w:val="clear" w:color="auto" w:fill="auto"/>
            <w:noWrap/>
            <w:vAlign w:val="center"/>
            <w:hideMark/>
          </w:tcPr>
          <w:p w14:paraId="6539A1CD"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211</w:t>
            </w:r>
          </w:p>
        </w:tc>
        <w:tc>
          <w:tcPr>
            <w:tcW w:w="1807" w:type="pct"/>
            <w:tcBorders>
              <w:top w:val="nil"/>
              <w:left w:val="nil"/>
              <w:bottom w:val="single" w:sz="4" w:space="0" w:color="auto"/>
              <w:right w:val="single" w:sz="4" w:space="0" w:color="auto"/>
            </w:tcBorders>
            <w:shd w:val="clear" w:color="auto" w:fill="auto"/>
            <w:noWrap/>
            <w:vAlign w:val="center"/>
            <w:hideMark/>
          </w:tcPr>
          <w:p w14:paraId="6F0122A4"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2.43%</w:t>
            </w:r>
          </w:p>
        </w:tc>
        <w:tc>
          <w:tcPr>
            <w:tcW w:w="1872" w:type="pct"/>
            <w:vMerge/>
            <w:tcBorders>
              <w:top w:val="nil"/>
              <w:left w:val="single" w:sz="4" w:space="0" w:color="auto"/>
              <w:bottom w:val="single" w:sz="4" w:space="0" w:color="auto"/>
              <w:right w:val="single" w:sz="4" w:space="0" w:color="auto"/>
            </w:tcBorders>
            <w:vAlign w:val="center"/>
            <w:hideMark/>
          </w:tcPr>
          <w:p w14:paraId="199AE05F" w14:textId="77777777" w:rsidR="00ED5344" w:rsidRPr="005C3BEB" w:rsidRDefault="00ED5344" w:rsidP="005C3BEB">
            <w:pPr>
              <w:spacing w:after="0" w:line="360" w:lineRule="auto"/>
              <w:jc w:val="both"/>
              <w:rPr>
                <w:rFonts w:eastAsia="Times New Roman" w:cs="Times New Roman"/>
                <w:b/>
                <w:bCs/>
                <w:color w:val="000000"/>
                <w:szCs w:val="24"/>
                <w:lang w:val="en-IN" w:eastAsia="en-IN"/>
              </w:rPr>
            </w:pPr>
          </w:p>
        </w:tc>
      </w:tr>
      <w:tr w:rsidR="00ED5344" w:rsidRPr="005C3BEB" w14:paraId="668C6521" w14:textId="77777777" w:rsidTr="00546691">
        <w:trPr>
          <w:trHeight w:val="288"/>
        </w:trPr>
        <w:tc>
          <w:tcPr>
            <w:tcW w:w="598" w:type="pct"/>
            <w:tcBorders>
              <w:top w:val="nil"/>
              <w:left w:val="single" w:sz="4" w:space="0" w:color="auto"/>
              <w:bottom w:val="single" w:sz="4" w:space="0" w:color="auto"/>
              <w:right w:val="single" w:sz="4" w:space="0" w:color="auto"/>
            </w:tcBorders>
            <w:shd w:val="clear" w:color="auto" w:fill="auto"/>
            <w:noWrap/>
            <w:vAlign w:val="center"/>
            <w:hideMark/>
          </w:tcPr>
          <w:p w14:paraId="0701DC7B"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Oct-19</w:t>
            </w:r>
          </w:p>
        </w:tc>
        <w:tc>
          <w:tcPr>
            <w:tcW w:w="723" w:type="pct"/>
            <w:tcBorders>
              <w:top w:val="nil"/>
              <w:left w:val="nil"/>
              <w:bottom w:val="single" w:sz="4" w:space="0" w:color="auto"/>
              <w:right w:val="single" w:sz="4" w:space="0" w:color="auto"/>
            </w:tcBorders>
            <w:shd w:val="clear" w:color="auto" w:fill="auto"/>
            <w:noWrap/>
            <w:vAlign w:val="center"/>
            <w:hideMark/>
          </w:tcPr>
          <w:p w14:paraId="6D740C35"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211</w:t>
            </w:r>
          </w:p>
        </w:tc>
        <w:tc>
          <w:tcPr>
            <w:tcW w:w="1807" w:type="pct"/>
            <w:tcBorders>
              <w:top w:val="nil"/>
              <w:left w:val="nil"/>
              <w:bottom w:val="single" w:sz="4" w:space="0" w:color="auto"/>
              <w:right w:val="single" w:sz="4" w:space="0" w:color="auto"/>
            </w:tcBorders>
            <w:shd w:val="clear" w:color="auto" w:fill="auto"/>
            <w:noWrap/>
            <w:vAlign w:val="center"/>
            <w:hideMark/>
          </w:tcPr>
          <w:p w14:paraId="18054FEE"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0.00%</w:t>
            </w:r>
          </w:p>
        </w:tc>
        <w:tc>
          <w:tcPr>
            <w:tcW w:w="1872" w:type="pct"/>
            <w:vMerge/>
            <w:tcBorders>
              <w:top w:val="nil"/>
              <w:left w:val="single" w:sz="4" w:space="0" w:color="auto"/>
              <w:bottom w:val="single" w:sz="4" w:space="0" w:color="auto"/>
              <w:right w:val="single" w:sz="4" w:space="0" w:color="auto"/>
            </w:tcBorders>
            <w:vAlign w:val="center"/>
            <w:hideMark/>
          </w:tcPr>
          <w:p w14:paraId="1ED82EE9" w14:textId="77777777" w:rsidR="00ED5344" w:rsidRPr="005C3BEB" w:rsidRDefault="00ED5344" w:rsidP="005C3BEB">
            <w:pPr>
              <w:spacing w:after="0" w:line="360" w:lineRule="auto"/>
              <w:jc w:val="both"/>
              <w:rPr>
                <w:rFonts w:eastAsia="Times New Roman" w:cs="Times New Roman"/>
                <w:b/>
                <w:bCs/>
                <w:color w:val="000000"/>
                <w:szCs w:val="24"/>
                <w:lang w:val="en-IN" w:eastAsia="en-IN"/>
              </w:rPr>
            </w:pPr>
          </w:p>
        </w:tc>
      </w:tr>
      <w:tr w:rsidR="00ED5344" w:rsidRPr="005C3BEB" w14:paraId="19CBED78" w14:textId="77777777" w:rsidTr="00546691">
        <w:trPr>
          <w:trHeight w:val="288"/>
        </w:trPr>
        <w:tc>
          <w:tcPr>
            <w:tcW w:w="598" w:type="pct"/>
            <w:tcBorders>
              <w:top w:val="nil"/>
              <w:left w:val="single" w:sz="4" w:space="0" w:color="auto"/>
              <w:bottom w:val="single" w:sz="4" w:space="0" w:color="auto"/>
              <w:right w:val="single" w:sz="4" w:space="0" w:color="auto"/>
            </w:tcBorders>
            <w:shd w:val="clear" w:color="auto" w:fill="auto"/>
            <w:noWrap/>
            <w:vAlign w:val="center"/>
            <w:hideMark/>
          </w:tcPr>
          <w:p w14:paraId="33107D94"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Nov-19</w:t>
            </w:r>
          </w:p>
        </w:tc>
        <w:tc>
          <w:tcPr>
            <w:tcW w:w="723" w:type="pct"/>
            <w:tcBorders>
              <w:top w:val="nil"/>
              <w:left w:val="nil"/>
              <w:bottom w:val="single" w:sz="4" w:space="0" w:color="auto"/>
              <w:right w:val="single" w:sz="4" w:space="0" w:color="auto"/>
            </w:tcBorders>
            <w:shd w:val="clear" w:color="auto" w:fill="auto"/>
            <w:noWrap/>
            <w:vAlign w:val="center"/>
            <w:hideMark/>
          </w:tcPr>
          <w:p w14:paraId="1AAE6166"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208</w:t>
            </w:r>
          </w:p>
        </w:tc>
        <w:tc>
          <w:tcPr>
            <w:tcW w:w="1807" w:type="pct"/>
            <w:tcBorders>
              <w:top w:val="nil"/>
              <w:left w:val="nil"/>
              <w:bottom w:val="single" w:sz="4" w:space="0" w:color="auto"/>
              <w:right w:val="single" w:sz="4" w:space="0" w:color="auto"/>
            </w:tcBorders>
            <w:shd w:val="clear" w:color="auto" w:fill="auto"/>
            <w:noWrap/>
            <w:vAlign w:val="center"/>
            <w:hideMark/>
          </w:tcPr>
          <w:p w14:paraId="2EDB363C"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-1.42%</w:t>
            </w:r>
          </w:p>
        </w:tc>
        <w:tc>
          <w:tcPr>
            <w:tcW w:w="1872" w:type="pct"/>
            <w:vMerge/>
            <w:tcBorders>
              <w:top w:val="nil"/>
              <w:left w:val="single" w:sz="4" w:space="0" w:color="auto"/>
              <w:bottom w:val="single" w:sz="4" w:space="0" w:color="auto"/>
              <w:right w:val="single" w:sz="4" w:space="0" w:color="auto"/>
            </w:tcBorders>
            <w:vAlign w:val="center"/>
            <w:hideMark/>
          </w:tcPr>
          <w:p w14:paraId="2ABC6DC5" w14:textId="77777777" w:rsidR="00ED5344" w:rsidRPr="005C3BEB" w:rsidRDefault="00ED5344" w:rsidP="005C3BEB">
            <w:pPr>
              <w:spacing w:after="0" w:line="360" w:lineRule="auto"/>
              <w:jc w:val="both"/>
              <w:rPr>
                <w:rFonts w:eastAsia="Times New Roman" w:cs="Times New Roman"/>
                <w:b/>
                <w:bCs/>
                <w:color w:val="000000"/>
                <w:szCs w:val="24"/>
                <w:lang w:val="en-IN" w:eastAsia="en-IN"/>
              </w:rPr>
            </w:pPr>
          </w:p>
        </w:tc>
      </w:tr>
      <w:tr w:rsidR="00ED5344" w:rsidRPr="005C3BEB" w14:paraId="7DFB2504" w14:textId="77777777" w:rsidTr="00546691">
        <w:trPr>
          <w:trHeight w:val="288"/>
        </w:trPr>
        <w:tc>
          <w:tcPr>
            <w:tcW w:w="598" w:type="pct"/>
            <w:tcBorders>
              <w:top w:val="nil"/>
              <w:left w:val="single" w:sz="4" w:space="0" w:color="auto"/>
              <w:bottom w:val="single" w:sz="4" w:space="0" w:color="auto"/>
              <w:right w:val="single" w:sz="4" w:space="0" w:color="auto"/>
            </w:tcBorders>
            <w:shd w:val="clear" w:color="auto" w:fill="auto"/>
            <w:noWrap/>
            <w:vAlign w:val="center"/>
            <w:hideMark/>
          </w:tcPr>
          <w:p w14:paraId="3F61D256"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Dec-19</w:t>
            </w:r>
          </w:p>
        </w:tc>
        <w:tc>
          <w:tcPr>
            <w:tcW w:w="723" w:type="pct"/>
            <w:tcBorders>
              <w:top w:val="nil"/>
              <w:left w:val="nil"/>
              <w:bottom w:val="single" w:sz="4" w:space="0" w:color="auto"/>
              <w:right w:val="single" w:sz="4" w:space="0" w:color="auto"/>
            </w:tcBorders>
            <w:shd w:val="clear" w:color="auto" w:fill="auto"/>
            <w:noWrap/>
            <w:vAlign w:val="center"/>
            <w:hideMark/>
          </w:tcPr>
          <w:p w14:paraId="26CEFA7F"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227</w:t>
            </w:r>
          </w:p>
        </w:tc>
        <w:tc>
          <w:tcPr>
            <w:tcW w:w="1807" w:type="pct"/>
            <w:tcBorders>
              <w:top w:val="nil"/>
              <w:left w:val="nil"/>
              <w:bottom w:val="single" w:sz="4" w:space="0" w:color="auto"/>
              <w:right w:val="single" w:sz="4" w:space="0" w:color="auto"/>
            </w:tcBorders>
            <w:shd w:val="clear" w:color="auto" w:fill="auto"/>
            <w:noWrap/>
            <w:vAlign w:val="center"/>
            <w:hideMark/>
          </w:tcPr>
          <w:p w14:paraId="6D6C9806"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9.13%</w:t>
            </w:r>
          </w:p>
        </w:tc>
        <w:tc>
          <w:tcPr>
            <w:tcW w:w="1872" w:type="pct"/>
            <w:vMerge/>
            <w:tcBorders>
              <w:top w:val="nil"/>
              <w:left w:val="single" w:sz="4" w:space="0" w:color="auto"/>
              <w:bottom w:val="single" w:sz="4" w:space="0" w:color="auto"/>
              <w:right w:val="single" w:sz="4" w:space="0" w:color="auto"/>
            </w:tcBorders>
            <w:vAlign w:val="center"/>
            <w:hideMark/>
          </w:tcPr>
          <w:p w14:paraId="7A111FBA" w14:textId="77777777" w:rsidR="00ED5344" w:rsidRPr="005C3BEB" w:rsidRDefault="00ED5344" w:rsidP="005C3BEB">
            <w:pPr>
              <w:spacing w:after="0" w:line="360" w:lineRule="auto"/>
              <w:jc w:val="both"/>
              <w:rPr>
                <w:rFonts w:eastAsia="Times New Roman" w:cs="Times New Roman"/>
                <w:b/>
                <w:bCs/>
                <w:color w:val="000000"/>
                <w:szCs w:val="24"/>
                <w:lang w:val="en-IN" w:eastAsia="en-IN"/>
              </w:rPr>
            </w:pPr>
          </w:p>
        </w:tc>
      </w:tr>
      <w:tr w:rsidR="00ED5344" w:rsidRPr="005C3BEB" w14:paraId="5AE18D13" w14:textId="77777777" w:rsidTr="00546691">
        <w:trPr>
          <w:trHeight w:val="288"/>
        </w:trPr>
        <w:tc>
          <w:tcPr>
            <w:tcW w:w="598" w:type="pct"/>
            <w:tcBorders>
              <w:top w:val="nil"/>
              <w:left w:val="single" w:sz="4" w:space="0" w:color="auto"/>
              <w:bottom w:val="single" w:sz="4" w:space="0" w:color="auto"/>
              <w:right w:val="single" w:sz="4" w:space="0" w:color="auto"/>
            </w:tcBorders>
            <w:shd w:val="clear" w:color="auto" w:fill="auto"/>
            <w:noWrap/>
            <w:vAlign w:val="center"/>
            <w:hideMark/>
          </w:tcPr>
          <w:p w14:paraId="26C813CC"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lastRenderedPageBreak/>
              <w:t>Jan-20</w:t>
            </w:r>
          </w:p>
        </w:tc>
        <w:tc>
          <w:tcPr>
            <w:tcW w:w="723" w:type="pct"/>
            <w:tcBorders>
              <w:top w:val="nil"/>
              <w:left w:val="nil"/>
              <w:bottom w:val="single" w:sz="4" w:space="0" w:color="auto"/>
              <w:right w:val="single" w:sz="4" w:space="0" w:color="auto"/>
            </w:tcBorders>
            <w:shd w:val="clear" w:color="auto" w:fill="auto"/>
            <w:noWrap/>
            <w:vAlign w:val="center"/>
            <w:hideMark/>
          </w:tcPr>
          <w:p w14:paraId="64AC5100"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198</w:t>
            </w:r>
          </w:p>
        </w:tc>
        <w:tc>
          <w:tcPr>
            <w:tcW w:w="1807" w:type="pct"/>
            <w:tcBorders>
              <w:top w:val="nil"/>
              <w:left w:val="nil"/>
              <w:bottom w:val="single" w:sz="4" w:space="0" w:color="auto"/>
              <w:right w:val="single" w:sz="4" w:space="0" w:color="auto"/>
            </w:tcBorders>
            <w:shd w:val="clear" w:color="auto" w:fill="auto"/>
            <w:noWrap/>
            <w:vAlign w:val="center"/>
            <w:hideMark/>
          </w:tcPr>
          <w:p w14:paraId="41AC4950"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-12.78%</w:t>
            </w:r>
          </w:p>
        </w:tc>
        <w:tc>
          <w:tcPr>
            <w:tcW w:w="1872"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09855383" w14:textId="77777777" w:rsidR="00ED5344" w:rsidRPr="005C3BEB" w:rsidRDefault="00ED5344" w:rsidP="005C3BEB">
            <w:pPr>
              <w:spacing w:after="0" w:line="360" w:lineRule="auto"/>
              <w:jc w:val="both"/>
              <w:rPr>
                <w:rFonts w:eastAsia="Times New Roman" w:cs="Times New Roman"/>
                <w:b/>
                <w:bCs/>
                <w:color w:val="000000"/>
                <w:szCs w:val="24"/>
                <w:lang w:val="en-IN" w:eastAsia="en-IN"/>
              </w:rPr>
            </w:pPr>
            <w:r w:rsidRPr="005C3BEB">
              <w:rPr>
                <w:rFonts w:eastAsia="Times New Roman" w:cs="Times New Roman"/>
                <w:b/>
                <w:bCs/>
                <w:color w:val="000000"/>
                <w:szCs w:val="24"/>
                <w:lang w:val="en-IN" w:eastAsia="en-IN"/>
              </w:rPr>
              <w:t>5.14%</w:t>
            </w:r>
          </w:p>
        </w:tc>
      </w:tr>
      <w:tr w:rsidR="00ED5344" w:rsidRPr="005C3BEB" w14:paraId="6E73A081" w14:textId="77777777" w:rsidTr="00546691">
        <w:trPr>
          <w:trHeight w:val="288"/>
        </w:trPr>
        <w:tc>
          <w:tcPr>
            <w:tcW w:w="598" w:type="pct"/>
            <w:tcBorders>
              <w:top w:val="nil"/>
              <w:left w:val="single" w:sz="4" w:space="0" w:color="auto"/>
              <w:bottom w:val="single" w:sz="4" w:space="0" w:color="auto"/>
              <w:right w:val="single" w:sz="4" w:space="0" w:color="auto"/>
            </w:tcBorders>
            <w:shd w:val="clear" w:color="auto" w:fill="auto"/>
            <w:noWrap/>
            <w:vAlign w:val="center"/>
            <w:hideMark/>
          </w:tcPr>
          <w:p w14:paraId="19EDEC7E"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Feb-20</w:t>
            </w:r>
          </w:p>
        </w:tc>
        <w:tc>
          <w:tcPr>
            <w:tcW w:w="723" w:type="pct"/>
            <w:tcBorders>
              <w:top w:val="nil"/>
              <w:left w:val="nil"/>
              <w:bottom w:val="single" w:sz="4" w:space="0" w:color="auto"/>
              <w:right w:val="single" w:sz="4" w:space="0" w:color="auto"/>
            </w:tcBorders>
            <w:shd w:val="clear" w:color="auto" w:fill="auto"/>
            <w:noWrap/>
            <w:vAlign w:val="center"/>
            <w:hideMark/>
          </w:tcPr>
          <w:p w14:paraId="57966867"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162</w:t>
            </w:r>
          </w:p>
        </w:tc>
        <w:tc>
          <w:tcPr>
            <w:tcW w:w="1807" w:type="pct"/>
            <w:tcBorders>
              <w:top w:val="nil"/>
              <w:left w:val="nil"/>
              <w:bottom w:val="single" w:sz="4" w:space="0" w:color="auto"/>
              <w:right w:val="single" w:sz="4" w:space="0" w:color="auto"/>
            </w:tcBorders>
            <w:shd w:val="clear" w:color="auto" w:fill="auto"/>
            <w:noWrap/>
            <w:vAlign w:val="center"/>
            <w:hideMark/>
          </w:tcPr>
          <w:p w14:paraId="40300DF6"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-18.18%</w:t>
            </w:r>
          </w:p>
        </w:tc>
        <w:tc>
          <w:tcPr>
            <w:tcW w:w="1872" w:type="pct"/>
            <w:vMerge/>
            <w:tcBorders>
              <w:top w:val="nil"/>
              <w:left w:val="single" w:sz="4" w:space="0" w:color="auto"/>
              <w:bottom w:val="single" w:sz="4" w:space="0" w:color="auto"/>
              <w:right w:val="single" w:sz="4" w:space="0" w:color="auto"/>
            </w:tcBorders>
            <w:vAlign w:val="center"/>
            <w:hideMark/>
          </w:tcPr>
          <w:p w14:paraId="0E946858" w14:textId="77777777" w:rsidR="00ED5344" w:rsidRPr="005C3BEB" w:rsidRDefault="00ED5344" w:rsidP="005C3BEB">
            <w:pPr>
              <w:spacing w:after="0" w:line="360" w:lineRule="auto"/>
              <w:jc w:val="both"/>
              <w:rPr>
                <w:rFonts w:eastAsia="Times New Roman" w:cs="Times New Roman"/>
                <w:b/>
                <w:bCs/>
                <w:color w:val="000000"/>
                <w:szCs w:val="24"/>
                <w:lang w:val="en-IN" w:eastAsia="en-IN"/>
              </w:rPr>
            </w:pPr>
          </w:p>
        </w:tc>
      </w:tr>
      <w:tr w:rsidR="00ED5344" w:rsidRPr="005C3BEB" w14:paraId="3F833D34" w14:textId="77777777" w:rsidTr="00546691">
        <w:trPr>
          <w:trHeight w:val="288"/>
        </w:trPr>
        <w:tc>
          <w:tcPr>
            <w:tcW w:w="598" w:type="pct"/>
            <w:tcBorders>
              <w:top w:val="nil"/>
              <w:left w:val="single" w:sz="4" w:space="0" w:color="auto"/>
              <w:bottom w:val="single" w:sz="4" w:space="0" w:color="auto"/>
              <w:right w:val="single" w:sz="4" w:space="0" w:color="auto"/>
            </w:tcBorders>
            <w:shd w:val="clear" w:color="auto" w:fill="auto"/>
            <w:noWrap/>
            <w:vAlign w:val="center"/>
            <w:hideMark/>
          </w:tcPr>
          <w:p w14:paraId="64E158F7"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Mar-20</w:t>
            </w:r>
          </w:p>
        </w:tc>
        <w:tc>
          <w:tcPr>
            <w:tcW w:w="723" w:type="pct"/>
            <w:tcBorders>
              <w:top w:val="nil"/>
              <w:left w:val="nil"/>
              <w:bottom w:val="single" w:sz="4" w:space="0" w:color="auto"/>
              <w:right w:val="single" w:sz="4" w:space="0" w:color="auto"/>
            </w:tcBorders>
            <w:shd w:val="clear" w:color="auto" w:fill="auto"/>
            <w:noWrap/>
            <w:vAlign w:val="center"/>
            <w:hideMark/>
          </w:tcPr>
          <w:p w14:paraId="341EEF59"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125</w:t>
            </w:r>
          </w:p>
        </w:tc>
        <w:tc>
          <w:tcPr>
            <w:tcW w:w="1807" w:type="pct"/>
            <w:tcBorders>
              <w:top w:val="nil"/>
              <w:left w:val="nil"/>
              <w:bottom w:val="single" w:sz="4" w:space="0" w:color="auto"/>
              <w:right w:val="single" w:sz="4" w:space="0" w:color="auto"/>
            </w:tcBorders>
            <w:shd w:val="clear" w:color="auto" w:fill="auto"/>
            <w:noWrap/>
            <w:vAlign w:val="center"/>
            <w:hideMark/>
          </w:tcPr>
          <w:p w14:paraId="21D0E73A"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-22.84%</w:t>
            </w:r>
          </w:p>
        </w:tc>
        <w:tc>
          <w:tcPr>
            <w:tcW w:w="1872" w:type="pct"/>
            <w:vMerge/>
            <w:tcBorders>
              <w:top w:val="nil"/>
              <w:left w:val="single" w:sz="4" w:space="0" w:color="auto"/>
              <w:bottom w:val="single" w:sz="4" w:space="0" w:color="auto"/>
              <w:right w:val="single" w:sz="4" w:space="0" w:color="auto"/>
            </w:tcBorders>
            <w:vAlign w:val="center"/>
            <w:hideMark/>
          </w:tcPr>
          <w:p w14:paraId="664350E5" w14:textId="77777777" w:rsidR="00ED5344" w:rsidRPr="005C3BEB" w:rsidRDefault="00ED5344" w:rsidP="005C3BEB">
            <w:pPr>
              <w:spacing w:after="0" w:line="360" w:lineRule="auto"/>
              <w:jc w:val="both"/>
              <w:rPr>
                <w:rFonts w:eastAsia="Times New Roman" w:cs="Times New Roman"/>
                <w:b/>
                <w:bCs/>
                <w:color w:val="000000"/>
                <w:szCs w:val="24"/>
                <w:lang w:val="en-IN" w:eastAsia="en-IN"/>
              </w:rPr>
            </w:pPr>
          </w:p>
        </w:tc>
      </w:tr>
      <w:tr w:rsidR="00ED5344" w:rsidRPr="005C3BEB" w14:paraId="64390FB2" w14:textId="77777777" w:rsidTr="00546691">
        <w:trPr>
          <w:trHeight w:val="288"/>
        </w:trPr>
        <w:tc>
          <w:tcPr>
            <w:tcW w:w="598" w:type="pct"/>
            <w:tcBorders>
              <w:top w:val="nil"/>
              <w:left w:val="single" w:sz="4" w:space="0" w:color="auto"/>
              <w:bottom w:val="single" w:sz="4" w:space="0" w:color="auto"/>
              <w:right w:val="single" w:sz="4" w:space="0" w:color="auto"/>
            </w:tcBorders>
            <w:shd w:val="clear" w:color="auto" w:fill="auto"/>
            <w:noWrap/>
            <w:vAlign w:val="center"/>
            <w:hideMark/>
          </w:tcPr>
          <w:p w14:paraId="28CFCFD4"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Apr-20</w:t>
            </w:r>
          </w:p>
        </w:tc>
        <w:tc>
          <w:tcPr>
            <w:tcW w:w="723" w:type="pct"/>
            <w:tcBorders>
              <w:top w:val="nil"/>
              <w:left w:val="nil"/>
              <w:bottom w:val="single" w:sz="4" w:space="0" w:color="auto"/>
              <w:right w:val="single" w:sz="4" w:space="0" w:color="auto"/>
            </w:tcBorders>
            <w:shd w:val="clear" w:color="auto" w:fill="auto"/>
            <w:noWrap/>
            <w:vAlign w:val="center"/>
            <w:hideMark/>
          </w:tcPr>
          <w:p w14:paraId="4764CCFC"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166</w:t>
            </w:r>
          </w:p>
        </w:tc>
        <w:tc>
          <w:tcPr>
            <w:tcW w:w="1807" w:type="pct"/>
            <w:tcBorders>
              <w:top w:val="nil"/>
              <w:left w:val="nil"/>
              <w:bottom w:val="single" w:sz="4" w:space="0" w:color="auto"/>
              <w:right w:val="single" w:sz="4" w:space="0" w:color="auto"/>
            </w:tcBorders>
            <w:shd w:val="clear" w:color="auto" w:fill="auto"/>
            <w:noWrap/>
            <w:vAlign w:val="center"/>
            <w:hideMark/>
          </w:tcPr>
          <w:p w14:paraId="0118B8A4"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32.80%</w:t>
            </w:r>
          </w:p>
        </w:tc>
        <w:tc>
          <w:tcPr>
            <w:tcW w:w="1872" w:type="pct"/>
            <w:vMerge/>
            <w:tcBorders>
              <w:top w:val="nil"/>
              <w:left w:val="single" w:sz="4" w:space="0" w:color="auto"/>
              <w:bottom w:val="single" w:sz="4" w:space="0" w:color="auto"/>
              <w:right w:val="single" w:sz="4" w:space="0" w:color="auto"/>
            </w:tcBorders>
            <w:vAlign w:val="center"/>
            <w:hideMark/>
          </w:tcPr>
          <w:p w14:paraId="2C701DEE" w14:textId="77777777" w:rsidR="00ED5344" w:rsidRPr="005C3BEB" w:rsidRDefault="00ED5344" w:rsidP="005C3BEB">
            <w:pPr>
              <w:spacing w:after="0" w:line="360" w:lineRule="auto"/>
              <w:jc w:val="both"/>
              <w:rPr>
                <w:rFonts w:eastAsia="Times New Roman" w:cs="Times New Roman"/>
                <w:b/>
                <w:bCs/>
                <w:color w:val="000000"/>
                <w:szCs w:val="24"/>
                <w:lang w:val="en-IN" w:eastAsia="en-IN"/>
              </w:rPr>
            </w:pPr>
          </w:p>
        </w:tc>
      </w:tr>
      <w:tr w:rsidR="00ED5344" w:rsidRPr="005C3BEB" w14:paraId="67DB297C" w14:textId="77777777" w:rsidTr="00546691">
        <w:trPr>
          <w:trHeight w:val="288"/>
        </w:trPr>
        <w:tc>
          <w:tcPr>
            <w:tcW w:w="598" w:type="pct"/>
            <w:tcBorders>
              <w:top w:val="nil"/>
              <w:left w:val="single" w:sz="4" w:space="0" w:color="auto"/>
              <w:bottom w:val="single" w:sz="4" w:space="0" w:color="auto"/>
              <w:right w:val="single" w:sz="4" w:space="0" w:color="auto"/>
            </w:tcBorders>
            <w:shd w:val="clear" w:color="auto" w:fill="auto"/>
            <w:noWrap/>
            <w:vAlign w:val="center"/>
            <w:hideMark/>
          </w:tcPr>
          <w:p w14:paraId="7C1C1C01"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May-20</w:t>
            </w:r>
          </w:p>
        </w:tc>
        <w:tc>
          <w:tcPr>
            <w:tcW w:w="723" w:type="pct"/>
            <w:tcBorders>
              <w:top w:val="nil"/>
              <w:left w:val="nil"/>
              <w:bottom w:val="single" w:sz="4" w:space="0" w:color="auto"/>
              <w:right w:val="single" w:sz="4" w:space="0" w:color="auto"/>
            </w:tcBorders>
            <w:shd w:val="clear" w:color="auto" w:fill="auto"/>
            <w:noWrap/>
            <w:vAlign w:val="center"/>
            <w:hideMark/>
          </w:tcPr>
          <w:p w14:paraId="5D6B4FF1"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174</w:t>
            </w:r>
          </w:p>
        </w:tc>
        <w:tc>
          <w:tcPr>
            <w:tcW w:w="1807" w:type="pct"/>
            <w:tcBorders>
              <w:top w:val="nil"/>
              <w:left w:val="nil"/>
              <w:bottom w:val="single" w:sz="4" w:space="0" w:color="auto"/>
              <w:right w:val="single" w:sz="4" w:space="0" w:color="auto"/>
            </w:tcBorders>
            <w:shd w:val="clear" w:color="auto" w:fill="auto"/>
            <w:noWrap/>
            <w:vAlign w:val="center"/>
            <w:hideMark/>
          </w:tcPr>
          <w:p w14:paraId="78E6BADF"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4.82%</w:t>
            </w:r>
          </w:p>
        </w:tc>
        <w:tc>
          <w:tcPr>
            <w:tcW w:w="1872" w:type="pct"/>
            <w:vMerge/>
            <w:tcBorders>
              <w:top w:val="nil"/>
              <w:left w:val="single" w:sz="4" w:space="0" w:color="auto"/>
              <w:bottom w:val="single" w:sz="4" w:space="0" w:color="auto"/>
              <w:right w:val="single" w:sz="4" w:space="0" w:color="auto"/>
            </w:tcBorders>
            <w:vAlign w:val="center"/>
            <w:hideMark/>
          </w:tcPr>
          <w:p w14:paraId="469BF38C" w14:textId="77777777" w:rsidR="00ED5344" w:rsidRPr="005C3BEB" w:rsidRDefault="00ED5344" w:rsidP="005C3BEB">
            <w:pPr>
              <w:spacing w:after="0" w:line="360" w:lineRule="auto"/>
              <w:jc w:val="both"/>
              <w:rPr>
                <w:rFonts w:eastAsia="Times New Roman" w:cs="Times New Roman"/>
                <w:b/>
                <w:bCs/>
                <w:color w:val="000000"/>
                <w:szCs w:val="24"/>
                <w:lang w:val="en-IN" w:eastAsia="en-IN"/>
              </w:rPr>
            </w:pPr>
          </w:p>
        </w:tc>
      </w:tr>
      <w:tr w:rsidR="00ED5344" w:rsidRPr="005C3BEB" w14:paraId="3BB62481" w14:textId="77777777" w:rsidTr="00546691">
        <w:trPr>
          <w:trHeight w:val="288"/>
        </w:trPr>
        <w:tc>
          <w:tcPr>
            <w:tcW w:w="598" w:type="pct"/>
            <w:tcBorders>
              <w:top w:val="nil"/>
              <w:left w:val="single" w:sz="4" w:space="0" w:color="auto"/>
              <w:bottom w:val="single" w:sz="4" w:space="0" w:color="auto"/>
              <w:right w:val="single" w:sz="4" w:space="0" w:color="auto"/>
            </w:tcBorders>
            <w:shd w:val="clear" w:color="auto" w:fill="auto"/>
            <w:noWrap/>
            <w:vAlign w:val="center"/>
            <w:hideMark/>
          </w:tcPr>
          <w:p w14:paraId="5DD35BE7"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Jun-20</w:t>
            </w:r>
          </w:p>
        </w:tc>
        <w:tc>
          <w:tcPr>
            <w:tcW w:w="723" w:type="pct"/>
            <w:tcBorders>
              <w:top w:val="nil"/>
              <w:left w:val="nil"/>
              <w:bottom w:val="single" w:sz="4" w:space="0" w:color="auto"/>
              <w:right w:val="single" w:sz="4" w:space="0" w:color="auto"/>
            </w:tcBorders>
            <w:shd w:val="clear" w:color="auto" w:fill="auto"/>
            <w:noWrap/>
            <w:vAlign w:val="center"/>
            <w:hideMark/>
          </w:tcPr>
          <w:p w14:paraId="10798F4D"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182</w:t>
            </w:r>
          </w:p>
        </w:tc>
        <w:tc>
          <w:tcPr>
            <w:tcW w:w="1807" w:type="pct"/>
            <w:tcBorders>
              <w:top w:val="nil"/>
              <w:left w:val="nil"/>
              <w:bottom w:val="single" w:sz="4" w:space="0" w:color="auto"/>
              <w:right w:val="single" w:sz="4" w:space="0" w:color="auto"/>
            </w:tcBorders>
            <w:shd w:val="clear" w:color="auto" w:fill="auto"/>
            <w:noWrap/>
            <w:vAlign w:val="center"/>
            <w:hideMark/>
          </w:tcPr>
          <w:p w14:paraId="227B4368"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4.60%</w:t>
            </w:r>
          </w:p>
        </w:tc>
        <w:tc>
          <w:tcPr>
            <w:tcW w:w="1872" w:type="pct"/>
            <w:vMerge/>
            <w:tcBorders>
              <w:top w:val="nil"/>
              <w:left w:val="single" w:sz="4" w:space="0" w:color="auto"/>
              <w:bottom w:val="single" w:sz="4" w:space="0" w:color="auto"/>
              <w:right w:val="single" w:sz="4" w:space="0" w:color="auto"/>
            </w:tcBorders>
            <w:vAlign w:val="center"/>
            <w:hideMark/>
          </w:tcPr>
          <w:p w14:paraId="6DD5BCBA" w14:textId="77777777" w:rsidR="00ED5344" w:rsidRPr="005C3BEB" w:rsidRDefault="00ED5344" w:rsidP="005C3BEB">
            <w:pPr>
              <w:spacing w:after="0" w:line="360" w:lineRule="auto"/>
              <w:jc w:val="both"/>
              <w:rPr>
                <w:rFonts w:eastAsia="Times New Roman" w:cs="Times New Roman"/>
                <w:b/>
                <w:bCs/>
                <w:color w:val="000000"/>
                <w:szCs w:val="24"/>
                <w:lang w:val="en-IN" w:eastAsia="en-IN"/>
              </w:rPr>
            </w:pPr>
          </w:p>
        </w:tc>
      </w:tr>
      <w:tr w:rsidR="00ED5344" w:rsidRPr="005C3BEB" w14:paraId="124117FF" w14:textId="77777777" w:rsidTr="00546691">
        <w:trPr>
          <w:trHeight w:val="288"/>
        </w:trPr>
        <w:tc>
          <w:tcPr>
            <w:tcW w:w="598" w:type="pct"/>
            <w:tcBorders>
              <w:top w:val="nil"/>
              <w:left w:val="single" w:sz="4" w:space="0" w:color="auto"/>
              <w:bottom w:val="single" w:sz="4" w:space="0" w:color="auto"/>
              <w:right w:val="single" w:sz="4" w:space="0" w:color="auto"/>
            </w:tcBorders>
            <w:shd w:val="clear" w:color="auto" w:fill="auto"/>
            <w:noWrap/>
            <w:vAlign w:val="center"/>
            <w:hideMark/>
          </w:tcPr>
          <w:p w14:paraId="55A3494C"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Jul-20</w:t>
            </w:r>
          </w:p>
        </w:tc>
        <w:tc>
          <w:tcPr>
            <w:tcW w:w="723" w:type="pct"/>
            <w:tcBorders>
              <w:top w:val="nil"/>
              <w:left w:val="nil"/>
              <w:bottom w:val="single" w:sz="4" w:space="0" w:color="auto"/>
              <w:right w:val="single" w:sz="4" w:space="0" w:color="auto"/>
            </w:tcBorders>
            <w:shd w:val="clear" w:color="auto" w:fill="auto"/>
            <w:noWrap/>
            <w:vAlign w:val="center"/>
            <w:hideMark/>
          </w:tcPr>
          <w:p w14:paraId="743FB9AE"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160</w:t>
            </w:r>
          </w:p>
        </w:tc>
        <w:tc>
          <w:tcPr>
            <w:tcW w:w="1807" w:type="pct"/>
            <w:tcBorders>
              <w:top w:val="nil"/>
              <w:left w:val="nil"/>
              <w:bottom w:val="single" w:sz="4" w:space="0" w:color="auto"/>
              <w:right w:val="single" w:sz="4" w:space="0" w:color="auto"/>
            </w:tcBorders>
            <w:shd w:val="clear" w:color="auto" w:fill="auto"/>
            <w:noWrap/>
            <w:vAlign w:val="center"/>
            <w:hideMark/>
          </w:tcPr>
          <w:p w14:paraId="4BC33694"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-12.09%</w:t>
            </w:r>
          </w:p>
        </w:tc>
        <w:tc>
          <w:tcPr>
            <w:tcW w:w="1872" w:type="pct"/>
            <w:vMerge/>
            <w:tcBorders>
              <w:top w:val="nil"/>
              <w:left w:val="single" w:sz="4" w:space="0" w:color="auto"/>
              <w:bottom w:val="single" w:sz="4" w:space="0" w:color="auto"/>
              <w:right w:val="single" w:sz="4" w:space="0" w:color="auto"/>
            </w:tcBorders>
            <w:vAlign w:val="center"/>
            <w:hideMark/>
          </w:tcPr>
          <w:p w14:paraId="1B11BB09" w14:textId="77777777" w:rsidR="00ED5344" w:rsidRPr="005C3BEB" w:rsidRDefault="00ED5344" w:rsidP="005C3BEB">
            <w:pPr>
              <w:spacing w:after="0" w:line="360" w:lineRule="auto"/>
              <w:jc w:val="both"/>
              <w:rPr>
                <w:rFonts w:eastAsia="Times New Roman" w:cs="Times New Roman"/>
                <w:b/>
                <w:bCs/>
                <w:color w:val="000000"/>
                <w:szCs w:val="24"/>
                <w:lang w:val="en-IN" w:eastAsia="en-IN"/>
              </w:rPr>
            </w:pPr>
          </w:p>
        </w:tc>
      </w:tr>
      <w:tr w:rsidR="00ED5344" w:rsidRPr="005C3BEB" w14:paraId="35CFD08F" w14:textId="77777777" w:rsidTr="00546691">
        <w:trPr>
          <w:trHeight w:val="288"/>
        </w:trPr>
        <w:tc>
          <w:tcPr>
            <w:tcW w:w="598" w:type="pct"/>
            <w:tcBorders>
              <w:top w:val="nil"/>
              <w:left w:val="single" w:sz="4" w:space="0" w:color="auto"/>
              <w:bottom w:val="single" w:sz="4" w:space="0" w:color="auto"/>
              <w:right w:val="single" w:sz="4" w:space="0" w:color="auto"/>
            </w:tcBorders>
            <w:shd w:val="clear" w:color="auto" w:fill="auto"/>
            <w:noWrap/>
            <w:vAlign w:val="center"/>
            <w:hideMark/>
          </w:tcPr>
          <w:p w14:paraId="66424F4D"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Aug-20</w:t>
            </w:r>
          </w:p>
        </w:tc>
        <w:tc>
          <w:tcPr>
            <w:tcW w:w="723" w:type="pct"/>
            <w:tcBorders>
              <w:top w:val="nil"/>
              <w:left w:val="nil"/>
              <w:bottom w:val="single" w:sz="4" w:space="0" w:color="auto"/>
              <w:right w:val="single" w:sz="4" w:space="0" w:color="auto"/>
            </w:tcBorders>
            <w:shd w:val="clear" w:color="auto" w:fill="auto"/>
            <w:noWrap/>
            <w:vAlign w:val="center"/>
            <w:hideMark/>
          </w:tcPr>
          <w:p w14:paraId="18E9299F"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179</w:t>
            </w:r>
          </w:p>
        </w:tc>
        <w:tc>
          <w:tcPr>
            <w:tcW w:w="1807" w:type="pct"/>
            <w:tcBorders>
              <w:top w:val="nil"/>
              <w:left w:val="nil"/>
              <w:bottom w:val="single" w:sz="4" w:space="0" w:color="auto"/>
              <w:right w:val="single" w:sz="4" w:space="0" w:color="auto"/>
            </w:tcBorders>
            <w:shd w:val="clear" w:color="auto" w:fill="auto"/>
            <w:noWrap/>
            <w:vAlign w:val="center"/>
            <w:hideMark/>
          </w:tcPr>
          <w:p w14:paraId="43EE7AC6"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11.88%</w:t>
            </w:r>
          </w:p>
        </w:tc>
        <w:tc>
          <w:tcPr>
            <w:tcW w:w="1872" w:type="pct"/>
            <w:vMerge/>
            <w:tcBorders>
              <w:top w:val="nil"/>
              <w:left w:val="single" w:sz="4" w:space="0" w:color="auto"/>
              <w:bottom w:val="single" w:sz="4" w:space="0" w:color="auto"/>
              <w:right w:val="single" w:sz="4" w:space="0" w:color="auto"/>
            </w:tcBorders>
            <w:vAlign w:val="center"/>
            <w:hideMark/>
          </w:tcPr>
          <w:p w14:paraId="2EE8D8BF" w14:textId="77777777" w:rsidR="00ED5344" w:rsidRPr="005C3BEB" w:rsidRDefault="00ED5344" w:rsidP="005C3BEB">
            <w:pPr>
              <w:spacing w:after="0" w:line="360" w:lineRule="auto"/>
              <w:jc w:val="both"/>
              <w:rPr>
                <w:rFonts w:eastAsia="Times New Roman" w:cs="Times New Roman"/>
                <w:b/>
                <w:bCs/>
                <w:color w:val="000000"/>
                <w:szCs w:val="24"/>
                <w:lang w:val="en-IN" w:eastAsia="en-IN"/>
              </w:rPr>
            </w:pPr>
          </w:p>
        </w:tc>
      </w:tr>
      <w:tr w:rsidR="00ED5344" w:rsidRPr="005C3BEB" w14:paraId="46FEB8B4" w14:textId="77777777" w:rsidTr="00546691">
        <w:trPr>
          <w:trHeight w:val="288"/>
        </w:trPr>
        <w:tc>
          <w:tcPr>
            <w:tcW w:w="598" w:type="pct"/>
            <w:tcBorders>
              <w:top w:val="nil"/>
              <w:left w:val="single" w:sz="4" w:space="0" w:color="auto"/>
              <w:bottom w:val="single" w:sz="4" w:space="0" w:color="auto"/>
              <w:right w:val="single" w:sz="4" w:space="0" w:color="auto"/>
            </w:tcBorders>
            <w:shd w:val="clear" w:color="auto" w:fill="auto"/>
            <w:noWrap/>
            <w:vAlign w:val="center"/>
            <w:hideMark/>
          </w:tcPr>
          <w:p w14:paraId="0080C822"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Sep-20</w:t>
            </w:r>
          </w:p>
        </w:tc>
        <w:tc>
          <w:tcPr>
            <w:tcW w:w="723" w:type="pct"/>
            <w:tcBorders>
              <w:top w:val="nil"/>
              <w:left w:val="nil"/>
              <w:bottom w:val="single" w:sz="4" w:space="0" w:color="auto"/>
              <w:right w:val="single" w:sz="4" w:space="0" w:color="auto"/>
            </w:tcBorders>
            <w:shd w:val="clear" w:color="auto" w:fill="auto"/>
            <w:noWrap/>
            <w:vAlign w:val="center"/>
            <w:hideMark/>
          </w:tcPr>
          <w:p w14:paraId="678A6D15"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239</w:t>
            </w:r>
          </w:p>
        </w:tc>
        <w:tc>
          <w:tcPr>
            <w:tcW w:w="1807" w:type="pct"/>
            <w:tcBorders>
              <w:top w:val="nil"/>
              <w:left w:val="nil"/>
              <w:bottom w:val="single" w:sz="4" w:space="0" w:color="auto"/>
              <w:right w:val="single" w:sz="4" w:space="0" w:color="auto"/>
            </w:tcBorders>
            <w:shd w:val="clear" w:color="auto" w:fill="auto"/>
            <w:noWrap/>
            <w:vAlign w:val="center"/>
            <w:hideMark/>
          </w:tcPr>
          <w:p w14:paraId="4487A954"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33.52%</w:t>
            </w:r>
          </w:p>
        </w:tc>
        <w:tc>
          <w:tcPr>
            <w:tcW w:w="1872" w:type="pct"/>
            <w:vMerge/>
            <w:tcBorders>
              <w:top w:val="nil"/>
              <w:left w:val="single" w:sz="4" w:space="0" w:color="auto"/>
              <w:bottom w:val="single" w:sz="4" w:space="0" w:color="auto"/>
              <w:right w:val="single" w:sz="4" w:space="0" w:color="auto"/>
            </w:tcBorders>
            <w:vAlign w:val="center"/>
            <w:hideMark/>
          </w:tcPr>
          <w:p w14:paraId="2377D3A2" w14:textId="77777777" w:rsidR="00ED5344" w:rsidRPr="005C3BEB" w:rsidRDefault="00ED5344" w:rsidP="005C3BEB">
            <w:pPr>
              <w:spacing w:after="0" w:line="360" w:lineRule="auto"/>
              <w:jc w:val="both"/>
              <w:rPr>
                <w:rFonts w:eastAsia="Times New Roman" w:cs="Times New Roman"/>
                <w:b/>
                <w:bCs/>
                <w:color w:val="000000"/>
                <w:szCs w:val="24"/>
                <w:lang w:val="en-IN" w:eastAsia="en-IN"/>
              </w:rPr>
            </w:pPr>
          </w:p>
        </w:tc>
      </w:tr>
      <w:tr w:rsidR="00ED5344" w:rsidRPr="005C3BEB" w14:paraId="4D4A8A94" w14:textId="77777777" w:rsidTr="00546691">
        <w:trPr>
          <w:trHeight w:val="288"/>
        </w:trPr>
        <w:tc>
          <w:tcPr>
            <w:tcW w:w="598" w:type="pct"/>
            <w:tcBorders>
              <w:top w:val="nil"/>
              <w:left w:val="single" w:sz="4" w:space="0" w:color="auto"/>
              <w:bottom w:val="single" w:sz="4" w:space="0" w:color="auto"/>
              <w:right w:val="single" w:sz="4" w:space="0" w:color="auto"/>
            </w:tcBorders>
            <w:shd w:val="clear" w:color="auto" w:fill="auto"/>
            <w:noWrap/>
            <w:vAlign w:val="center"/>
            <w:hideMark/>
          </w:tcPr>
          <w:p w14:paraId="3500BCD7"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Oct-20</w:t>
            </w:r>
          </w:p>
        </w:tc>
        <w:tc>
          <w:tcPr>
            <w:tcW w:w="723" w:type="pct"/>
            <w:tcBorders>
              <w:top w:val="nil"/>
              <w:left w:val="nil"/>
              <w:bottom w:val="single" w:sz="4" w:space="0" w:color="auto"/>
              <w:right w:val="single" w:sz="4" w:space="0" w:color="auto"/>
            </w:tcBorders>
            <w:shd w:val="clear" w:color="auto" w:fill="auto"/>
            <w:noWrap/>
            <w:vAlign w:val="center"/>
            <w:hideMark/>
          </w:tcPr>
          <w:p w14:paraId="785949B6"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227</w:t>
            </w:r>
          </w:p>
        </w:tc>
        <w:tc>
          <w:tcPr>
            <w:tcW w:w="1807" w:type="pct"/>
            <w:tcBorders>
              <w:top w:val="nil"/>
              <w:left w:val="nil"/>
              <w:bottom w:val="single" w:sz="4" w:space="0" w:color="auto"/>
              <w:right w:val="single" w:sz="4" w:space="0" w:color="auto"/>
            </w:tcBorders>
            <w:shd w:val="clear" w:color="auto" w:fill="auto"/>
            <w:noWrap/>
            <w:vAlign w:val="center"/>
            <w:hideMark/>
          </w:tcPr>
          <w:p w14:paraId="146DC182"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-5.02%</w:t>
            </w:r>
          </w:p>
        </w:tc>
        <w:tc>
          <w:tcPr>
            <w:tcW w:w="1872" w:type="pct"/>
            <w:vMerge/>
            <w:tcBorders>
              <w:top w:val="nil"/>
              <w:left w:val="single" w:sz="4" w:space="0" w:color="auto"/>
              <w:bottom w:val="single" w:sz="4" w:space="0" w:color="auto"/>
              <w:right w:val="single" w:sz="4" w:space="0" w:color="auto"/>
            </w:tcBorders>
            <w:vAlign w:val="center"/>
            <w:hideMark/>
          </w:tcPr>
          <w:p w14:paraId="51A54B67" w14:textId="77777777" w:rsidR="00ED5344" w:rsidRPr="005C3BEB" w:rsidRDefault="00ED5344" w:rsidP="005C3BEB">
            <w:pPr>
              <w:spacing w:after="0" w:line="360" w:lineRule="auto"/>
              <w:jc w:val="both"/>
              <w:rPr>
                <w:rFonts w:eastAsia="Times New Roman" w:cs="Times New Roman"/>
                <w:b/>
                <w:bCs/>
                <w:color w:val="000000"/>
                <w:szCs w:val="24"/>
                <w:lang w:val="en-IN" w:eastAsia="en-IN"/>
              </w:rPr>
            </w:pPr>
          </w:p>
        </w:tc>
      </w:tr>
      <w:tr w:rsidR="00ED5344" w:rsidRPr="005C3BEB" w14:paraId="4AAAAC35" w14:textId="77777777" w:rsidTr="00546691">
        <w:trPr>
          <w:trHeight w:val="288"/>
        </w:trPr>
        <w:tc>
          <w:tcPr>
            <w:tcW w:w="598" w:type="pct"/>
            <w:tcBorders>
              <w:top w:val="nil"/>
              <w:left w:val="single" w:sz="4" w:space="0" w:color="auto"/>
              <w:bottom w:val="single" w:sz="4" w:space="0" w:color="auto"/>
              <w:right w:val="single" w:sz="4" w:space="0" w:color="auto"/>
            </w:tcBorders>
            <w:shd w:val="clear" w:color="auto" w:fill="auto"/>
            <w:noWrap/>
            <w:vAlign w:val="center"/>
            <w:hideMark/>
          </w:tcPr>
          <w:p w14:paraId="3FB339A4"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Nov-20</w:t>
            </w:r>
          </w:p>
        </w:tc>
        <w:tc>
          <w:tcPr>
            <w:tcW w:w="723" w:type="pct"/>
            <w:tcBorders>
              <w:top w:val="nil"/>
              <w:left w:val="nil"/>
              <w:bottom w:val="single" w:sz="4" w:space="0" w:color="auto"/>
              <w:right w:val="single" w:sz="4" w:space="0" w:color="auto"/>
            </w:tcBorders>
            <w:shd w:val="clear" w:color="auto" w:fill="auto"/>
            <w:noWrap/>
            <w:vAlign w:val="center"/>
            <w:hideMark/>
          </w:tcPr>
          <w:p w14:paraId="59B7154E"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307</w:t>
            </w:r>
          </w:p>
        </w:tc>
        <w:tc>
          <w:tcPr>
            <w:tcW w:w="1807" w:type="pct"/>
            <w:tcBorders>
              <w:top w:val="nil"/>
              <w:left w:val="nil"/>
              <w:bottom w:val="single" w:sz="4" w:space="0" w:color="auto"/>
              <w:right w:val="single" w:sz="4" w:space="0" w:color="auto"/>
            </w:tcBorders>
            <w:shd w:val="clear" w:color="auto" w:fill="auto"/>
            <w:noWrap/>
            <w:vAlign w:val="center"/>
            <w:hideMark/>
          </w:tcPr>
          <w:p w14:paraId="5FB92B2C"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35.24%</w:t>
            </w:r>
          </w:p>
        </w:tc>
        <w:tc>
          <w:tcPr>
            <w:tcW w:w="1872" w:type="pct"/>
            <w:vMerge/>
            <w:tcBorders>
              <w:top w:val="nil"/>
              <w:left w:val="single" w:sz="4" w:space="0" w:color="auto"/>
              <w:bottom w:val="single" w:sz="4" w:space="0" w:color="auto"/>
              <w:right w:val="single" w:sz="4" w:space="0" w:color="auto"/>
            </w:tcBorders>
            <w:vAlign w:val="center"/>
            <w:hideMark/>
          </w:tcPr>
          <w:p w14:paraId="5DBA2F05" w14:textId="77777777" w:rsidR="00ED5344" w:rsidRPr="005C3BEB" w:rsidRDefault="00ED5344" w:rsidP="005C3BEB">
            <w:pPr>
              <w:spacing w:after="0" w:line="360" w:lineRule="auto"/>
              <w:jc w:val="both"/>
              <w:rPr>
                <w:rFonts w:eastAsia="Times New Roman" w:cs="Times New Roman"/>
                <w:b/>
                <w:bCs/>
                <w:color w:val="000000"/>
                <w:szCs w:val="24"/>
                <w:lang w:val="en-IN" w:eastAsia="en-IN"/>
              </w:rPr>
            </w:pPr>
          </w:p>
        </w:tc>
      </w:tr>
      <w:tr w:rsidR="00ED5344" w:rsidRPr="005C3BEB" w14:paraId="23F95AD7" w14:textId="77777777" w:rsidTr="00546691">
        <w:trPr>
          <w:trHeight w:val="288"/>
        </w:trPr>
        <w:tc>
          <w:tcPr>
            <w:tcW w:w="598" w:type="pct"/>
            <w:tcBorders>
              <w:top w:val="nil"/>
              <w:left w:val="single" w:sz="4" w:space="0" w:color="auto"/>
              <w:bottom w:val="single" w:sz="4" w:space="0" w:color="auto"/>
              <w:right w:val="single" w:sz="4" w:space="0" w:color="auto"/>
            </w:tcBorders>
            <w:shd w:val="clear" w:color="auto" w:fill="auto"/>
            <w:noWrap/>
            <w:vAlign w:val="center"/>
            <w:hideMark/>
          </w:tcPr>
          <w:p w14:paraId="109D3B7B"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Dec-20</w:t>
            </w:r>
          </w:p>
        </w:tc>
        <w:tc>
          <w:tcPr>
            <w:tcW w:w="723" w:type="pct"/>
            <w:tcBorders>
              <w:top w:val="nil"/>
              <w:left w:val="nil"/>
              <w:bottom w:val="single" w:sz="4" w:space="0" w:color="auto"/>
              <w:right w:val="single" w:sz="4" w:space="0" w:color="auto"/>
            </w:tcBorders>
            <w:shd w:val="clear" w:color="auto" w:fill="auto"/>
            <w:noWrap/>
            <w:vAlign w:val="center"/>
            <w:hideMark/>
          </w:tcPr>
          <w:p w14:paraId="7AFFA96F"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337</w:t>
            </w:r>
          </w:p>
        </w:tc>
        <w:tc>
          <w:tcPr>
            <w:tcW w:w="1807" w:type="pct"/>
            <w:tcBorders>
              <w:top w:val="nil"/>
              <w:left w:val="nil"/>
              <w:bottom w:val="single" w:sz="4" w:space="0" w:color="auto"/>
              <w:right w:val="single" w:sz="4" w:space="0" w:color="auto"/>
            </w:tcBorders>
            <w:shd w:val="clear" w:color="auto" w:fill="auto"/>
            <w:noWrap/>
            <w:vAlign w:val="center"/>
            <w:hideMark/>
          </w:tcPr>
          <w:p w14:paraId="3D13F9AA"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9.77%</w:t>
            </w:r>
          </w:p>
        </w:tc>
        <w:tc>
          <w:tcPr>
            <w:tcW w:w="1872" w:type="pct"/>
            <w:vMerge/>
            <w:tcBorders>
              <w:top w:val="nil"/>
              <w:left w:val="single" w:sz="4" w:space="0" w:color="auto"/>
              <w:bottom w:val="single" w:sz="4" w:space="0" w:color="auto"/>
              <w:right w:val="single" w:sz="4" w:space="0" w:color="auto"/>
            </w:tcBorders>
            <w:vAlign w:val="center"/>
            <w:hideMark/>
          </w:tcPr>
          <w:p w14:paraId="425DCFCA" w14:textId="77777777" w:rsidR="00ED5344" w:rsidRPr="005C3BEB" w:rsidRDefault="00ED5344" w:rsidP="005C3BEB">
            <w:pPr>
              <w:spacing w:after="0" w:line="360" w:lineRule="auto"/>
              <w:jc w:val="both"/>
              <w:rPr>
                <w:rFonts w:eastAsia="Times New Roman" w:cs="Times New Roman"/>
                <w:b/>
                <w:bCs/>
                <w:color w:val="000000"/>
                <w:szCs w:val="24"/>
                <w:lang w:val="en-IN" w:eastAsia="en-IN"/>
              </w:rPr>
            </w:pPr>
          </w:p>
        </w:tc>
      </w:tr>
      <w:tr w:rsidR="00ED5344" w:rsidRPr="005C3BEB" w14:paraId="253CFE04" w14:textId="77777777" w:rsidTr="00546691">
        <w:trPr>
          <w:trHeight w:val="288"/>
        </w:trPr>
        <w:tc>
          <w:tcPr>
            <w:tcW w:w="598" w:type="pct"/>
            <w:tcBorders>
              <w:top w:val="nil"/>
              <w:left w:val="single" w:sz="4" w:space="0" w:color="auto"/>
              <w:bottom w:val="single" w:sz="4" w:space="0" w:color="auto"/>
              <w:right w:val="single" w:sz="4" w:space="0" w:color="auto"/>
            </w:tcBorders>
            <w:shd w:val="clear" w:color="auto" w:fill="auto"/>
            <w:noWrap/>
            <w:vAlign w:val="center"/>
            <w:hideMark/>
          </w:tcPr>
          <w:p w14:paraId="301EB782"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Jan-21</w:t>
            </w:r>
          </w:p>
        </w:tc>
        <w:tc>
          <w:tcPr>
            <w:tcW w:w="723" w:type="pct"/>
            <w:tcBorders>
              <w:top w:val="nil"/>
              <w:left w:val="nil"/>
              <w:bottom w:val="single" w:sz="4" w:space="0" w:color="auto"/>
              <w:right w:val="single" w:sz="4" w:space="0" w:color="auto"/>
            </w:tcBorders>
            <w:shd w:val="clear" w:color="auto" w:fill="auto"/>
            <w:noWrap/>
            <w:vAlign w:val="center"/>
            <w:hideMark/>
          </w:tcPr>
          <w:p w14:paraId="2572C20E"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404</w:t>
            </w:r>
          </w:p>
        </w:tc>
        <w:tc>
          <w:tcPr>
            <w:tcW w:w="1807" w:type="pct"/>
            <w:tcBorders>
              <w:top w:val="nil"/>
              <w:left w:val="nil"/>
              <w:bottom w:val="single" w:sz="4" w:space="0" w:color="auto"/>
              <w:right w:val="single" w:sz="4" w:space="0" w:color="auto"/>
            </w:tcBorders>
            <w:shd w:val="clear" w:color="auto" w:fill="auto"/>
            <w:noWrap/>
            <w:vAlign w:val="center"/>
            <w:hideMark/>
          </w:tcPr>
          <w:p w14:paraId="3E8B6608"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19.88%</w:t>
            </w:r>
          </w:p>
        </w:tc>
        <w:tc>
          <w:tcPr>
            <w:tcW w:w="1872"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04D61DAC" w14:textId="77777777" w:rsidR="00ED5344" w:rsidRPr="005C3BEB" w:rsidRDefault="00ED5344" w:rsidP="005C3BEB">
            <w:pPr>
              <w:spacing w:after="0" w:line="360" w:lineRule="auto"/>
              <w:jc w:val="both"/>
              <w:rPr>
                <w:rFonts w:eastAsia="Times New Roman" w:cs="Times New Roman"/>
                <w:b/>
                <w:bCs/>
                <w:color w:val="000000"/>
                <w:szCs w:val="24"/>
                <w:lang w:val="en-IN" w:eastAsia="en-IN"/>
              </w:rPr>
            </w:pPr>
            <w:r w:rsidRPr="005C3BEB">
              <w:rPr>
                <w:rFonts w:eastAsia="Times New Roman" w:cs="Times New Roman"/>
                <w:b/>
                <w:bCs/>
                <w:color w:val="000000"/>
                <w:szCs w:val="24"/>
                <w:lang w:val="en-IN" w:eastAsia="en-IN"/>
              </w:rPr>
              <w:t>4.06%</w:t>
            </w:r>
          </w:p>
        </w:tc>
      </w:tr>
      <w:tr w:rsidR="00ED5344" w:rsidRPr="005C3BEB" w14:paraId="73DB1AEB" w14:textId="77777777" w:rsidTr="00546691">
        <w:trPr>
          <w:trHeight w:val="288"/>
        </w:trPr>
        <w:tc>
          <w:tcPr>
            <w:tcW w:w="598" w:type="pct"/>
            <w:tcBorders>
              <w:top w:val="nil"/>
              <w:left w:val="single" w:sz="4" w:space="0" w:color="auto"/>
              <w:bottom w:val="single" w:sz="4" w:space="0" w:color="auto"/>
              <w:right w:val="single" w:sz="4" w:space="0" w:color="auto"/>
            </w:tcBorders>
            <w:shd w:val="clear" w:color="auto" w:fill="auto"/>
            <w:noWrap/>
            <w:vAlign w:val="center"/>
            <w:hideMark/>
          </w:tcPr>
          <w:p w14:paraId="2FE9B193"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Feb-21</w:t>
            </w:r>
          </w:p>
        </w:tc>
        <w:tc>
          <w:tcPr>
            <w:tcW w:w="723" w:type="pct"/>
            <w:tcBorders>
              <w:top w:val="nil"/>
              <w:left w:val="nil"/>
              <w:bottom w:val="single" w:sz="4" w:space="0" w:color="auto"/>
              <w:right w:val="single" w:sz="4" w:space="0" w:color="auto"/>
            </w:tcBorders>
            <w:shd w:val="clear" w:color="auto" w:fill="auto"/>
            <w:noWrap/>
            <w:vAlign w:val="center"/>
            <w:hideMark/>
          </w:tcPr>
          <w:p w14:paraId="334E313D"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452</w:t>
            </w:r>
          </w:p>
        </w:tc>
        <w:tc>
          <w:tcPr>
            <w:tcW w:w="1807" w:type="pct"/>
            <w:tcBorders>
              <w:top w:val="nil"/>
              <w:left w:val="nil"/>
              <w:bottom w:val="single" w:sz="4" w:space="0" w:color="auto"/>
              <w:right w:val="single" w:sz="4" w:space="0" w:color="auto"/>
            </w:tcBorders>
            <w:shd w:val="clear" w:color="auto" w:fill="auto"/>
            <w:noWrap/>
            <w:vAlign w:val="center"/>
            <w:hideMark/>
          </w:tcPr>
          <w:p w14:paraId="59C3CD05"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11.88%</w:t>
            </w:r>
          </w:p>
        </w:tc>
        <w:tc>
          <w:tcPr>
            <w:tcW w:w="1872" w:type="pct"/>
            <w:vMerge/>
            <w:tcBorders>
              <w:top w:val="nil"/>
              <w:left w:val="single" w:sz="4" w:space="0" w:color="auto"/>
              <w:bottom w:val="single" w:sz="4" w:space="0" w:color="auto"/>
              <w:right w:val="single" w:sz="4" w:space="0" w:color="auto"/>
            </w:tcBorders>
            <w:vAlign w:val="center"/>
            <w:hideMark/>
          </w:tcPr>
          <w:p w14:paraId="479D2D2E" w14:textId="77777777" w:rsidR="00ED5344" w:rsidRPr="005C3BEB" w:rsidRDefault="00ED5344" w:rsidP="005C3BEB">
            <w:pPr>
              <w:spacing w:after="0" w:line="360" w:lineRule="auto"/>
              <w:jc w:val="both"/>
              <w:rPr>
                <w:rFonts w:eastAsia="Times New Roman" w:cs="Times New Roman"/>
                <w:b/>
                <w:bCs/>
                <w:color w:val="000000"/>
                <w:szCs w:val="24"/>
                <w:lang w:val="en-IN" w:eastAsia="en-IN"/>
              </w:rPr>
            </w:pPr>
          </w:p>
        </w:tc>
      </w:tr>
      <w:tr w:rsidR="00ED5344" w:rsidRPr="005C3BEB" w14:paraId="10986189" w14:textId="77777777" w:rsidTr="00546691">
        <w:trPr>
          <w:trHeight w:val="288"/>
        </w:trPr>
        <w:tc>
          <w:tcPr>
            <w:tcW w:w="598" w:type="pct"/>
            <w:tcBorders>
              <w:top w:val="nil"/>
              <w:left w:val="single" w:sz="4" w:space="0" w:color="auto"/>
              <w:bottom w:val="single" w:sz="4" w:space="0" w:color="auto"/>
              <w:right w:val="single" w:sz="4" w:space="0" w:color="auto"/>
            </w:tcBorders>
            <w:shd w:val="clear" w:color="auto" w:fill="auto"/>
            <w:noWrap/>
            <w:vAlign w:val="center"/>
            <w:hideMark/>
          </w:tcPr>
          <w:p w14:paraId="37A4A813"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Mar-21</w:t>
            </w:r>
          </w:p>
        </w:tc>
        <w:tc>
          <w:tcPr>
            <w:tcW w:w="723" w:type="pct"/>
            <w:tcBorders>
              <w:top w:val="nil"/>
              <w:left w:val="nil"/>
              <w:bottom w:val="single" w:sz="4" w:space="0" w:color="auto"/>
              <w:right w:val="single" w:sz="4" w:space="0" w:color="auto"/>
            </w:tcBorders>
            <w:shd w:val="clear" w:color="auto" w:fill="auto"/>
            <w:noWrap/>
            <w:vAlign w:val="center"/>
            <w:hideMark/>
          </w:tcPr>
          <w:p w14:paraId="42D0C0BC"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504</w:t>
            </w:r>
          </w:p>
        </w:tc>
        <w:tc>
          <w:tcPr>
            <w:tcW w:w="1807" w:type="pct"/>
            <w:tcBorders>
              <w:top w:val="nil"/>
              <w:left w:val="nil"/>
              <w:bottom w:val="single" w:sz="4" w:space="0" w:color="auto"/>
              <w:right w:val="single" w:sz="4" w:space="0" w:color="auto"/>
            </w:tcBorders>
            <w:shd w:val="clear" w:color="auto" w:fill="auto"/>
            <w:noWrap/>
            <w:vAlign w:val="center"/>
            <w:hideMark/>
          </w:tcPr>
          <w:p w14:paraId="5D7ED259"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11.50%</w:t>
            </w:r>
          </w:p>
        </w:tc>
        <w:tc>
          <w:tcPr>
            <w:tcW w:w="1872" w:type="pct"/>
            <w:vMerge/>
            <w:tcBorders>
              <w:top w:val="nil"/>
              <w:left w:val="single" w:sz="4" w:space="0" w:color="auto"/>
              <w:bottom w:val="single" w:sz="4" w:space="0" w:color="auto"/>
              <w:right w:val="single" w:sz="4" w:space="0" w:color="auto"/>
            </w:tcBorders>
            <w:vAlign w:val="center"/>
            <w:hideMark/>
          </w:tcPr>
          <w:p w14:paraId="6558894E" w14:textId="77777777" w:rsidR="00ED5344" w:rsidRPr="005C3BEB" w:rsidRDefault="00ED5344" w:rsidP="005C3BEB">
            <w:pPr>
              <w:spacing w:after="0" w:line="360" w:lineRule="auto"/>
              <w:jc w:val="both"/>
              <w:rPr>
                <w:rFonts w:eastAsia="Times New Roman" w:cs="Times New Roman"/>
                <w:b/>
                <w:bCs/>
                <w:color w:val="000000"/>
                <w:szCs w:val="24"/>
                <w:lang w:val="en-IN" w:eastAsia="en-IN"/>
              </w:rPr>
            </w:pPr>
          </w:p>
        </w:tc>
      </w:tr>
      <w:tr w:rsidR="00ED5344" w:rsidRPr="005C3BEB" w14:paraId="1BF655BF" w14:textId="77777777" w:rsidTr="00546691">
        <w:trPr>
          <w:trHeight w:val="288"/>
        </w:trPr>
        <w:tc>
          <w:tcPr>
            <w:tcW w:w="598" w:type="pct"/>
            <w:tcBorders>
              <w:top w:val="nil"/>
              <w:left w:val="single" w:sz="4" w:space="0" w:color="auto"/>
              <w:bottom w:val="single" w:sz="4" w:space="0" w:color="auto"/>
              <w:right w:val="single" w:sz="4" w:space="0" w:color="auto"/>
            </w:tcBorders>
            <w:shd w:val="clear" w:color="auto" w:fill="auto"/>
            <w:noWrap/>
            <w:vAlign w:val="center"/>
            <w:hideMark/>
          </w:tcPr>
          <w:p w14:paraId="40E28356"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Apr-21</w:t>
            </w:r>
          </w:p>
        </w:tc>
        <w:tc>
          <w:tcPr>
            <w:tcW w:w="723" w:type="pct"/>
            <w:tcBorders>
              <w:top w:val="nil"/>
              <w:left w:val="nil"/>
              <w:bottom w:val="single" w:sz="4" w:space="0" w:color="auto"/>
              <w:right w:val="single" w:sz="4" w:space="0" w:color="auto"/>
            </w:tcBorders>
            <w:shd w:val="clear" w:color="auto" w:fill="auto"/>
            <w:noWrap/>
            <w:vAlign w:val="center"/>
            <w:hideMark/>
          </w:tcPr>
          <w:p w14:paraId="4CD5476B"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496</w:t>
            </w:r>
          </w:p>
        </w:tc>
        <w:tc>
          <w:tcPr>
            <w:tcW w:w="1807" w:type="pct"/>
            <w:tcBorders>
              <w:top w:val="nil"/>
              <w:left w:val="nil"/>
              <w:bottom w:val="single" w:sz="4" w:space="0" w:color="auto"/>
              <w:right w:val="single" w:sz="4" w:space="0" w:color="auto"/>
            </w:tcBorders>
            <w:shd w:val="clear" w:color="auto" w:fill="auto"/>
            <w:noWrap/>
            <w:vAlign w:val="center"/>
            <w:hideMark/>
          </w:tcPr>
          <w:p w14:paraId="2D21B129"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-1.59%</w:t>
            </w:r>
          </w:p>
        </w:tc>
        <w:tc>
          <w:tcPr>
            <w:tcW w:w="1872" w:type="pct"/>
            <w:vMerge/>
            <w:tcBorders>
              <w:top w:val="nil"/>
              <w:left w:val="single" w:sz="4" w:space="0" w:color="auto"/>
              <w:bottom w:val="single" w:sz="4" w:space="0" w:color="auto"/>
              <w:right w:val="single" w:sz="4" w:space="0" w:color="auto"/>
            </w:tcBorders>
            <w:vAlign w:val="center"/>
            <w:hideMark/>
          </w:tcPr>
          <w:p w14:paraId="00962AD8" w14:textId="77777777" w:rsidR="00ED5344" w:rsidRPr="005C3BEB" w:rsidRDefault="00ED5344" w:rsidP="005C3BEB">
            <w:pPr>
              <w:spacing w:after="0" w:line="360" w:lineRule="auto"/>
              <w:jc w:val="both"/>
              <w:rPr>
                <w:rFonts w:eastAsia="Times New Roman" w:cs="Times New Roman"/>
                <w:b/>
                <w:bCs/>
                <w:color w:val="000000"/>
                <w:szCs w:val="24"/>
                <w:lang w:val="en-IN" w:eastAsia="en-IN"/>
              </w:rPr>
            </w:pPr>
          </w:p>
        </w:tc>
      </w:tr>
      <w:tr w:rsidR="00ED5344" w:rsidRPr="005C3BEB" w14:paraId="6184F5DE" w14:textId="77777777" w:rsidTr="00546691">
        <w:trPr>
          <w:trHeight w:val="288"/>
        </w:trPr>
        <w:tc>
          <w:tcPr>
            <w:tcW w:w="598" w:type="pct"/>
            <w:tcBorders>
              <w:top w:val="nil"/>
              <w:left w:val="single" w:sz="4" w:space="0" w:color="auto"/>
              <w:bottom w:val="single" w:sz="4" w:space="0" w:color="auto"/>
              <w:right w:val="single" w:sz="4" w:space="0" w:color="auto"/>
            </w:tcBorders>
            <w:shd w:val="clear" w:color="auto" w:fill="auto"/>
            <w:noWrap/>
            <w:vAlign w:val="center"/>
            <w:hideMark/>
          </w:tcPr>
          <w:p w14:paraId="5444397B"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May-21</w:t>
            </w:r>
          </w:p>
        </w:tc>
        <w:tc>
          <w:tcPr>
            <w:tcW w:w="723" w:type="pct"/>
            <w:tcBorders>
              <w:top w:val="nil"/>
              <w:left w:val="nil"/>
              <w:bottom w:val="single" w:sz="4" w:space="0" w:color="auto"/>
              <w:right w:val="single" w:sz="4" w:space="0" w:color="auto"/>
            </w:tcBorders>
            <w:shd w:val="clear" w:color="auto" w:fill="auto"/>
            <w:noWrap/>
            <w:vAlign w:val="center"/>
            <w:hideMark/>
          </w:tcPr>
          <w:p w14:paraId="585E18C2"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578</w:t>
            </w:r>
          </w:p>
        </w:tc>
        <w:tc>
          <w:tcPr>
            <w:tcW w:w="1807" w:type="pct"/>
            <w:tcBorders>
              <w:top w:val="nil"/>
              <w:left w:val="nil"/>
              <w:bottom w:val="single" w:sz="4" w:space="0" w:color="auto"/>
              <w:right w:val="single" w:sz="4" w:space="0" w:color="auto"/>
            </w:tcBorders>
            <w:shd w:val="clear" w:color="auto" w:fill="auto"/>
            <w:noWrap/>
            <w:vAlign w:val="center"/>
            <w:hideMark/>
          </w:tcPr>
          <w:p w14:paraId="2CE8B061"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16.53%</w:t>
            </w:r>
          </w:p>
        </w:tc>
        <w:tc>
          <w:tcPr>
            <w:tcW w:w="1872" w:type="pct"/>
            <w:vMerge/>
            <w:tcBorders>
              <w:top w:val="nil"/>
              <w:left w:val="single" w:sz="4" w:space="0" w:color="auto"/>
              <w:bottom w:val="single" w:sz="4" w:space="0" w:color="auto"/>
              <w:right w:val="single" w:sz="4" w:space="0" w:color="auto"/>
            </w:tcBorders>
            <w:vAlign w:val="center"/>
            <w:hideMark/>
          </w:tcPr>
          <w:p w14:paraId="75C35446" w14:textId="77777777" w:rsidR="00ED5344" w:rsidRPr="005C3BEB" w:rsidRDefault="00ED5344" w:rsidP="005C3BEB">
            <w:pPr>
              <w:spacing w:after="0" w:line="360" w:lineRule="auto"/>
              <w:jc w:val="both"/>
              <w:rPr>
                <w:rFonts w:eastAsia="Times New Roman" w:cs="Times New Roman"/>
                <w:b/>
                <w:bCs/>
                <w:color w:val="000000"/>
                <w:szCs w:val="24"/>
                <w:lang w:val="en-IN" w:eastAsia="en-IN"/>
              </w:rPr>
            </w:pPr>
          </w:p>
        </w:tc>
      </w:tr>
      <w:tr w:rsidR="00ED5344" w:rsidRPr="005C3BEB" w14:paraId="37581669" w14:textId="77777777" w:rsidTr="00546691">
        <w:trPr>
          <w:trHeight w:val="288"/>
        </w:trPr>
        <w:tc>
          <w:tcPr>
            <w:tcW w:w="598" w:type="pct"/>
            <w:tcBorders>
              <w:top w:val="nil"/>
              <w:left w:val="single" w:sz="4" w:space="0" w:color="auto"/>
              <w:bottom w:val="single" w:sz="4" w:space="0" w:color="auto"/>
              <w:right w:val="single" w:sz="4" w:space="0" w:color="auto"/>
            </w:tcBorders>
            <w:shd w:val="clear" w:color="auto" w:fill="auto"/>
            <w:noWrap/>
            <w:vAlign w:val="center"/>
            <w:hideMark/>
          </w:tcPr>
          <w:p w14:paraId="44D929FA"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Jun-21</w:t>
            </w:r>
          </w:p>
        </w:tc>
        <w:tc>
          <w:tcPr>
            <w:tcW w:w="723" w:type="pct"/>
            <w:tcBorders>
              <w:top w:val="nil"/>
              <w:left w:val="nil"/>
              <w:bottom w:val="single" w:sz="4" w:space="0" w:color="auto"/>
              <w:right w:val="single" w:sz="4" w:space="0" w:color="auto"/>
            </w:tcBorders>
            <w:shd w:val="clear" w:color="auto" w:fill="auto"/>
            <w:noWrap/>
            <w:vAlign w:val="center"/>
            <w:hideMark/>
          </w:tcPr>
          <w:p w14:paraId="5A2C3DFA"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577</w:t>
            </w:r>
          </w:p>
        </w:tc>
        <w:tc>
          <w:tcPr>
            <w:tcW w:w="1807" w:type="pct"/>
            <w:tcBorders>
              <w:top w:val="nil"/>
              <w:left w:val="nil"/>
              <w:bottom w:val="single" w:sz="4" w:space="0" w:color="auto"/>
              <w:right w:val="single" w:sz="4" w:space="0" w:color="auto"/>
            </w:tcBorders>
            <w:shd w:val="clear" w:color="auto" w:fill="auto"/>
            <w:noWrap/>
            <w:vAlign w:val="center"/>
            <w:hideMark/>
          </w:tcPr>
          <w:p w14:paraId="6E5277B5"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-0.17%</w:t>
            </w:r>
          </w:p>
        </w:tc>
        <w:tc>
          <w:tcPr>
            <w:tcW w:w="1872" w:type="pct"/>
            <w:vMerge/>
            <w:tcBorders>
              <w:top w:val="nil"/>
              <w:left w:val="single" w:sz="4" w:space="0" w:color="auto"/>
              <w:bottom w:val="single" w:sz="4" w:space="0" w:color="auto"/>
              <w:right w:val="single" w:sz="4" w:space="0" w:color="auto"/>
            </w:tcBorders>
            <w:vAlign w:val="center"/>
            <w:hideMark/>
          </w:tcPr>
          <w:p w14:paraId="6CC75D6D" w14:textId="77777777" w:rsidR="00ED5344" w:rsidRPr="005C3BEB" w:rsidRDefault="00ED5344" w:rsidP="005C3BEB">
            <w:pPr>
              <w:spacing w:after="0" w:line="360" w:lineRule="auto"/>
              <w:jc w:val="both"/>
              <w:rPr>
                <w:rFonts w:eastAsia="Times New Roman" w:cs="Times New Roman"/>
                <w:b/>
                <w:bCs/>
                <w:color w:val="000000"/>
                <w:szCs w:val="24"/>
                <w:lang w:val="en-IN" w:eastAsia="en-IN"/>
              </w:rPr>
            </w:pPr>
          </w:p>
        </w:tc>
      </w:tr>
      <w:tr w:rsidR="00ED5344" w:rsidRPr="005C3BEB" w14:paraId="26C896A4" w14:textId="77777777" w:rsidTr="00546691">
        <w:trPr>
          <w:trHeight w:val="288"/>
        </w:trPr>
        <w:tc>
          <w:tcPr>
            <w:tcW w:w="598" w:type="pct"/>
            <w:tcBorders>
              <w:top w:val="nil"/>
              <w:left w:val="single" w:sz="4" w:space="0" w:color="auto"/>
              <w:bottom w:val="single" w:sz="4" w:space="0" w:color="auto"/>
              <w:right w:val="single" w:sz="4" w:space="0" w:color="auto"/>
            </w:tcBorders>
            <w:shd w:val="clear" w:color="auto" w:fill="auto"/>
            <w:noWrap/>
            <w:vAlign w:val="center"/>
            <w:hideMark/>
          </w:tcPr>
          <w:p w14:paraId="49607EB4"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Jul-21</w:t>
            </w:r>
          </w:p>
        </w:tc>
        <w:tc>
          <w:tcPr>
            <w:tcW w:w="723" w:type="pct"/>
            <w:tcBorders>
              <w:top w:val="nil"/>
              <w:left w:val="nil"/>
              <w:bottom w:val="single" w:sz="4" w:space="0" w:color="auto"/>
              <w:right w:val="single" w:sz="4" w:space="0" w:color="auto"/>
            </w:tcBorders>
            <w:shd w:val="clear" w:color="auto" w:fill="auto"/>
            <w:noWrap/>
            <w:vAlign w:val="center"/>
            <w:hideMark/>
          </w:tcPr>
          <w:p w14:paraId="15E9A0F3"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504</w:t>
            </w:r>
          </w:p>
        </w:tc>
        <w:tc>
          <w:tcPr>
            <w:tcW w:w="1807" w:type="pct"/>
            <w:tcBorders>
              <w:top w:val="nil"/>
              <w:left w:val="nil"/>
              <w:bottom w:val="single" w:sz="4" w:space="0" w:color="auto"/>
              <w:right w:val="single" w:sz="4" w:space="0" w:color="auto"/>
            </w:tcBorders>
            <w:shd w:val="clear" w:color="auto" w:fill="auto"/>
            <w:noWrap/>
            <w:vAlign w:val="center"/>
            <w:hideMark/>
          </w:tcPr>
          <w:p w14:paraId="3ED050C9"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-12.65%</w:t>
            </w:r>
          </w:p>
        </w:tc>
        <w:tc>
          <w:tcPr>
            <w:tcW w:w="1872" w:type="pct"/>
            <w:vMerge/>
            <w:tcBorders>
              <w:top w:val="nil"/>
              <w:left w:val="single" w:sz="4" w:space="0" w:color="auto"/>
              <w:bottom w:val="single" w:sz="4" w:space="0" w:color="auto"/>
              <w:right w:val="single" w:sz="4" w:space="0" w:color="auto"/>
            </w:tcBorders>
            <w:vAlign w:val="center"/>
            <w:hideMark/>
          </w:tcPr>
          <w:p w14:paraId="58B805EF" w14:textId="77777777" w:rsidR="00ED5344" w:rsidRPr="005C3BEB" w:rsidRDefault="00ED5344" w:rsidP="005C3BEB">
            <w:pPr>
              <w:spacing w:after="0" w:line="360" w:lineRule="auto"/>
              <w:jc w:val="both"/>
              <w:rPr>
                <w:rFonts w:eastAsia="Times New Roman" w:cs="Times New Roman"/>
                <w:b/>
                <w:bCs/>
                <w:color w:val="000000"/>
                <w:szCs w:val="24"/>
                <w:lang w:val="en-IN" w:eastAsia="en-IN"/>
              </w:rPr>
            </w:pPr>
          </w:p>
        </w:tc>
      </w:tr>
      <w:tr w:rsidR="00ED5344" w:rsidRPr="005C3BEB" w14:paraId="756AA977" w14:textId="77777777" w:rsidTr="00546691">
        <w:trPr>
          <w:trHeight w:val="288"/>
        </w:trPr>
        <w:tc>
          <w:tcPr>
            <w:tcW w:w="598" w:type="pct"/>
            <w:tcBorders>
              <w:top w:val="nil"/>
              <w:left w:val="single" w:sz="4" w:space="0" w:color="auto"/>
              <w:bottom w:val="single" w:sz="4" w:space="0" w:color="auto"/>
              <w:right w:val="single" w:sz="4" w:space="0" w:color="auto"/>
            </w:tcBorders>
            <w:shd w:val="clear" w:color="auto" w:fill="auto"/>
            <w:noWrap/>
            <w:vAlign w:val="center"/>
            <w:hideMark/>
          </w:tcPr>
          <w:p w14:paraId="7847CBDF"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Aug-21</w:t>
            </w:r>
          </w:p>
        </w:tc>
        <w:tc>
          <w:tcPr>
            <w:tcW w:w="723" w:type="pct"/>
            <w:tcBorders>
              <w:top w:val="nil"/>
              <w:left w:val="nil"/>
              <w:bottom w:val="single" w:sz="4" w:space="0" w:color="auto"/>
              <w:right w:val="single" w:sz="4" w:space="0" w:color="auto"/>
            </w:tcBorders>
            <w:shd w:val="clear" w:color="auto" w:fill="auto"/>
            <w:noWrap/>
            <w:vAlign w:val="center"/>
            <w:hideMark/>
          </w:tcPr>
          <w:p w14:paraId="75650FFC"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495</w:t>
            </w:r>
          </w:p>
        </w:tc>
        <w:tc>
          <w:tcPr>
            <w:tcW w:w="1807" w:type="pct"/>
            <w:tcBorders>
              <w:top w:val="nil"/>
              <w:left w:val="nil"/>
              <w:bottom w:val="single" w:sz="4" w:space="0" w:color="auto"/>
              <w:right w:val="single" w:sz="4" w:space="0" w:color="auto"/>
            </w:tcBorders>
            <w:shd w:val="clear" w:color="auto" w:fill="auto"/>
            <w:noWrap/>
            <w:vAlign w:val="center"/>
            <w:hideMark/>
          </w:tcPr>
          <w:p w14:paraId="41233EFE"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-1.79%</w:t>
            </w:r>
          </w:p>
        </w:tc>
        <w:tc>
          <w:tcPr>
            <w:tcW w:w="1872" w:type="pct"/>
            <w:vMerge/>
            <w:tcBorders>
              <w:top w:val="nil"/>
              <w:left w:val="single" w:sz="4" w:space="0" w:color="auto"/>
              <w:bottom w:val="single" w:sz="4" w:space="0" w:color="auto"/>
              <w:right w:val="single" w:sz="4" w:space="0" w:color="auto"/>
            </w:tcBorders>
            <w:vAlign w:val="center"/>
            <w:hideMark/>
          </w:tcPr>
          <w:p w14:paraId="00346746" w14:textId="77777777" w:rsidR="00ED5344" w:rsidRPr="005C3BEB" w:rsidRDefault="00ED5344" w:rsidP="005C3BEB">
            <w:pPr>
              <w:spacing w:after="0" w:line="360" w:lineRule="auto"/>
              <w:jc w:val="both"/>
              <w:rPr>
                <w:rFonts w:eastAsia="Times New Roman" w:cs="Times New Roman"/>
                <w:b/>
                <w:bCs/>
                <w:color w:val="000000"/>
                <w:szCs w:val="24"/>
                <w:lang w:val="en-IN" w:eastAsia="en-IN"/>
              </w:rPr>
            </w:pPr>
          </w:p>
        </w:tc>
      </w:tr>
      <w:tr w:rsidR="00ED5344" w:rsidRPr="005C3BEB" w14:paraId="68126FFC" w14:textId="77777777" w:rsidTr="00546691">
        <w:trPr>
          <w:trHeight w:val="288"/>
        </w:trPr>
        <w:tc>
          <w:tcPr>
            <w:tcW w:w="598" w:type="pct"/>
            <w:tcBorders>
              <w:top w:val="nil"/>
              <w:left w:val="single" w:sz="4" w:space="0" w:color="auto"/>
              <w:bottom w:val="single" w:sz="4" w:space="0" w:color="auto"/>
              <w:right w:val="single" w:sz="4" w:space="0" w:color="auto"/>
            </w:tcBorders>
            <w:shd w:val="clear" w:color="auto" w:fill="auto"/>
            <w:noWrap/>
            <w:vAlign w:val="center"/>
            <w:hideMark/>
          </w:tcPr>
          <w:p w14:paraId="17F42D8D"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Sep-21</w:t>
            </w:r>
          </w:p>
        </w:tc>
        <w:tc>
          <w:tcPr>
            <w:tcW w:w="723" w:type="pct"/>
            <w:tcBorders>
              <w:top w:val="nil"/>
              <w:left w:val="nil"/>
              <w:bottom w:val="single" w:sz="4" w:space="0" w:color="auto"/>
              <w:right w:val="single" w:sz="4" w:space="0" w:color="auto"/>
            </w:tcBorders>
            <w:shd w:val="clear" w:color="auto" w:fill="auto"/>
            <w:noWrap/>
            <w:vAlign w:val="center"/>
            <w:hideMark/>
          </w:tcPr>
          <w:p w14:paraId="0D842AB4"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421</w:t>
            </w:r>
          </w:p>
        </w:tc>
        <w:tc>
          <w:tcPr>
            <w:tcW w:w="1807" w:type="pct"/>
            <w:tcBorders>
              <w:top w:val="nil"/>
              <w:left w:val="nil"/>
              <w:bottom w:val="single" w:sz="4" w:space="0" w:color="auto"/>
              <w:right w:val="single" w:sz="4" w:space="0" w:color="auto"/>
            </w:tcBorders>
            <w:shd w:val="clear" w:color="auto" w:fill="auto"/>
            <w:noWrap/>
            <w:vAlign w:val="center"/>
            <w:hideMark/>
          </w:tcPr>
          <w:p w14:paraId="226702E0"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-14.95%</w:t>
            </w:r>
          </w:p>
        </w:tc>
        <w:tc>
          <w:tcPr>
            <w:tcW w:w="1872" w:type="pct"/>
            <w:vMerge/>
            <w:tcBorders>
              <w:top w:val="nil"/>
              <w:left w:val="single" w:sz="4" w:space="0" w:color="auto"/>
              <w:bottom w:val="single" w:sz="4" w:space="0" w:color="auto"/>
              <w:right w:val="single" w:sz="4" w:space="0" w:color="auto"/>
            </w:tcBorders>
            <w:vAlign w:val="center"/>
            <w:hideMark/>
          </w:tcPr>
          <w:p w14:paraId="64E609CA" w14:textId="77777777" w:rsidR="00ED5344" w:rsidRPr="005C3BEB" w:rsidRDefault="00ED5344" w:rsidP="005C3BEB">
            <w:pPr>
              <w:spacing w:after="0" w:line="360" w:lineRule="auto"/>
              <w:jc w:val="both"/>
              <w:rPr>
                <w:rFonts w:eastAsia="Times New Roman" w:cs="Times New Roman"/>
                <w:b/>
                <w:bCs/>
                <w:color w:val="000000"/>
                <w:szCs w:val="24"/>
                <w:lang w:val="en-IN" w:eastAsia="en-IN"/>
              </w:rPr>
            </w:pPr>
          </w:p>
        </w:tc>
      </w:tr>
      <w:tr w:rsidR="00ED5344" w:rsidRPr="005C3BEB" w14:paraId="3671A216" w14:textId="77777777" w:rsidTr="00546691">
        <w:trPr>
          <w:trHeight w:val="288"/>
        </w:trPr>
        <w:tc>
          <w:tcPr>
            <w:tcW w:w="598" w:type="pct"/>
            <w:tcBorders>
              <w:top w:val="nil"/>
              <w:left w:val="single" w:sz="4" w:space="0" w:color="auto"/>
              <w:bottom w:val="single" w:sz="4" w:space="0" w:color="auto"/>
              <w:right w:val="single" w:sz="4" w:space="0" w:color="auto"/>
            </w:tcBorders>
            <w:shd w:val="clear" w:color="auto" w:fill="auto"/>
            <w:noWrap/>
            <w:vAlign w:val="center"/>
            <w:hideMark/>
          </w:tcPr>
          <w:p w14:paraId="265EFC14"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Oct-21</w:t>
            </w:r>
          </w:p>
        </w:tc>
        <w:tc>
          <w:tcPr>
            <w:tcW w:w="723" w:type="pct"/>
            <w:tcBorders>
              <w:top w:val="nil"/>
              <w:left w:val="nil"/>
              <w:bottom w:val="single" w:sz="4" w:space="0" w:color="auto"/>
              <w:right w:val="single" w:sz="4" w:space="0" w:color="auto"/>
            </w:tcBorders>
            <w:shd w:val="clear" w:color="auto" w:fill="auto"/>
            <w:noWrap/>
            <w:vAlign w:val="center"/>
            <w:hideMark/>
          </w:tcPr>
          <w:p w14:paraId="24F94377"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420</w:t>
            </w:r>
          </w:p>
        </w:tc>
        <w:tc>
          <w:tcPr>
            <w:tcW w:w="1807" w:type="pct"/>
            <w:tcBorders>
              <w:top w:val="nil"/>
              <w:left w:val="nil"/>
              <w:bottom w:val="single" w:sz="4" w:space="0" w:color="auto"/>
              <w:right w:val="single" w:sz="4" w:space="0" w:color="auto"/>
            </w:tcBorders>
            <w:shd w:val="clear" w:color="auto" w:fill="auto"/>
            <w:noWrap/>
            <w:vAlign w:val="center"/>
            <w:hideMark/>
          </w:tcPr>
          <w:p w14:paraId="099DE88D"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-0.24%</w:t>
            </w:r>
          </w:p>
        </w:tc>
        <w:tc>
          <w:tcPr>
            <w:tcW w:w="1872" w:type="pct"/>
            <w:vMerge/>
            <w:tcBorders>
              <w:top w:val="nil"/>
              <w:left w:val="single" w:sz="4" w:space="0" w:color="auto"/>
              <w:bottom w:val="single" w:sz="4" w:space="0" w:color="auto"/>
              <w:right w:val="single" w:sz="4" w:space="0" w:color="auto"/>
            </w:tcBorders>
            <w:vAlign w:val="center"/>
            <w:hideMark/>
          </w:tcPr>
          <w:p w14:paraId="09EF252B" w14:textId="77777777" w:rsidR="00ED5344" w:rsidRPr="005C3BEB" w:rsidRDefault="00ED5344" w:rsidP="005C3BEB">
            <w:pPr>
              <w:spacing w:after="0" w:line="360" w:lineRule="auto"/>
              <w:jc w:val="both"/>
              <w:rPr>
                <w:rFonts w:eastAsia="Times New Roman" w:cs="Times New Roman"/>
                <w:b/>
                <w:bCs/>
                <w:color w:val="000000"/>
                <w:szCs w:val="24"/>
                <w:lang w:val="en-IN" w:eastAsia="en-IN"/>
              </w:rPr>
            </w:pPr>
          </w:p>
        </w:tc>
      </w:tr>
      <w:tr w:rsidR="00ED5344" w:rsidRPr="005C3BEB" w14:paraId="4CA6172E" w14:textId="77777777" w:rsidTr="00546691">
        <w:trPr>
          <w:trHeight w:val="288"/>
        </w:trPr>
        <w:tc>
          <w:tcPr>
            <w:tcW w:w="598" w:type="pct"/>
            <w:tcBorders>
              <w:top w:val="nil"/>
              <w:left w:val="single" w:sz="4" w:space="0" w:color="auto"/>
              <w:bottom w:val="single" w:sz="4" w:space="0" w:color="auto"/>
              <w:right w:val="single" w:sz="4" w:space="0" w:color="auto"/>
            </w:tcBorders>
            <w:shd w:val="clear" w:color="auto" w:fill="auto"/>
            <w:noWrap/>
            <w:vAlign w:val="center"/>
            <w:hideMark/>
          </w:tcPr>
          <w:p w14:paraId="4063FA10"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Nov-21</w:t>
            </w:r>
          </w:p>
        </w:tc>
        <w:tc>
          <w:tcPr>
            <w:tcW w:w="723" w:type="pct"/>
            <w:tcBorders>
              <w:top w:val="nil"/>
              <w:left w:val="nil"/>
              <w:bottom w:val="single" w:sz="4" w:space="0" w:color="auto"/>
              <w:right w:val="single" w:sz="4" w:space="0" w:color="auto"/>
            </w:tcBorders>
            <w:shd w:val="clear" w:color="auto" w:fill="auto"/>
            <w:noWrap/>
            <w:vAlign w:val="center"/>
            <w:hideMark/>
          </w:tcPr>
          <w:p w14:paraId="567D0A02"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501</w:t>
            </w:r>
          </w:p>
        </w:tc>
        <w:tc>
          <w:tcPr>
            <w:tcW w:w="1807" w:type="pct"/>
            <w:tcBorders>
              <w:top w:val="nil"/>
              <w:left w:val="nil"/>
              <w:bottom w:val="single" w:sz="4" w:space="0" w:color="auto"/>
              <w:right w:val="single" w:sz="4" w:space="0" w:color="auto"/>
            </w:tcBorders>
            <w:shd w:val="clear" w:color="auto" w:fill="auto"/>
            <w:noWrap/>
            <w:vAlign w:val="center"/>
            <w:hideMark/>
          </w:tcPr>
          <w:p w14:paraId="15F5D289"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19.29%</w:t>
            </w:r>
          </w:p>
        </w:tc>
        <w:tc>
          <w:tcPr>
            <w:tcW w:w="1872" w:type="pct"/>
            <w:vMerge/>
            <w:tcBorders>
              <w:top w:val="nil"/>
              <w:left w:val="single" w:sz="4" w:space="0" w:color="auto"/>
              <w:bottom w:val="single" w:sz="4" w:space="0" w:color="auto"/>
              <w:right w:val="single" w:sz="4" w:space="0" w:color="auto"/>
            </w:tcBorders>
            <w:vAlign w:val="center"/>
            <w:hideMark/>
          </w:tcPr>
          <w:p w14:paraId="129A8326" w14:textId="77777777" w:rsidR="00ED5344" w:rsidRPr="005C3BEB" w:rsidRDefault="00ED5344" w:rsidP="005C3BEB">
            <w:pPr>
              <w:spacing w:after="0" w:line="360" w:lineRule="auto"/>
              <w:jc w:val="both"/>
              <w:rPr>
                <w:rFonts w:eastAsia="Times New Roman" w:cs="Times New Roman"/>
                <w:b/>
                <w:bCs/>
                <w:color w:val="000000"/>
                <w:szCs w:val="24"/>
                <w:lang w:val="en-IN" w:eastAsia="en-IN"/>
              </w:rPr>
            </w:pPr>
          </w:p>
        </w:tc>
      </w:tr>
      <w:tr w:rsidR="00ED5344" w:rsidRPr="005C3BEB" w14:paraId="00A3373A" w14:textId="77777777" w:rsidTr="00546691">
        <w:trPr>
          <w:trHeight w:val="288"/>
        </w:trPr>
        <w:tc>
          <w:tcPr>
            <w:tcW w:w="598" w:type="pct"/>
            <w:tcBorders>
              <w:top w:val="nil"/>
              <w:left w:val="single" w:sz="4" w:space="0" w:color="auto"/>
              <w:bottom w:val="single" w:sz="4" w:space="0" w:color="auto"/>
              <w:right w:val="single" w:sz="4" w:space="0" w:color="auto"/>
            </w:tcBorders>
            <w:shd w:val="clear" w:color="auto" w:fill="auto"/>
            <w:noWrap/>
            <w:vAlign w:val="center"/>
            <w:hideMark/>
          </w:tcPr>
          <w:p w14:paraId="1AD41967"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Dec-21</w:t>
            </w:r>
          </w:p>
        </w:tc>
        <w:tc>
          <w:tcPr>
            <w:tcW w:w="723" w:type="pct"/>
            <w:tcBorders>
              <w:top w:val="nil"/>
              <w:left w:val="nil"/>
              <w:bottom w:val="single" w:sz="4" w:space="0" w:color="auto"/>
              <w:right w:val="single" w:sz="4" w:space="0" w:color="auto"/>
            </w:tcBorders>
            <w:shd w:val="clear" w:color="auto" w:fill="auto"/>
            <w:noWrap/>
            <w:vAlign w:val="center"/>
            <w:hideMark/>
          </w:tcPr>
          <w:p w14:paraId="55DF4827"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506</w:t>
            </w:r>
          </w:p>
        </w:tc>
        <w:tc>
          <w:tcPr>
            <w:tcW w:w="1807" w:type="pct"/>
            <w:tcBorders>
              <w:top w:val="nil"/>
              <w:left w:val="nil"/>
              <w:bottom w:val="single" w:sz="4" w:space="0" w:color="auto"/>
              <w:right w:val="single" w:sz="4" w:space="0" w:color="auto"/>
            </w:tcBorders>
            <w:shd w:val="clear" w:color="auto" w:fill="auto"/>
            <w:noWrap/>
            <w:vAlign w:val="center"/>
            <w:hideMark/>
          </w:tcPr>
          <w:p w14:paraId="71DFE1CC"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1.00%</w:t>
            </w:r>
          </w:p>
        </w:tc>
        <w:tc>
          <w:tcPr>
            <w:tcW w:w="1872" w:type="pct"/>
            <w:vMerge/>
            <w:tcBorders>
              <w:top w:val="nil"/>
              <w:left w:val="single" w:sz="4" w:space="0" w:color="auto"/>
              <w:bottom w:val="single" w:sz="4" w:space="0" w:color="auto"/>
              <w:right w:val="single" w:sz="4" w:space="0" w:color="auto"/>
            </w:tcBorders>
            <w:vAlign w:val="center"/>
            <w:hideMark/>
          </w:tcPr>
          <w:p w14:paraId="34E642F3" w14:textId="77777777" w:rsidR="00ED5344" w:rsidRPr="005C3BEB" w:rsidRDefault="00ED5344" w:rsidP="005C3BEB">
            <w:pPr>
              <w:spacing w:after="0" w:line="360" w:lineRule="auto"/>
              <w:jc w:val="both"/>
              <w:rPr>
                <w:rFonts w:eastAsia="Times New Roman" w:cs="Times New Roman"/>
                <w:b/>
                <w:bCs/>
                <w:color w:val="000000"/>
                <w:szCs w:val="24"/>
                <w:lang w:val="en-IN" w:eastAsia="en-IN"/>
              </w:rPr>
            </w:pPr>
          </w:p>
        </w:tc>
      </w:tr>
      <w:tr w:rsidR="00ED5344" w:rsidRPr="005C3BEB" w14:paraId="46F6F1A4" w14:textId="77777777" w:rsidTr="00546691">
        <w:trPr>
          <w:trHeight w:val="288"/>
        </w:trPr>
        <w:tc>
          <w:tcPr>
            <w:tcW w:w="598" w:type="pct"/>
            <w:tcBorders>
              <w:top w:val="nil"/>
              <w:left w:val="single" w:sz="4" w:space="0" w:color="auto"/>
              <w:bottom w:val="single" w:sz="4" w:space="0" w:color="auto"/>
              <w:right w:val="single" w:sz="4" w:space="0" w:color="auto"/>
            </w:tcBorders>
            <w:shd w:val="clear" w:color="auto" w:fill="auto"/>
            <w:noWrap/>
            <w:vAlign w:val="center"/>
            <w:hideMark/>
          </w:tcPr>
          <w:p w14:paraId="108A6279"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Jan-22</w:t>
            </w:r>
          </w:p>
        </w:tc>
        <w:tc>
          <w:tcPr>
            <w:tcW w:w="723" w:type="pct"/>
            <w:tcBorders>
              <w:top w:val="nil"/>
              <w:left w:val="nil"/>
              <w:bottom w:val="single" w:sz="4" w:space="0" w:color="auto"/>
              <w:right w:val="single" w:sz="4" w:space="0" w:color="auto"/>
            </w:tcBorders>
            <w:shd w:val="clear" w:color="auto" w:fill="auto"/>
            <w:noWrap/>
            <w:vAlign w:val="center"/>
            <w:hideMark/>
          </w:tcPr>
          <w:p w14:paraId="27F06A7E"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440</w:t>
            </w:r>
          </w:p>
        </w:tc>
        <w:tc>
          <w:tcPr>
            <w:tcW w:w="1807" w:type="pct"/>
            <w:tcBorders>
              <w:top w:val="nil"/>
              <w:left w:val="nil"/>
              <w:bottom w:val="single" w:sz="4" w:space="0" w:color="auto"/>
              <w:right w:val="single" w:sz="4" w:space="0" w:color="auto"/>
            </w:tcBorders>
            <w:shd w:val="clear" w:color="auto" w:fill="auto"/>
            <w:noWrap/>
            <w:vAlign w:val="center"/>
            <w:hideMark/>
          </w:tcPr>
          <w:p w14:paraId="4D321B08"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-13.04%</w:t>
            </w:r>
          </w:p>
        </w:tc>
        <w:tc>
          <w:tcPr>
            <w:tcW w:w="1872"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1643ED65" w14:textId="77777777" w:rsidR="00ED5344" w:rsidRPr="005C3BEB" w:rsidRDefault="00ED5344" w:rsidP="005C3BEB">
            <w:pPr>
              <w:spacing w:after="0" w:line="360" w:lineRule="auto"/>
              <w:jc w:val="both"/>
              <w:rPr>
                <w:rFonts w:eastAsia="Times New Roman" w:cs="Times New Roman"/>
                <w:b/>
                <w:bCs/>
                <w:color w:val="000000"/>
                <w:szCs w:val="24"/>
                <w:lang w:val="en-IN" w:eastAsia="en-IN"/>
              </w:rPr>
            </w:pPr>
            <w:r w:rsidRPr="005C3BEB">
              <w:rPr>
                <w:rFonts w:eastAsia="Times New Roman" w:cs="Times New Roman"/>
                <w:b/>
                <w:bCs/>
                <w:color w:val="000000"/>
                <w:szCs w:val="24"/>
                <w:lang w:val="en-IN" w:eastAsia="en-IN"/>
              </w:rPr>
              <w:t>-6.10%</w:t>
            </w:r>
          </w:p>
        </w:tc>
      </w:tr>
      <w:tr w:rsidR="00ED5344" w:rsidRPr="005C3BEB" w14:paraId="370393BA" w14:textId="77777777" w:rsidTr="00546691">
        <w:trPr>
          <w:trHeight w:val="288"/>
        </w:trPr>
        <w:tc>
          <w:tcPr>
            <w:tcW w:w="598" w:type="pct"/>
            <w:tcBorders>
              <w:top w:val="nil"/>
              <w:left w:val="single" w:sz="4" w:space="0" w:color="auto"/>
              <w:bottom w:val="single" w:sz="4" w:space="0" w:color="auto"/>
              <w:right w:val="single" w:sz="4" w:space="0" w:color="auto"/>
            </w:tcBorders>
            <w:shd w:val="clear" w:color="auto" w:fill="auto"/>
            <w:noWrap/>
            <w:vAlign w:val="center"/>
            <w:hideMark/>
          </w:tcPr>
          <w:p w14:paraId="0AA0F207"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Feb-22</w:t>
            </w:r>
          </w:p>
        </w:tc>
        <w:tc>
          <w:tcPr>
            <w:tcW w:w="723" w:type="pct"/>
            <w:tcBorders>
              <w:top w:val="nil"/>
              <w:left w:val="nil"/>
              <w:bottom w:val="single" w:sz="4" w:space="0" w:color="auto"/>
              <w:right w:val="single" w:sz="4" w:space="0" w:color="auto"/>
            </w:tcBorders>
            <w:shd w:val="clear" w:color="auto" w:fill="auto"/>
            <w:noWrap/>
            <w:vAlign w:val="center"/>
            <w:hideMark/>
          </w:tcPr>
          <w:p w14:paraId="5B71BB07"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392</w:t>
            </w:r>
          </w:p>
        </w:tc>
        <w:tc>
          <w:tcPr>
            <w:tcW w:w="1807" w:type="pct"/>
            <w:tcBorders>
              <w:top w:val="nil"/>
              <w:left w:val="nil"/>
              <w:bottom w:val="single" w:sz="4" w:space="0" w:color="auto"/>
              <w:right w:val="single" w:sz="4" w:space="0" w:color="auto"/>
            </w:tcBorders>
            <w:shd w:val="clear" w:color="auto" w:fill="auto"/>
            <w:noWrap/>
            <w:vAlign w:val="center"/>
            <w:hideMark/>
          </w:tcPr>
          <w:p w14:paraId="3520D622"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-10.91%</w:t>
            </w:r>
          </w:p>
        </w:tc>
        <w:tc>
          <w:tcPr>
            <w:tcW w:w="1872" w:type="pct"/>
            <w:vMerge/>
            <w:tcBorders>
              <w:top w:val="nil"/>
              <w:left w:val="single" w:sz="4" w:space="0" w:color="auto"/>
              <w:bottom w:val="single" w:sz="4" w:space="0" w:color="auto"/>
              <w:right w:val="single" w:sz="4" w:space="0" w:color="auto"/>
            </w:tcBorders>
            <w:vAlign w:val="center"/>
            <w:hideMark/>
          </w:tcPr>
          <w:p w14:paraId="47C3A0FB" w14:textId="77777777" w:rsidR="00ED5344" w:rsidRPr="005C3BEB" w:rsidRDefault="00ED5344" w:rsidP="005C3BEB">
            <w:pPr>
              <w:spacing w:after="0" w:line="360" w:lineRule="auto"/>
              <w:jc w:val="both"/>
              <w:rPr>
                <w:rFonts w:eastAsia="Times New Roman" w:cs="Times New Roman"/>
                <w:b/>
                <w:bCs/>
                <w:color w:val="000000"/>
                <w:szCs w:val="24"/>
                <w:lang w:val="en-IN" w:eastAsia="en-IN"/>
              </w:rPr>
            </w:pPr>
          </w:p>
        </w:tc>
      </w:tr>
      <w:tr w:rsidR="00ED5344" w:rsidRPr="005C3BEB" w14:paraId="2917ADAD" w14:textId="77777777" w:rsidTr="00546691">
        <w:trPr>
          <w:trHeight w:val="288"/>
        </w:trPr>
        <w:tc>
          <w:tcPr>
            <w:tcW w:w="598" w:type="pct"/>
            <w:tcBorders>
              <w:top w:val="nil"/>
              <w:left w:val="single" w:sz="4" w:space="0" w:color="auto"/>
              <w:bottom w:val="single" w:sz="4" w:space="0" w:color="auto"/>
              <w:right w:val="single" w:sz="4" w:space="0" w:color="auto"/>
            </w:tcBorders>
            <w:shd w:val="clear" w:color="auto" w:fill="auto"/>
            <w:noWrap/>
            <w:vAlign w:val="center"/>
            <w:hideMark/>
          </w:tcPr>
          <w:p w14:paraId="1F47188B"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Mar-22</w:t>
            </w:r>
          </w:p>
        </w:tc>
        <w:tc>
          <w:tcPr>
            <w:tcW w:w="723" w:type="pct"/>
            <w:tcBorders>
              <w:top w:val="nil"/>
              <w:left w:val="nil"/>
              <w:bottom w:val="single" w:sz="4" w:space="0" w:color="auto"/>
              <w:right w:val="single" w:sz="4" w:space="0" w:color="auto"/>
            </w:tcBorders>
            <w:shd w:val="clear" w:color="auto" w:fill="auto"/>
            <w:noWrap/>
            <w:vAlign w:val="center"/>
            <w:hideMark/>
          </w:tcPr>
          <w:p w14:paraId="05855B66"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329</w:t>
            </w:r>
          </w:p>
        </w:tc>
        <w:tc>
          <w:tcPr>
            <w:tcW w:w="1807" w:type="pct"/>
            <w:tcBorders>
              <w:top w:val="nil"/>
              <w:left w:val="nil"/>
              <w:bottom w:val="single" w:sz="4" w:space="0" w:color="auto"/>
              <w:right w:val="single" w:sz="4" w:space="0" w:color="auto"/>
            </w:tcBorders>
            <w:shd w:val="clear" w:color="auto" w:fill="auto"/>
            <w:noWrap/>
            <w:vAlign w:val="center"/>
            <w:hideMark/>
          </w:tcPr>
          <w:p w14:paraId="681015CB"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-16.07%</w:t>
            </w:r>
          </w:p>
        </w:tc>
        <w:tc>
          <w:tcPr>
            <w:tcW w:w="1872" w:type="pct"/>
            <w:vMerge/>
            <w:tcBorders>
              <w:top w:val="nil"/>
              <w:left w:val="single" w:sz="4" w:space="0" w:color="auto"/>
              <w:bottom w:val="single" w:sz="4" w:space="0" w:color="auto"/>
              <w:right w:val="single" w:sz="4" w:space="0" w:color="auto"/>
            </w:tcBorders>
            <w:vAlign w:val="center"/>
            <w:hideMark/>
          </w:tcPr>
          <w:p w14:paraId="4C21005C" w14:textId="77777777" w:rsidR="00ED5344" w:rsidRPr="005C3BEB" w:rsidRDefault="00ED5344" w:rsidP="005C3BEB">
            <w:pPr>
              <w:spacing w:after="0" w:line="360" w:lineRule="auto"/>
              <w:jc w:val="both"/>
              <w:rPr>
                <w:rFonts w:eastAsia="Times New Roman" w:cs="Times New Roman"/>
                <w:b/>
                <w:bCs/>
                <w:color w:val="000000"/>
                <w:szCs w:val="24"/>
                <w:lang w:val="en-IN" w:eastAsia="en-IN"/>
              </w:rPr>
            </w:pPr>
          </w:p>
        </w:tc>
      </w:tr>
      <w:tr w:rsidR="00ED5344" w:rsidRPr="005C3BEB" w14:paraId="0E33A208" w14:textId="77777777" w:rsidTr="00546691">
        <w:trPr>
          <w:trHeight w:val="288"/>
        </w:trPr>
        <w:tc>
          <w:tcPr>
            <w:tcW w:w="598" w:type="pct"/>
            <w:tcBorders>
              <w:top w:val="nil"/>
              <w:left w:val="single" w:sz="4" w:space="0" w:color="auto"/>
              <w:bottom w:val="single" w:sz="4" w:space="0" w:color="auto"/>
              <w:right w:val="single" w:sz="4" w:space="0" w:color="auto"/>
            </w:tcBorders>
            <w:shd w:val="clear" w:color="auto" w:fill="auto"/>
            <w:noWrap/>
            <w:vAlign w:val="center"/>
            <w:hideMark/>
          </w:tcPr>
          <w:p w14:paraId="0C6EA10A"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Apr-22</w:t>
            </w:r>
          </w:p>
        </w:tc>
        <w:tc>
          <w:tcPr>
            <w:tcW w:w="723" w:type="pct"/>
            <w:tcBorders>
              <w:top w:val="nil"/>
              <w:left w:val="nil"/>
              <w:bottom w:val="single" w:sz="4" w:space="0" w:color="auto"/>
              <w:right w:val="single" w:sz="4" w:space="0" w:color="auto"/>
            </w:tcBorders>
            <w:shd w:val="clear" w:color="auto" w:fill="auto"/>
            <w:noWrap/>
            <w:vAlign w:val="center"/>
            <w:hideMark/>
          </w:tcPr>
          <w:p w14:paraId="0B24B249"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344</w:t>
            </w:r>
          </w:p>
        </w:tc>
        <w:tc>
          <w:tcPr>
            <w:tcW w:w="1807" w:type="pct"/>
            <w:tcBorders>
              <w:top w:val="nil"/>
              <w:left w:val="nil"/>
              <w:bottom w:val="single" w:sz="4" w:space="0" w:color="auto"/>
              <w:right w:val="single" w:sz="4" w:space="0" w:color="auto"/>
            </w:tcBorders>
            <w:shd w:val="clear" w:color="auto" w:fill="auto"/>
            <w:noWrap/>
            <w:vAlign w:val="center"/>
            <w:hideMark/>
          </w:tcPr>
          <w:p w14:paraId="19D85019"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4.56%</w:t>
            </w:r>
          </w:p>
        </w:tc>
        <w:tc>
          <w:tcPr>
            <w:tcW w:w="1872" w:type="pct"/>
            <w:vMerge/>
            <w:tcBorders>
              <w:top w:val="nil"/>
              <w:left w:val="single" w:sz="4" w:space="0" w:color="auto"/>
              <w:bottom w:val="single" w:sz="4" w:space="0" w:color="auto"/>
              <w:right w:val="single" w:sz="4" w:space="0" w:color="auto"/>
            </w:tcBorders>
            <w:vAlign w:val="center"/>
            <w:hideMark/>
          </w:tcPr>
          <w:p w14:paraId="1A857DB1" w14:textId="77777777" w:rsidR="00ED5344" w:rsidRPr="005C3BEB" w:rsidRDefault="00ED5344" w:rsidP="005C3BEB">
            <w:pPr>
              <w:spacing w:after="0" w:line="360" w:lineRule="auto"/>
              <w:jc w:val="both"/>
              <w:rPr>
                <w:rFonts w:eastAsia="Times New Roman" w:cs="Times New Roman"/>
                <w:b/>
                <w:bCs/>
                <w:color w:val="000000"/>
                <w:szCs w:val="24"/>
                <w:lang w:val="en-IN" w:eastAsia="en-IN"/>
              </w:rPr>
            </w:pPr>
          </w:p>
        </w:tc>
      </w:tr>
      <w:tr w:rsidR="00ED5344" w:rsidRPr="005C3BEB" w14:paraId="333D9810" w14:textId="77777777" w:rsidTr="00546691">
        <w:trPr>
          <w:trHeight w:val="288"/>
        </w:trPr>
        <w:tc>
          <w:tcPr>
            <w:tcW w:w="598" w:type="pct"/>
            <w:tcBorders>
              <w:top w:val="nil"/>
              <w:left w:val="single" w:sz="4" w:space="0" w:color="auto"/>
              <w:bottom w:val="single" w:sz="4" w:space="0" w:color="auto"/>
              <w:right w:val="single" w:sz="4" w:space="0" w:color="auto"/>
            </w:tcBorders>
            <w:shd w:val="clear" w:color="auto" w:fill="auto"/>
            <w:noWrap/>
            <w:vAlign w:val="center"/>
            <w:hideMark/>
          </w:tcPr>
          <w:p w14:paraId="6DDBBF41"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May-22</w:t>
            </w:r>
          </w:p>
        </w:tc>
        <w:tc>
          <w:tcPr>
            <w:tcW w:w="723" w:type="pct"/>
            <w:tcBorders>
              <w:top w:val="nil"/>
              <w:left w:val="nil"/>
              <w:bottom w:val="single" w:sz="4" w:space="0" w:color="auto"/>
              <w:right w:val="single" w:sz="4" w:space="0" w:color="auto"/>
            </w:tcBorders>
            <w:shd w:val="clear" w:color="auto" w:fill="auto"/>
            <w:noWrap/>
            <w:vAlign w:val="center"/>
            <w:hideMark/>
          </w:tcPr>
          <w:p w14:paraId="22452337"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310</w:t>
            </w:r>
          </w:p>
        </w:tc>
        <w:tc>
          <w:tcPr>
            <w:tcW w:w="1807" w:type="pct"/>
            <w:tcBorders>
              <w:top w:val="nil"/>
              <w:left w:val="nil"/>
              <w:bottom w:val="single" w:sz="4" w:space="0" w:color="auto"/>
              <w:right w:val="single" w:sz="4" w:space="0" w:color="auto"/>
            </w:tcBorders>
            <w:shd w:val="clear" w:color="auto" w:fill="auto"/>
            <w:noWrap/>
            <w:vAlign w:val="center"/>
            <w:hideMark/>
          </w:tcPr>
          <w:p w14:paraId="5164BF89"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-9.88%</w:t>
            </w:r>
          </w:p>
        </w:tc>
        <w:tc>
          <w:tcPr>
            <w:tcW w:w="1872" w:type="pct"/>
            <w:vMerge/>
            <w:tcBorders>
              <w:top w:val="nil"/>
              <w:left w:val="single" w:sz="4" w:space="0" w:color="auto"/>
              <w:bottom w:val="single" w:sz="4" w:space="0" w:color="auto"/>
              <w:right w:val="single" w:sz="4" w:space="0" w:color="auto"/>
            </w:tcBorders>
            <w:vAlign w:val="center"/>
            <w:hideMark/>
          </w:tcPr>
          <w:p w14:paraId="2114BA58" w14:textId="77777777" w:rsidR="00ED5344" w:rsidRPr="005C3BEB" w:rsidRDefault="00ED5344" w:rsidP="005C3BEB">
            <w:pPr>
              <w:spacing w:after="0" w:line="360" w:lineRule="auto"/>
              <w:jc w:val="both"/>
              <w:rPr>
                <w:rFonts w:eastAsia="Times New Roman" w:cs="Times New Roman"/>
                <w:b/>
                <w:bCs/>
                <w:color w:val="000000"/>
                <w:szCs w:val="24"/>
                <w:lang w:val="en-IN" w:eastAsia="en-IN"/>
              </w:rPr>
            </w:pPr>
          </w:p>
        </w:tc>
      </w:tr>
      <w:tr w:rsidR="00ED5344" w:rsidRPr="005C3BEB" w14:paraId="5D8A2665" w14:textId="77777777" w:rsidTr="00546691">
        <w:trPr>
          <w:trHeight w:val="288"/>
        </w:trPr>
        <w:tc>
          <w:tcPr>
            <w:tcW w:w="598" w:type="pct"/>
            <w:tcBorders>
              <w:top w:val="nil"/>
              <w:left w:val="single" w:sz="4" w:space="0" w:color="auto"/>
              <w:bottom w:val="single" w:sz="4" w:space="0" w:color="auto"/>
              <w:right w:val="single" w:sz="4" w:space="0" w:color="auto"/>
            </w:tcBorders>
            <w:shd w:val="clear" w:color="auto" w:fill="auto"/>
            <w:noWrap/>
            <w:vAlign w:val="center"/>
            <w:hideMark/>
          </w:tcPr>
          <w:p w14:paraId="5CFF6C56"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Jun-22</w:t>
            </w:r>
          </w:p>
        </w:tc>
        <w:tc>
          <w:tcPr>
            <w:tcW w:w="723" w:type="pct"/>
            <w:tcBorders>
              <w:top w:val="nil"/>
              <w:left w:val="nil"/>
              <w:bottom w:val="single" w:sz="4" w:space="0" w:color="auto"/>
              <w:right w:val="single" w:sz="4" w:space="0" w:color="auto"/>
            </w:tcBorders>
            <w:shd w:val="clear" w:color="auto" w:fill="auto"/>
            <w:noWrap/>
            <w:vAlign w:val="center"/>
            <w:hideMark/>
          </w:tcPr>
          <w:p w14:paraId="4DEC06DE"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269</w:t>
            </w:r>
          </w:p>
        </w:tc>
        <w:tc>
          <w:tcPr>
            <w:tcW w:w="1807" w:type="pct"/>
            <w:tcBorders>
              <w:top w:val="nil"/>
              <w:left w:val="nil"/>
              <w:bottom w:val="single" w:sz="4" w:space="0" w:color="auto"/>
              <w:right w:val="single" w:sz="4" w:space="0" w:color="auto"/>
            </w:tcBorders>
            <w:shd w:val="clear" w:color="auto" w:fill="auto"/>
            <w:noWrap/>
            <w:vAlign w:val="center"/>
            <w:hideMark/>
          </w:tcPr>
          <w:p w14:paraId="72D05481"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-13.23%</w:t>
            </w:r>
          </w:p>
        </w:tc>
        <w:tc>
          <w:tcPr>
            <w:tcW w:w="1872" w:type="pct"/>
            <w:vMerge/>
            <w:tcBorders>
              <w:top w:val="nil"/>
              <w:left w:val="single" w:sz="4" w:space="0" w:color="auto"/>
              <w:bottom w:val="single" w:sz="4" w:space="0" w:color="auto"/>
              <w:right w:val="single" w:sz="4" w:space="0" w:color="auto"/>
            </w:tcBorders>
            <w:vAlign w:val="center"/>
            <w:hideMark/>
          </w:tcPr>
          <w:p w14:paraId="3D46BB3F" w14:textId="77777777" w:rsidR="00ED5344" w:rsidRPr="005C3BEB" w:rsidRDefault="00ED5344" w:rsidP="005C3BEB">
            <w:pPr>
              <w:spacing w:after="0" w:line="360" w:lineRule="auto"/>
              <w:jc w:val="both"/>
              <w:rPr>
                <w:rFonts w:eastAsia="Times New Roman" w:cs="Times New Roman"/>
                <w:b/>
                <w:bCs/>
                <w:color w:val="000000"/>
                <w:szCs w:val="24"/>
                <w:lang w:val="en-IN" w:eastAsia="en-IN"/>
              </w:rPr>
            </w:pPr>
          </w:p>
        </w:tc>
      </w:tr>
      <w:tr w:rsidR="00ED5344" w:rsidRPr="005C3BEB" w14:paraId="78149056" w14:textId="77777777" w:rsidTr="00546691">
        <w:trPr>
          <w:trHeight w:val="288"/>
        </w:trPr>
        <w:tc>
          <w:tcPr>
            <w:tcW w:w="598" w:type="pct"/>
            <w:tcBorders>
              <w:top w:val="nil"/>
              <w:left w:val="single" w:sz="4" w:space="0" w:color="auto"/>
              <w:bottom w:val="single" w:sz="4" w:space="0" w:color="auto"/>
              <w:right w:val="single" w:sz="4" w:space="0" w:color="auto"/>
            </w:tcBorders>
            <w:shd w:val="clear" w:color="auto" w:fill="auto"/>
            <w:noWrap/>
            <w:vAlign w:val="center"/>
            <w:hideMark/>
          </w:tcPr>
          <w:p w14:paraId="17EFC79C"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Jul-22</w:t>
            </w:r>
          </w:p>
        </w:tc>
        <w:tc>
          <w:tcPr>
            <w:tcW w:w="723" w:type="pct"/>
            <w:tcBorders>
              <w:top w:val="nil"/>
              <w:left w:val="nil"/>
              <w:bottom w:val="single" w:sz="4" w:space="0" w:color="auto"/>
              <w:right w:val="single" w:sz="4" w:space="0" w:color="auto"/>
            </w:tcBorders>
            <w:shd w:val="clear" w:color="auto" w:fill="auto"/>
            <w:noWrap/>
            <w:vAlign w:val="center"/>
            <w:hideMark/>
          </w:tcPr>
          <w:p w14:paraId="64C97A1F"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282</w:t>
            </w:r>
          </w:p>
        </w:tc>
        <w:tc>
          <w:tcPr>
            <w:tcW w:w="1807" w:type="pct"/>
            <w:tcBorders>
              <w:top w:val="nil"/>
              <w:left w:val="nil"/>
              <w:bottom w:val="single" w:sz="4" w:space="0" w:color="auto"/>
              <w:right w:val="single" w:sz="4" w:space="0" w:color="auto"/>
            </w:tcBorders>
            <w:shd w:val="clear" w:color="auto" w:fill="auto"/>
            <w:noWrap/>
            <w:vAlign w:val="center"/>
            <w:hideMark/>
          </w:tcPr>
          <w:p w14:paraId="205ED7EC"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4.83%</w:t>
            </w:r>
          </w:p>
        </w:tc>
        <w:tc>
          <w:tcPr>
            <w:tcW w:w="1872" w:type="pct"/>
            <w:vMerge/>
            <w:tcBorders>
              <w:top w:val="nil"/>
              <w:left w:val="single" w:sz="4" w:space="0" w:color="auto"/>
              <w:bottom w:val="single" w:sz="4" w:space="0" w:color="auto"/>
              <w:right w:val="single" w:sz="4" w:space="0" w:color="auto"/>
            </w:tcBorders>
            <w:vAlign w:val="center"/>
            <w:hideMark/>
          </w:tcPr>
          <w:p w14:paraId="718E3859" w14:textId="77777777" w:rsidR="00ED5344" w:rsidRPr="005C3BEB" w:rsidRDefault="00ED5344" w:rsidP="005C3BEB">
            <w:pPr>
              <w:spacing w:after="0" w:line="360" w:lineRule="auto"/>
              <w:jc w:val="both"/>
              <w:rPr>
                <w:rFonts w:eastAsia="Times New Roman" w:cs="Times New Roman"/>
                <w:b/>
                <w:bCs/>
                <w:color w:val="000000"/>
                <w:szCs w:val="24"/>
                <w:lang w:val="en-IN" w:eastAsia="en-IN"/>
              </w:rPr>
            </w:pPr>
          </w:p>
        </w:tc>
      </w:tr>
      <w:tr w:rsidR="00ED5344" w:rsidRPr="005C3BEB" w14:paraId="2D1D22D2" w14:textId="77777777" w:rsidTr="00546691">
        <w:trPr>
          <w:trHeight w:val="288"/>
        </w:trPr>
        <w:tc>
          <w:tcPr>
            <w:tcW w:w="598" w:type="pct"/>
            <w:tcBorders>
              <w:top w:val="nil"/>
              <w:left w:val="single" w:sz="4" w:space="0" w:color="auto"/>
              <w:bottom w:val="single" w:sz="4" w:space="0" w:color="auto"/>
              <w:right w:val="single" w:sz="4" w:space="0" w:color="auto"/>
            </w:tcBorders>
            <w:shd w:val="clear" w:color="auto" w:fill="auto"/>
            <w:noWrap/>
            <w:vAlign w:val="center"/>
            <w:hideMark/>
          </w:tcPr>
          <w:p w14:paraId="47F2238F"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Aug-22</w:t>
            </w:r>
          </w:p>
        </w:tc>
        <w:tc>
          <w:tcPr>
            <w:tcW w:w="723" w:type="pct"/>
            <w:tcBorders>
              <w:top w:val="nil"/>
              <w:left w:val="nil"/>
              <w:bottom w:val="single" w:sz="4" w:space="0" w:color="auto"/>
              <w:right w:val="single" w:sz="4" w:space="0" w:color="auto"/>
            </w:tcBorders>
            <w:shd w:val="clear" w:color="auto" w:fill="auto"/>
            <w:noWrap/>
            <w:vAlign w:val="center"/>
            <w:hideMark/>
          </w:tcPr>
          <w:p w14:paraId="2F4B0994"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275</w:t>
            </w:r>
          </w:p>
        </w:tc>
        <w:tc>
          <w:tcPr>
            <w:tcW w:w="1807" w:type="pct"/>
            <w:tcBorders>
              <w:top w:val="nil"/>
              <w:left w:val="nil"/>
              <w:bottom w:val="single" w:sz="4" w:space="0" w:color="auto"/>
              <w:right w:val="single" w:sz="4" w:space="0" w:color="auto"/>
            </w:tcBorders>
            <w:shd w:val="clear" w:color="auto" w:fill="auto"/>
            <w:noWrap/>
            <w:vAlign w:val="center"/>
            <w:hideMark/>
          </w:tcPr>
          <w:p w14:paraId="6CBB4A6E"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-2.48%</w:t>
            </w:r>
          </w:p>
        </w:tc>
        <w:tc>
          <w:tcPr>
            <w:tcW w:w="1872" w:type="pct"/>
            <w:vMerge/>
            <w:tcBorders>
              <w:top w:val="nil"/>
              <w:left w:val="single" w:sz="4" w:space="0" w:color="auto"/>
              <w:bottom w:val="single" w:sz="4" w:space="0" w:color="auto"/>
              <w:right w:val="single" w:sz="4" w:space="0" w:color="auto"/>
            </w:tcBorders>
            <w:vAlign w:val="center"/>
            <w:hideMark/>
          </w:tcPr>
          <w:p w14:paraId="68234BBB" w14:textId="77777777" w:rsidR="00ED5344" w:rsidRPr="005C3BEB" w:rsidRDefault="00ED5344" w:rsidP="005C3BEB">
            <w:pPr>
              <w:spacing w:after="0" w:line="360" w:lineRule="auto"/>
              <w:jc w:val="both"/>
              <w:rPr>
                <w:rFonts w:eastAsia="Times New Roman" w:cs="Times New Roman"/>
                <w:b/>
                <w:bCs/>
                <w:color w:val="000000"/>
                <w:szCs w:val="24"/>
                <w:lang w:val="en-IN" w:eastAsia="en-IN"/>
              </w:rPr>
            </w:pPr>
          </w:p>
        </w:tc>
      </w:tr>
      <w:tr w:rsidR="00ED5344" w:rsidRPr="005C3BEB" w14:paraId="7A10F741" w14:textId="77777777" w:rsidTr="00546691">
        <w:trPr>
          <w:trHeight w:val="288"/>
        </w:trPr>
        <w:tc>
          <w:tcPr>
            <w:tcW w:w="598" w:type="pct"/>
            <w:tcBorders>
              <w:top w:val="nil"/>
              <w:left w:val="single" w:sz="4" w:space="0" w:color="auto"/>
              <w:bottom w:val="single" w:sz="4" w:space="0" w:color="auto"/>
              <w:right w:val="single" w:sz="4" w:space="0" w:color="auto"/>
            </w:tcBorders>
            <w:shd w:val="clear" w:color="auto" w:fill="auto"/>
            <w:noWrap/>
            <w:vAlign w:val="center"/>
            <w:hideMark/>
          </w:tcPr>
          <w:p w14:paraId="51CD9C9E"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lastRenderedPageBreak/>
              <w:t>Sep-22</w:t>
            </w:r>
          </w:p>
        </w:tc>
        <w:tc>
          <w:tcPr>
            <w:tcW w:w="723" w:type="pct"/>
            <w:tcBorders>
              <w:top w:val="nil"/>
              <w:left w:val="nil"/>
              <w:bottom w:val="single" w:sz="4" w:space="0" w:color="auto"/>
              <w:right w:val="single" w:sz="4" w:space="0" w:color="auto"/>
            </w:tcBorders>
            <w:shd w:val="clear" w:color="auto" w:fill="auto"/>
            <w:noWrap/>
            <w:vAlign w:val="center"/>
            <w:hideMark/>
          </w:tcPr>
          <w:p w14:paraId="57FE3A6E"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184</w:t>
            </w:r>
          </w:p>
        </w:tc>
        <w:tc>
          <w:tcPr>
            <w:tcW w:w="1807" w:type="pct"/>
            <w:tcBorders>
              <w:top w:val="nil"/>
              <w:left w:val="nil"/>
              <w:bottom w:val="single" w:sz="4" w:space="0" w:color="auto"/>
              <w:right w:val="single" w:sz="4" w:space="0" w:color="auto"/>
            </w:tcBorders>
            <w:shd w:val="clear" w:color="auto" w:fill="auto"/>
            <w:noWrap/>
            <w:vAlign w:val="center"/>
            <w:hideMark/>
          </w:tcPr>
          <w:p w14:paraId="4F14706B"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-33.09%</w:t>
            </w:r>
          </w:p>
        </w:tc>
        <w:tc>
          <w:tcPr>
            <w:tcW w:w="1872" w:type="pct"/>
            <w:vMerge/>
            <w:tcBorders>
              <w:top w:val="nil"/>
              <w:left w:val="single" w:sz="4" w:space="0" w:color="auto"/>
              <w:bottom w:val="single" w:sz="4" w:space="0" w:color="auto"/>
              <w:right w:val="single" w:sz="4" w:space="0" w:color="auto"/>
            </w:tcBorders>
            <w:vAlign w:val="center"/>
            <w:hideMark/>
          </w:tcPr>
          <w:p w14:paraId="5E298645" w14:textId="77777777" w:rsidR="00ED5344" w:rsidRPr="005C3BEB" w:rsidRDefault="00ED5344" w:rsidP="005C3BEB">
            <w:pPr>
              <w:spacing w:after="0" w:line="360" w:lineRule="auto"/>
              <w:jc w:val="both"/>
              <w:rPr>
                <w:rFonts w:eastAsia="Times New Roman" w:cs="Times New Roman"/>
                <w:b/>
                <w:bCs/>
                <w:color w:val="000000"/>
                <w:szCs w:val="24"/>
                <w:lang w:val="en-IN" w:eastAsia="en-IN"/>
              </w:rPr>
            </w:pPr>
          </w:p>
        </w:tc>
      </w:tr>
      <w:tr w:rsidR="00ED5344" w:rsidRPr="005C3BEB" w14:paraId="07C53C59" w14:textId="77777777" w:rsidTr="00546691">
        <w:trPr>
          <w:trHeight w:val="288"/>
        </w:trPr>
        <w:tc>
          <w:tcPr>
            <w:tcW w:w="598" w:type="pct"/>
            <w:tcBorders>
              <w:top w:val="nil"/>
              <w:left w:val="single" w:sz="4" w:space="0" w:color="auto"/>
              <w:bottom w:val="single" w:sz="4" w:space="0" w:color="auto"/>
              <w:right w:val="single" w:sz="4" w:space="0" w:color="auto"/>
            </w:tcBorders>
            <w:shd w:val="clear" w:color="auto" w:fill="auto"/>
            <w:noWrap/>
            <w:vAlign w:val="center"/>
            <w:hideMark/>
          </w:tcPr>
          <w:p w14:paraId="77EA71EB"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Oct-22</w:t>
            </w:r>
          </w:p>
        </w:tc>
        <w:tc>
          <w:tcPr>
            <w:tcW w:w="723" w:type="pct"/>
            <w:tcBorders>
              <w:top w:val="nil"/>
              <w:left w:val="nil"/>
              <w:bottom w:val="single" w:sz="4" w:space="0" w:color="auto"/>
              <w:right w:val="single" w:sz="4" w:space="0" w:color="auto"/>
            </w:tcBorders>
            <w:shd w:val="clear" w:color="auto" w:fill="auto"/>
            <w:noWrap/>
            <w:vAlign w:val="center"/>
            <w:hideMark/>
          </w:tcPr>
          <w:p w14:paraId="78214791"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202</w:t>
            </w:r>
          </w:p>
        </w:tc>
        <w:tc>
          <w:tcPr>
            <w:tcW w:w="1807" w:type="pct"/>
            <w:tcBorders>
              <w:top w:val="nil"/>
              <w:left w:val="nil"/>
              <w:bottom w:val="single" w:sz="4" w:space="0" w:color="auto"/>
              <w:right w:val="single" w:sz="4" w:space="0" w:color="auto"/>
            </w:tcBorders>
            <w:shd w:val="clear" w:color="auto" w:fill="auto"/>
            <w:noWrap/>
            <w:vAlign w:val="center"/>
            <w:hideMark/>
          </w:tcPr>
          <w:p w14:paraId="2FC387FA"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9.78%</w:t>
            </w:r>
          </w:p>
        </w:tc>
        <w:tc>
          <w:tcPr>
            <w:tcW w:w="1872" w:type="pct"/>
            <w:vMerge/>
            <w:tcBorders>
              <w:top w:val="nil"/>
              <w:left w:val="single" w:sz="4" w:space="0" w:color="auto"/>
              <w:bottom w:val="single" w:sz="4" w:space="0" w:color="auto"/>
              <w:right w:val="single" w:sz="4" w:space="0" w:color="auto"/>
            </w:tcBorders>
            <w:vAlign w:val="center"/>
            <w:hideMark/>
          </w:tcPr>
          <w:p w14:paraId="7B4456DC" w14:textId="77777777" w:rsidR="00ED5344" w:rsidRPr="005C3BEB" w:rsidRDefault="00ED5344" w:rsidP="005C3BEB">
            <w:pPr>
              <w:spacing w:after="0" w:line="360" w:lineRule="auto"/>
              <w:jc w:val="both"/>
              <w:rPr>
                <w:rFonts w:eastAsia="Times New Roman" w:cs="Times New Roman"/>
                <w:b/>
                <w:bCs/>
                <w:color w:val="000000"/>
                <w:szCs w:val="24"/>
                <w:lang w:val="en-IN" w:eastAsia="en-IN"/>
              </w:rPr>
            </w:pPr>
          </w:p>
        </w:tc>
      </w:tr>
      <w:tr w:rsidR="00ED5344" w:rsidRPr="005C3BEB" w14:paraId="52D7F09A" w14:textId="77777777" w:rsidTr="00546691">
        <w:trPr>
          <w:trHeight w:val="288"/>
        </w:trPr>
        <w:tc>
          <w:tcPr>
            <w:tcW w:w="598" w:type="pct"/>
            <w:tcBorders>
              <w:top w:val="nil"/>
              <w:left w:val="single" w:sz="4" w:space="0" w:color="auto"/>
              <w:bottom w:val="single" w:sz="4" w:space="0" w:color="auto"/>
              <w:right w:val="single" w:sz="4" w:space="0" w:color="auto"/>
            </w:tcBorders>
            <w:shd w:val="clear" w:color="auto" w:fill="auto"/>
            <w:noWrap/>
            <w:vAlign w:val="center"/>
            <w:hideMark/>
          </w:tcPr>
          <w:p w14:paraId="34A8D0B7"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Nov-22</w:t>
            </w:r>
          </w:p>
        </w:tc>
        <w:tc>
          <w:tcPr>
            <w:tcW w:w="723" w:type="pct"/>
            <w:tcBorders>
              <w:top w:val="nil"/>
              <w:left w:val="nil"/>
              <w:bottom w:val="single" w:sz="4" w:space="0" w:color="auto"/>
              <w:right w:val="single" w:sz="4" w:space="0" w:color="auto"/>
            </w:tcBorders>
            <w:shd w:val="clear" w:color="auto" w:fill="auto"/>
            <w:noWrap/>
            <w:vAlign w:val="center"/>
            <w:hideMark/>
          </w:tcPr>
          <w:p w14:paraId="4B5BC0AA"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228</w:t>
            </w:r>
          </w:p>
        </w:tc>
        <w:tc>
          <w:tcPr>
            <w:tcW w:w="1807" w:type="pct"/>
            <w:tcBorders>
              <w:top w:val="nil"/>
              <w:left w:val="nil"/>
              <w:bottom w:val="single" w:sz="4" w:space="0" w:color="auto"/>
              <w:right w:val="single" w:sz="4" w:space="0" w:color="auto"/>
            </w:tcBorders>
            <w:shd w:val="clear" w:color="auto" w:fill="auto"/>
            <w:noWrap/>
            <w:vAlign w:val="center"/>
            <w:hideMark/>
          </w:tcPr>
          <w:p w14:paraId="19FB1ED7"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12.87%</w:t>
            </w:r>
          </w:p>
        </w:tc>
        <w:tc>
          <w:tcPr>
            <w:tcW w:w="1872" w:type="pct"/>
            <w:vMerge/>
            <w:tcBorders>
              <w:top w:val="nil"/>
              <w:left w:val="single" w:sz="4" w:space="0" w:color="auto"/>
              <w:bottom w:val="single" w:sz="4" w:space="0" w:color="auto"/>
              <w:right w:val="single" w:sz="4" w:space="0" w:color="auto"/>
            </w:tcBorders>
            <w:vAlign w:val="center"/>
            <w:hideMark/>
          </w:tcPr>
          <w:p w14:paraId="51DAD2DB" w14:textId="77777777" w:rsidR="00ED5344" w:rsidRPr="005C3BEB" w:rsidRDefault="00ED5344" w:rsidP="005C3BEB">
            <w:pPr>
              <w:spacing w:after="0" w:line="360" w:lineRule="auto"/>
              <w:jc w:val="both"/>
              <w:rPr>
                <w:rFonts w:eastAsia="Times New Roman" w:cs="Times New Roman"/>
                <w:b/>
                <w:bCs/>
                <w:color w:val="000000"/>
                <w:szCs w:val="24"/>
                <w:lang w:val="en-IN" w:eastAsia="en-IN"/>
              </w:rPr>
            </w:pPr>
          </w:p>
        </w:tc>
      </w:tr>
      <w:tr w:rsidR="00ED5344" w:rsidRPr="005C3BEB" w14:paraId="3F44526C" w14:textId="77777777" w:rsidTr="00546691">
        <w:trPr>
          <w:trHeight w:val="288"/>
        </w:trPr>
        <w:tc>
          <w:tcPr>
            <w:tcW w:w="598" w:type="pct"/>
            <w:tcBorders>
              <w:top w:val="nil"/>
              <w:left w:val="single" w:sz="4" w:space="0" w:color="auto"/>
              <w:bottom w:val="single" w:sz="4" w:space="0" w:color="auto"/>
              <w:right w:val="single" w:sz="4" w:space="0" w:color="auto"/>
            </w:tcBorders>
            <w:shd w:val="clear" w:color="auto" w:fill="auto"/>
            <w:noWrap/>
            <w:vAlign w:val="center"/>
            <w:hideMark/>
          </w:tcPr>
          <w:p w14:paraId="41362401"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Dec-22</w:t>
            </w:r>
          </w:p>
        </w:tc>
        <w:tc>
          <w:tcPr>
            <w:tcW w:w="723" w:type="pct"/>
            <w:tcBorders>
              <w:top w:val="nil"/>
              <w:left w:val="nil"/>
              <w:bottom w:val="single" w:sz="4" w:space="0" w:color="auto"/>
              <w:right w:val="single" w:sz="4" w:space="0" w:color="auto"/>
            </w:tcBorders>
            <w:shd w:val="clear" w:color="auto" w:fill="auto"/>
            <w:noWrap/>
            <w:vAlign w:val="center"/>
            <w:hideMark/>
          </w:tcPr>
          <w:p w14:paraId="55100EF5"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213</w:t>
            </w:r>
          </w:p>
        </w:tc>
        <w:tc>
          <w:tcPr>
            <w:tcW w:w="1807" w:type="pct"/>
            <w:tcBorders>
              <w:top w:val="nil"/>
              <w:left w:val="nil"/>
              <w:bottom w:val="single" w:sz="4" w:space="0" w:color="auto"/>
              <w:right w:val="single" w:sz="4" w:space="0" w:color="auto"/>
            </w:tcBorders>
            <w:shd w:val="clear" w:color="auto" w:fill="auto"/>
            <w:noWrap/>
            <w:vAlign w:val="center"/>
            <w:hideMark/>
          </w:tcPr>
          <w:p w14:paraId="641AA99D" w14:textId="77777777" w:rsidR="00ED5344" w:rsidRPr="005C3BEB" w:rsidRDefault="00ED5344" w:rsidP="005C3BEB">
            <w:pPr>
              <w:spacing w:after="0" w:line="360" w:lineRule="auto"/>
              <w:jc w:val="both"/>
              <w:rPr>
                <w:rFonts w:eastAsia="Times New Roman" w:cs="Times New Roman"/>
                <w:color w:val="000000"/>
                <w:szCs w:val="24"/>
                <w:lang w:val="en-IN" w:eastAsia="en-IN"/>
              </w:rPr>
            </w:pPr>
            <w:r w:rsidRPr="005C3BEB">
              <w:rPr>
                <w:rFonts w:eastAsia="Times New Roman" w:cs="Times New Roman"/>
                <w:color w:val="000000"/>
                <w:szCs w:val="24"/>
                <w:lang w:val="en-IN" w:eastAsia="en-IN"/>
              </w:rPr>
              <w:t>-6.58%</w:t>
            </w:r>
          </w:p>
        </w:tc>
        <w:tc>
          <w:tcPr>
            <w:tcW w:w="1872" w:type="pct"/>
            <w:vMerge/>
            <w:tcBorders>
              <w:top w:val="nil"/>
              <w:left w:val="single" w:sz="4" w:space="0" w:color="auto"/>
              <w:bottom w:val="single" w:sz="4" w:space="0" w:color="auto"/>
              <w:right w:val="single" w:sz="4" w:space="0" w:color="auto"/>
            </w:tcBorders>
            <w:vAlign w:val="center"/>
            <w:hideMark/>
          </w:tcPr>
          <w:p w14:paraId="6DE9D95A" w14:textId="77777777" w:rsidR="00ED5344" w:rsidRPr="005C3BEB" w:rsidRDefault="00ED5344" w:rsidP="005C3BEB">
            <w:pPr>
              <w:spacing w:after="0" w:line="360" w:lineRule="auto"/>
              <w:jc w:val="both"/>
              <w:rPr>
                <w:rFonts w:eastAsia="Times New Roman" w:cs="Times New Roman"/>
                <w:b/>
                <w:bCs/>
                <w:color w:val="000000"/>
                <w:szCs w:val="24"/>
                <w:lang w:val="en-IN" w:eastAsia="en-IN"/>
              </w:rPr>
            </w:pPr>
          </w:p>
        </w:tc>
      </w:tr>
    </w:tbl>
    <w:p w14:paraId="3B1AD579" w14:textId="77777777" w:rsidR="0093589A" w:rsidRDefault="0093589A" w:rsidP="005C3BEB">
      <w:pPr>
        <w:spacing w:line="360" w:lineRule="auto"/>
        <w:jc w:val="both"/>
        <w:rPr>
          <w:rFonts w:cs="Times New Roman"/>
          <w:szCs w:val="24"/>
        </w:rPr>
      </w:pPr>
    </w:p>
    <w:p w14:paraId="0F7C4D70" w14:textId="77777777" w:rsidR="00ED5344" w:rsidRPr="005C3BEB" w:rsidRDefault="00ED5344" w:rsidP="005C3BEB">
      <w:pPr>
        <w:spacing w:line="360" w:lineRule="auto"/>
        <w:jc w:val="both"/>
        <w:rPr>
          <w:rFonts w:cs="Times New Roman"/>
          <w:szCs w:val="24"/>
        </w:rPr>
      </w:pPr>
      <w:r w:rsidRPr="005C3BEB">
        <w:rPr>
          <w:rFonts w:cs="Times New Roman"/>
          <w:szCs w:val="24"/>
        </w:rPr>
        <w:t xml:space="preserve">(Source: </w:t>
      </w:r>
      <w:bookmarkStart w:id="8" w:name="_Hlk174828559"/>
      <w:r w:rsidRPr="005C3BEB">
        <w:rPr>
          <w:rFonts w:cs="Times New Roman"/>
          <w:szCs w:val="24"/>
        </w:rPr>
        <w:t>Trading Economics, 2024</w:t>
      </w:r>
      <w:bookmarkEnd w:id="8"/>
      <w:r w:rsidRPr="005C3BEB">
        <w:rPr>
          <w:rFonts w:cs="Times New Roman"/>
          <w:szCs w:val="24"/>
        </w:rPr>
        <w:t>).</w:t>
      </w:r>
    </w:p>
    <w:p w14:paraId="2EB38A4B" w14:textId="77777777" w:rsidR="00ED5344" w:rsidRPr="005C3BEB" w:rsidRDefault="00ED5344" w:rsidP="005C3BEB">
      <w:pPr>
        <w:spacing w:line="360" w:lineRule="auto"/>
        <w:jc w:val="both"/>
        <w:rPr>
          <w:rFonts w:cs="Times New Roman"/>
          <w:b/>
          <w:bCs/>
          <w:i/>
          <w:iCs/>
          <w:szCs w:val="24"/>
          <w:u w:val="single"/>
        </w:rPr>
      </w:pPr>
      <w:r w:rsidRPr="005C3BEB">
        <w:rPr>
          <w:rFonts w:cs="Times New Roman"/>
          <w:b/>
          <w:bCs/>
          <w:i/>
          <w:iCs/>
          <w:szCs w:val="24"/>
          <w:u w:val="single"/>
        </w:rPr>
        <w:t>Comment on the variation in the capital structure and share returns of the company with associati</w:t>
      </w:r>
      <w:r w:rsidR="009D2560">
        <w:rPr>
          <w:rFonts w:cs="Times New Roman"/>
          <w:b/>
          <w:bCs/>
          <w:i/>
          <w:iCs/>
          <w:szCs w:val="24"/>
          <w:u w:val="single"/>
        </w:rPr>
        <w:t>on between leverage and return</w:t>
      </w:r>
    </w:p>
    <w:p w14:paraId="38CD3976" w14:textId="77777777" w:rsidR="00ED5344" w:rsidRPr="005C3BEB" w:rsidRDefault="00ED5344" w:rsidP="005C3BEB">
      <w:pPr>
        <w:spacing w:line="360" w:lineRule="auto"/>
        <w:jc w:val="both"/>
        <w:rPr>
          <w:rFonts w:cs="Times New Roman"/>
          <w:szCs w:val="24"/>
        </w:rPr>
      </w:pPr>
      <w:r w:rsidRPr="005C3BEB">
        <w:rPr>
          <w:rFonts w:cs="Times New Roman"/>
          <w:szCs w:val="24"/>
        </w:rPr>
        <w:t>Assessing the capital structure of Royal Mail for the span of 5 years company had been changing its capital structure by gradually shifting its high equity capital structure to optimum combination of equity and debt. In a situation when company uses its debt effectively, they eventually enhance the returns of equity. Although the potential risk increases with the increase in the debt component of any business but leveraging the capital structure increases the chances to generate more returns.</w:t>
      </w:r>
    </w:p>
    <w:p w14:paraId="34223205" w14:textId="77777777" w:rsidR="00ED5344" w:rsidRPr="005C3BEB" w:rsidRDefault="00ED5344" w:rsidP="005C3BEB">
      <w:pPr>
        <w:spacing w:line="360" w:lineRule="auto"/>
        <w:jc w:val="both"/>
        <w:rPr>
          <w:rFonts w:cs="Times New Roman"/>
          <w:szCs w:val="24"/>
        </w:rPr>
      </w:pPr>
      <w:r w:rsidRPr="005C3BEB">
        <w:rPr>
          <w:rFonts w:cs="Times New Roman"/>
          <w:szCs w:val="24"/>
        </w:rPr>
        <w:t>According to Aharon and Yagil (2019), in their study of assessing the direct or indirect impact of leveraging the capital structure into share prices of the company demonstrated that fluctuations of stock returns is positively related to the firm’s leverage component and another finding was the relationship between the financial leverage and variance of stock returns is positive when taxes are considered.</w:t>
      </w:r>
    </w:p>
    <w:p w14:paraId="1EE5AE9A" w14:textId="77777777" w:rsidR="00ED5344" w:rsidRPr="005C3BEB" w:rsidRDefault="00ED5344" w:rsidP="005C3BEB">
      <w:pPr>
        <w:spacing w:line="360" w:lineRule="auto"/>
        <w:jc w:val="both"/>
        <w:rPr>
          <w:rFonts w:cs="Times New Roman"/>
          <w:szCs w:val="24"/>
        </w:rPr>
      </w:pPr>
      <w:r w:rsidRPr="005C3BEB">
        <w:rPr>
          <w:rFonts w:cs="Times New Roman"/>
          <w:szCs w:val="24"/>
        </w:rPr>
        <w:t>Analysing the capital structure through various ratios of 5 years and average annual returns of Royal mail for five years, it can be seen that with the gradual increase in the debt in the capital structure and add more leverage to the business, company’s average yearly stock returns are also increasing and shows positive percentage from negatives in previous years.</w:t>
      </w:r>
    </w:p>
    <w:p w14:paraId="6C681A0B" w14:textId="77777777" w:rsidR="00340DC4" w:rsidRPr="005C3BEB" w:rsidRDefault="00ED5344" w:rsidP="005C3BEB">
      <w:pPr>
        <w:spacing w:line="360" w:lineRule="auto"/>
        <w:jc w:val="both"/>
        <w:rPr>
          <w:rFonts w:cs="Times New Roman"/>
          <w:szCs w:val="24"/>
        </w:rPr>
      </w:pPr>
      <w:r w:rsidRPr="005C3BEB">
        <w:rPr>
          <w:rFonts w:cs="Times New Roman"/>
          <w:szCs w:val="24"/>
        </w:rPr>
        <w:t>From this, it can conclusively say that both variation in the capital structure and share returns of the company are positively related to each other.</w:t>
      </w:r>
    </w:p>
    <w:p w14:paraId="70BBF880" w14:textId="77777777" w:rsidR="009D2560" w:rsidRDefault="009D2560">
      <w:pPr>
        <w:rPr>
          <w:rFonts w:eastAsiaTheme="majorEastAsia" w:cs="Times New Roman"/>
          <w:b/>
          <w:szCs w:val="24"/>
        </w:rPr>
      </w:pPr>
      <w:r>
        <w:rPr>
          <w:rFonts w:cs="Times New Roman"/>
          <w:szCs w:val="24"/>
        </w:rPr>
        <w:br w:type="page"/>
      </w:r>
    </w:p>
    <w:p w14:paraId="763944E7" w14:textId="77777777" w:rsidR="00DC6803" w:rsidRPr="005C3BEB" w:rsidRDefault="00DC6803" w:rsidP="005C3BEB">
      <w:pPr>
        <w:pStyle w:val="Heading1"/>
        <w:spacing w:line="360" w:lineRule="auto"/>
        <w:jc w:val="both"/>
        <w:rPr>
          <w:rFonts w:cs="Times New Roman"/>
          <w:color w:val="auto"/>
          <w:szCs w:val="24"/>
        </w:rPr>
      </w:pPr>
      <w:bookmarkStart w:id="9" w:name="_Toc174875581"/>
      <w:r w:rsidRPr="005C3BEB">
        <w:rPr>
          <w:rFonts w:cs="Times New Roman"/>
          <w:color w:val="auto"/>
          <w:szCs w:val="24"/>
        </w:rPr>
        <w:lastRenderedPageBreak/>
        <w:t>PART C: INVESTMENT ACTIVITIES AND DIVIDENT PAY-OUTS</w:t>
      </w:r>
      <w:bookmarkEnd w:id="9"/>
    </w:p>
    <w:p w14:paraId="0E153C3F" w14:textId="77777777" w:rsidR="00AD18E1" w:rsidRPr="005C3BEB" w:rsidRDefault="00AD18E1" w:rsidP="005C3BEB">
      <w:pPr>
        <w:spacing w:line="360" w:lineRule="auto"/>
        <w:jc w:val="both"/>
        <w:rPr>
          <w:rFonts w:cs="Times New Roman"/>
          <w:b/>
          <w:szCs w:val="24"/>
          <w:u w:val="single"/>
        </w:rPr>
      </w:pPr>
      <w:r w:rsidRPr="005C3BEB">
        <w:rPr>
          <w:rFonts w:cs="Times New Roman"/>
          <w:b/>
          <w:szCs w:val="24"/>
          <w:u w:val="single"/>
        </w:rPr>
        <w:t>Major Investment Activities</w:t>
      </w:r>
    </w:p>
    <w:p w14:paraId="5FB4E6C5" w14:textId="77777777" w:rsidR="00AD18E1" w:rsidRPr="005C3BEB" w:rsidRDefault="00AD18E1" w:rsidP="005C3BEB">
      <w:pPr>
        <w:spacing w:line="360" w:lineRule="auto"/>
        <w:jc w:val="both"/>
        <w:rPr>
          <w:rFonts w:cs="Times New Roman"/>
          <w:b/>
          <w:i/>
          <w:szCs w:val="24"/>
        </w:rPr>
      </w:pPr>
      <w:r w:rsidRPr="005C3BEB">
        <w:rPr>
          <w:rFonts w:cs="Times New Roman"/>
          <w:b/>
          <w:i/>
          <w:szCs w:val="24"/>
        </w:rPr>
        <w:t>1. Overview of Investment Strategy</w:t>
      </w:r>
    </w:p>
    <w:p w14:paraId="3A060203" w14:textId="77777777" w:rsidR="00AD18E1" w:rsidRPr="005C3BEB" w:rsidRDefault="00AD18E1" w:rsidP="005C3BEB">
      <w:pPr>
        <w:spacing w:line="360" w:lineRule="auto"/>
        <w:jc w:val="both"/>
        <w:rPr>
          <w:rFonts w:cs="Times New Roman"/>
          <w:szCs w:val="24"/>
        </w:rPr>
      </w:pPr>
      <w:r w:rsidRPr="005C3BEB">
        <w:rPr>
          <w:rFonts w:cs="Times New Roman"/>
          <w:szCs w:val="24"/>
        </w:rPr>
        <w:t>There are couple of areas that can be pointed out concerning the investment strategy of Royal Mail, although they would have to be more specific: modernization, technological enhancement and overall geographical expansion</w:t>
      </w:r>
      <w:r w:rsidR="00446E62" w:rsidRPr="005C3BEB">
        <w:rPr>
          <w:rFonts w:cs="Times New Roman"/>
          <w:szCs w:val="24"/>
        </w:rPr>
        <w:t xml:space="preserve"> (</w:t>
      </w:r>
      <w:proofErr w:type="spellStart"/>
      <w:r w:rsidR="00446E62" w:rsidRPr="005C3BEB">
        <w:rPr>
          <w:rFonts w:cs="Times New Roman"/>
          <w:szCs w:val="24"/>
        </w:rPr>
        <w:t>Cityam</w:t>
      </w:r>
      <w:proofErr w:type="spellEnd"/>
      <w:r w:rsidR="00446E62" w:rsidRPr="005C3BEB">
        <w:rPr>
          <w:rFonts w:cs="Times New Roman"/>
          <w:szCs w:val="24"/>
        </w:rPr>
        <w:t>, 2024)</w:t>
      </w:r>
      <w:r w:rsidRPr="005C3BEB">
        <w:rPr>
          <w:rFonts w:cs="Times New Roman"/>
          <w:szCs w:val="24"/>
        </w:rPr>
        <w:t>. Royal Mail has had its reserves of transformations occurring in the context of the UK business environment as a post-industrial business in the course of growth and mature phase, characterised by such factors as: intensification of competition, customer demands, and technological advancements.</w:t>
      </w:r>
    </w:p>
    <w:p w14:paraId="1387FCE4" w14:textId="77777777" w:rsidR="00AD18E1" w:rsidRPr="005C3BEB" w:rsidRDefault="00AD18E1" w:rsidP="005C3BEB">
      <w:pPr>
        <w:pStyle w:val="ListParagraph"/>
        <w:numPr>
          <w:ilvl w:val="0"/>
          <w:numId w:val="3"/>
        </w:numPr>
        <w:spacing w:line="360" w:lineRule="auto"/>
        <w:jc w:val="both"/>
        <w:rPr>
          <w:rFonts w:cs="Times New Roman"/>
          <w:szCs w:val="24"/>
        </w:rPr>
      </w:pPr>
      <w:r w:rsidRPr="005C3BEB">
        <w:rPr>
          <w:rFonts w:cs="Times New Roman"/>
          <w:szCs w:val="24"/>
          <w:u w:val="single"/>
        </w:rPr>
        <w:t>Modernization</w:t>
      </w:r>
      <w:r w:rsidRPr="005C3BEB">
        <w:rPr>
          <w:rFonts w:cs="Times New Roman"/>
          <w:szCs w:val="24"/>
        </w:rPr>
        <w:t xml:space="preserve">: The case of Royal Mail was to partly transform from their traditional postal services company and embrace </w:t>
      </w:r>
      <w:r w:rsidR="00E7469C" w:rsidRPr="005C3BEB">
        <w:rPr>
          <w:rFonts w:cs="Times New Roman"/>
          <w:szCs w:val="24"/>
        </w:rPr>
        <w:t>efficiency-based</w:t>
      </w:r>
      <w:r w:rsidRPr="005C3BEB">
        <w:rPr>
          <w:rFonts w:cs="Times New Roman"/>
          <w:szCs w:val="24"/>
        </w:rPr>
        <w:t xml:space="preserve"> technologies. This has entailed significant capital expenditures on the modernization of relic business systems and practices</w:t>
      </w:r>
      <w:r w:rsidR="00446E62" w:rsidRPr="005C3BEB">
        <w:rPr>
          <w:rFonts w:cs="Times New Roman"/>
          <w:szCs w:val="24"/>
        </w:rPr>
        <w:t xml:space="preserve"> (</w:t>
      </w:r>
      <w:proofErr w:type="spellStart"/>
      <w:r w:rsidR="00446E62" w:rsidRPr="005C3BEB">
        <w:rPr>
          <w:rFonts w:cs="Times New Roman"/>
          <w:szCs w:val="24"/>
        </w:rPr>
        <w:t>Cityam</w:t>
      </w:r>
      <w:proofErr w:type="spellEnd"/>
      <w:r w:rsidR="00446E62" w:rsidRPr="005C3BEB">
        <w:rPr>
          <w:rFonts w:cs="Times New Roman"/>
          <w:szCs w:val="24"/>
        </w:rPr>
        <w:t>, 2024)</w:t>
      </w:r>
      <w:r w:rsidRPr="005C3BEB">
        <w:rPr>
          <w:rFonts w:cs="Times New Roman"/>
          <w:szCs w:val="24"/>
        </w:rPr>
        <w:t>.</w:t>
      </w:r>
    </w:p>
    <w:p w14:paraId="62FD7B76" w14:textId="77777777" w:rsidR="00AD18E1" w:rsidRPr="005C3BEB" w:rsidRDefault="00AD18E1" w:rsidP="005C3BEB">
      <w:pPr>
        <w:pStyle w:val="ListParagraph"/>
        <w:numPr>
          <w:ilvl w:val="0"/>
          <w:numId w:val="3"/>
        </w:numPr>
        <w:spacing w:line="360" w:lineRule="auto"/>
        <w:jc w:val="both"/>
        <w:rPr>
          <w:rFonts w:cs="Times New Roman"/>
          <w:szCs w:val="24"/>
        </w:rPr>
      </w:pPr>
      <w:r w:rsidRPr="005C3BEB">
        <w:rPr>
          <w:rFonts w:cs="Times New Roman"/>
          <w:szCs w:val="24"/>
          <w:u w:val="single"/>
        </w:rPr>
        <w:t>Technological Enhancement</w:t>
      </w:r>
      <w:r w:rsidRPr="005C3BEB">
        <w:rPr>
          <w:rFonts w:cs="Times New Roman"/>
          <w:szCs w:val="24"/>
        </w:rPr>
        <w:t xml:space="preserve">: In a world where technology is becoming a dominant factor in most industries Royal Mail plied on Information Technology through investments in IT </w:t>
      </w:r>
      <w:r w:rsidR="00FF6E3C" w:rsidRPr="005C3BEB">
        <w:rPr>
          <w:rFonts w:cs="Times New Roman"/>
          <w:szCs w:val="24"/>
        </w:rPr>
        <w:t>equipment</w:t>
      </w:r>
      <w:r w:rsidRPr="005C3BEB">
        <w:rPr>
          <w:rFonts w:cs="Times New Roman"/>
          <w:szCs w:val="24"/>
        </w:rPr>
        <w:t xml:space="preserve"> and tools. These include undertaking of technology structures that aid in performing business operations, improving customer relations as well as catering for new services lines.</w:t>
      </w:r>
    </w:p>
    <w:p w14:paraId="31764665" w14:textId="77777777" w:rsidR="00AD18E1" w:rsidRPr="005C3BEB" w:rsidRDefault="00AD18E1" w:rsidP="005C3BEB">
      <w:pPr>
        <w:pStyle w:val="ListParagraph"/>
        <w:numPr>
          <w:ilvl w:val="0"/>
          <w:numId w:val="3"/>
        </w:numPr>
        <w:spacing w:line="360" w:lineRule="auto"/>
        <w:jc w:val="both"/>
        <w:rPr>
          <w:rFonts w:cs="Times New Roman"/>
          <w:szCs w:val="24"/>
        </w:rPr>
      </w:pPr>
      <w:r w:rsidRPr="005C3BEB">
        <w:rPr>
          <w:rFonts w:cs="Times New Roman"/>
          <w:szCs w:val="24"/>
          <w:u w:val="single"/>
        </w:rPr>
        <w:t>Expansion</w:t>
      </w:r>
      <w:r w:rsidRPr="005C3BEB">
        <w:rPr>
          <w:rFonts w:cs="Times New Roman"/>
          <w:szCs w:val="24"/>
        </w:rPr>
        <w:t>: This is important for Royal Mail to develop multiple sources of revenue that will enable it to take advantage of new opportunities in the market</w:t>
      </w:r>
      <w:r w:rsidR="00446E62" w:rsidRPr="005C3BEB">
        <w:rPr>
          <w:rFonts w:cs="Times New Roman"/>
          <w:szCs w:val="24"/>
        </w:rPr>
        <w:t xml:space="preserve"> (Reuters, 2024)</w:t>
      </w:r>
      <w:r w:rsidRPr="005C3BEB">
        <w:rPr>
          <w:rFonts w:cs="Times New Roman"/>
          <w:szCs w:val="24"/>
        </w:rPr>
        <w:t>. This is to increase the company’s e-commerce operations and expansion to the international market.</w:t>
      </w:r>
    </w:p>
    <w:p w14:paraId="21775314" w14:textId="77777777" w:rsidR="00AD18E1" w:rsidRPr="005C3BEB" w:rsidRDefault="00AD18E1" w:rsidP="005C3BEB">
      <w:pPr>
        <w:pStyle w:val="ListParagraph"/>
        <w:numPr>
          <w:ilvl w:val="0"/>
          <w:numId w:val="3"/>
        </w:numPr>
        <w:spacing w:line="360" w:lineRule="auto"/>
        <w:jc w:val="both"/>
        <w:rPr>
          <w:rFonts w:cs="Times New Roman"/>
          <w:szCs w:val="24"/>
        </w:rPr>
      </w:pPr>
      <w:r w:rsidRPr="005C3BEB">
        <w:rPr>
          <w:rFonts w:cs="Times New Roman"/>
          <w:szCs w:val="24"/>
          <w:u w:val="single"/>
        </w:rPr>
        <w:t>Challenges</w:t>
      </w:r>
      <w:r w:rsidRPr="005C3BEB">
        <w:rPr>
          <w:rFonts w:cs="Times New Roman"/>
          <w:szCs w:val="24"/>
        </w:rPr>
        <w:t>: Specific challenges of the investment strategy have been:</w:t>
      </w:r>
    </w:p>
    <w:p w14:paraId="79BAFD8E" w14:textId="77777777" w:rsidR="00AD18E1" w:rsidRPr="005C3BEB" w:rsidRDefault="00AD18E1" w:rsidP="005C3BEB">
      <w:pPr>
        <w:pStyle w:val="ListParagraph"/>
        <w:numPr>
          <w:ilvl w:val="0"/>
          <w:numId w:val="11"/>
        </w:numPr>
        <w:spacing w:line="360" w:lineRule="auto"/>
        <w:jc w:val="both"/>
        <w:rPr>
          <w:rFonts w:cs="Times New Roman"/>
          <w:szCs w:val="24"/>
        </w:rPr>
      </w:pPr>
      <w:r w:rsidRPr="005C3BEB">
        <w:rPr>
          <w:rFonts w:cs="Times New Roman"/>
          <w:szCs w:val="24"/>
        </w:rPr>
        <w:t>Increased Competition: Increased competition from other private postal and courier firms have put pressure on Royal Mail to do more investment to be able to sustain its dominant market share.</w:t>
      </w:r>
    </w:p>
    <w:p w14:paraId="159E21E1" w14:textId="77777777" w:rsidR="00AD18E1" w:rsidRPr="005C3BEB" w:rsidRDefault="00AD18E1" w:rsidP="005C3BEB">
      <w:pPr>
        <w:pStyle w:val="ListParagraph"/>
        <w:numPr>
          <w:ilvl w:val="0"/>
          <w:numId w:val="11"/>
        </w:numPr>
        <w:spacing w:line="360" w:lineRule="auto"/>
        <w:jc w:val="both"/>
        <w:rPr>
          <w:rFonts w:cs="Times New Roman"/>
          <w:szCs w:val="24"/>
        </w:rPr>
      </w:pPr>
      <w:r w:rsidRPr="005C3BEB">
        <w:rPr>
          <w:rFonts w:cs="Times New Roman"/>
          <w:szCs w:val="24"/>
        </w:rPr>
        <w:t>Evolving Customer Expectations: Customers hence require better, quicker and more reliable and technologically advanced services hence the challenges that forced Royal Mail to enhance its services</w:t>
      </w:r>
      <w:r w:rsidR="00446E62" w:rsidRPr="005C3BEB">
        <w:rPr>
          <w:rFonts w:cs="Times New Roman"/>
          <w:szCs w:val="24"/>
        </w:rPr>
        <w:t xml:space="preserve"> (Reuters, 2024)</w:t>
      </w:r>
      <w:r w:rsidRPr="005C3BEB">
        <w:rPr>
          <w:rFonts w:cs="Times New Roman"/>
          <w:szCs w:val="24"/>
        </w:rPr>
        <w:t>.</w:t>
      </w:r>
    </w:p>
    <w:p w14:paraId="6E8680CA" w14:textId="77777777" w:rsidR="00AD18E1" w:rsidRPr="005C3BEB" w:rsidRDefault="00AD18E1" w:rsidP="005C3BEB">
      <w:pPr>
        <w:pStyle w:val="ListParagraph"/>
        <w:numPr>
          <w:ilvl w:val="0"/>
          <w:numId w:val="11"/>
        </w:numPr>
        <w:spacing w:line="360" w:lineRule="auto"/>
        <w:jc w:val="both"/>
        <w:rPr>
          <w:rFonts w:cs="Times New Roman"/>
          <w:szCs w:val="24"/>
        </w:rPr>
      </w:pPr>
      <w:r w:rsidRPr="005C3BEB">
        <w:rPr>
          <w:rFonts w:cs="Times New Roman"/>
          <w:szCs w:val="24"/>
        </w:rPr>
        <w:lastRenderedPageBreak/>
        <w:t>Financial Pressures: Other strategic challenges have also been identified and they include the competition between large capital investment, on the one hand, and the need to sustain profitability and shareholders’ returns, on the other hand.</w:t>
      </w:r>
    </w:p>
    <w:p w14:paraId="3907AD3C" w14:textId="77777777" w:rsidR="00AD18E1" w:rsidRPr="005C3BEB" w:rsidRDefault="00AD18E1" w:rsidP="005C3BEB">
      <w:pPr>
        <w:spacing w:line="360" w:lineRule="auto"/>
        <w:jc w:val="both"/>
        <w:rPr>
          <w:rFonts w:cs="Times New Roman"/>
          <w:b/>
          <w:i/>
          <w:szCs w:val="24"/>
        </w:rPr>
      </w:pPr>
      <w:r w:rsidRPr="005C3BEB">
        <w:rPr>
          <w:rFonts w:cs="Times New Roman"/>
          <w:b/>
          <w:i/>
          <w:szCs w:val="24"/>
        </w:rPr>
        <w:t>2. Technological Upgrades</w:t>
      </w:r>
    </w:p>
    <w:p w14:paraId="768DA757" w14:textId="77777777" w:rsidR="00AB7AF7" w:rsidRPr="005C3BEB" w:rsidRDefault="00AD18E1" w:rsidP="005C3BEB">
      <w:pPr>
        <w:spacing w:line="360" w:lineRule="auto"/>
        <w:jc w:val="both"/>
        <w:rPr>
          <w:rFonts w:cs="Times New Roman"/>
          <w:szCs w:val="24"/>
        </w:rPr>
      </w:pPr>
      <w:r w:rsidRPr="005C3BEB">
        <w:rPr>
          <w:rFonts w:cs="Times New Roman"/>
          <w:szCs w:val="24"/>
        </w:rPr>
        <w:t>Technology has been a focal area of investment at Royal Mail over the recent years. The company has incurred substantial costs in different fields of technology to enhance productivity, customer satisfaction and market stands.</w:t>
      </w:r>
    </w:p>
    <w:p w14:paraId="3359BEED" w14:textId="77777777" w:rsidR="00AD18E1" w:rsidRPr="005C3BEB" w:rsidRDefault="00AD18E1" w:rsidP="005C3BEB">
      <w:pPr>
        <w:pStyle w:val="ListParagraph"/>
        <w:numPr>
          <w:ilvl w:val="0"/>
          <w:numId w:val="3"/>
        </w:numPr>
        <w:spacing w:line="360" w:lineRule="auto"/>
        <w:jc w:val="both"/>
        <w:rPr>
          <w:rFonts w:cs="Times New Roman"/>
          <w:szCs w:val="24"/>
          <w:u w:val="single"/>
        </w:rPr>
      </w:pPr>
      <w:r w:rsidRPr="005C3BEB">
        <w:rPr>
          <w:rFonts w:cs="Times New Roman"/>
          <w:szCs w:val="24"/>
          <w:u w:val="single"/>
        </w:rPr>
        <w:t>Automated Sorting Systems</w:t>
      </w:r>
    </w:p>
    <w:p w14:paraId="14FE4991" w14:textId="77777777" w:rsidR="00AD18E1" w:rsidRPr="005C3BEB" w:rsidRDefault="00AD18E1" w:rsidP="005C3BEB">
      <w:pPr>
        <w:spacing w:line="360" w:lineRule="auto"/>
        <w:jc w:val="both"/>
        <w:rPr>
          <w:rFonts w:cs="Times New Roman"/>
          <w:szCs w:val="24"/>
        </w:rPr>
      </w:pPr>
      <w:r w:rsidRPr="005C3BEB">
        <w:rPr>
          <w:rFonts w:cs="Times New Roman"/>
          <w:szCs w:val="24"/>
        </w:rPr>
        <w:t>Investment and Implementation: In an attempt to automate the sorting process of the mails which is a complex manner which involves a number of processes, Royal Mail has acquired advanced automated sorting machines</w:t>
      </w:r>
      <w:r w:rsidR="00446E62" w:rsidRPr="005C3BEB">
        <w:rPr>
          <w:rFonts w:cs="Times New Roman"/>
          <w:szCs w:val="24"/>
        </w:rPr>
        <w:t xml:space="preserve"> (</w:t>
      </w:r>
      <w:proofErr w:type="spellStart"/>
      <w:r w:rsidR="00446E62" w:rsidRPr="005C3BEB">
        <w:rPr>
          <w:rFonts w:cs="Times New Roman"/>
          <w:szCs w:val="24"/>
        </w:rPr>
        <w:t>Evmagazine</w:t>
      </w:r>
      <w:proofErr w:type="spellEnd"/>
      <w:r w:rsidR="00446E62" w:rsidRPr="005C3BEB">
        <w:rPr>
          <w:rFonts w:cs="Times New Roman"/>
          <w:szCs w:val="24"/>
        </w:rPr>
        <w:t>, 2024)</w:t>
      </w:r>
      <w:r w:rsidRPr="005C3BEB">
        <w:rPr>
          <w:rFonts w:cs="Times New Roman"/>
          <w:szCs w:val="24"/>
        </w:rPr>
        <w:t xml:space="preserve">. These systems employ complex operations and fast equipment to sort the mail than manual handling of the mails. The use of technology in sorting </w:t>
      </w:r>
      <w:proofErr w:type="gramStart"/>
      <w:r w:rsidRPr="005C3BEB">
        <w:rPr>
          <w:rFonts w:cs="Times New Roman"/>
          <w:szCs w:val="24"/>
        </w:rPr>
        <w:t>reduce</w:t>
      </w:r>
      <w:proofErr w:type="gramEnd"/>
      <w:r w:rsidRPr="005C3BEB">
        <w:rPr>
          <w:rFonts w:cs="Times New Roman"/>
          <w:szCs w:val="24"/>
        </w:rPr>
        <w:t xml:space="preserve"> on time spent during sorting and increased on costs incurred during sorting and accuracy of sorting hence improving the operations. For instance, Royal Mail installed automatic sorting machines in strategic big distribution points so as to have reduced times of handling huge amounts of mail</w:t>
      </w:r>
      <w:r w:rsidR="00446E62" w:rsidRPr="005C3BEB">
        <w:rPr>
          <w:rFonts w:cs="Times New Roman"/>
          <w:szCs w:val="24"/>
        </w:rPr>
        <w:t xml:space="preserve"> (</w:t>
      </w:r>
      <w:proofErr w:type="spellStart"/>
      <w:r w:rsidR="00446E62" w:rsidRPr="005C3BEB">
        <w:rPr>
          <w:rFonts w:cs="Times New Roman"/>
          <w:szCs w:val="24"/>
        </w:rPr>
        <w:t>Evmagazine</w:t>
      </w:r>
      <w:proofErr w:type="spellEnd"/>
      <w:r w:rsidR="00446E62" w:rsidRPr="005C3BEB">
        <w:rPr>
          <w:rFonts w:cs="Times New Roman"/>
          <w:szCs w:val="24"/>
        </w:rPr>
        <w:t>, 2024)</w:t>
      </w:r>
      <w:r w:rsidRPr="005C3BEB">
        <w:rPr>
          <w:rFonts w:cs="Times New Roman"/>
          <w:szCs w:val="24"/>
        </w:rPr>
        <w:t>.</w:t>
      </w:r>
    </w:p>
    <w:p w14:paraId="7A58ED61" w14:textId="77777777" w:rsidR="00AD18E1" w:rsidRPr="005C3BEB" w:rsidRDefault="00AD18E1" w:rsidP="005C3BEB">
      <w:pPr>
        <w:pStyle w:val="ListParagraph"/>
        <w:numPr>
          <w:ilvl w:val="0"/>
          <w:numId w:val="3"/>
        </w:numPr>
        <w:spacing w:line="360" w:lineRule="auto"/>
        <w:jc w:val="both"/>
        <w:rPr>
          <w:rFonts w:cs="Times New Roman"/>
          <w:szCs w:val="24"/>
          <w:u w:val="single"/>
        </w:rPr>
      </w:pPr>
      <w:r w:rsidRPr="005C3BEB">
        <w:rPr>
          <w:rFonts w:cs="Times New Roman"/>
          <w:szCs w:val="24"/>
          <w:u w:val="single"/>
        </w:rPr>
        <w:t>Tracking Systems</w:t>
      </w:r>
    </w:p>
    <w:p w14:paraId="40979ACC" w14:textId="77777777" w:rsidR="00AD18E1" w:rsidRPr="005C3BEB" w:rsidRDefault="00AD18E1" w:rsidP="005C3BEB">
      <w:pPr>
        <w:spacing w:line="360" w:lineRule="auto"/>
        <w:jc w:val="both"/>
        <w:rPr>
          <w:rFonts w:cs="Times New Roman"/>
          <w:szCs w:val="24"/>
        </w:rPr>
      </w:pPr>
      <w:r w:rsidRPr="005C3BEB">
        <w:rPr>
          <w:rFonts w:cs="Times New Roman"/>
          <w:szCs w:val="24"/>
        </w:rPr>
        <w:t>Investment and Implementation: Royal Mail has put a significant capital on the parcel tracking to enable clients to track parcels in real time. By means of these technologies, the customers are able to track the parcels at any stage of delivery through the internet or application</w:t>
      </w:r>
      <w:r w:rsidR="00446E62" w:rsidRPr="005C3BEB">
        <w:rPr>
          <w:rFonts w:cs="Times New Roman"/>
          <w:szCs w:val="24"/>
        </w:rPr>
        <w:t xml:space="preserve"> (</w:t>
      </w:r>
      <w:proofErr w:type="spellStart"/>
      <w:r w:rsidR="00446E62" w:rsidRPr="005C3BEB">
        <w:rPr>
          <w:rFonts w:cs="Times New Roman"/>
          <w:szCs w:val="24"/>
        </w:rPr>
        <w:t>Evmagazine</w:t>
      </w:r>
      <w:proofErr w:type="spellEnd"/>
      <w:r w:rsidR="00446E62" w:rsidRPr="005C3BEB">
        <w:rPr>
          <w:rFonts w:cs="Times New Roman"/>
          <w:szCs w:val="24"/>
        </w:rPr>
        <w:t>, 2024)</w:t>
      </w:r>
      <w:r w:rsidRPr="005C3BEB">
        <w:rPr>
          <w:rFonts w:cs="Times New Roman"/>
          <w:szCs w:val="24"/>
        </w:rPr>
        <w:t>. Several workflows can be improved and made more efficient through advanced tracking systems; the main benefit accruing from this is that customer satisfaction is boosted because the customers do not have to guess the fate of their consignments</w:t>
      </w:r>
      <w:r w:rsidR="00446E62" w:rsidRPr="005C3BEB">
        <w:rPr>
          <w:rFonts w:cs="Times New Roman"/>
          <w:szCs w:val="24"/>
        </w:rPr>
        <w:t xml:space="preserve"> (</w:t>
      </w:r>
      <w:proofErr w:type="spellStart"/>
      <w:r w:rsidR="00446E62" w:rsidRPr="005C3BEB">
        <w:rPr>
          <w:rFonts w:cs="Times New Roman"/>
          <w:szCs w:val="24"/>
        </w:rPr>
        <w:t>Evmagazine</w:t>
      </w:r>
      <w:proofErr w:type="spellEnd"/>
      <w:r w:rsidR="00446E62" w:rsidRPr="005C3BEB">
        <w:rPr>
          <w:rFonts w:cs="Times New Roman"/>
          <w:szCs w:val="24"/>
        </w:rPr>
        <w:t>, 2024)</w:t>
      </w:r>
      <w:r w:rsidRPr="005C3BEB">
        <w:rPr>
          <w:rFonts w:cs="Times New Roman"/>
          <w:szCs w:val="24"/>
        </w:rPr>
        <w:t>. Real-time tracking also proves to be of immense help in the management of the logistics of the firm hence reducing the high rate of missed deliveries hence improving on the over-all co-ordination of operations.</w:t>
      </w:r>
    </w:p>
    <w:p w14:paraId="131A67FE" w14:textId="77777777" w:rsidR="00AD18E1" w:rsidRPr="005C3BEB" w:rsidRDefault="00AD18E1" w:rsidP="005C3BEB">
      <w:pPr>
        <w:pStyle w:val="ListParagraph"/>
        <w:numPr>
          <w:ilvl w:val="0"/>
          <w:numId w:val="4"/>
        </w:numPr>
        <w:spacing w:line="360" w:lineRule="auto"/>
        <w:jc w:val="both"/>
        <w:rPr>
          <w:rFonts w:cs="Times New Roman"/>
          <w:szCs w:val="24"/>
          <w:u w:val="single"/>
        </w:rPr>
      </w:pPr>
      <w:r w:rsidRPr="005C3BEB">
        <w:rPr>
          <w:rFonts w:cs="Times New Roman"/>
          <w:szCs w:val="24"/>
          <w:u w:val="single"/>
        </w:rPr>
        <w:t>E-commerce Platforms</w:t>
      </w:r>
    </w:p>
    <w:p w14:paraId="7714339E" w14:textId="77777777" w:rsidR="00AD18E1" w:rsidRPr="005C3BEB" w:rsidRDefault="00AD18E1" w:rsidP="005C3BEB">
      <w:pPr>
        <w:spacing w:line="360" w:lineRule="auto"/>
        <w:jc w:val="both"/>
        <w:rPr>
          <w:rFonts w:cs="Times New Roman"/>
          <w:szCs w:val="24"/>
        </w:rPr>
      </w:pPr>
      <w:r w:rsidRPr="005C3BEB">
        <w:rPr>
          <w:rFonts w:cs="Times New Roman"/>
          <w:szCs w:val="24"/>
        </w:rPr>
        <w:t xml:space="preserve">Investment and Implementation: In light of the rise of the ‘new economy,’ Royal Mail has focused on enhancing and expanding on its e-commerce capabilities. These are; developing better spoke internet platforms; collaborating with internet merchants; and strengthening </w:t>
      </w:r>
      <w:r w:rsidRPr="005C3BEB">
        <w:rPr>
          <w:rFonts w:cs="Times New Roman"/>
          <w:szCs w:val="24"/>
        </w:rPr>
        <w:lastRenderedPageBreak/>
        <w:t>parcel delivery structures</w:t>
      </w:r>
      <w:r w:rsidR="00446E62" w:rsidRPr="005C3BEB">
        <w:rPr>
          <w:rFonts w:cs="Times New Roman"/>
          <w:szCs w:val="24"/>
        </w:rPr>
        <w:t xml:space="preserve"> (</w:t>
      </w:r>
      <w:proofErr w:type="spellStart"/>
      <w:r w:rsidR="00446E62" w:rsidRPr="005C3BEB">
        <w:rPr>
          <w:rFonts w:cs="Times New Roman"/>
          <w:szCs w:val="24"/>
        </w:rPr>
        <w:t>Evmagazine</w:t>
      </w:r>
      <w:proofErr w:type="spellEnd"/>
      <w:r w:rsidR="00446E62" w:rsidRPr="005C3BEB">
        <w:rPr>
          <w:rFonts w:cs="Times New Roman"/>
          <w:szCs w:val="24"/>
        </w:rPr>
        <w:t>, 2024)</w:t>
      </w:r>
      <w:r w:rsidRPr="005C3BEB">
        <w:rPr>
          <w:rFonts w:cs="Times New Roman"/>
          <w:szCs w:val="24"/>
        </w:rPr>
        <w:t xml:space="preserve">. These investments have led to Royal Mail being able to more effectively cope with the noted rises in the volumes of e-commerce parcels, rationalise its delivery operations, and introduce far more options for delivery. The company currently targets e-commerce business, which is well suited to future tendencies and thus allows the company </w:t>
      </w:r>
      <w:proofErr w:type="gramStart"/>
      <w:r w:rsidRPr="005C3BEB">
        <w:rPr>
          <w:rFonts w:cs="Times New Roman"/>
          <w:szCs w:val="24"/>
        </w:rPr>
        <w:t>take</w:t>
      </w:r>
      <w:proofErr w:type="gramEnd"/>
      <w:r w:rsidRPr="005C3BEB">
        <w:rPr>
          <w:rFonts w:cs="Times New Roman"/>
          <w:szCs w:val="24"/>
        </w:rPr>
        <w:t xml:space="preserve"> a larger share in the constantly developing field of online shopping</w:t>
      </w:r>
      <w:r w:rsidR="00446E62" w:rsidRPr="005C3BEB">
        <w:rPr>
          <w:rFonts w:cs="Times New Roman"/>
          <w:szCs w:val="24"/>
        </w:rPr>
        <w:t xml:space="preserve"> (</w:t>
      </w:r>
      <w:proofErr w:type="spellStart"/>
      <w:r w:rsidR="00446E62" w:rsidRPr="005C3BEB">
        <w:rPr>
          <w:rFonts w:cs="Times New Roman"/>
          <w:szCs w:val="24"/>
        </w:rPr>
        <w:t>Evmagazine</w:t>
      </w:r>
      <w:proofErr w:type="spellEnd"/>
      <w:r w:rsidR="00446E62" w:rsidRPr="005C3BEB">
        <w:rPr>
          <w:rFonts w:cs="Times New Roman"/>
          <w:szCs w:val="24"/>
        </w:rPr>
        <w:t>, 2024)</w:t>
      </w:r>
      <w:r w:rsidRPr="005C3BEB">
        <w:rPr>
          <w:rFonts w:cs="Times New Roman"/>
          <w:szCs w:val="24"/>
        </w:rPr>
        <w:t>.</w:t>
      </w:r>
    </w:p>
    <w:p w14:paraId="5D0D2504" w14:textId="77777777" w:rsidR="00AD18E1" w:rsidRPr="005C3BEB" w:rsidRDefault="00AD18E1" w:rsidP="005C3BEB">
      <w:pPr>
        <w:spacing w:line="360" w:lineRule="auto"/>
        <w:jc w:val="both"/>
        <w:rPr>
          <w:rFonts w:cs="Times New Roman"/>
          <w:b/>
          <w:i/>
          <w:szCs w:val="24"/>
        </w:rPr>
      </w:pPr>
      <w:r w:rsidRPr="005C3BEB">
        <w:rPr>
          <w:rFonts w:cs="Times New Roman"/>
          <w:b/>
          <w:i/>
          <w:szCs w:val="24"/>
        </w:rPr>
        <w:t>3. Network and Infrastructure</w:t>
      </w:r>
    </w:p>
    <w:p w14:paraId="5C51E497" w14:textId="77777777" w:rsidR="00AD18E1" w:rsidRPr="005C3BEB" w:rsidRDefault="00AD18E1" w:rsidP="005C3BEB">
      <w:pPr>
        <w:spacing w:line="360" w:lineRule="auto"/>
        <w:jc w:val="both"/>
        <w:rPr>
          <w:rFonts w:cs="Times New Roman"/>
          <w:szCs w:val="24"/>
        </w:rPr>
      </w:pPr>
      <w:r w:rsidRPr="005C3BEB">
        <w:rPr>
          <w:rFonts w:cs="Times New Roman"/>
          <w:szCs w:val="24"/>
        </w:rPr>
        <w:t>Upgrade of network and infrastructure have been critical for Royal Mail to enhance its support to its operations and the growth of its services. Key investments include:</w:t>
      </w:r>
    </w:p>
    <w:p w14:paraId="4CBB6266" w14:textId="77777777" w:rsidR="00AD18E1" w:rsidRPr="005C3BEB" w:rsidRDefault="00AD18E1" w:rsidP="005C3BEB">
      <w:pPr>
        <w:pStyle w:val="ListParagraph"/>
        <w:numPr>
          <w:ilvl w:val="0"/>
          <w:numId w:val="5"/>
        </w:numPr>
        <w:spacing w:line="360" w:lineRule="auto"/>
        <w:jc w:val="both"/>
        <w:rPr>
          <w:rFonts w:cs="Times New Roman"/>
          <w:szCs w:val="24"/>
          <w:u w:val="single"/>
        </w:rPr>
      </w:pPr>
      <w:r w:rsidRPr="005C3BEB">
        <w:rPr>
          <w:rFonts w:cs="Times New Roman"/>
          <w:szCs w:val="24"/>
          <w:u w:val="single"/>
        </w:rPr>
        <w:t>Delivery Fleet</w:t>
      </w:r>
    </w:p>
    <w:p w14:paraId="4BBAD253" w14:textId="77777777" w:rsidR="00AD18E1" w:rsidRPr="005C3BEB" w:rsidRDefault="00AD18E1" w:rsidP="005C3BEB">
      <w:pPr>
        <w:spacing w:line="360" w:lineRule="auto"/>
        <w:jc w:val="both"/>
        <w:rPr>
          <w:rFonts w:cs="Times New Roman"/>
          <w:szCs w:val="24"/>
        </w:rPr>
      </w:pPr>
      <w:r w:rsidRPr="005C3BEB">
        <w:rPr>
          <w:rFonts w:cs="Times New Roman"/>
          <w:szCs w:val="24"/>
        </w:rPr>
        <w:t xml:space="preserve">Investment and Implementation: Currently, Royal Mail has improved on it delivery van fleet by sourcing new efficient and friendly to the environment cars. This </w:t>
      </w:r>
      <w:proofErr w:type="gramStart"/>
      <w:r w:rsidRPr="005C3BEB">
        <w:rPr>
          <w:rFonts w:cs="Times New Roman"/>
          <w:szCs w:val="24"/>
        </w:rPr>
        <w:t>include</w:t>
      </w:r>
      <w:proofErr w:type="gramEnd"/>
      <w:r w:rsidRPr="005C3BEB">
        <w:rPr>
          <w:rFonts w:cs="Times New Roman"/>
          <w:szCs w:val="24"/>
        </w:rPr>
        <w:t>; Electric and Hybrid vehicles in order to help the company minimize on its carbon footprint. This has in turn improved on the fuel efficiency of the delivery fleet as well as decreased the recurrent maintenance costs</w:t>
      </w:r>
      <w:r w:rsidR="00886000" w:rsidRPr="005C3BEB">
        <w:rPr>
          <w:rFonts w:cs="Times New Roman"/>
          <w:szCs w:val="24"/>
        </w:rPr>
        <w:t xml:space="preserve"> (</w:t>
      </w:r>
      <w:proofErr w:type="spellStart"/>
      <w:r w:rsidR="00886000" w:rsidRPr="005C3BEB">
        <w:rPr>
          <w:rFonts w:cs="Times New Roman"/>
          <w:szCs w:val="24"/>
        </w:rPr>
        <w:t>Postandparcel</w:t>
      </w:r>
      <w:proofErr w:type="spellEnd"/>
      <w:r w:rsidR="00886000" w:rsidRPr="005C3BEB">
        <w:rPr>
          <w:rFonts w:cs="Times New Roman"/>
          <w:szCs w:val="24"/>
        </w:rPr>
        <w:t>, 2024)</w:t>
      </w:r>
      <w:r w:rsidRPr="005C3BEB">
        <w:rPr>
          <w:rFonts w:cs="Times New Roman"/>
          <w:szCs w:val="24"/>
        </w:rPr>
        <w:t>. Also, it complies with the requirements of UK legislation and corporate social responsibility to reduce its impact on the environment.</w:t>
      </w:r>
    </w:p>
    <w:p w14:paraId="592389E0" w14:textId="77777777" w:rsidR="00AD18E1" w:rsidRPr="005C3BEB" w:rsidRDefault="00AD18E1" w:rsidP="005C3BEB">
      <w:pPr>
        <w:pStyle w:val="ListParagraph"/>
        <w:numPr>
          <w:ilvl w:val="0"/>
          <w:numId w:val="6"/>
        </w:numPr>
        <w:spacing w:line="360" w:lineRule="auto"/>
        <w:jc w:val="both"/>
        <w:rPr>
          <w:rFonts w:cs="Times New Roman"/>
          <w:szCs w:val="24"/>
          <w:u w:val="single"/>
        </w:rPr>
      </w:pPr>
      <w:r w:rsidRPr="005C3BEB">
        <w:rPr>
          <w:rFonts w:cs="Times New Roman"/>
          <w:szCs w:val="24"/>
          <w:u w:val="single"/>
        </w:rPr>
        <w:t xml:space="preserve">Distribution </w:t>
      </w:r>
      <w:proofErr w:type="spellStart"/>
      <w:r w:rsidRPr="005C3BEB">
        <w:rPr>
          <w:rFonts w:cs="Times New Roman"/>
          <w:szCs w:val="24"/>
          <w:u w:val="single"/>
        </w:rPr>
        <w:t>Centers</w:t>
      </w:r>
      <w:proofErr w:type="spellEnd"/>
    </w:p>
    <w:p w14:paraId="436D3A68" w14:textId="77777777" w:rsidR="00AD18E1" w:rsidRPr="005C3BEB" w:rsidRDefault="00AD18E1" w:rsidP="005C3BEB">
      <w:pPr>
        <w:spacing w:line="360" w:lineRule="auto"/>
        <w:jc w:val="both"/>
        <w:rPr>
          <w:rFonts w:cs="Times New Roman"/>
          <w:szCs w:val="24"/>
        </w:rPr>
      </w:pPr>
      <w:r w:rsidRPr="005C3BEB">
        <w:rPr>
          <w:rFonts w:cs="Times New Roman"/>
          <w:szCs w:val="24"/>
        </w:rPr>
        <w:t xml:space="preserve">Investment and Implementation: Royal Mail has engaged in the construction of facilities and renovation of facilities used in distribution. These particular centres also provide more efficient technology including automated sorting equipment and </w:t>
      </w:r>
      <w:proofErr w:type="gramStart"/>
      <w:r w:rsidRPr="005C3BEB">
        <w:rPr>
          <w:rFonts w:cs="Times New Roman"/>
          <w:szCs w:val="24"/>
        </w:rPr>
        <w:t>high speed</w:t>
      </w:r>
      <w:proofErr w:type="gramEnd"/>
      <w:r w:rsidRPr="005C3BEB">
        <w:rPr>
          <w:rFonts w:cs="Times New Roman"/>
          <w:szCs w:val="24"/>
        </w:rPr>
        <w:t xml:space="preserve"> conveyance to assist in operation and procedure. Fully automated distribution complexes have helped to boost Royal Mail’s capability of handling large quantities of post and parcels</w:t>
      </w:r>
      <w:r w:rsidR="00886000" w:rsidRPr="005C3BEB">
        <w:rPr>
          <w:rFonts w:cs="Times New Roman"/>
          <w:szCs w:val="24"/>
        </w:rPr>
        <w:t xml:space="preserve"> (</w:t>
      </w:r>
      <w:proofErr w:type="spellStart"/>
      <w:r w:rsidR="00886000" w:rsidRPr="005C3BEB">
        <w:rPr>
          <w:rFonts w:cs="Times New Roman"/>
          <w:szCs w:val="24"/>
        </w:rPr>
        <w:t>Postandparcel</w:t>
      </w:r>
      <w:proofErr w:type="spellEnd"/>
      <w:r w:rsidR="00886000" w:rsidRPr="005C3BEB">
        <w:rPr>
          <w:rFonts w:cs="Times New Roman"/>
          <w:szCs w:val="24"/>
        </w:rPr>
        <w:t>, 2024)</w:t>
      </w:r>
      <w:r w:rsidRPr="005C3BEB">
        <w:rPr>
          <w:rFonts w:cs="Times New Roman"/>
          <w:szCs w:val="24"/>
        </w:rPr>
        <w:t>. These commitments on infrastructure also help drive better speeds on job processing and inventory or order flow, thus service enhancement.</w:t>
      </w:r>
    </w:p>
    <w:p w14:paraId="50666E10" w14:textId="77777777" w:rsidR="00AD18E1" w:rsidRPr="005C3BEB" w:rsidRDefault="00AD18E1" w:rsidP="005C3BEB">
      <w:pPr>
        <w:spacing w:line="360" w:lineRule="auto"/>
        <w:jc w:val="both"/>
        <w:rPr>
          <w:rFonts w:cs="Times New Roman"/>
          <w:b/>
          <w:i/>
          <w:szCs w:val="24"/>
        </w:rPr>
      </w:pPr>
      <w:r w:rsidRPr="005C3BEB">
        <w:rPr>
          <w:rFonts w:cs="Times New Roman"/>
          <w:b/>
          <w:i/>
          <w:szCs w:val="24"/>
        </w:rPr>
        <w:t>4. Expansion Initiatives</w:t>
      </w:r>
    </w:p>
    <w:p w14:paraId="04994431" w14:textId="77777777" w:rsidR="00AD18E1" w:rsidRPr="005C3BEB" w:rsidRDefault="00AD18E1" w:rsidP="005C3BEB">
      <w:pPr>
        <w:spacing w:line="360" w:lineRule="auto"/>
        <w:jc w:val="both"/>
        <w:rPr>
          <w:rFonts w:cs="Times New Roman"/>
          <w:szCs w:val="24"/>
        </w:rPr>
      </w:pPr>
      <w:r w:rsidRPr="005C3BEB">
        <w:rPr>
          <w:rFonts w:cs="Times New Roman"/>
          <w:szCs w:val="24"/>
        </w:rPr>
        <w:t>Royal Mail’s expansion initiatives reflect its strategy to diversify and grow beyond its traditional market:</w:t>
      </w:r>
    </w:p>
    <w:p w14:paraId="06D9C041" w14:textId="77777777" w:rsidR="00AD18E1" w:rsidRPr="005C3BEB" w:rsidRDefault="00AD18E1" w:rsidP="005C3BEB">
      <w:pPr>
        <w:pStyle w:val="ListParagraph"/>
        <w:numPr>
          <w:ilvl w:val="0"/>
          <w:numId w:val="7"/>
        </w:numPr>
        <w:spacing w:line="360" w:lineRule="auto"/>
        <w:jc w:val="both"/>
        <w:rPr>
          <w:rFonts w:cs="Times New Roman"/>
          <w:szCs w:val="24"/>
          <w:u w:val="single"/>
        </w:rPr>
      </w:pPr>
      <w:r w:rsidRPr="005C3BEB">
        <w:rPr>
          <w:rFonts w:cs="Times New Roman"/>
          <w:szCs w:val="24"/>
          <w:u w:val="single"/>
        </w:rPr>
        <w:t>International Ventures</w:t>
      </w:r>
    </w:p>
    <w:p w14:paraId="6AB136C8" w14:textId="77777777" w:rsidR="00AD18E1" w:rsidRPr="005C3BEB" w:rsidRDefault="00AD18E1" w:rsidP="005C3BEB">
      <w:pPr>
        <w:spacing w:line="360" w:lineRule="auto"/>
        <w:jc w:val="both"/>
        <w:rPr>
          <w:rFonts w:cs="Times New Roman"/>
          <w:szCs w:val="24"/>
        </w:rPr>
      </w:pPr>
      <w:r w:rsidRPr="005C3BEB">
        <w:rPr>
          <w:rFonts w:cs="Times New Roman"/>
          <w:szCs w:val="24"/>
        </w:rPr>
        <w:t xml:space="preserve">Investment and Implementation: Royal Mail’s international operation has involved buying of other companies and entering into joint ventures with different organizations in other </w:t>
      </w:r>
      <w:r w:rsidRPr="005C3BEB">
        <w:rPr>
          <w:rFonts w:cs="Times New Roman"/>
          <w:szCs w:val="24"/>
        </w:rPr>
        <w:lastRenderedPageBreak/>
        <w:t>countries. This strategy is laid on the objective seeking to penetrate in other unexplored markets and diversify its international reach</w:t>
      </w:r>
      <w:r w:rsidR="00886000" w:rsidRPr="005C3BEB">
        <w:rPr>
          <w:rFonts w:cs="Times New Roman"/>
          <w:szCs w:val="24"/>
        </w:rPr>
        <w:t xml:space="preserve"> (</w:t>
      </w:r>
      <w:r w:rsidR="00886000" w:rsidRPr="005C3BEB">
        <w:rPr>
          <w:rFonts w:cs="Times New Roman"/>
          <w:szCs w:val="24"/>
          <w:shd w:val="clear" w:color="auto" w:fill="FFFFFF"/>
        </w:rPr>
        <w:t>Sund and Anson, 2021)</w:t>
      </w:r>
      <w:r w:rsidRPr="005C3BEB">
        <w:rPr>
          <w:rFonts w:cs="Times New Roman"/>
          <w:szCs w:val="24"/>
        </w:rPr>
        <w:t>. Overseas business operations also open new revenue opportunities for Royal Mail and break the company’s dependence on the domestic market. The outcomes of this diversification reveal possible growth in the forthcoming future of new markets and solidify its international competitiveness.</w:t>
      </w:r>
    </w:p>
    <w:p w14:paraId="2B8F8733" w14:textId="77777777" w:rsidR="00AD18E1" w:rsidRPr="005C3BEB" w:rsidRDefault="00AD18E1" w:rsidP="005C3BEB">
      <w:pPr>
        <w:pStyle w:val="ListParagraph"/>
        <w:numPr>
          <w:ilvl w:val="0"/>
          <w:numId w:val="8"/>
        </w:numPr>
        <w:spacing w:line="360" w:lineRule="auto"/>
        <w:jc w:val="both"/>
        <w:rPr>
          <w:rFonts w:cs="Times New Roman"/>
          <w:szCs w:val="24"/>
          <w:u w:val="single"/>
        </w:rPr>
      </w:pPr>
      <w:r w:rsidRPr="005C3BEB">
        <w:rPr>
          <w:rFonts w:cs="Times New Roman"/>
          <w:szCs w:val="24"/>
          <w:u w:val="single"/>
        </w:rPr>
        <w:t>Diversification of Services</w:t>
      </w:r>
    </w:p>
    <w:p w14:paraId="3C4282A0" w14:textId="77777777" w:rsidR="00AD18E1" w:rsidRPr="005C3BEB" w:rsidRDefault="00AD18E1" w:rsidP="005C3BEB">
      <w:pPr>
        <w:spacing w:line="360" w:lineRule="auto"/>
        <w:jc w:val="both"/>
        <w:rPr>
          <w:rFonts w:cs="Times New Roman"/>
          <w:szCs w:val="24"/>
        </w:rPr>
      </w:pPr>
      <w:r w:rsidRPr="005C3BEB">
        <w:rPr>
          <w:rFonts w:cs="Times New Roman"/>
          <w:szCs w:val="24"/>
        </w:rPr>
        <w:t>Investment and Implementation: New products and business solutions have been added to Royal Mail’s portfolio to broaden its over-all service platform</w:t>
      </w:r>
      <w:r w:rsidR="00886000" w:rsidRPr="005C3BEB">
        <w:rPr>
          <w:rFonts w:cs="Times New Roman"/>
          <w:szCs w:val="24"/>
        </w:rPr>
        <w:t xml:space="preserve"> (</w:t>
      </w:r>
      <w:r w:rsidR="00886000" w:rsidRPr="005C3BEB">
        <w:rPr>
          <w:rFonts w:cs="Times New Roman"/>
          <w:szCs w:val="24"/>
          <w:shd w:val="clear" w:color="auto" w:fill="FFFFFF"/>
        </w:rPr>
        <w:t>Sund and Anson, 2021)</w:t>
      </w:r>
      <w:r w:rsidRPr="005C3BEB">
        <w:rPr>
          <w:rFonts w:cs="Times New Roman"/>
          <w:szCs w:val="24"/>
        </w:rPr>
        <w:t>. These may entail services like data analytics marketing solutions, and other business solutions other than deliveries of mails</w:t>
      </w:r>
      <w:r w:rsidR="00886000" w:rsidRPr="005C3BEB">
        <w:rPr>
          <w:rFonts w:cs="Times New Roman"/>
          <w:szCs w:val="24"/>
        </w:rPr>
        <w:t xml:space="preserve"> (</w:t>
      </w:r>
      <w:r w:rsidR="00886000" w:rsidRPr="005C3BEB">
        <w:rPr>
          <w:rFonts w:cs="Times New Roman"/>
          <w:szCs w:val="24"/>
          <w:shd w:val="clear" w:color="auto" w:fill="FFFFFF"/>
        </w:rPr>
        <w:t>Sund and Anson, 2021)</w:t>
      </w:r>
      <w:r w:rsidRPr="005C3BEB">
        <w:rPr>
          <w:rFonts w:cs="Times New Roman"/>
          <w:szCs w:val="24"/>
        </w:rPr>
        <w:t xml:space="preserve">. The rationale for diversification is to use Royal Mail existing facilities and systems to provide new range of services. This not only increases revenue </w:t>
      </w:r>
      <w:proofErr w:type="gramStart"/>
      <w:r w:rsidRPr="005C3BEB">
        <w:rPr>
          <w:rFonts w:cs="Times New Roman"/>
          <w:szCs w:val="24"/>
        </w:rPr>
        <w:t>capabilities</w:t>
      </w:r>
      <w:proofErr w:type="gramEnd"/>
      <w:r w:rsidRPr="005C3BEB">
        <w:rPr>
          <w:rFonts w:cs="Times New Roman"/>
          <w:szCs w:val="24"/>
        </w:rPr>
        <w:t xml:space="preserve"> but it also eliminates vices that are due to over dependence on the core postal services.</w:t>
      </w:r>
    </w:p>
    <w:p w14:paraId="5E99F875" w14:textId="77777777" w:rsidR="002A4A73" w:rsidRPr="005C3BEB" w:rsidRDefault="002A4A73" w:rsidP="005C3BEB">
      <w:pPr>
        <w:spacing w:line="360" w:lineRule="auto"/>
        <w:jc w:val="both"/>
        <w:rPr>
          <w:rFonts w:cs="Times New Roman"/>
          <w:b/>
          <w:i/>
          <w:szCs w:val="24"/>
        </w:rPr>
      </w:pPr>
      <w:r w:rsidRPr="005C3BEB">
        <w:rPr>
          <w:rFonts w:cs="Times New Roman"/>
          <w:b/>
          <w:i/>
          <w:szCs w:val="24"/>
        </w:rPr>
        <w:t>5. Impact and Challenges</w:t>
      </w:r>
    </w:p>
    <w:p w14:paraId="53DD9385" w14:textId="77777777" w:rsidR="002A4A73" w:rsidRPr="005C3BEB" w:rsidRDefault="002A4A73" w:rsidP="005C3BEB">
      <w:pPr>
        <w:pStyle w:val="ListParagraph"/>
        <w:numPr>
          <w:ilvl w:val="0"/>
          <w:numId w:val="12"/>
        </w:numPr>
        <w:spacing w:line="360" w:lineRule="auto"/>
        <w:jc w:val="both"/>
        <w:rPr>
          <w:rFonts w:cs="Times New Roman"/>
          <w:szCs w:val="24"/>
          <w:u w:val="single"/>
        </w:rPr>
      </w:pPr>
      <w:r w:rsidRPr="005C3BEB">
        <w:rPr>
          <w:rFonts w:cs="Times New Roman"/>
          <w:szCs w:val="24"/>
          <w:u w:val="single"/>
        </w:rPr>
        <w:t>Impact</w:t>
      </w:r>
    </w:p>
    <w:p w14:paraId="7671282F" w14:textId="77777777" w:rsidR="002A4A73" w:rsidRPr="005C3BEB" w:rsidRDefault="002A4A73" w:rsidP="005C3BEB">
      <w:pPr>
        <w:pStyle w:val="ListParagraph"/>
        <w:numPr>
          <w:ilvl w:val="0"/>
          <w:numId w:val="19"/>
        </w:numPr>
        <w:spacing w:line="360" w:lineRule="auto"/>
        <w:jc w:val="both"/>
        <w:rPr>
          <w:rFonts w:cs="Times New Roman"/>
          <w:szCs w:val="24"/>
        </w:rPr>
      </w:pPr>
      <w:r w:rsidRPr="005C3BEB">
        <w:rPr>
          <w:rFonts w:cs="Times New Roman"/>
          <w:szCs w:val="24"/>
        </w:rPr>
        <w:t>Operational Efficiency: Such advances in technology and Infrastructure have therefore called for efficiency improvement in operations, reduction in time taken to process Information and better customer services.</w:t>
      </w:r>
    </w:p>
    <w:p w14:paraId="6E1F8F3A" w14:textId="77777777" w:rsidR="002A4A73" w:rsidRPr="005C3BEB" w:rsidRDefault="00886000" w:rsidP="005C3BEB">
      <w:pPr>
        <w:pStyle w:val="ListParagraph"/>
        <w:numPr>
          <w:ilvl w:val="0"/>
          <w:numId w:val="19"/>
        </w:numPr>
        <w:spacing w:line="360" w:lineRule="auto"/>
        <w:jc w:val="both"/>
        <w:rPr>
          <w:rFonts w:cs="Times New Roman"/>
          <w:szCs w:val="24"/>
        </w:rPr>
      </w:pPr>
      <w:r w:rsidRPr="005C3BEB">
        <w:rPr>
          <w:rFonts w:cs="Times New Roman"/>
          <w:szCs w:val="24"/>
        </w:rPr>
        <w:t>Market Position: W</w:t>
      </w:r>
      <w:r w:rsidR="002A4A73" w:rsidRPr="005C3BEB">
        <w:rPr>
          <w:rFonts w:cs="Times New Roman"/>
          <w:szCs w:val="24"/>
        </w:rPr>
        <w:t>ith expansion and diversification have increased Royal Mail’s competitive advantages as well as sources of revenue that expand the company’s capability of maintaining its long-term growth in the future.</w:t>
      </w:r>
    </w:p>
    <w:p w14:paraId="4BC6A386" w14:textId="77777777" w:rsidR="002A4A73" w:rsidRPr="005C3BEB" w:rsidRDefault="002A4A73" w:rsidP="005C3BEB">
      <w:pPr>
        <w:pStyle w:val="ListParagraph"/>
        <w:numPr>
          <w:ilvl w:val="0"/>
          <w:numId w:val="13"/>
        </w:numPr>
        <w:spacing w:line="360" w:lineRule="auto"/>
        <w:jc w:val="both"/>
        <w:rPr>
          <w:rFonts w:cs="Times New Roman"/>
          <w:szCs w:val="24"/>
          <w:u w:val="single"/>
        </w:rPr>
      </w:pPr>
      <w:r w:rsidRPr="005C3BEB">
        <w:rPr>
          <w:rFonts w:cs="Times New Roman"/>
          <w:szCs w:val="24"/>
          <w:u w:val="single"/>
        </w:rPr>
        <w:t>Challenges</w:t>
      </w:r>
    </w:p>
    <w:p w14:paraId="1E7C2479" w14:textId="77777777" w:rsidR="002A4A73" w:rsidRPr="005C3BEB" w:rsidRDefault="002A4A73" w:rsidP="005C3BEB">
      <w:pPr>
        <w:pStyle w:val="ListParagraph"/>
        <w:numPr>
          <w:ilvl w:val="0"/>
          <w:numId w:val="20"/>
        </w:numPr>
        <w:spacing w:line="360" w:lineRule="auto"/>
        <w:jc w:val="both"/>
        <w:rPr>
          <w:rFonts w:cs="Times New Roman"/>
          <w:szCs w:val="24"/>
        </w:rPr>
      </w:pPr>
      <w:r w:rsidRPr="005C3BEB">
        <w:rPr>
          <w:rFonts w:cs="Times New Roman"/>
          <w:szCs w:val="24"/>
        </w:rPr>
        <w:t>High Initial Costs: These involve a lot of technology upgrade, and acquisition and modernization of communication and transportation fleet, construction of new structures and other infrastructural developments which have demanded high initial investments</w:t>
      </w:r>
      <w:r w:rsidR="00886000" w:rsidRPr="005C3BEB">
        <w:rPr>
          <w:rFonts w:cs="Times New Roman"/>
          <w:szCs w:val="24"/>
        </w:rPr>
        <w:t xml:space="preserve"> (</w:t>
      </w:r>
      <w:r w:rsidR="00886000" w:rsidRPr="005C3BEB">
        <w:rPr>
          <w:rFonts w:cs="Times New Roman"/>
          <w:szCs w:val="24"/>
          <w:shd w:val="clear" w:color="auto" w:fill="FFFFFF"/>
        </w:rPr>
        <w:t>Sund and Anson, 2021)</w:t>
      </w:r>
      <w:r w:rsidRPr="005C3BEB">
        <w:rPr>
          <w:rFonts w:cs="Times New Roman"/>
          <w:szCs w:val="24"/>
        </w:rPr>
        <w:t>. Much attention is paid to the sustainable finance of such costs, the goal is to reduce them while maintaining the financial stability of the enterprise.</w:t>
      </w:r>
    </w:p>
    <w:p w14:paraId="1B8FF2CD" w14:textId="77777777" w:rsidR="002A4A73" w:rsidRPr="005C3BEB" w:rsidRDefault="002A4A73" w:rsidP="005C3BEB">
      <w:pPr>
        <w:pStyle w:val="ListParagraph"/>
        <w:numPr>
          <w:ilvl w:val="0"/>
          <w:numId w:val="20"/>
        </w:numPr>
        <w:spacing w:line="360" w:lineRule="auto"/>
        <w:jc w:val="both"/>
        <w:rPr>
          <w:rFonts w:cs="Times New Roman"/>
          <w:szCs w:val="24"/>
        </w:rPr>
      </w:pPr>
      <w:r w:rsidRPr="005C3BEB">
        <w:rPr>
          <w:rFonts w:cs="Times New Roman"/>
          <w:szCs w:val="24"/>
        </w:rPr>
        <w:t xml:space="preserve">Integration Issues: New technologies and new systems are added and implemented within the operations may prove to be challenging and may face major resistances. As </w:t>
      </w:r>
      <w:r w:rsidRPr="005C3BEB">
        <w:rPr>
          <w:rFonts w:cs="Times New Roman"/>
          <w:szCs w:val="24"/>
        </w:rPr>
        <w:lastRenderedPageBreak/>
        <w:t>with any integration initiative, there has been a challenge in attempting to ensure very good integration without creating disruptions in the process.</w:t>
      </w:r>
    </w:p>
    <w:p w14:paraId="7C6268D4" w14:textId="77777777" w:rsidR="00F24132" w:rsidRPr="009D2560" w:rsidRDefault="002A4A73" w:rsidP="005C3BEB">
      <w:pPr>
        <w:spacing w:line="360" w:lineRule="auto"/>
        <w:jc w:val="both"/>
        <w:rPr>
          <w:rFonts w:eastAsiaTheme="majorEastAsia" w:cs="Times New Roman"/>
          <w:b/>
          <w:szCs w:val="24"/>
          <w:u w:val="single"/>
        </w:rPr>
      </w:pPr>
      <w:r w:rsidRPr="005C3BEB">
        <w:rPr>
          <w:rFonts w:eastAsiaTheme="majorEastAsia" w:cs="Times New Roman"/>
          <w:b/>
          <w:szCs w:val="24"/>
          <w:u w:val="single"/>
        </w:rPr>
        <w:t xml:space="preserve">Dividend pay-outs: </w:t>
      </w:r>
    </w:p>
    <w:tbl>
      <w:tblPr>
        <w:tblW w:w="8840" w:type="dxa"/>
        <w:tblInd w:w="-10" w:type="dxa"/>
        <w:tblLook w:val="04A0" w:firstRow="1" w:lastRow="0" w:firstColumn="1" w:lastColumn="0" w:noHBand="0" w:noVBand="1"/>
      </w:tblPr>
      <w:tblGrid>
        <w:gridCol w:w="1360"/>
        <w:gridCol w:w="1960"/>
        <w:gridCol w:w="2360"/>
        <w:gridCol w:w="3160"/>
      </w:tblGrid>
      <w:tr w:rsidR="002A4A73" w:rsidRPr="005C3BEB" w14:paraId="3F41F5C6" w14:textId="77777777" w:rsidTr="002A4A73">
        <w:trPr>
          <w:trHeight w:val="645"/>
        </w:trPr>
        <w:tc>
          <w:tcPr>
            <w:tcW w:w="136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665C7C5B" w14:textId="77777777" w:rsidR="002A4A73" w:rsidRPr="005C3BEB" w:rsidRDefault="002A4A73" w:rsidP="005C3BEB">
            <w:pPr>
              <w:spacing w:after="0" w:line="360" w:lineRule="auto"/>
              <w:jc w:val="both"/>
              <w:rPr>
                <w:rFonts w:eastAsia="Times New Roman" w:cs="Times New Roman"/>
                <w:b/>
                <w:bCs/>
                <w:szCs w:val="24"/>
                <w:lang w:val="en-IN" w:eastAsia="en-IN"/>
              </w:rPr>
            </w:pPr>
            <w:r w:rsidRPr="005C3BEB">
              <w:rPr>
                <w:rFonts w:eastAsia="Times New Roman" w:cs="Times New Roman"/>
                <w:b/>
                <w:bCs/>
                <w:szCs w:val="24"/>
                <w:lang w:eastAsia="en-IN"/>
              </w:rPr>
              <w:t>Year</w:t>
            </w:r>
          </w:p>
        </w:tc>
        <w:tc>
          <w:tcPr>
            <w:tcW w:w="1960" w:type="dxa"/>
            <w:tcBorders>
              <w:top w:val="single" w:sz="8" w:space="0" w:color="auto"/>
              <w:left w:val="nil"/>
              <w:bottom w:val="single" w:sz="8" w:space="0" w:color="auto"/>
              <w:right w:val="single" w:sz="8" w:space="0" w:color="auto"/>
            </w:tcBorders>
            <w:shd w:val="clear" w:color="auto" w:fill="auto"/>
            <w:vAlign w:val="center"/>
            <w:hideMark/>
          </w:tcPr>
          <w:p w14:paraId="051BAC45" w14:textId="77777777" w:rsidR="002A4A73" w:rsidRPr="005C3BEB" w:rsidRDefault="002A4A73" w:rsidP="005C3BEB">
            <w:pPr>
              <w:spacing w:after="0" w:line="360" w:lineRule="auto"/>
              <w:jc w:val="both"/>
              <w:rPr>
                <w:rFonts w:eastAsia="Times New Roman" w:cs="Times New Roman"/>
                <w:b/>
                <w:bCs/>
                <w:szCs w:val="24"/>
                <w:lang w:eastAsia="en-IN"/>
              </w:rPr>
            </w:pPr>
            <w:r w:rsidRPr="005C3BEB">
              <w:rPr>
                <w:rFonts w:eastAsia="Times New Roman" w:cs="Times New Roman"/>
                <w:b/>
                <w:bCs/>
                <w:szCs w:val="24"/>
                <w:lang w:eastAsia="en-IN"/>
              </w:rPr>
              <w:t xml:space="preserve">Dividend  </w:t>
            </w:r>
          </w:p>
          <w:p w14:paraId="11AC7430" w14:textId="77777777" w:rsidR="002A4A73" w:rsidRPr="005C3BEB" w:rsidRDefault="002A4A73" w:rsidP="005C3BEB">
            <w:pPr>
              <w:spacing w:after="0" w:line="360" w:lineRule="auto"/>
              <w:jc w:val="both"/>
              <w:rPr>
                <w:rFonts w:eastAsia="Times New Roman" w:cs="Times New Roman"/>
                <w:b/>
                <w:bCs/>
                <w:szCs w:val="24"/>
                <w:lang w:val="en-IN" w:eastAsia="en-IN"/>
              </w:rPr>
            </w:pPr>
            <w:r w:rsidRPr="005C3BEB">
              <w:rPr>
                <w:rFonts w:eastAsia="Times New Roman" w:cs="Times New Roman"/>
                <w:b/>
                <w:bCs/>
                <w:szCs w:val="24"/>
                <w:lang w:eastAsia="en-IN"/>
              </w:rPr>
              <w:t>(£ million)</w:t>
            </w:r>
          </w:p>
        </w:tc>
        <w:tc>
          <w:tcPr>
            <w:tcW w:w="2360" w:type="dxa"/>
            <w:tcBorders>
              <w:top w:val="single" w:sz="8" w:space="0" w:color="auto"/>
              <w:left w:val="nil"/>
              <w:bottom w:val="single" w:sz="8" w:space="0" w:color="auto"/>
              <w:right w:val="single" w:sz="8" w:space="0" w:color="auto"/>
            </w:tcBorders>
            <w:shd w:val="clear" w:color="auto" w:fill="auto"/>
            <w:vAlign w:val="center"/>
            <w:hideMark/>
          </w:tcPr>
          <w:p w14:paraId="1FF213DB" w14:textId="77777777" w:rsidR="002A4A73" w:rsidRPr="005C3BEB" w:rsidRDefault="002A4A73" w:rsidP="005C3BEB">
            <w:pPr>
              <w:spacing w:after="0" w:line="360" w:lineRule="auto"/>
              <w:jc w:val="both"/>
              <w:rPr>
                <w:rFonts w:eastAsia="Times New Roman" w:cs="Times New Roman"/>
                <w:b/>
                <w:bCs/>
                <w:szCs w:val="24"/>
                <w:lang w:eastAsia="en-IN"/>
              </w:rPr>
            </w:pPr>
            <w:r w:rsidRPr="005C3BEB">
              <w:rPr>
                <w:rFonts w:eastAsia="Times New Roman" w:cs="Times New Roman"/>
                <w:b/>
                <w:bCs/>
                <w:szCs w:val="24"/>
                <w:lang w:eastAsia="en-IN"/>
              </w:rPr>
              <w:t xml:space="preserve">Net income </w:t>
            </w:r>
          </w:p>
          <w:p w14:paraId="24F077CD" w14:textId="77777777" w:rsidR="002A4A73" w:rsidRPr="005C3BEB" w:rsidRDefault="002A4A73" w:rsidP="005C3BEB">
            <w:pPr>
              <w:spacing w:after="0" w:line="360" w:lineRule="auto"/>
              <w:jc w:val="both"/>
              <w:rPr>
                <w:rFonts w:eastAsia="Times New Roman" w:cs="Times New Roman"/>
                <w:b/>
                <w:bCs/>
                <w:szCs w:val="24"/>
                <w:lang w:val="en-IN" w:eastAsia="en-IN"/>
              </w:rPr>
            </w:pPr>
            <w:r w:rsidRPr="005C3BEB">
              <w:rPr>
                <w:rFonts w:eastAsia="Times New Roman" w:cs="Times New Roman"/>
                <w:b/>
                <w:bCs/>
                <w:szCs w:val="24"/>
                <w:lang w:eastAsia="en-IN"/>
              </w:rPr>
              <w:t>(£ million)</w:t>
            </w:r>
          </w:p>
        </w:tc>
        <w:tc>
          <w:tcPr>
            <w:tcW w:w="3160" w:type="dxa"/>
            <w:tcBorders>
              <w:top w:val="single" w:sz="8" w:space="0" w:color="auto"/>
              <w:left w:val="nil"/>
              <w:bottom w:val="single" w:sz="8" w:space="0" w:color="auto"/>
              <w:right w:val="single" w:sz="8" w:space="0" w:color="auto"/>
            </w:tcBorders>
            <w:shd w:val="clear" w:color="auto" w:fill="auto"/>
            <w:vAlign w:val="center"/>
            <w:hideMark/>
          </w:tcPr>
          <w:p w14:paraId="3830B2A3" w14:textId="77777777" w:rsidR="002A4A73" w:rsidRPr="005C3BEB" w:rsidRDefault="002A4A73" w:rsidP="005C3BEB">
            <w:pPr>
              <w:spacing w:after="0" w:line="360" w:lineRule="auto"/>
              <w:jc w:val="both"/>
              <w:rPr>
                <w:rFonts w:eastAsia="Times New Roman" w:cs="Times New Roman"/>
                <w:b/>
                <w:bCs/>
                <w:szCs w:val="24"/>
                <w:lang w:val="en-IN" w:eastAsia="en-IN"/>
              </w:rPr>
            </w:pPr>
            <w:r w:rsidRPr="005C3BEB">
              <w:rPr>
                <w:rFonts w:eastAsia="Times New Roman" w:cs="Times New Roman"/>
                <w:b/>
                <w:bCs/>
                <w:szCs w:val="24"/>
                <w:lang w:eastAsia="en-IN"/>
              </w:rPr>
              <w:t xml:space="preserve">Dividend pay-out ratio= (Dividend/ Net </w:t>
            </w:r>
            <w:proofErr w:type="gramStart"/>
            <w:r w:rsidRPr="005C3BEB">
              <w:rPr>
                <w:rFonts w:eastAsia="Times New Roman" w:cs="Times New Roman"/>
                <w:b/>
                <w:bCs/>
                <w:szCs w:val="24"/>
                <w:lang w:eastAsia="en-IN"/>
              </w:rPr>
              <w:t>income)*</w:t>
            </w:r>
            <w:proofErr w:type="gramEnd"/>
            <w:r w:rsidRPr="005C3BEB">
              <w:rPr>
                <w:rFonts w:eastAsia="Times New Roman" w:cs="Times New Roman"/>
                <w:b/>
                <w:bCs/>
                <w:szCs w:val="24"/>
                <w:lang w:eastAsia="en-IN"/>
              </w:rPr>
              <w:t>100</w:t>
            </w:r>
          </w:p>
        </w:tc>
      </w:tr>
      <w:tr w:rsidR="002A4A73" w:rsidRPr="005C3BEB" w14:paraId="111FBDF2" w14:textId="77777777" w:rsidTr="002A4A73">
        <w:trPr>
          <w:trHeight w:val="330"/>
        </w:trPr>
        <w:tc>
          <w:tcPr>
            <w:tcW w:w="1360" w:type="dxa"/>
            <w:tcBorders>
              <w:top w:val="nil"/>
              <w:left w:val="single" w:sz="8" w:space="0" w:color="auto"/>
              <w:bottom w:val="single" w:sz="8" w:space="0" w:color="auto"/>
              <w:right w:val="single" w:sz="8" w:space="0" w:color="auto"/>
            </w:tcBorders>
            <w:shd w:val="clear" w:color="auto" w:fill="auto"/>
            <w:vAlign w:val="center"/>
            <w:hideMark/>
          </w:tcPr>
          <w:p w14:paraId="607E8F9C" w14:textId="77777777" w:rsidR="002A4A73" w:rsidRPr="005C3BEB" w:rsidRDefault="002A4A73" w:rsidP="005C3BEB">
            <w:pPr>
              <w:spacing w:after="0" w:line="360" w:lineRule="auto"/>
              <w:jc w:val="both"/>
              <w:rPr>
                <w:rFonts w:eastAsia="Times New Roman" w:cs="Times New Roman"/>
                <w:b/>
                <w:bCs/>
                <w:szCs w:val="24"/>
                <w:lang w:val="en-IN" w:eastAsia="en-IN"/>
              </w:rPr>
            </w:pPr>
            <w:r w:rsidRPr="005C3BEB">
              <w:rPr>
                <w:rFonts w:eastAsia="Times New Roman" w:cs="Times New Roman"/>
                <w:b/>
                <w:bCs/>
                <w:szCs w:val="24"/>
                <w:lang w:eastAsia="en-IN"/>
              </w:rPr>
              <w:t>2022</w:t>
            </w:r>
          </w:p>
        </w:tc>
        <w:tc>
          <w:tcPr>
            <w:tcW w:w="1960" w:type="dxa"/>
            <w:tcBorders>
              <w:top w:val="nil"/>
              <w:left w:val="nil"/>
              <w:bottom w:val="single" w:sz="8" w:space="0" w:color="auto"/>
              <w:right w:val="single" w:sz="8" w:space="0" w:color="auto"/>
            </w:tcBorders>
            <w:shd w:val="clear" w:color="auto" w:fill="auto"/>
            <w:vAlign w:val="center"/>
            <w:hideMark/>
          </w:tcPr>
          <w:p w14:paraId="725835FA" w14:textId="77777777" w:rsidR="002A4A73" w:rsidRPr="005C3BEB" w:rsidRDefault="002A4A73" w:rsidP="005C3BEB">
            <w:pPr>
              <w:spacing w:after="0" w:line="360" w:lineRule="auto"/>
              <w:jc w:val="both"/>
              <w:rPr>
                <w:rFonts w:eastAsia="Times New Roman" w:cs="Times New Roman"/>
                <w:bCs/>
                <w:szCs w:val="24"/>
                <w:lang w:val="en-IN" w:eastAsia="en-IN"/>
              </w:rPr>
            </w:pPr>
            <w:r w:rsidRPr="005C3BEB">
              <w:rPr>
                <w:rFonts w:eastAsia="Times New Roman" w:cs="Times New Roman"/>
                <w:bCs/>
                <w:szCs w:val="24"/>
                <w:lang w:eastAsia="en-IN"/>
              </w:rPr>
              <w:t>336</w:t>
            </w:r>
          </w:p>
        </w:tc>
        <w:tc>
          <w:tcPr>
            <w:tcW w:w="2360" w:type="dxa"/>
            <w:tcBorders>
              <w:top w:val="nil"/>
              <w:left w:val="nil"/>
              <w:bottom w:val="single" w:sz="8" w:space="0" w:color="auto"/>
              <w:right w:val="single" w:sz="8" w:space="0" w:color="auto"/>
            </w:tcBorders>
            <w:shd w:val="clear" w:color="auto" w:fill="auto"/>
            <w:vAlign w:val="center"/>
            <w:hideMark/>
          </w:tcPr>
          <w:p w14:paraId="3D1B9DA6" w14:textId="77777777" w:rsidR="002A4A73" w:rsidRPr="005C3BEB" w:rsidRDefault="002A4A73" w:rsidP="005C3BEB">
            <w:pPr>
              <w:spacing w:after="0" w:line="360" w:lineRule="auto"/>
              <w:jc w:val="both"/>
              <w:rPr>
                <w:rFonts w:eastAsia="Times New Roman" w:cs="Times New Roman"/>
                <w:bCs/>
                <w:szCs w:val="24"/>
                <w:lang w:val="en-IN" w:eastAsia="en-IN"/>
              </w:rPr>
            </w:pPr>
            <w:r w:rsidRPr="005C3BEB">
              <w:rPr>
                <w:rFonts w:eastAsia="Times New Roman" w:cs="Times New Roman"/>
                <w:bCs/>
                <w:szCs w:val="24"/>
                <w:lang w:eastAsia="en-IN"/>
              </w:rPr>
              <w:t>612</w:t>
            </w:r>
          </w:p>
        </w:tc>
        <w:tc>
          <w:tcPr>
            <w:tcW w:w="3160" w:type="dxa"/>
            <w:tcBorders>
              <w:top w:val="nil"/>
              <w:left w:val="nil"/>
              <w:bottom w:val="single" w:sz="8" w:space="0" w:color="auto"/>
              <w:right w:val="single" w:sz="8" w:space="0" w:color="auto"/>
            </w:tcBorders>
            <w:shd w:val="clear" w:color="auto" w:fill="auto"/>
            <w:vAlign w:val="center"/>
            <w:hideMark/>
          </w:tcPr>
          <w:p w14:paraId="677BBD72" w14:textId="77777777" w:rsidR="002A4A73" w:rsidRPr="005C3BEB" w:rsidRDefault="002A4A73" w:rsidP="005C3BEB">
            <w:pPr>
              <w:spacing w:after="0" w:line="360" w:lineRule="auto"/>
              <w:jc w:val="both"/>
              <w:rPr>
                <w:rFonts w:eastAsia="Times New Roman" w:cs="Times New Roman"/>
                <w:b/>
                <w:bCs/>
                <w:szCs w:val="24"/>
                <w:lang w:val="en-IN" w:eastAsia="en-IN"/>
              </w:rPr>
            </w:pPr>
            <w:r w:rsidRPr="005C3BEB">
              <w:rPr>
                <w:rFonts w:eastAsia="Times New Roman" w:cs="Times New Roman"/>
                <w:b/>
                <w:bCs/>
                <w:szCs w:val="24"/>
                <w:lang w:eastAsia="en-IN"/>
              </w:rPr>
              <w:t>54.90%</w:t>
            </w:r>
          </w:p>
        </w:tc>
      </w:tr>
      <w:tr w:rsidR="002A4A73" w:rsidRPr="005C3BEB" w14:paraId="29871B1F" w14:textId="77777777" w:rsidTr="002A4A73">
        <w:trPr>
          <w:trHeight w:val="330"/>
        </w:trPr>
        <w:tc>
          <w:tcPr>
            <w:tcW w:w="1360" w:type="dxa"/>
            <w:tcBorders>
              <w:top w:val="nil"/>
              <w:left w:val="single" w:sz="8" w:space="0" w:color="auto"/>
              <w:bottom w:val="single" w:sz="8" w:space="0" w:color="auto"/>
              <w:right w:val="single" w:sz="8" w:space="0" w:color="auto"/>
            </w:tcBorders>
            <w:shd w:val="clear" w:color="auto" w:fill="auto"/>
            <w:vAlign w:val="center"/>
            <w:hideMark/>
          </w:tcPr>
          <w:p w14:paraId="09C6A63D" w14:textId="77777777" w:rsidR="002A4A73" w:rsidRPr="005C3BEB" w:rsidRDefault="002A4A73" w:rsidP="005C3BEB">
            <w:pPr>
              <w:spacing w:after="0" w:line="360" w:lineRule="auto"/>
              <w:jc w:val="both"/>
              <w:rPr>
                <w:rFonts w:eastAsia="Times New Roman" w:cs="Times New Roman"/>
                <w:b/>
                <w:bCs/>
                <w:szCs w:val="24"/>
                <w:lang w:val="en-IN" w:eastAsia="en-IN"/>
              </w:rPr>
            </w:pPr>
            <w:r w:rsidRPr="005C3BEB">
              <w:rPr>
                <w:rFonts w:eastAsia="Times New Roman" w:cs="Times New Roman"/>
                <w:b/>
                <w:bCs/>
                <w:szCs w:val="24"/>
                <w:lang w:eastAsia="en-IN"/>
              </w:rPr>
              <w:t>2021</w:t>
            </w:r>
          </w:p>
        </w:tc>
        <w:tc>
          <w:tcPr>
            <w:tcW w:w="1960" w:type="dxa"/>
            <w:tcBorders>
              <w:top w:val="nil"/>
              <w:left w:val="nil"/>
              <w:bottom w:val="single" w:sz="8" w:space="0" w:color="auto"/>
              <w:right w:val="single" w:sz="8" w:space="0" w:color="auto"/>
            </w:tcBorders>
            <w:shd w:val="clear" w:color="auto" w:fill="auto"/>
            <w:vAlign w:val="center"/>
            <w:hideMark/>
          </w:tcPr>
          <w:p w14:paraId="24E423EA" w14:textId="77777777" w:rsidR="002A4A73" w:rsidRPr="005C3BEB" w:rsidRDefault="002A4A73" w:rsidP="005C3BEB">
            <w:pPr>
              <w:spacing w:after="0" w:line="360" w:lineRule="auto"/>
              <w:jc w:val="both"/>
              <w:rPr>
                <w:rFonts w:eastAsia="Times New Roman" w:cs="Times New Roman"/>
                <w:bCs/>
                <w:szCs w:val="24"/>
                <w:lang w:val="en-IN" w:eastAsia="en-IN"/>
              </w:rPr>
            </w:pPr>
            <w:r w:rsidRPr="005C3BEB">
              <w:rPr>
                <w:rFonts w:eastAsia="Times New Roman" w:cs="Times New Roman"/>
                <w:bCs/>
                <w:szCs w:val="24"/>
                <w:lang w:eastAsia="en-IN"/>
              </w:rPr>
              <w:t>244</w:t>
            </w:r>
          </w:p>
        </w:tc>
        <w:tc>
          <w:tcPr>
            <w:tcW w:w="2360" w:type="dxa"/>
            <w:tcBorders>
              <w:top w:val="nil"/>
              <w:left w:val="nil"/>
              <w:bottom w:val="single" w:sz="8" w:space="0" w:color="auto"/>
              <w:right w:val="single" w:sz="8" w:space="0" w:color="auto"/>
            </w:tcBorders>
            <w:shd w:val="clear" w:color="auto" w:fill="auto"/>
            <w:vAlign w:val="center"/>
            <w:hideMark/>
          </w:tcPr>
          <w:p w14:paraId="5F4292DC" w14:textId="77777777" w:rsidR="002A4A73" w:rsidRPr="005C3BEB" w:rsidRDefault="002A4A73" w:rsidP="005C3BEB">
            <w:pPr>
              <w:spacing w:after="0" w:line="360" w:lineRule="auto"/>
              <w:jc w:val="both"/>
              <w:rPr>
                <w:rFonts w:eastAsia="Times New Roman" w:cs="Times New Roman"/>
                <w:bCs/>
                <w:szCs w:val="24"/>
                <w:lang w:val="en-IN" w:eastAsia="en-IN"/>
              </w:rPr>
            </w:pPr>
            <w:r w:rsidRPr="005C3BEB">
              <w:rPr>
                <w:rFonts w:eastAsia="Times New Roman" w:cs="Times New Roman"/>
                <w:bCs/>
                <w:szCs w:val="24"/>
                <w:lang w:eastAsia="en-IN"/>
              </w:rPr>
              <w:t>620</w:t>
            </w:r>
          </w:p>
        </w:tc>
        <w:tc>
          <w:tcPr>
            <w:tcW w:w="3160" w:type="dxa"/>
            <w:tcBorders>
              <w:top w:val="nil"/>
              <w:left w:val="nil"/>
              <w:bottom w:val="single" w:sz="8" w:space="0" w:color="auto"/>
              <w:right w:val="single" w:sz="8" w:space="0" w:color="auto"/>
            </w:tcBorders>
            <w:shd w:val="clear" w:color="auto" w:fill="auto"/>
            <w:vAlign w:val="center"/>
            <w:hideMark/>
          </w:tcPr>
          <w:p w14:paraId="1808ED5F" w14:textId="77777777" w:rsidR="002A4A73" w:rsidRPr="005C3BEB" w:rsidRDefault="002A4A73" w:rsidP="005C3BEB">
            <w:pPr>
              <w:spacing w:after="0" w:line="360" w:lineRule="auto"/>
              <w:jc w:val="both"/>
              <w:rPr>
                <w:rFonts w:eastAsia="Times New Roman" w:cs="Times New Roman"/>
                <w:b/>
                <w:bCs/>
                <w:szCs w:val="24"/>
                <w:lang w:val="en-IN" w:eastAsia="en-IN"/>
              </w:rPr>
            </w:pPr>
            <w:r w:rsidRPr="005C3BEB">
              <w:rPr>
                <w:rFonts w:eastAsia="Times New Roman" w:cs="Times New Roman"/>
                <w:b/>
                <w:bCs/>
                <w:szCs w:val="24"/>
                <w:lang w:eastAsia="en-IN"/>
              </w:rPr>
              <w:t>39.35%</w:t>
            </w:r>
          </w:p>
        </w:tc>
      </w:tr>
      <w:tr w:rsidR="002A4A73" w:rsidRPr="005C3BEB" w14:paraId="439A5296" w14:textId="77777777" w:rsidTr="002A4A73">
        <w:trPr>
          <w:trHeight w:val="330"/>
        </w:trPr>
        <w:tc>
          <w:tcPr>
            <w:tcW w:w="1360" w:type="dxa"/>
            <w:tcBorders>
              <w:top w:val="nil"/>
              <w:left w:val="single" w:sz="8" w:space="0" w:color="auto"/>
              <w:bottom w:val="single" w:sz="8" w:space="0" w:color="auto"/>
              <w:right w:val="single" w:sz="8" w:space="0" w:color="auto"/>
            </w:tcBorders>
            <w:shd w:val="clear" w:color="auto" w:fill="auto"/>
            <w:vAlign w:val="center"/>
            <w:hideMark/>
          </w:tcPr>
          <w:p w14:paraId="3F284449" w14:textId="77777777" w:rsidR="002A4A73" w:rsidRPr="005C3BEB" w:rsidRDefault="002A4A73" w:rsidP="005C3BEB">
            <w:pPr>
              <w:spacing w:after="0" w:line="360" w:lineRule="auto"/>
              <w:jc w:val="both"/>
              <w:rPr>
                <w:rFonts w:eastAsia="Times New Roman" w:cs="Times New Roman"/>
                <w:b/>
                <w:bCs/>
                <w:szCs w:val="24"/>
                <w:lang w:val="en-IN" w:eastAsia="en-IN"/>
              </w:rPr>
            </w:pPr>
            <w:r w:rsidRPr="005C3BEB">
              <w:rPr>
                <w:rFonts w:eastAsia="Times New Roman" w:cs="Times New Roman"/>
                <w:b/>
                <w:bCs/>
                <w:szCs w:val="24"/>
                <w:lang w:eastAsia="en-IN"/>
              </w:rPr>
              <w:t>2020</w:t>
            </w:r>
          </w:p>
        </w:tc>
        <w:tc>
          <w:tcPr>
            <w:tcW w:w="1960" w:type="dxa"/>
            <w:tcBorders>
              <w:top w:val="nil"/>
              <w:left w:val="nil"/>
              <w:bottom w:val="single" w:sz="8" w:space="0" w:color="auto"/>
              <w:right w:val="single" w:sz="8" w:space="0" w:color="auto"/>
            </w:tcBorders>
            <w:shd w:val="clear" w:color="auto" w:fill="auto"/>
            <w:vAlign w:val="center"/>
            <w:hideMark/>
          </w:tcPr>
          <w:p w14:paraId="06D07E10" w14:textId="77777777" w:rsidR="002A4A73" w:rsidRPr="005C3BEB" w:rsidRDefault="002A4A73" w:rsidP="005C3BEB">
            <w:pPr>
              <w:spacing w:after="0" w:line="360" w:lineRule="auto"/>
              <w:jc w:val="both"/>
              <w:rPr>
                <w:rFonts w:eastAsia="Times New Roman" w:cs="Times New Roman"/>
                <w:bCs/>
                <w:szCs w:val="24"/>
                <w:lang w:val="en-IN" w:eastAsia="en-IN"/>
              </w:rPr>
            </w:pPr>
            <w:r w:rsidRPr="005C3BEB">
              <w:rPr>
                <w:rFonts w:eastAsia="Times New Roman" w:cs="Times New Roman"/>
                <w:bCs/>
                <w:szCs w:val="24"/>
                <w:lang w:eastAsia="en-IN"/>
              </w:rPr>
              <w:t>244</w:t>
            </w:r>
          </w:p>
        </w:tc>
        <w:tc>
          <w:tcPr>
            <w:tcW w:w="2360" w:type="dxa"/>
            <w:tcBorders>
              <w:top w:val="nil"/>
              <w:left w:val="nil"/>
              <w:bottom w:val="single" w:sz="8" w:space="0" w:color="auto"/>
              <w:right w:val="single" w:sz="8" w:space="0" w:color="auto"/>
            </w:tcBorders>
            <w:shd w:val="clear" w:color="auto" w:fill="auto"/>
            <w:vAlign w:val="center"/>
            <w:hideMark/>
          </w:tcPr>
          <w:p w14:paraId="0780E19D" w14:textId="77777777" w:rsidR="002A4A73" w:rsidRPr="005C3BEB" w:rsidRDefault="002A4A73" w:rsidP="005C3BEB">
            <w:pPr>
              <w:spacing w:after="0" w:line="360" w:lineRule="auto"/>
              <w:jc w:val="both"/>
              <w:rPr>
                <w:rFonts w:eastAsia="Times New Roman" w:cs="Times New Roman"/>
                <w:bCs/>
                <w:szCs w:val="24"/>
                <w:lang w:val="en-IN" w:eastAsia="en-IN"/>
              </w:rPr>
            </w:pPr>
            <w:r w:rsidRPr="005C3BEB">
              <w:rPr>
                <w:rFonts w:eastAsia="Times New Roman" w:cs="Times New Roman"/>
                <w:bCs/>
                <w:szCs w:val="24"/>
                <w:lang w:eastAsia="en-IN"/>
              </w:rPr>
              <w:t>161</w:t>
            </w:r>
          </w:p>
        </w:tc>
        <w:tc>
          <w:tcPr>
            <w:tcW w:w="3160" w:type="dxa"/>
            <w:tcBorders>
              <w:top w:val="nil"/>
              <w:left w:val="nil"/>
              <w:bottom w:val="single" w:sz="8" w:space="0" w:color="auto"/>
              <w:right w:val="single" w:sz="8" w:space="0" w:color="auto"/>
            </w:tcBorders>
            <w:shd w:val="clear" w:color="auto" w:fill="auto"/>
            <w:vAlign w:val="center"/>
            <w:hideMark/>
          </w:tcPr>
          <w:p w14:paraId="765C078B" w14:textId="77777777" w:rsidR="002A4A73" w:rsidRPr="005C3BEB" w:rsidRDefault="002A4A73" w:rsidP="005C3BEB">
            <w:pPr>
              <w:spacing w:after="0" w:line="360" w:lineRule="auto"/>
              <w:jc w:val="both"/>
              <w:rPr>
                <w:rFonts w:eastAsia="Times New Roman" w:cs="Times New Roman"/>
                <w:b/>
                <w:bCs/>
                <w:szCs w:val="24"/>
                <w:lang w:val="en-IN" w:eastAsia="en-IN"/>
              </w:rPr>
            </w:pPr>
            <w:r w:rsidRPr="005C3BEB">
              <w:rPr>
                <w:rFonts w:eastAsia="Times New Roman" w:cs="Times New Roman"/>
                <w:b/>
                <w:bCs/>
                <w:szCs w:val="24"/>
                <w:lang w:eastAsia="en-IN"/>
              </w:rPr>
              <w:t>151.55%</w:t>
            </w:r>
          </w:p>
        </w:tc>
      </w:tr>
      <w:tr w:rsidR="002A4A73" w:rsidRPr="005C3BEB" w14:paraId="52504517" w14:textId="77777777" w:rsidTr="002A4A73">
        <w:trPr>
          <w:trHeight w:val="330"/>
        </w:trPr>
        <w:tc>
          <w:tcPr>
            <w:tcW w:w="1360" w:type="dxa"/>
            <w:tcBorders>
              <w:top w:val="nil"/>
              <w:left w:val="single" w:sz="8" w:space="0" w:color="auto"/>
              <w:bottom w:val="single" w:sz="8" w:space="0" w:color="auto"/>
              <w:right w:val="single" w:sz="8" w:space="0" w:color="auto"/>
            </w:tcBorders>
            <w:shd w:val="clear" w:color="auto" w:fill="auto"/>
            <w:vAlign w:val="center"/>
            <w:hideMark/>
          </w:tcPr>
          <w:p w14:paraId="125F1E56" w14:textId="77777777" w:rsidR="002A4A73" w:rsidRPr="005C3BEB" w:rsidRDefault="002A4A73" w:rsidP="005C3BEB">
            <w:pPr>
              <w:spacing w:after="0" w:line="360" w:lineRule="auto"/>
              <w:jc w:val="both"/>
              <w:rPr>
                <w:rFonts w:eastAsia="Times New Roman" w:cs="Times New Roman"/>
                <w:b/>
                <w:bCs/>
                <w:szCs w:val="24"/>
                <w:lang w:val="en-IN" w:eastAsia="en-IN"/>
              </w:rPr>
            </w:pPr>
            <w:r w:rsidRPr="005C3BEB">
              <w:rPr>
                <w:rFonts w:eastAsia="Times New Roman" w:cs="Times New Roman"/>
                <w:b/>
                <w:bCs/>
                <w:szCs w:val="24"/>
                <w:lang w:eastAsia="en-IN"/>
              </w:rPr>
              <w:t>2019</w:t>
            </w:r>
          </w:p>
        </w:tc>
        <w:tc>
          <w:tcPr>
            <w:tcW w:w="1960" w:type="dxa"/>
            <w:tcBorders>
              <w:top w:val="nil"/>
              <w:left w:val="nil"/>
              <w:bottom w:val="single" w:sz="8" w:space="0" w:color="auto"/>
              <w:right w:val="single" w:sz="8" w:space="0" w:color="auto"/>
            </w:tcBorders>
            <w:shd w:val="clear" w:color="auto" w:fill="auto"/>
            <w:vAlign w:val="center"/>
            <w:hideMark/>
          </w:tcPr>
          <w:p w14:paraId="661B748C" w14:textId="77777777" w:rsidR="002A4A73" w:rsidRPr="005C3BEB" w:rsidRDefault="002A4A73" w:rsidP="005C3BEB">
            <w:pPr>
              <w:spacing w:after="0" w:line="360" w:lineRule="auto"/>
              <w:jc w:val="both"/>
              <w:rPr>
                <w:rFonts w:eastAsia="Times New Roman" w:cs="Times New Roman"/>
                <w:bCs/>
                <w:szCs w:val="24"/>
                <w:lang w:val="en-IN" w:eastAsia="en-IN"/>
              </w:rPr>
            </w:pPr>
            <w:r w:rsidRPr="005C3BEB">
              <w:rPr>
                <w:rFonts w:eastAsia="Times New Roman" w:cs="Times New Roman"/>
                <w:bCs/>
                <w:szCs w:val="24"/>
                <w:lang w:eastAsia="en-IN"/>
              </w:rPr>
              <w:t>242</w:t>
            </w:r>
          </w:p>
        </w:tc>
        <w:tc>
          <w:tcPr>
            <w:tcW w:w="2360" w:type="dxa"/>
            <w:tcBorders>
              <w:top w:val="nil"/>
              <w:left w:val="nil"/>
              <w:bottom w:val="single" w:sz="8" w:space="0" w:color="auto"/>
              <w:right w:val="single" w:sz="8" w:space="0" w:color="auto"/>
            </w:tcBorders>
            <w:shd w:val="clear" w:color="auto" w:fill="auto"/>
            <w:vAlign w:val="center"/>
            <w:hideMark/>
          </w:tcPr>
          <w:p w14:paraId="46531E9D" w14:textId="77777777" w:rsidR="002A4A73" w:rsidRPr="005C3BEB" w:rsidRDefault="002A4A73" w:rsidP="005C3BEB">
            <w:pPr>
              <w:spacing w:after="0" w:line="360" w:lineRule="auto"/>
              <w:jc w:val="both"/>
              <w:rPr>
                <w:rFonts w:eastAsia="Times New Roman" w:cs="Times New Roman"/>
                <w:bCs/>
                <w:szCs w:val="24"/>
                <w:lang w:val="en-IN" w:eastAsia="en-IN"/>
              </w:rPr>
            </w:pPr>
            <w:r w:rsidRPr="005C3BEB">
              <w:rPr>
                <w:rFonts w:eastAsia="Times New Roman" w:cs="Times New Roman"/>
                <w:bCs/>
                <w:szCs w:val="24"/>
                <w:lang w:eastAsia="en-IN"/>
              </w:rPr>
              <w:t>175</w:t>
            </w:r>
          </w:p>
        </w:tc>
        <w:tc>
          <w:tcPr>
            <w:tcW w:w="3160" w:type="dxa"/>
            <w:tcBorders>
              <w:top w:val="nil"/>
              <w:left w:val="nil"/>
              <w:bottom w:val="single" w:sz="8" w:space="0" w:color="auto"/>
              <w:right w:val="single" w:sz="8" w:space="0" w:color="auto"/>
            </w:tcBorders>
            <w:shd w:val="clear" w:color="auto" w:fill="auto"/>
            <w:vAlign w:val="center"/>
            <w:hideMark/>
          </w:tcPr>
          <w:p w14:paraId="7DCA3B42" w14:textId="77777777" w:rsidR="002A4A73" w:rsidRPr="005C3BEB" w:rsidRDefault="002A4A73" w:rsidP="005C3BEB">
            <w:pPr>
              <w:spacing w:after="0" w:line="360" w:lineRule="auto"/>
              <w:jc w:val="both"/>
              <w:rPr>
                <w:rFonts w:eastAsia="Times New Roman" w:cs="Times New Roman"/>
                <w:b/>
                <w:bCs/>
                <w:szCs w:val="24"/>
                <w:lang w:val="en-IN" w:eastAsia="en-IN"/>
              </w:rPr>
            </w:pPr>
            <w:r w:rsidRPr="005C3BEB">
              <w:rPr>
                <w:rFonts w:eastAsia="Times New Roman" w:cs="Times New Roman"/>
                <w:b/>
                <w:bCs/>
                <w:szCs w:val="24"/>
                <w:lang w:eastAsia="en-IN"/>
              </w:rPr>
              <w:t>138.29%</w:t>
            </w:r>
          </w:p>
        </w:tc>
      </w:tr>
      <w:tr w:rsidR="002A4A73" w:rsidRPr="005C3BEB" w14:paraId="7E27477A" w14:textId="77777777" w:rsidTr="002A4A73">
        <w:trPr>
          <w:trHeight w:val="330"/>
        </w:trPr>
        <w:tc>
          <w:tcPr>
            <w:tcW w:w="1360" w:type="dxa"/>
            <w:tcBorders>
              <w:top w:val="nil"/>
              <w:left w:val="single" w:sz="8" w:space="0" w:color="auto"/>
              <w:bottom w:val="single" w:sz="8" w:space="0" w:color="auto"/>
              <w:right w:val="single" w:sz="8" w:space="0" w:color="auto"/>
            </w:tcBorders>
            <w:shd w:val="clear" w:color="auto" w:fill="auto"/>
            <w:vAlign w:val="center"/>
            <w:hideMark/>
          </w:tcPr>
          <w:p w14:paraId="6C7775C5" w14:textId="77777777" w:rsidR="002A4A73" w:rsidRPr="005C3BEB" w:rsidRDefault="002A4A73" w:rsidP="005C3BEB">
            <w:pPr>
              <w:spacing w:after="0" w:line="360" w:lineRule="auto"/>
              <w:jc w:val="both"/>
              <w:rPr>
                <w:rFonts w:eastAsia="Times New Roman" w:cs="Times New Roman"/>
                <w:b/>
                <w:bCs/>
                <w:szCs w:val="24"/>
                <w:lang w:val="en-IN" w:eastAsia="en-IN"/>
              </w:rPr>
            </w:pPr>
            <w:r w:rsidRPr="005C3BEB">
              <w:rPr>
                <w:rFonts w:eastAsia="Times New Roman" w:cs="Times New Roman"/>
                <w:b/>
                <w:bCs/>
                <w:szCs w:val="24"/>
                <w:lang w:eastAsia="en-IN"/>
              </w:rPr>
              <w:t>2018</w:t>
            </w:r>
          </w:p>
        </w:tc>
        <w:tc>
          <w:tcPr>
            <w:tcW w:w="1960" w:type="dxa"/>
            <w:tcBorders>
              <w:top w:val="nil"/>
              <w:left w:val="nil"/>
              <w:bottom w:val="single" w:sz="8" w:space="0" w:color="auto"/>
              <w:right w:val="single" w:sz="8" w:space="0" w:color="auto"/>
            </w:tcBorders>
            <w:shd w:val="clear" w:color="auto" w:fill="auto"/>
            <w:vAlign w:val="center"/>
            <w:hideMark/>
          </w:tcPr>
          <w:p w14:paraId="3DEDEE6B" w14:textId="77777777" w:rsidR="002A4A73" w:rsidRPr="005C3BEB" w:rsidRDefault="002A4A73" w:rsidP="005C3BEB">
            <w:pPr>
              <w:spacing w:after="0" w:line="360" w:lineRule="auto"/>
              <w:jc w:val="both"/>
              <w:rPr>
                <w:rFonts w:eastAsia="Times New Roman" w:cs="Times New Roman"/>
                <w:bCs/>
                <w:szCs w:val="24"/>
                <w:lang w:val="en-IN" w:eastAsia="en-IN"/>
              </w:rPr>
            </w:pPr>
            <w:r w:rsidRPr="005C3BEB">
              <w:rPr>
                <w:rFonts w:eastAsia="Times New Roman" w:cs="Times New Roman"/>
                <w:bCs/>
                <w:szCs w:val="24"/>
                <w:lang w:eastAsia="en-IN"/>
              </w:rPr>
              <w:t>231</w:t>
            </w:r>
          </w:p>
        </w:tc>
        <w:tc>
          <w:tcPr>
            <w:tcW w:w="2360" w:type="dxa"/>
            <w:tcBorders>
              <w:top w:val="nil"/>
              <w:left w:val="nil"/>
              <w:bottom w:val="single" w:sz="8" w:space="0" w:color="auto"/>
              <w:right w:val="single" w:sz="8" w:space="0" w:color="auto"/>
            </w:tcBorders>
            <w:shd w:val="clear" w:color="auto" w:fill="auto"/>
            <w:vAlign w:val="center"/>
            <w:hideMark/>
          </w:tcPr>
          <w:p w14:paraId="6BE04F6B" w14:textId="77777777" w:rsidR="002A4A73" w:rsidRPr="005C3BEB" w:rsidRDefault="002A4A73" w:rsidP="005C3BEB">
            <w:pPr>
              <w:spacing w:after="0" w:line="360" w:lineRule="auto"/>
              <w:jc w:val="both"/>
              <w:rPr>
                <w:rFonts w:eastAsia="Times New Roman" w:cs="Times New Roman"/>
                <w:bCs/>
                <w:szCs w:val="24"/>
                <w:lang w:val="en-IN" w:eastAsia="en-IN"/>
              </w:rPr>
            </w:pPr>
            <w:r w:rsidRPr="005C3BEB">
              <w:rPr>
                <w:rFonts w:eastAsia="Times New Roman" w:cs="Times New Roman"/>
                <w:bCs/>
                <w:szCs w:val="24"/>
                <w:lang w:eastAsia="en-IN"/>
              </w:rPr>
              <w:t>258</w:t>
            </w:r>
          </w:p>
        </w:tc>
        <w:tc>
          <w:tcPr>
            <w:tcW w:w="3160" w:type="dxa"/>
            <w:tcBorders>
              <w:top w:val="nil"/>
              <w:left w:val="nil"/>
              <w:bottom w:val="single" w:sz="8" w:space="0" w:color="auto"/>
              <w:right w:val="single" w:sz="8" w:space="0" w:color="auto"/>
            </w:tcBorders>
            <w:shd w:val="clear" w:color="auto" w:fill="auto"/>
            <w:vAlign w:val="center"/>
            <w:hideMark/>
          </w:tcPr>
          <w:p w14:paraId="17539FD4" w14:textId="77777777" w:rsidR="002A4A73" w:rsidRPr="005C3BEB" w:rsidRDefault="002A4A73" w:rsidP="005C3BEB">
            <w:pPr>
              <w:spacing w:after="0" w:line="360" w:lineRule="auto"/>
              <w:jc w:val="both"/>
              <w:rPr>
                <w:rFonts w:eastAsia="Times New Roman" w:cs="Times New Roman"/>
                <w:b/>
                <w:bCs/>
                <w:szCs w:val="24"/>
                <w:lang w:val="en-IN" w:eastAsia="en-IN"/>
              </w:rPr>
            </w:pPr>
            <w:r w:rsidRPr="005C3BEB">
              <w:rPr>
                <w:rFonts w:eastAsia="Times New Roman" w:cs="Times New Roman"/>
                <w:b/>
                <w:bCs/>
                <w:szCs w:val="24"/>
                <w:lang w:eastAsia="en-IN"/>
              </w:rPr>
              <w:t>89.53%</w:t>
            </w:r>
          </w:p>
        </w:tc>
      </w:tr>
    </w:tbl>
    <w:p w14:paraId="43EE0DC1" w14:textId="77777777" w:rsidR="00F24132" w:rsidRPr="005C3BEB" w:rsidRDefault="00F24132" w:rsidP="005C3BEB">
      <w:pPr>
        <w:spacing w:line="360" w:lineRule="auto"/>
        <w:jc w:val="both"/>
        <w:rPr>
          <w:rFonts w:eastAsiaTheme="majorEastAsia" w:cs="Times New Roman"/>
          <w:b/>
          <w:szCs w:val="24"/>
        </w:rPr>
      </w:pPr>
    </w:p>
    <w:p w14:paraId="1E927776" w14:textId="77777777" w:rsidR="008A4E5B" w:rsidRPr="005C3BEB" w:rsidRDefault="008A4E5B" w:rsidP="005C3BEB">
      <w:pPr>
        <w:spacing w:line="360" w:lineRule="auto"/>
        <w:jc w:val="both"/>
        <w:rPr>
          <w:rFonts w:cs="Times New Roman"/>
          <w:szCs w:val="24"/>
        </w:rPr>
      </w:pPr>
      <w:r w:rsidRPr="005C3BEB">
        <w:rPr>
          <w:rFonts w:cs="Times New Roman"/>
          <w:szCs w:val="24"/>
        </w:rPr>
        <w:t xml:space="preserve">1. </w:t>
      </w:r>
      <w:r w:rsidRPr="005C3BEB">
        <w:rPr>
          <w:rFonts w:cs="Times New Roman"/>
          <w:b/>
          <w:i/>
          <w:szCs w:val="24"/>
        </w:rPr>
        <w:t>Dividend Pay-out Trends</w:t>
      </w:r>
    </w:p>
    <w:p w14:paraId="73FDB53E" w14:textId="77777777" w:rsidR="008A4E5B" w:rsidRPr="005C3BEB" w:rsidRDefault="008A4E5B" w:rsidP="005C3BEB">
      <w:pPr>
        <w:pStyle w:val="ListParagraph"/>
        <w:numPr>
          <w:ilvl w:val="0"/>
          <w:numId w:val="14"/>
        </w:numPr>
        <w:spacing w:line="360" w:lineRule="auto"/>
        <w:jc w:val="both"/>
        <w:rPr>
          <w:rFonts w:cs="Times New Roman"/>
          <w:szCs w:val="24"/>
        </w:rPr>
      </w:pPr>
      <w:r w:rsidRPr="005C3BEB">
        <w:rPr>
          <w:rFonts w:cs="Times New Roman"/>
          <w:szCs w:val="24"/>
        </w:rPr>
        <w:t>2020 and 2019: The DPR has moved to over 130 percent in 2019 and 2020 meaning that Royal Mail was actually paying out more in the form of dividends than reported net income for these two years. This is actually unsustainable in the long run and is most often a sign that a company is trying to allay the shareholders’ fears when they know that the firm is under some form of financial pressure.</w:t>
      </w:r>
    </w:p>
    <w:p w14:paraId="671F0162" w14:textId="77777777" w:rsidR="008A4E5B" w:rsidRPr="005C3BEB" w:rsidRDefault="008A4E5B" w:rsidP="005C3BEB">
      <w:pPr>
        <w:pStyle w:val="ListParagraph"/>
        <w:numPr>
          <w:ilvl w:val="0"/>
          <w:numId w:val="14"/>
        </w:numPr>
        <w:spacing w:line="360" w:lineRule="auto"/>
        <w:jc w:val="both"/>
        <w:rPr>
          <w:rFonts w:cs="Times New Roman"/>
          <w:szCs w:val="24"/>
        </w:rPr>
      </w:pPr>
      <w:r w:rsidRPr="005C3BEB">
        <w:rPr>
          <w:rFonts w:cs="Times New Roman"/>
          <w:szCs w:val="24"/>
        </w:rPr>
        <w:t xml:space="preserve">2021-2022: The dividend </w:t>
      </w:r>
      <w:r w:rsidR="00FF6E3C" w:rsidRPr="005C3BEB">
        <w:rPr>
          <w:rFonts w:cs="Times New Roman"/>
          <w:szCs w:val="24"/>
        </w:rPr>
        <w:t>pay-out</w:t>
      </w:r>
      <w:r w:rsidRPr="005C3BEB">
        <w:rPr>
          <w:rFonts w:cs="Times New Roman"/>
          <w:szCs w:val="24"/>
        </w:rPr>
        <w:t xml:space="preserve"> ratio in 2021 reduced too much to 39% while in 2022 the figure augmented again to 55%. This gave an idea that it may be more sustainable than the previous one because the company had to level on its dividends to fit in its performance.</w:t>
      </w:r>
    </w:p>
    <w:p w14:paraId="2B85022A" w14:textId="77777777" w:rsidR="008A4E5B" w:rsidRPr="005C3BEB" w:rsidRDefault="008A4E5B" w:rsidP="005C3BEB">
      <w:pPr>
        <w:spacing w:line="360" w:lineRule="auto"/>
        <w:jc w:val="both"/>
        <w:rPr>
          <w:rFonts w:cs="Times New Roman"/>
          <w:b/>
          <w:i/>
          <w:szCs w:val="24"/>
        </w:rPr>
      </w:pPr>
      <w:r w:rsidRPr="005C3BEB">
        <w:rPr>
          <w:rFonts w:cs="Times New Roman"/>
          <w:b/>
          <w:i/>
          <w:szCs w:val="24"/>
        </w:rPr>
        <w:t>2. Factors Influencing Dividend Decisions</w:t>
      </w:r>
    </w:p>
    <w:p w14:paraId="28B0DEE0" w14:textId="77777777" w:rsidR="008A4E5B" w:rsidRPr="005C3BEB" w:rsidRDefault="008A4E5B" w:rsidP="005C3BEB">
      <w:pPr>
        <w:pStyle w:val="ListParagraph"/>
        <w:numPr>
          <w:ilvl w:val="0"/>
          <w:numId w:val="17"/>
        </w:numPr>
        <w:spacing w:line="360" w:lineRule="auto"/>
        <w:jc w:val="both"/>
        <w:rPr>
          <w:rFonts w:cs="Times New Roman"/>
          <w:szCs w:val="24"/>
        </w:rPr>
      </w:pPr>
      <w:r w:rsidRPr="005C3BEB">
        <w:rPr>
          <w:rFonts w:cs="Times New Roman"/>
          <w:szCs w:val="24"/>
        </w:rPr>
        <w:t xml:space="preserve">Investment Needs: This explains why, in some years, Royal Mail may have chosen to maintain higher dividend </w:t>
      </w:r>
      <w:r w:rsidR="00FF6E3C" w:rsidRPr="005C3BEB">
        <w:rPr>
          <w:rFonts w:cs="Times New Roman"/>
          <w:szCs w:val="24"/>
        </w:rPr>
        <w:t>pay-outs</w:t>
      </w:r>
      <w:r w:rsidRPr="005C3BEB">
        <w:rPr>
          <w:rFonts w:cs="Times New Roman"/>
          <w:szCs w:val="24"/>
        </w:rPr>
        <w:t xml:space="preserve"> even when the organisation has a huge investiture requirement or when the financial year has been financially demanding in one way or the other, such as in 2020 when net income was comparatively lower than in other years</w:t>
      </w:r>
      <w:r w:rsidR="00EB734F">
        <w:rPr>
          <w:rFonts w:cs="Times New Roman"/>
          <w:szCs w:val="24"/>
        </w:rPr>
        <w:t xml:space="preserve">. </w:t>
      </w:r>
      <w:r w:rsidRPr="005C3BEB">
        <w:rPr>
          <w:rFonts w:cs="Times New Roman"/>
          <w:szCs w:val="24"/>
        </w:rPr>
        <w:t>It could have been employed to convey optimistic messages to shareholders in particularly poor economic periods.</w:t>
      </w:r>
    </w:p>
    <w:p w14:paraId="2462F425" w14:textId="77777777" w:rsidR="00F24132" w:rsidRPr="005C3BEB" w:rsidRDefault="008A4E5B" w:rsidP="005C3BEB">
      <w:pPr>
        <w:pStyle w:val="ListParagraph"/>
        <w:numPr>
          <w:ilvl w:val="0"/>
          <w:numId w:val="17"/>
        </w:numPr>
        <w:spacing w:line="360" w:lineRule="auto"/>
        <w:jc w:val="both"/>
        <w:rPr>
          <w:rFonts w:cs="Times New Roman"/>
          <w:szCs w:val="24"/>
        </w:rPr>
      </w:pPr>
      <w:r w:rsidRPr="005C3BEB">
        <w:rPr>
          <w:rFonts w:cs="Times New Roman"/>
          <w:szCs w:val="24"/>
        </w:rPr>
        <w:t>Cash Flow Considerations: Dividends on the other hand are made from cash flows rather than net income alone because in reality it’s not that simple</w:t>
      </w:r>
      <w:r w:rsidR="00B63197">
        <w:rPr>
          <w:rFonts w:cs="Times New Roman"/>
          <w:szCs w:val="24"/>
        </w:rPr>
        <w:t xml:space="preserve"> (</w:t>
      </w:r>
      <w:proofErr w:type="spellStart"/>
      <w:r w:rsidR="00B63197">
        <w:rPr>
          <w:rFonts w:cs="Times New Roman"/>
          <w:szCs w:val="24"/>
        </w:rPr>
        <w:t>GeeksforGeeks</w:t>
      </w:r>
      <w:proofErr w:type="spellEnd"/>
      <w:r w:rsidR="00B63197">
        <w:rPr>
          <w:rFonts w:cs="Times New Roman"/>
          <w:szCs w:val="24"/>
        </w:rPr>
        <w:t xml:space="preserve">, 2023). </w:t>
      </w:r>
      <w:r w:rsidRPr="005C3BEB">
        <w:rPr>
          <w:rFonts w:cs="Times New Roman"/>
          <w:szCs w:val="24"/>
        </w:rPr>
        <w:t xml:space="preserve">Whereas, net income gives a signal of profitability, cash flows are more </w:t>
      </w:r>
      <w:r w:rsidRPr="005C3BEB">
        <w:rPr>
          <w:rFonts w:cs="Times New Roman"/>
          <w:szCs w:val="24"/>
        </w:rPr>
        <w:lastRenderedPageBreak/>
        <w:t xml:space="preserve">relevant for the sustenance of dividend. In the 2019 and 2020 Royal Mail’s </w:t>
      </w:r>
      <w:r w:rsidR="00FF6E3C" w:rsidRPr="005C3BEB">
        <w:rPr>
          <w:rFonts w:cs="Times New Roman"/>
          <w:szCs w:val="24"/>
        </w:rPr>
        <w:t>pay-out</w:t>
      </w:r>
      <w:r w:rsidRPr="005C3BEB">
        <w:rPr>
          <w:rFonts w:cs="Times New Roman"/>
          <w:szCs w:val="24"/>
        </w:rPr>
        <w:t xml:space="preserve"> ratios might have been backed by cash flows obtained from earlier periods or debts.</w:t>
      </w:r>
    </w:p>
    <w:p w14:paraId="033CEED6" w14:textId="77777777" w:rsidR="008A4E5B" w:rsidRPr="005C3BEB" w:rsidRDefault="008A4E5B" w:rsidP="005C3BEB">
      <w:pPr>
        <w:pStyle w:val="ListParagraph"/>
        <w:numPr>
          <w:ilvl w:val="0"/>
          <w:numId w:val="17"/>
        </w:numPr>
        <w:spacing w:line="360" w:lineRule="auto"/>
        <w:jc w:val="both"/>
        <w:rPr>
          <w:rFonts w:cs="Times New Roman"/>
          <w:szCs w:val="24"/>
        </w:rPr>
      </w:pPr>
      <w:r w:rsidRPr="005C3BEB">
        <w:rPr>
          <w:rFonts w:cs="Times New Roman"/>
          <w:szCs w:val="24"/>
        </w:rPr>
        <w:t xml:space="preserve">Market Conditions: The more competitive environment of the postal and logistics industry cannot be </w:t>
      </w:r>
      <w:proofErr w:type="gramStart"/>
      <w:r w:rsidRPr="005C3BEB">
        <w:rPr>
          <w:rFonts w:cs="Times New Roman"/>
          <w:szCs w:val="24"/>
        </w:rPr>
        <w:t>overlooked</w:t>
      </w:r>
      <w:proofErr w:type="gramEnd"/>
      <w:r w:rsidRPr="005C3BEB">
        <w:rPr>
          <w:rFonts w:cs="Times New Roman"/>
          <w:szCs w:val="24"/>
        </w:rPr>
        <w:t xml:space="preserve"> and which Royal Mail has to operate in together with the actual growing customer expectations</w:t>
      </w:r>
      <w:r w:rsidR="00EB734F">
        <w:rPr>
          <w:rFonts w:cs="Times New Roman"/>
          <w:szCs w:val="24"/>
        </w:rPr>
        <w:t xml:space="preserve">. </w:t>
      </w:r>
      <w:r w:rsidRPr="005C3BEB">
        <w:rPr>
          <w:rFonts w:cs="Times New Roman"/>
          <w:szCs w:val="24"/>
        </w:rPr>
        <w:t>At such a time, the company might have found it advisable to manage its dividend policies looking at the short-term gains, as well as the overall long-term organizational strategies.</w:t>
      </w:r>
    </w:p>
    <w:p w14:paraId="53A32E7B" w14:textId="77777777" w:rsidR="008A4E5B" w:rsidRPr="005C3BEB" w:rsidRDefault="008A4E5B" w:rsidP="005C3BEB">
      <w:pPr>
        <w:pStyle w:val="ListParagraph"/>
        <w:numPr>
          <w:ilvl w:val="0"/>
          <w:numId w:val="17"/>
        </w:numPr>
        <w:spacing w:line="360" w:lineRule="auto"/>
        <w:jc w:val="both"/>
        <w:rPr>
          <w:rFonts w:cs="Times New Roman"/>
          <w:szCs w:val="24"/>
        </w:rPr>
      </w:pPr>
      <w:r w:rsidRPr="005C3BEB">
        <w:rPr>
          <w:rFonts w:cs="Times New Roman"/>
          <w:szCs w:val="24"/>
        </w:rPr>
        <w:t>Regulatory and Strategic Considerations: Fluctuations in the regulations and strategic business decisions in investing in technology and infrastructure have affected the distribution of dividends by Royal Mail. Managing shareholder expectations and ensuring that the overall strategic investments are sustainable are the key factors that help in sustaining a long-term growth and a stable operation</w:t>
      </w:r>
      <w:r w:rsidR="00B63197">
        <w:rPr>
          <w:rFonts w:cs="Times New Roman"/>
          <w:szCs w:val="24"/>
        </w:rPr>
        <w:t>.</w:t>
      </w:r>
    </w:p>
    <w:p w14:paraId="363AFB01" w14:textId="77777777" w:rsidR="008A4E5B" w:rsidRPr="005C3BEB" w:rsidRDefault="008A4E5B" w:rsidP="005C3BEB">
      <w:pPr>
        <w:spacing w:line="360" w:lineRule="auto"/>
        <w:jc w:val="both"/>
        <w:rPr>
          <w:rFonts w:cs="Times New Roman"/>
          <w:b/>
          <w:i/>
          <w:szCs w:val="24"/>
        </w:rPr>
      </w:pPr>
      <w:r w:rsidRPr="005C3BEB">
        <w:rPr>
          <w:rFonts w:cs="Times New Roman"/>
          <w:b/>
          <w:i/>
          <w:szCs w:val="24"/>
        </w:rPr>
        <w:t>3. The effects of dividend policy on the shareholders and the firm</w:t>
      </w:r>
    </w:p>
    <w:p w14:paraId="0FBC2970" w14:textId="77777777" w:rsidR="008A4E5B" w:rsidRPr="005C3BEB" w:rsidRDefault="008A4E5B" w:rsidP="005C3BEB">
      <w:pPr>
        <w:pStyle w:val="ListParagraph"/>
        <w:numPr>
          <w:ilvl w:val="0"/>
          <w:numId w:val="18"/>
        </w:numPr>
        <w:spacing w:line="360" w:lineRule="auto"/>
        <w:jc w:val="both"/>
        <w:rPr>
          <w:rFonts w:cs="Times New Roman"/>
          <w:szCs w:val="24"/>
        </w:rPr>
      </w:pPr>
      <w:r w:rsidRPr="005C3BEB">
        <w:rPr>
          <w:rFonts w:cs="Times New Roman"/>
          <w:szCs w:val="24"/>
        </w:rPr>
        <w:t xml:space="preserve">Shareholder Expectations: Such payments can help to attract and maintain investors, but high </w:t>
      </w:r>
      <w:r w:rsidR="00FF6E3C" w:rsidRPr="005C3BEB">
        <w:rPr>
          <w:rFonts w:cs="Times New Roman"/>
          <w:szCs w:val="24"/>
        </w:rPr>
        <w:t>pay-out</w:t>
      </w:r>
      <w:r w:rsidRPr="005C3BEB">
        <w:rPr>
          <w:rFonts w:cs="Times New Roman"/>
          <w:szCs w:val="24"/>
        </w:rPr>
        <w:t xml:space="preserve"> can be dangerous in the manner of investments and financial stability. Royal Mail’s changes to its dividend policy can be same seen as efforts to alter shareholder expectations alongside the realities</w:t>
      </w:r>
      <w:r w:rsidR="00953240" w:rsidRPr="005C3BEB">
        <w:rPr>
          <w:rFonts w:cs="Times New Roman"/>
          <w:szCs w:val="24"/>
        </w:rPr>
        <w:t xml:space="preserve"> (Morningstar.co.uk, 2019)</w:t>
      </w:r>
      <w:r w:rsidRPr="005C3BEB">
        <w:rPr>
          <w:rFonts w:cs="Times New Roman"/>
          <w:szCs w:val="24"/>
        </w:rPr>
        <w:t>.</w:t>
      </w:r>
    </w:p>
    <w:p w14:paraId="408E5985" w14:textId="77777777" w:rsidR="008A4E5B" w:rsidRPr="005C3BEB" w:rsidRDefault="008A4E5B" w:rsidP="005C3BEB">
      <w:pPr>
        <w:pStyle w:val="ListParagraph"/>
        <w:numPr>
          <w:ilvl w:val="0"/>
          <w:numId w:val="18"/>
        </w:numPr>
        <w:spacing w:line="360" w:lineRule="auto"/>
        <w:jc w:val="both"/>
        <w:rPr>
          <w:rFonts w:cs="Times New Roman"/>
          <w:szCs w:val="24"/>
        </w:rPr>
      </w:pPr>
      <w:r w:rsidRPr="005C3BEB">
        <w:rPr>
          <w:rFonts w:cs="Times New Roman"/>
          <w:szCs w:val="24"/>
        </w:rPr>
        <w:t xml:space="preserve">Financial Stability: To convey a meaning to the concept of high dividend </w:t>
      </w:r>
      <w:r w:rsidR="00FF6E3C" w:rsidRPr="005C3BEB">
        <w:rPr>
          <w:rFonts w:cs="Times New Roman"/>
          <w:szCs w:val="24"/>
        </w:rPr>
        <w:t>pay-out</w:t>
      </w:r>
      <w:r w:rsidRPr="005C3BEB">
        <w:rPr>
          <w:rFonts w:cs="Times New Roman"/>
          <w:szCs w:val="24"/>
        </w:rPr>
        <w:t xml:space="preserve"> ratios above net income, it is important to appreciate that it may have undesirable implications for corporate financial stability usually </w:t>
      </w:r>
      <w:proofErr w:type="gramStart"/>
      <w:r w:rsidRPr="005C3BEB">
        <w:rPr>
          <w:rFonts w:cs="Times New Roman"/>
          <w:szCs w:val="24"/>
        </w:rPr>
        <w:t>where</w:t>
      </w:r>
      <w:proofErr w:type="gramEnd"/>
      <w:r w:rsidRPr="005C3BEB">
        <w:rPr>
          <w:rFonts w:cs="Times New Roman"/>
          <w:szCs w:val="24"/>
        </w:rPr>
        <w:t xml:space="preserve"> sustained over a number of years</w:t>
      </w:r>
      <w:r w:rsidR="00953240" w:rsidRPr="005C3BEB">
        <w:rPr>
          <w:rFonts w:cs="Times New Roman"/>
          <w:szCs w:val="24"/>
        </w:rPr>
        <w:t xml:space="preserve"> (Morningstar.co.uk, 2019)</w:t>
      </w:r>
      <w:r w:rsidRPr="005C3BEB">
        <w:rPr>
          <w:rFonts w:cs="Times New Roman"/>
          <w:szCs w:val="24"/>
        </w:rPr>
        <w:t xml:space="preserve">. The change in the </w:t>
      </w:r>
      <w:r w:rsidR="00FF6E3C" w:rsidRPr="005C3BEB">
        <w:rPr>
          <w:rFonts w:cs="Times New Roman"/>
          <w:szCs w:val="24"/>
        </w:rPr>
        <w:t>pay-out</w:t>
      </w:r>
      <w:r w:rsidRPr="005C3BEB">
        <w:rPr>
          <w:rFonts w:cs="Times New Roman"/>
          <w:szCs w:val="24"/>
        </w:rPr>
        <w:t xml:space="preserve"> ratio for 2021 and 2022 is also evidenced by company’s efforts to seek a more sustainable level of distribution in an environment that has not satisfied all the Royal Mail shareholders’ demands.</w:t>
      </w:r>
    </w:p>
    <w:p w14:paraId="300D271F" w14:textId="77777777" w:rsidR="008A4E5B" w:rsidRPr="005C3BEB" w:rsidRDefault="008A4E5B" w:rsidP="005C3BEB">
      <w:pPr>
        <w:pStyle w:val="ListParagraph"/>
        <w:numPr>
          <w:ilvl w:val="0"/>
          <w:numId w:val="18"/>
        </w:numPr>
        <w:spacing w:line="360" w:lineRule="auto"/>
        <w:jc w:val="both"/>
        <w:rPr>
          <w:rFonts w:cs="Times New Roman"/>
          <w:szCs w:val="24"/>
        </w:rPr>
      </w:pPr>
      <w:r w:rsidRPr="005C3BEB">
        <w:rPr>
          <w:rFonts w:cs="Times New Roman"/>
          <w:szCs w:val="24"/>
        </w:rPr>
        <w:t>Investment Capacity: Through the regulation of the dividend policy, Royal Mail could manage to access some of its cash to invest in some vital technologies that are essential for mail delivery services hence enhancing the competitiveness of the service in the long run</w:t>
      </w:r>
      <w:r w:rsidR="00953240" w:rsidRPr="005C3BEB">
        <w:rPr>
          <w:rFonts w:cs="Times New Roman"/>
          <w:szCs w:val="24"/>
        </w:rPr>
        <w:t xml:space="preserve"> (Morningstar.co.uk, 2019)</w:t>
      </w:r>
      <w:r w:rsidRPr="005C3BEB">
        <w:rPr>
          <w:rFonts w:cs="Times New Roman"/>
          <w:szCs w:val="24"/>
        </w:rPr>
        <w:t>. This strategy change is opposite to the radical maximization of the shareholders’ current returns while sacrificing the future operational enhancements.</w:t>
      </w:r>
    </w:p>
    <w:p w14:paraId="03A2A802" w14:textId="77777777" w:rsidR="008A4E5B" w:rsidRPr="005C3BEB" w:rsidRDefault="00FF6E3C" w:rsidP="005C3BEB">
      <w:pPr>
        <w:spacing w:line="360" w:lineRule="auto"/>
        <w:jc w:val="both"/>
        <w:rPr>
          <w:rFonts w:cs="Times New Roman"/>
          <w:szCs w:val="24"/>
          <w:u w:val="single"/>
        </w:rPr>
      </w:pPr>
      <w:r w:rsidRPr="005C3BEB">
        <w:rPr>
          <w:rFonts w:cs="Times New Roman"/>
          <w:szCs w:val="24"/>
          <w:u w:val="single"/>
        </w:rPr>
        <w:t>Conclusion</w:t>
      </w:r>
      <w:r w:rsidRPr="005C3BEB">
        <w:rPr>
          <w:rFonts w:cs="Times New Roman"/>
          <w:szCs w:val="24"/>
        </w:rPr>
        <w:t xml:space="preserve">: </w:t>
      </w:r>
      <w:r w:rsidR="008A4E5B" w:rsidRPr="005C3BEB">
        <w:rPr>
          <w:rFonts w:cs="Times New Roman"/>
          <w:szCs w:val="24"/>
        </w:rPr>
        <w:t xml:space="preserve">Royal Mail’s dividend policy in the last five years reflects a delicate balancing of the company between dividends and the financial position. Imagining the following explanations for the divergence of PIR and PDR: Attributable to the fluctuating conditions of </w:t>
      </w:r>
      <w:r w:rsidR="008A4E5B" w:rsidRPr="005C3BEB">
        <w:rPr>
          <w:rFonts w:cs="Times New Roman"/>
          <w:szCs w:val="24"/>
        </w:rPr>
        <w:lastRenderedPageBreak/>
        <w:t xml:space="preserve">financials, organizational requirements, and market dynamics, those adjustments represent reactions of the company. Although the high </w:t>
      </w:r>
      <w:r w:rsidRPr="005C3BEB">
        <w:rPr>
          <w:rFonts w:cs="Times New Roman"/>
          <w:szCs w:val="24"/>
        </w:rPr>
        <w:t>Pay-out</w:t>
      </w:r>
      <w:r w:rsidR="008A4E5B" w:rsidRPr="005C3BEB">
        <w:rPr>
          <w:rFonts w:cs="Times New Roman"/>
          <w:szCs w:val="24"/>
        </w:rPr>
        <w:t xml:space="preserve"> ratio in 2019 and 2020 reflects the periods of either duress or the organization’s decisions aimed at keeping up share-holder confidence the sharp changes in 2021 and 2022 look less risky and more sustainable with reference to an increase in operating margin, cash flow from operations and Gross profit. Such decisions are rather founding as the sanction of the conflict between keeping shareholders happy and keeping the company’s financial future stable.</w:t>
      </w:r>
    </w:p>
    <w:p w14:paraId="1213FCBE" w14:textId="77777777" w:rsidR="00AB7AF7" w:rsidRPr="005C3BEB" w:rsidRDefault="00AB7AF7" w:rsidP="005C3BEB">
      <w:pPr>
        <w:spacing w:line="360" w:lineRule="auto"/>
        <w:jc w:val="both"/>
        <w:rPr>
          <w:rFonts w:cs="Times New Roman"/>
          <w:szCs w:val="24"/>
        </w:rPr>
      </w:pPr>
    </w:p>
    <w:p w14:paraId="23D3B85A" w14:textId="77777777" w:rsidR="00AB7AF7" w:rsidRPr="005C3BEB" w:rsidRDefault="00AB7AF7" w:rsidP="005C3BEB">
      <w:pPr>
        <w:spacing w:line="360" w:lineRule="auto"/>
        <w:jc w:val="both"/>
        <w:rPr>
          <w:rFonts w:cs="Times New Roman"/>
          <w:szCs w:val="24"/>
        </w:rPr>
      </w:pPr>
    </w:p>
    <w:p w14:paraId="0C54186F" w14:textId="77777777" w:rsidR="00BA4B7D" w:rsidRPr="005C3BEB" w:rsidRDefault="00BA4B7D" w:rsidP="005C3BEB">
      <w:pPr>
        <w:spacing w:line="360" w:lineRule="auto"/>
        <w:jc w:val="both"/>
        <w:rPr>
          <w:rFonts w:cs="Times New Roman"/>
          <w:szCs w:val="24"/>
        </w:rPr>
      </w:pPr>
    </w:p>
    <w:p w14:paraId="113A1598" w14:textId="77777777" w:rsidR="00BA4B7D" w:rsidRPr="005C3BEB" w:rsidRDefault="00BA4B7D" w:rsidP="005C3BEB">
      <w:pPr>
        <w:spacing w:line="360" w:lineRule="auto"/>
        <w:jc w:val="both"/>
        <w:rPr>
          <w:rFonts w:cs="Times New Roman"/>
          <w:szCs w:val="24"/>
        </w:rPr>
      </w:pPr>
    </w:p>
    <w:p w14:paraId="7C5B35B1" w14:textId="77777777" w:rsidR="009D2560" w:rsidRDefault="009D2560">
      <w:pPr>
        <w:rPr>
          <w:rFonts w:eastAsiaTheme="majorEastAsia" w:cs="Times New Roman"/>
          <w:b/>
          <w:szCs w:val="24"/>
        </w:rPr>
      </w:pPr>
      <w:r>
        <w:rPr>
          <w:rFonts w:cs="Times New Roman"/>
          <w:szCs w:val="24"/>
        </w:rPr>
        <w:br w:type="page"/>
      </w:r>
    </w:p>
    <w:p w14:paraId="5227C076" w14:textId="77777777" w:rsidR="00953240" w:rsidRPr="005C3BEB" w:rsidRDefault="00BA4B7D" w:rsidP="005C3BEB">
      <w:pPr>
        <w:pStyle w:val="Heading1"/>
        <w:spacing w:line="360" w:lineRule="auto"/>
        <w:jc w:val="both"/>
        <w:rPr>
          <w:rFonts w:cs="Times New Roman"/>
          <w:color w:val="auto"/>
          <w:szCs w:val="24"/>
        </w:rPr>
      </w:pPr>
      <w:bookmarkStart w:id="10" w:name="_Toc174875582"/>
      <w:r w:rsidRPr="005C3BEB">
        <w:rPr>
          <w:rFonts w:cs="Times New Roman"/>
          <w:color w:val="auto"/>
          <w:szCs w:val="24"/>
        </w:rPr>
        <w:lastRenderedPageBreak/>
        <w:t>REFERENCES</w:t>
      </w:r>
      <w:bookmarkEnd w:id="10"/>
    </w:p>
    <w:p w14:paraId="5A0F3DC4" w14:textId="77777777" w:rsidR="003645BB" w:rsidRPr="005C3BEB" w:rsidRDefault="003645BB" w:rsidP="005C3BEB">
      <w:pPr>
        <w:spacing w:line="360" w:lineRule="auto"/>
        <w:jc w:val="both"/>
        <w:rPr>
          <w:rFonts w:cs="Times New Roman"/>
          <w:szCs w:val="24"/>
        </w:rPr>
      </w:pPr>
      <w:r w:rsidRPr="005C3BEB">
        <w:rPr>
          <w:rFonts w:cs="Times New Roman"/>
          <w:szCs w:val="24"/>
        </w:rPr>
        <w:t xml:space="preserve">Aharon, D.Y. and Yagil, Y. (2019) ‘The impact of financial leverage on the variance of stock returns’, </w:t>
      </w:r>
      <w:r w:rsidRPr="005C3BEB">
        <w:rPr>
          <w:rFonts w:cs="Times New Roman"/>
          <w:i/>
          <w:iCs/>
          <w:szCs w:val="24"/>
        </w:rPr>
        <w:t>International Journal of Financial Studies</w:t>
      </w:r>
      <w:r w:rsidRPr="005C3BEB">
        <w:rPr>
          <w:rFonts w:cs="Times New Roman"/>
          <w:szCs w:val="24"/>
        </w:rPr>
        <w:t xml:space="preserve">, 7(1), p.14. Available at: https://www.mdpi.com/2227-7072/7/1/14 </w:t>
      </w:r>
    </w:p>
    <w:p w14:paraId="15C16C4F" w14:textId="77777777" w:rsidR="003645BB" w:rsidRPr="005C3BEB" w:rsidRDefault="003645BB" w:rsidP="005C3BEB">
      <w:pPr>
        <w:spacing w:line="360" w:lineRule="auto"/>
        <w:jc w:val="both"/>
        <w:rPr>
          <w:rFonts w:cs="Times New Roman"/>
          <w:szCs w:val="24"/>
        </w:rPr>
      </w:pPr>
      <w:r w:rsidRPr="005C3BEB">
        <w:rPr>
          <w:rFonts w:cs="Times New Roman"/>
          <w:szCs w:val="24"/>
        </w:rPr>
        <w:t xml:space="preserve">Ai, H., Frank, M.Z. and Sanati, A. (2020) ‘The trade-off theory of corporate capital structure’, Available at: https://papers.ssrn.com/sol3/papers.cfm?abstract_id=3595492 </w:t>
      </w:r>
    </w:p>
    <w:p w14:paraId="3864DFF3" w14:textId="77777777" w:rsidR="003645BB" w:rsidRPr="005C3BEB" w:rsidRDefault="003645BB" w:rsidP="005C3BEB">
      <w:pPr>
        <w:spacing w:line="360" w:lineRule="auto"/>
        <w:jc w:val="both"/>
        <w:rPr>
          <w:rFonts w:cs="Times New Roman"/>
          <w:szCs w:val="24"/>
        </w:rPr>
      </w:pPr>
      <w:r w:rsidRPr="005C3BEB">
        <w:rPr>
          <w:rFonts w:cs="Times New Roman"/>
          <w:szCs w:val="24"/>
        </w:rPr>
        <w:t xml:space="preserve">Annual Reports (2024) </w:t>
      </w:r>
      <w:r w:rsidRPr="005C3BEB">
        <w:rPr>
          <w:rFonts w:cs="Times New Roman"/>
          <w:i/>
          <w:iCs/>
          <w:szCs w:val="24"/>
        </w:rPr>
        <w:t>Royal Mail PLC</w:t>
      </w:r>
      <w:r w:rsidRPr="005C3BEB">
        <w:rPr>
          <w:rFonts w:cs="Times New Roman"/>
          <w:szCs w:val="24"/>
        </w:rPr>
        <w:t>. Available at: https://www.annualreports.com/Company/Royal-Mail-plccc [Accessed: 18 August 2024].</w:t>
      </w:r>
    </w:p>
    <w:p w14:paraId="10F05189" w14:textId="77777777" w:rsidR="003645BB" w:rsidRPr="005C3BEB" w:rsidRDefault="003645BB" w:rsidP="005C3BEB">
      <w:pPr>
        <w:spacing w:line="360" w:lineRule="auto"/>
        <w:jc w:val="both"/>
        <w:rPr>
          <w:rFonts w:cs="Times New Roman"/>
          <w:szCs w:val="24"/>
        </w:rPr>
      </w:pPr>
      <w:proofErr w:type="spellStart"/>
      <w:r w:rsidRPr="005C3BEB">
        <w:rPr>
          <w:rFonts w:cs="Times New Roman"/>
          <w:szCs w:val="24"/>
        </w:rPr>
        <w:t>Brusov</w:t>
      </w:r>
      <w:proofErr w:type="spellEnd"/>
      <w:r w:rsidRPr="005C3BEB">
        <w:rPr>
          <w:rFonts w:cs="Times New Roman"/>
          <w:szCs w:val="24"/>
        </w:rPr>
        <w:t xml:space="preserve">, P. and Filatova, T. (2021) ‘The Modigliani–Miller theory with arbitrary frequency of payment of tax on profit’, </w:t>
      </w:r>
      <w:r w:rsidRPr="005C3BEB">
        <w:rPr>
          <w:rFonts w:cs="Times New Roman"/>
          <w:i/>
          <w:iCs/>
          <w:szCs w:val="24"/>
        </w:rPr>
        <w:t>Mathematics</w:t>
      </w:r>
      <w:r w:rsidRPr="005C3BEB">
        <w:rPr>
          <w:rFonts w:cs="Times New Roman"/>
          <w:szCs w:val="24"/>
        </w:rPr>
        <w:t>, 9(11), p.1198. Available at: https://www.mdpi.com/2227-7390/9/11/1198</w:t>
      </w:r>
    </w:p>
    <w:p w14:paraId="6E74A997" w14:textId="77777777" w:rsidR="003645BB" w:rsidRPr="005C3BEB" w:rsidRDefault="003645BB" w:rsidP="005C3BEB">
      <w:pPr>
        <w:spacing w:line="360" w:lineRule="auto"/>
        <w:jc w:val="both"/>
        <w:rPr>
          <w:rFonts w:cs="Times New Roman"/>
          <w:szCs w:val="24"/>
        </w:rPr>
      </w:pPr>
      <w:proofErr w:type="spellStart"/>
      <w:r w:rsidRPr="005C3BEB">
        <w:rPr>
          <w:rFonts w:cs="Times New Roman"/>
          <w:szCs w:val="24"/>
        </w:rPr>
        <w:t>Cityam</w:t>
      </w:r>
      <w:proofErr w:type="spellEnd"/>
      <w:r w:rsidRPr="005C3BEB">
        <w:rPr>
          <w:rFonts w:cs="Times New Roman"/>
          <w:szCs w:val="24"/>
        </w:rPr>
        <w:t xml:space="preserve"> (2024) </w:t>
      </w:r>
      <w:r w:rsidRPr="005C3BEB">
        <w:rPr>
          <w:rFonts w:cs="Times New Roman"/>
          <w:i/>
          <w:szCs w:val="24"/>
        </w:rPr>
        <w:t>Royal Mail modernisation plan: What changes is it proposing and how could they affect you?</w:t>
      </w:r>
      <w:r w:rsidRPr="005C3BEB">
        <w:rPr>
          <w:rFonts w:cs="Times New Roman"/>
          <w:szCs w:val="24"/>
        </w:rPr>
        <w:t xml:space="preserve"> Available at: https://www.cityam.com/royal-mail-modernisation-plan-what-changes-is-it-proposing-and-how-could-they-affect-you/ [Accessed: 18 August 2024]. </w:t>
      </w:r>
    </w:p>
    <w:p w14:paraId="0C9B083C" w14:textId="77777777" w:rsidR="003645BB" w:rsidRPr="005C3BEB" w:rsidRDefault="003645BB" w:rsidP="005C3BEB">
      <w:pPr>
        <w:spacing w:line="360" w:lineRule="auto"/>
        <w:jc w:val="both"/>
        <w:rPr>
          <w:rFonts w:cs="Times New Roman"/>
          <w:szCs w:val="24"/>
        </w:rPr>
      </w:pPr>
      <w:r w:rsidRPr="005C3BEB">
        <w:rPr>
          <w:rFonts w:cs="Times New Roman"/>
          <w:szCs w:val="24"/>
        </w:rPr>
        <w:t xml:space="preserve">Corporate Finance Institute (2024) </w:t>
      </w:r>
      <w:r w:rsidRPr="005C3BEB">
        <w:rPr>
          <w:rFonts w:cs="Times New Roman"/>
          <w:i/>
          <w:iCs/>
          <w:szCs w:val="24"/>
        </w:rPr>
        <w:t>Leverage Ratios</w:t>
      </w:r>
      <w:r w:rsidRPr="005C3BEB">
        <w:rPr>
          <w:rFonts w:cs="Times New Roman"/>
          <w:szCs w:val="24"/>
        </w:rPr>
        <w:t>. Available at: https://corporatefinanceinstitute.com/resources/accounting/leverage-ratios/ [Accessed: 18 August 2024].</w:t>
      </w:r>
    </w:p>
    <w:p w14:paraId="32979B5F" w14:textId="77777777" w:rsidR="003645BB" w:rsidRPr="005C3BEB" w:rsidRDefault="003645BB" w:rsidP="005C3BEB">
      <w:pPr>
        <w:spacing w:line="360" w:lineRule="auto"/>
        <w:jc w:val="both"/>
        <w:rPr>
          <w:rFonts w:cs="Times New Roman"/>
          <w:szCs w:val="24"/>
        </w:rPr>
      </w:pPr>
      <w:r w:rsidRPr="005C3BEB">
        <w:rPr>
          <w:rFonts w:cs="Times New Roman"/>
          <w:szCs w:val="24"/>
        </w:rPr>
        <w:t xml:space="preserve">Desmon, A.R.W.A. and </w:t>
      </w:r>
      <w:proofErr w:type="spellStart"/>
      <w:r w:rsidRPr="005C3BEB">
        <w:rPr>
          <w:rFonts w:cs="Times New Roman"/>
          <w:szCs w:val="24"/>
        </w:rPr>
        <w:t>Meirinaldi</w:t>
      </w:r>
      <w:proofErr w:type="spellEnd"/>
      <w:r w:rsidRPr="005C3BEB">
        <w:rPr>
          <w:rFonts w:cs="Times New Roman"/>
          <w:szCs w:val="24"/>
        </w:rPr>
        <w:t xml:space="preserve">, Y.C. (2022) ‘The Effect of Return on Asset, Return on Equity and Debt to Equity Ratio on the Value of the Manufacturing Firm Listed on Stock Exchange 2015-2019’, In MIC 2021: </w:t>
      </w:r>
      <w:r w:rsidRPr="005C3BEB">
        <w:rPr>
          <w:rFonts w:cs="Times New Roman"/>
          <w:i/>
          <w:iCs/>
          <w:szCs w:val="24"/>
        </w:rPr>
        <w:t>Proceedings of the First Multidiscipline International Conference, MIC 2021, October 30</w:t>
      </w:r>
      <w:proofErr w:type="gramStart"/>
      <w:r w:rsidRPr="005C3BEB">
        <w:rPr>
          <w:rFonts w:cs="Times New Roman"/>
          <w:i/>
          <w:iCs/>
          <w:szCs w:val="24"/>
        </w:rPr>
        <w:t xml:space="preserve"> 2021</w:t>
      </w:r>
      <w:proofErr w:type="gramEnd"/>
      <w:r w:rsidRPr="005C3BEB">
        <w:rPr>
          <w:rFonts w:cs="Times New Roman"/>
          <w:i/>
          <w:iCs/>
          <w:szCs w:val="24"/>
        </w:rPr>
        <w:t>, Jakarta, Indonesia (Vol. 196). European Alliance for Innovation</w:t>
      </w:r>
      <w:r w:rsidRPr="005C3BEB">
        <w:rPr>
          <w:rFonts w:cs="Times New Roman"/>
          <w:szCs w:val="24"/>
        </w:rPr>
        <w:t>. Available at: https://books.google.com/books?hl=en&amp;lr=&amp;id=y8ZyEAAAQBAJ&amp;oi=fnd&amp;pg=PA196&amp;dq=debt+to+equity+ratios&amp;ots=ASVCfEwSQw&amp;sig=yd6ngdEqhUHvQOgrSao4VGCxy0E</w:t>
      </w:r>
    </w:p>
    <w:p w14:paraId="7D30607A" w14:textId="77777777" w:rsidR="003645BB" w:rsidRPr="005C3BEB" w:rsidRDefault="003645BB" w:rsidP="005C3BEB">
      <w:pPr>
        <w:spacing w:line="360" w:lineRule="auto"/>
        <w:jc w:val="both"/>
        <w:rPr>
          <w:rFonts w:cs="Times New Roman"/>
          <w:szCs w:val="24"/>
        </w:rPr>
      </w:pPr>
      <w:proofErr w:type="spellStart"/>
      <w:r w:rsidRPr="005C3BEB">
        <w:rPr>
          <w:rFonts w:cs="Times New Roman"/>
          <w:szCs w:val="24"/>
        </w:rPr>
        <w:t>Evmagazine</w:t>
      </w:r>
      <w:proofErr w:type="spellEnd"/>
      <w:r w:rsidRPr="005C3BEB">
        <w:rPr>
          <w:rFonts w:cs="Times New Roman"/>
          <w:szCs w:val="24"/>
        </w:rPr>
        <w:t xml:space="preserve"> (2024) </w:t>
      </w:r>
      <w:r w:rsidRPr="005C3BEB">
        <w:rPr>
          <w:rFonts w:cs="Times New Roman"/>
          <w:i/>
          <w:szCs w:val="24"/>
        </w:rPr>
        <w:t>Royal Mail's Drone Trials: Transforming Postal Delivery</w:t>
      </w:r>
      <w:r w:rsidRPr="005C3BEB">
        <w:rPr>
          <w:rFonts w:cs="Times New Roman"/>
          <w:szCs w:val="24"/>
        </w:rPr>
        <w:t>. Available at: https://evmagazine.com/articles/royal-mails-drone-trial-transforming-postal-delivery [Accessed: 16 August 2024].</w:t>
      </w:r>
    </w:p>
    <w:p w14:paraId="43F227C6" w14:textId="77777777" w:rsidR="003645BB" w:rsidRDefault="003645BB" w:rsidP="005C3BEB">
      <w:pPr>
        <w:spacing w:line="360" w:lineRule="auto"/>
        <w:jc w:val="both"/>
        <w:rPr>
          <w:rFonts w:cs="Times New Roman"/>
          <w:szCs w:val="24"/>
        </w:rPr>
      </w:pPr>
      <w:r w:rsidRPr="005C3BEB">
        <w:rPr>
          <w:rFonts w:cs="Times New Roman"/>
          <w:szCs w:val="24"/>
        </w:rPr>
        <w:t xml:space="preserve">FedEx (2022) </w:t>
      </w:r>
      <w:r w:rsidRPr="005C3BEB">
        <w:rPr>
          <w:rFonts w:cs="Times New Roman"/>
          <w:i/>
          <w:iCs/>
          <w:szCs w:val="24"/>
        </w:rPr>
        <w:t>Financial information.</w:t>
      </w:r>
      <w:r w:rsidRPr="005C3BEB">
        <w:rPr>
          <w:rFonts w:cs="Times New Roman"/>
          <w:szCs w:val="24"/>
        </w:rPr>
        <w:t xml:space="preserve"> Available at: https://investors.fedex.com/financial-information/annual-reports/default.aspx [Accessed: 18 August 2024].</w:t>
      </w:r>
    </w:p>
    <w:p w14:paraId="3BECAFB8" w14:textId="77777777" w:rsidR="00B63197" w:rsidRDefault="00B63197" w:rsidP="005C3BEB">
      <w:pPr>
        <w:spacing w:line="360" w:lineRule="auto"/>
        <w:jc w:val="both"/>
        <w:rPr>
          <w:rFonts w:cs="Times New Roman"/>
          <w:szCs w:val="24"/>
        </w:rPr>
      </w:pPr>
    </w:p>
    <w:p w14:paraId="021E090E" w14:textId="77777777" w:rsidR="00B63197" w:rsidRPr="00B63197" w:rsidRDefault="00B63197" w:rsidP="005C3BEB">
      <w:pPr>
        <w:spacing w:line="360" w:lineRule="auto"/>
        <w:jc w:val="both"/>
        <w:rPr>
          <w:rFonts w:cs="Times New Roman"/>
          <w:szCs w:val="24"/>
        </w:rPr>
      </w:pPr>
      <w:proofErr w:type="spellStart"/>
      <w:r>
        <w:rPr>
          <w:rFonts w:cs="Times New Roman"/>
          <w:szCs w:val="24"/>
        </w:rPr>
        <w:lastRenderedPageBreak/>
        <w:t>GeeksforGeeks</w:t>
      </w:r>
      <w:proofErr w:type="spellEnd"/>
      <w:r>
        <w:rPr>
          <w:rFonts w:cs="Times New Roman"/>
          <w:szCs w:val="24"/>
        </w:rPr>
        <w:t xml:space="preserve"> (2023) </w:t>
      </w:r>
      <w:r>
        <w:rPr>
          <w:rFonts w:cs="Times New Roman"/>
          <w:i/>
          <w:szCs w:val="24"/>
        </w:rPr>
        <w:t xml:space="preserve">Dividend Decision: Meaning and Factors affecting Dividend Decision. </w:t>
      </w:r>
      <w:r>
        <w:rPr>
          <w:rFonts w:cs="Times New Roman"/>
          <w:szCs w:val="24"/>
        </w:rPr>
        <w:t xml:space="preserve">Available at: </w:t>
      </w:r>
      <w:r w:rsidRPr="00B63197">
        <w:rPr>
          <w:rFonts w:cs="Times New Roman"/>
          <w:szCs w:val="24"/>
        </w:rPr>
        <w:t>https://www.geeksforgeeks.org/dividend-decision-meaning-and-factors-affecting-dividend-decision/</w:t>
      </w:r>
      <w:r>
        <w:rPr>
          <w:rFonts w:cs="Times New Roman"/>
          <w:szCs w:val="24"/>
        </w:rPr>
        <w:t xml:space="preserve"> </w:t>
      </w:r>
      <w:r w:rsidRPr="005C3BEB">
        <w:rPr>
          <w:rFonts w:cs="Times New Roman"/>
          <w:szCs w:val="24"/>
        </w:rPr>
        <w:t>[Accessed: 18 August 2024].</w:t>
      </w:r>
    </w:p>
    <w:p w14:paraId="554DFE14" w14:textId="77777777" w:rsidR="00EB734F" w:rsidRDefault="003645BB" w:rsidP="005C3BEB">
      <w:pPr>
        <w:spacing w:line="360" w:lineRule="auto"/>
        <w:jc w:val="both"/>
        <w:rPr>
          <w:rFonts w:cs="Times New Roman"/>
          <w:szCs w:val="24"/>
        </w:rPr>
      </w:pPr>
      <w:r w:rsidRPr="005C3BEB">
        <w:rPr>
          <w:rFonts w:cs="Times New Roman"/>
          <w:szCs w:val="24"/>
        </w:rPr>
        <w:t xml:space="preserve">Husna, A. and Satria, I. (2019) ‘Effects of return on asset, debt to asset ratio, current ratio, firm size, and dividend payout ratio on firm value’, </w:t>
      </w:r>
      <w:r w:rsidRPr="005C3BEB">
        <w:rPr>
          <w:rFonts w:cs="Times New Roman"/>
          <w:i/>
          <w:iCs/>
          <w:szCs w:val="24"/>
        </w:rPr>
        <w:t>International Journal of Economics and Financial Issues</w:t>
      </w:r>
      <w:r w:rsidRPr="005C3BEB">
        <w:rPr>
          <w:rFonts w:cs="Times New Roman"/>
          <w:szCs w:val="24"/>
        </w:rPr>
        <w:t xml:space="preserve">, 9(5), pp.50-54. Available at: </w:t>
      </w:r>
      <w:r w:rsidR="00EB734F" w:rsidRPr="00EB734F">
        <w:rPr>
          <w:rFonts w:cs="Times New Roman"/>
          <w:szCs w:val="24"/>
        </w:rPr>
        <w:t>https://d1wqtxts1xzle7.cloudfront.net/72349718/pdf-libre.pdf</w:t>
      </w:r>
    </w:p>
    <w:p w14:paraId="2C19349D" w14:textId="77777777" w:rsidR="003645BB" w:rsidRPr="005C3BEB" w:rsidRDefault="00EB734F" w:rsidP="005C3BEB">
      <w:pPr>
        <w:spacing w:line="360" w:lineRule="auto"/>
        <w:jc w:val="both"/>
        <w:rPr>
          <w:rFonts w:cs="Times New Roman"/>
          <w:szCs w:val="24"/>
        </w:rPr>
      </w:pPr>
      <w:r w:rsidRPr="005C3BEB">
        <w:rPr>
          <w:rFonts w:cs="Times New Roman"/>
          <w:szCs w:val="24"/>
        </w:rPr>
        <w:t xml:space="preserve"> </w:t>
      </w:r>
      <w:r w:rsidR="003645BB" w:rsidRPr="005C3BEB">
        <w:rPr>
          <w:rFonts w:cs="Times New Roman"/>
          <w:szCs w:val="24"/>
        </w:rPr>
        <w:t xml:space="preserve">Morningstar.co.uk (2019) </w:t>
      </w:r>
      <w:r w:rsidR="003645BB" w:rsidRPr="005C3BEB">
        <w:rPr>
          <w:rFonts w:cs="Times New Roman"/>
          <w:i/>
          <w:szCs w:val="24"/>
        </w:rPr>
        <w:t>Royal Mail Cuts Dividend, M&amp;S Launches Rights Issue</w:t>
      </w:r>
      <w:r w:rsidR="003645BB" w:rsidRPr="005C3BEB">
        <w:rPr>
          <w:rFonts w:cs="Times New Roman"/>
          <w:szCs w:val="24"/>
        </w:rPr>
        <w:t xml:space="preserve">. Available at: https://www.morningstar.co.uk/uk/news/190187/royal-mail-cuts-dividend-ms-launches-rights-issue.aspx [Accessed: 18 August 2024]. </w:t>
      </w:r>
    </w:p>
    <w:p w14:paraId="5E04325E" w14:textId="77777777" w:rsidR="003645BB" w:rsidRPr="005C3BEB" w:rsidRDefault="003645BB" w:rsidP="005C3BEB">
      <w:pPr>
        <w:spacing w:line="360" w:lineRule="auto"/>
        <w:jc w:val="both"/>
        <w:rPr>
          <w:rFonts w:cs="Times New Roman"/>
          <w:szCs w:val="24"/>
        </w:rPr>
      </w:pPr>
      <w:r w:rsidRPr="005C3BEB">
        <w:rPr>
          <w:rFonts w:cs="Times New Roman"/>
          <w:szCs w:val="24"/>
        </w:rPr>
        <w:t xml:space="preserve">Ofcom.org.uk (2023) </w:t>
      </w:r>
      <w:r w:rsidRPr="005C3BEB">
        <w:rPr>
          <w:rFonts w:cs="Times New Roman"/>
          <w:i/>
          <w:szCs w:val="24"/>
        </w:rPr>
        <w:t>Royal Mail's quality of service performance in 2020/21.</w:t>
      </w:r>
      <w:r w:rsidRPr="005C3BEB">
        <w:rPr>
          <w:rFonts w:cs="Times New Roman"/>
          <w:szCs w:val="24"/>
        </w:rPr>
        <w:t xml:space="preserve"> Available at: https://www.ofcom.org.uk/post/royal-mail/royal-mail-quality-of-service-performance-2021/ [Accessed: 16 August 2024]. </w:t>
      </w:r>
    </w:p>
    <w:p w14:paraId="620D16FD" w14:textId="77777777" w:rsidR="003645BB" w:rsidRPr="005C3BEB" w:rsidRDefault="003645BB" w:rsidP="005C3BEB">
      <w:pPr>
        <w:spacing w:line="360" w:lineRule="auto"/>
        <w:jc w:val="both"/>
        <w:rPr>
          <w:rFonts w:cs="Times New Roman"/>
          <w:szCs w:val="24"/>
        </w:rPr>
      </w:pPr>
      <w:proofErr w:type="spellStart"/>
      <w:r w:rsidRPr="005C3BEB">
        <w:rPr>
          <w:rFonts w:cs="Times New Roman"/>
          <w:szCs w:val="24"/>
        </w:rPr>
        <w:t>Oktaviani</w:t>
      </w:r>
      <w:proofErr w:type="spellEnd"/>
      <w:r w:rsidRPr="005C3BEB">
        <w:rPr>
          <w:rFonts w:cs="Times New Roman"/>
          <w:szCs w:val="24"/>
        </w:rPr>
        <w:t xml:space="preserve">, M., </w:t>
      </w:r>
      <w:proofErr w:type="spellStart"/>
      <w:r w:rsidRPr="005C3BEB">
        <w:rPr>
          <w:rFonts w:cs="Times New Roman"/>
          <w:szCs w:val="24"/>
        </w:rPr>
        <w:t>Mochklas</w:t>
      </w:r>
      <w:proofErr w:type="spellEnd"/>
      <w:r w:rsidRPr="005C3BEB">
        <w:rPr>
          <w:rFonts w:cs="Times New Roman"/>
          <w:szCs w:val="24"/>
        </w:rPr>
        <w:t>, M. and Fahmi, E. (2020) ‘Pecking Order Theory as a Strengthening Capital Structure’, Available at: https://books.google.co.in/books?hl=en&amp;lr=&amp;id=OTBEEAAAQBAJ&amp;oi=fnd&amp;pg=PA1&amp;dq=%E2%80%A2%09Pecking+Order+Theory&amp;ots=wEB_QMzDda&amp;sig=_i7_BtgdW7faB3UT8vryhxU30c8&amp;redir_esc=y#v=onepage&amp;q=%E2%80%A2%09Pecking%20Order%20Theory&amp;f=false</w:t>
      </w:r>
    </w:p>
    <w:p w14:paraId="2B37D5C2" w14:textId="77777777" w:rsidR="003645BB" w:rsidRPr="005C3BEB" w:rsidRDefault="003645BB" w:rsidP="005C3BEB">
      <w:pPr>
        <w:spacing w:line="360" w:lineRule="auto"/>
        <w:jc w:val="both"/>
        <w:rPr>
          <w:rFonts w:cs="Times New Roman"/>
          <w:szCs w:val="24"/>
        </w:rPr>
      </w:pPr>
      <w:proofErr w:type="spellStart"/>
      <w:r w:rsidRPr="005C3BEB">
        <w:rPr>
          <w:rFonts w:cs="Times New Roman"/>
          <w:szCs w:val="24"/>
        </w:rPr>
        <w:t>Peterdy</w:t>
      </w:r>
      <w:proofErr w:type="spellEnd"/>
      <w:r w:rsidRPr="005C3BEB">
        <w:rPr>
          <w:rFonts w:cs="Times New Roman"/>
          <w:szCs w:val="24"/>
        </w:rPr>
        <w:t xml:space="preserve"> (2024) </w:t>
      </w:r>
      <w:r w:rsidRPr="005C3BEB">
        <w:rPr>
          <w:rFonts w:cs="Times New Roman"/>
          <w:i/>
          <w:iCs/>
          <w:szCs w:val="24"/>
        </w:rPr>
        <w:t>Debt to Asset Ratio</w:t>
      </w:r>
      <w:r w:rsidRPr="005C3BEB">
        <w:rPr>
          <w:rFonts w:cs="Times New Roman"/>
          <w:szCs w:val="24"/>
        </w:rPr>
        <w:t>. Available at: https://corporatefinanceinstitute.com/resources/commercial-lending/debt-to-asset-ratio/ [Accessed: 18 August 2024].</w:t>
      </w:r>
    </w:p>
    <w:p w14:paraId="181031E5" w14:textId="77777777" w:rsidR="003645BB" w:rsidRPr="005C3BEB" w:rsidRDefault="003645BB" w:rsidP="005C3BEB">
      <w:pPr>
        <w:spacing w:line="360" w:lineRule="auto"/>
        <w:jc w:val="both"/>
        <w:rPr>
          <w:rFonts w:cs="Times New Roman"/>
          <w:szCs w:val="24"/>
        </w:rPr>
      </w:pPr>
      <w:proofErr w:type="spellStart"/>
      <w:r w:rsidRPr="005C3BEB">
        <w:rPr>
          <w:rFonts w:cs="Times New Roman"/>
          <w:szCs w:val="24"/>
        </w:rPr>
        <w:t>Postandparcel</w:t>
      </w:r>
      <w:proofErr w:type="spellEnd"/>
      <w:r w:rsidRPr="005C3BEB">
        <w:rPr>
          <w:rFonts w:cs="Times New Roman"/>
          <w:szCs w:val="24"/>
        </w:rPr>
        <w:t xml:space="preserve"> (2024) </w:t>
      </w:r>
      <w:r w:rsidRPr="005C3BEB">
        <w:rPr>
          <w:rFonts w:cs="Times New Roman"/>
          <w:i/>
          <w:szCs w:val="24"/>
        </w:rPr>
        <w:t>IDS: The transformation of Royal Mail must be supported by Universal Service reform</w:t>
      </w:r>
      <w:r w:rsidRPr="005C3BEB">
        <w:rPr>
          <w:rFonts w:cs="Times New Roman"/>
          <w:szCs w:val="24"/>
        </w:rPr>
        <w:t>. Available at: https://postandparcel.info/156187/news/e-commerce/ids-the-transformation-of-royal-mail-must-be-supported-by-universal-service-reform/ [Accessed: 18 August 2024].</w:t>
      </w:r>
    </w:p>
    <w:p w14:paraId="4056DD6E" w14:textId="77777777" w:rsidR="003645BB" w:rsidRPr="005C3BEB" w:rsidRDefault="003645BB" w:rsidP="005C3BEB">
      <w:pPr>
        <w:spacing w:line="360" w:lineRule="auto"/>
        <w:jc w:val="both"/>
        <w:rPr>
          <w:rFonts w:cs="Times New Roman"/>
          <w:szCs w:val="24"/>
        </w:rPr>
      </w:pPr>
      <w:r w:rsidRPr="005C3BEB">
        <w:rPr>
          <w:rFonts w:cs="Times New Roman"/>
          <w:szCs w:val="24"/>
        </w:rPr>
        <w:t xml:space="preserve">Purnomo, A. (2018) ‘Influence of the ratio of profit margin, financial leverage ratio, current ratio, quick ratio against the conditions and financial distress’, </w:t>
      </w:r>
      <w:r w:rsidRPr="005C3BEB">
        <w:rPr>
          <w:rFonts w:cs="Times New Roman"/>
          <w:i/>
          <w:iCs/>
          <w:szCs w:val="24"/>
        </w:rPr>
        <w:t>Indonesian Journal of Business, Accounting and Management,</w:t>
      </w:r>
      <w:r w:rsidRPr="005C3BEB">
        <w:rPr>
          <w:rFonts w:cs="Times New Roman"/>
          <w:szCs w:val="24"/>
        </w:rPr>
        <w:t xml:space="preserve"> 1(01), pp.9-17. Available at: http://www.ejournal.stei.ac.id/index.php/ijbam/article/view/218</w:t>
      </w:r>
    </w:p>
    <w:p w14:paraId="5F79AA7D" w14:textId="77777777" w:rsidR="003645BB" w:rsidRPr="005C3BEB" w:rsidRDefault="003645BB" w:rsidP="005C3BEB">
      <w:pPr>
        <w:spacing w:line="360" w:lineRule="auto"/>
        <w:jc w:val="both"/>
        <w:rPr>
          <w:rFonts w:cs="Times New Roman"/>
          <w:szCs w:val="24"/>
        </w:rPr>
      </w:pPr>
      <w:r w:rsidRPr="005C3BEB">
        <w:rPr>
          <w:rFonts w:cs="Times New Roman"/>
          <w:szCs w:val="24"/>
        </w:rPr>
        <w:lastRenderedPageBreak/>
        <w:t xml:space="preserve">Reuters (2024) </w:t>
      </w:r>
      <w:r w:rsidRPr="005C3BEB">
        <w:rPr>
          <w:rFonts w:cs="Times New Roman"/>
          <w:i/>
          <w:szCs w:val="24"/>
        </w:rPr>
        <w:t xml:space="preserve">Royal Mail, GLS need big investments soon, billionaire suitor </w:t>
      </w:r>
      <w:proofErr w:type="spellStart"/>
      <w:r w:rsidRPr="005C3BEB">
        <w:rPr>
          <w:rFonts w:cs="Times New Roman"/>
          <w:i/>
          <w:szCs w:val="24"/>
        </w:rPr>
        <w:t>Kretinsky</w:t>
      </w:r>
      <w:proofErr w:type="spellEnd"/>
      <w:r w:rsidRPr="005C3BEB">
        <w:rPr>
          <w:rFonts w:cs="Times New Roman"/>
          <w:i/>
          <w:szCs w:val="24"/>
        </w:rPr>
        <w:t xml:space="preserve"> says</w:t>
      </w:r>
      <w:r w:rsidRPr="005C3BEB">
        <w:rPr>
          <w:rFonts w:cs="Times New Roman"/>
          <w:szCs w:val="24"/>
        </w:rPr>
        <w:t xml:space="preserve">. Available at: https://www.reuters.com/markets/deals/royal-mail-gls-need-sizable-investments-soon-billionaire-suitor-kretinsky-says-2024-05-29/ [Accessed: 17 August 2024]. </w:t>
      </w:r>
    </w:p>
    <w:p w14:paraId="598E5BF8" w14:textId="77777777" w:rsidR="003645BB" w:rsidRPr="005C3BEB" w:rsidRDefault="003645BB" w:rsidP="005C3BEB">
      <w:pPr>
        <w:spacing w:line="360" w:lineRule="auto"/>
        <w:jc w:val="both"/>
        <w:rPr>
          <w:rFonts w:cs="Times New Roman"/>
          <w:szCs w:val="24"/>
        </w:rPr>
      </w:pPr>
      <w:proofErr w:type="spellStart"/>
      <w:r w:rsidRPr="005C3BEB">
        <w:rPr>
          <w:rFonts w:cs="Times New Roman"/>
          <w:szCs w:val="24"/>
        </w:rPr>
        <w:t>Royalmail</w:t>
      </w:r>
      <w:proofErr w:type="spellEnd"/>
      <w:r w:rsidRPr="005C3BEB">
        <w:rPr>
          <w:rFonts w:cs="Times New Roman"/>
          <w:szCs w:val="24"/>
        </w:rPr>
        <w:t xml:space="preserve"> (2024) </w:t>
      </w:r>
      <w:r w:rsidRPr="005C3BEB">
        <w:rPr>
          <w:rFonts w:cs="Times New Roman"/>
          <w:i/>
          <w:szCs w:val="24"/>
        </w:rPr>
        <w:t>About us</w:t>
      </w:r>
      <w:r w:rsidRPr="005C3BEB">
        <w:rPr>
          <w:rFonts w:cs="Times New Roman"/>
          <w:szCs w:val="24"/>
        </w:rPr>
        <w:t xml:space="preserve">. Available at: https://www.royalmail.com/about-us [Accessed: 17 August 2024]. </w:t>
      </w:r>
    </w:p>
    <w:p w14:paraId="456B1BC6" w14:textId="77777777" w:rsidR="003645BB" w:rsidRPr="005C3BEB" w:rsidRDefault="003645BB" w:rsidP="005C3BEB">
      <w:pPr>
        <w:spacing w:line="360" w:lineRule="auto"/>
        <w:jc w:val="both"/>
        <w:rPr>
          <w:rFonts w:cs="Times New Roman"/>
          <w:szCs w:val="24"/>
        </w:rPr>
      </w:pPr>
      <w:r w:rsidRPr="005C3BEB">
        <w:rPr>
          <w:rFonts w:cs="Times New Roman"/>
          <w:szCs w:val="24"/>
        </w:rPr>
        <w:t xml:space="preserve">Smarty (2024) </w:t>
      </w:r>
      <w:r w:rsidRPr="005C3BEB">
        <w:rPr>
          <w:rFonts w:cs="Times New Roman"/>
          <w:i/>
          <w:szCs w:val="24"/>
        </w:rPr>
        <w:t>What is Royal Mail?</w:t>
      </w:r>
      <w:r w:rsidRPr="005C3BEB">
        <w:rPr>
          <w:rFonts w:cs="Times New Roman"/>
          <w:szCs w:val="24"/>
        </w:rPr>
        <w:t xml:space="preserve"> Available at: https://www.smarty.com/articles/royal-mail [Accessed: 17 August 2024]. </w:t>
      </w:r>
    </w:p>
    <w:p w14:paraId="39155D3D" w14:textId="77777777" w:rsidR="003645BB" w:rsidRPr="005C3BEB" w:rsidRDefault="003645BB" w:rsidP="005C3BEB">
      <w:pPr>
        <w:spacing w:line="360" w:lineRule="auto"/>
        <w:jc w:val="both"/>
        <w:rPr>
          <w:rFonts w:cs="Times New Roman"/>
          <w:szCs w:val="24"/>
          <w:shd w:val="clear" w:color="auto" w:fill="FFFFFF"/>
        </w:rPr>
      </w:pPr>
      <w:r w:rsidRPr="005C3BEB">
        <w:rPr>
          <w:rFonts w:cs="Times New Roman"/>
          <w:szCs w:val="24"/>
          <w:shd w:val="clear" w:color="auto" w:fill="FFFFFF"/>
        </w:rPr>
        <w:t>Sund, K.J. and Anson, J. (2021) ‘The decline of mail: Postal industry decision-makers’ interpretations in the aftermath of the financial crisis’, </w:t>
      </w:r>
      <w:proofErr w:type="spellStart"/>
      <w:r w:rsidRPr="005C3BEB">
        <w:rPr>
          <w:rFonts w:cs="Times New Roman"/>
          <w:i/>
          <w:iCs/>
          <w:szCs w:val="24"/>
          <w:shd w:val="clear" w:color="auto" w:fill="FFFFFF"/>
        </w:rPr>
        <w:t>Entreprises</w:t>
      </w:r>
      <w:proofErr w:type="spellEnd"/>
      <w:r w:rsidRPr="005C3BEB">
        <w:rPr>
          <w:rFonts w:cs="Times New Roman"/>
          <w:i/>
          <w:iCs/>
          <w:szCs w:val="24"/>
          <w:shd w:val="clear" w:color="auto" w:fill="FFFFFF"/>
        </w:rPr>
        <w:t xml:space="preserve"> et </w:t>
      </w:r>
      <w:proofErr w:type="spellStart"/>
      <w:r w:rsidRPr="005C3BEB">
        <w:rPr>
          <w:rFonts w:cs="Times New Roman"/>
          <w:i/>
          <w:iCs/>
          <w:szCs w:val="24"/>
          <w:shd w:val="clear" w:color="auto" w:fill="FFFFFF"/>
        </w:rPr>
        <w:t>histoire</w:t>
      </w:r>
      <w:proofErr w:type="spellEnd"/>
      <w:r w:rsidRPr="005C3BEB">
        <w:rPr>
          <w:rFonts w:cs="Times New Roman"/>
          <w:szCs w:val="24"/>
          <w:shd w:val="clear" w:color="auto" w:fill="FFFFFF"/>
        </w:rPr>
        <w:t>, (4), pp.65-77.</w:t>
      </w:r>
    </w:p>
    <w:p w14:paraId="03A6ACA1" w14:textId="77777777" w:rsidR="003645BB" w:rsidRPr="005C3BEB" w:rsidRDefault="003645BB" w:rsidP="005C3BEB">
      <w:pPr>
        <w:spacing w:line="360" w:lineRule="auto"/>
        <w:jc w:val="both"/>
        <w:rPr>
          <w:rFonts w:cs="Times New Roman"/>
          <w:szCs w:val="24"/>
        </w:rPr>
      </w:pPr>
      <w:proofErr w:type="spellStart"/>
      <w:r w:rsidRPr="005C3BEB">
        <w:rPr>
          <w:rFonts w:cs="Times New Roman"/>
          <w:szCs w:val="24"/>
        </w:rPr>
        <w:t>TheGuardian</w:t>
      </w:r>
      <w:proofErr w:type="spellEnd"/>
      <w:r w:rsidRPr="005C3BEB">
        <w:rPr>
          <w:rFonts w:cs="Times New Roman"/>
          <w:szCs w:val="24"/>
        </w:rPr>
        <w:t xml:space="preserve"> (2018) </w:t>
      </w:r>
      <w:r w:rsidRPr="005C3BEB">
        <w:rPr>
          <w:rFonts w:cs="Times New Roman"/>
          <w:i/>
          <w:szCs w:val="24"/>
        </w:rPr>
        <w:t>Moya Greene to step down as Royal Mail’s chief executive.</w:t>
      </w:r>
      <w:r w:rsidRPr="005C3BEB">
        <w:rPr>
          <w:rFonts w:cs="Times New Roman"/>
          <w:szCs w:val="24"/>
        </w:rPr>
        <w:t xml:space="preserve"> Available at: https://www.theguardian.com/business/2018/apr/20/royal-mail-moya-greene-to-step-down-as-chief-executive-rico-back [Accessed: 16 August 2024]. </w:t>
      </w:r>
    </w:p>
    <w:p w14:paraId="2C394A32" w14:textId="77777777" w:rsidR="003645BB" w:rsidRPr="005C3BEB" w:rsidRDefault="003645BB" w:rsidP="005C3BEB">
      <w:pPr>
        <w:spacing w:line="360" w:lineRule="auto"/>
        <w:jc w:val="both"/>
        <w:rPr>
          <w:rFonts w:cs="Times New Roman"/>
          <w:szCs w:val="24"/>
        </w:rPr>
      </w:pPr>
      <w:r w:rsidRPr="005C3BEB">
        <w:rPr>
          <w:rFonts w:cs="Times New Roman"/>
          <w:szCs w:val="24"/>
        </w:rPr>
        <w:t xml:space="preserve">Trading Economics (2024) </w:t>
      </w:r>
      <w:r w:rsidRPr="005C3BEB">
        <w:rPr>
          <w:rFonts w:cs="Times New Roman"/>
          <w:i/>
          <w:iCs/>
          <w:szCs w:val="24"/>
        </w:rPr>
        <w:t>Royal Mail | RMG</w:t>
      </w:r>
      <w:r w:rsidRPr="005C3BEB">
        <w:rPr>
          <w:rFonts w:cs="Times New Roman"/>
          <w:szCs w:val="24"/>
        </w:rPr>
        <w:t>. Available at: https://tradingeconomics.com/rmg:ln [Accessed: 18 August 2024].</w:t>
      </w:r>
    </w:p>
    <w:p w14:paraId="2CE0325D" w14:textId="77777777" w:rsidR="003645BB" w:rsidRPr="005C3BEB" w:rsidRDefault="003645BB" w:rsidP="005C3BEB">
      <w:pPr>
        <w:spacing w:line="360" w:lineRule="auto"/>
        <w:jc w:val="both"/>
        <w:rPr>
          <w:rFonts w:cs="Times New Roman"/>
          <w:szCs w:val="24"/>
        </w:rPr>
      </w:pPr>
      <w:r w:rsidRPr="005C3BEB">
        <w:rPr>
          <w:rFonts w:cs="Times New Roman"/>
          <w:szCs w:val="24"/>
        </w:rPr>
        <w:t xml:space="preserve">UPS (2022) </w:t>
      </w:r>
      <w:r w:rsidRPr="005C3BEB">
        <w:rPr>
          <w:rFonts w:cs="Times New Roman"/>
          <w:i/>
          <w:iCs/>
          <w:szCs w:val="24"/>
        </w:rPr>
        <w:t>Annual Reports</w:t>
      </w:r>
      <w:r w:rsidRPr="005C3BEB">
        <w:rPr>
          <w:rFonts w:cs="Times New Roman"/>
          <w:szCs w:val="24"/>
        </w:rPr>
        <w:t>. Available at: https://investors.ups.com/company-profile/annual-reports [Accessed: 18 August 2024].</w:t>
      </w:r>
    </w:p>
    <w:p w14:paraId="2FF8D73A" w14:textId="77777777" w:rsidR="00886000" w:rsidRPr="005C3BEB" w:rsidRDefault="00886000" w:rsidP="005C3BEB">
      <w:pPr>
        <w:spacing w:line="360" w:lineRule="auto"/>
        <w:jc w:val="both"/>
        <w:rPr>
          <w:rFonts w:cs="Times New Roman"/>
          <w:szCs w:val="24"/>
        </w:rPr>
      </w:pPr>
    </w:p>
    <w:p w14:paraId="7865A3CF" w14:textId="77777777" w:rsidR="00446E62" w:rsidRPr="005C3BEB" w:rsidRDefault="00446E62" w:rsidP="005C3BEB">
      <w:pPr>
        <w:spacing w:line="360" w:lineRule="auto"/>
        <w:jc w:val="both"/>
        <w:rPr>
          <w:rFonts w:cs="Times New Roman"/>
          <w:szCs w:val="24"/>
        </w:rPr>
      </w:pPr>
    </w:p>
    <w:p w14:paraId="6E4A30EF" w14:textId="77777777" w:rsidR="00BA4B7D" w:rsidRPr="005C3BEB" w:rsidRDefault="00BA4B7D" w:rsidP="005C3BEB">
      <w:pPr>
        <w:spacing w:line="360" w:lineRule="auto"/>
        <w:jc w:val="both"/>
        <w:rPr>
          <w:rFonts w:cs="Times New Roman"/>
          <w:szCs w:val="24"/>
        </w:rPr>
      </w:pPr>
    </w:p>
    <w:p w14:paraId="2F444107" w14:textId="77777777" w:rsidR="00BA4B7D" w:rsidRPr="005C3BEB" w:rsidRDefault="00BA4B7D" w:rsidP="005C3BEB">
      <w:pPr>
        <w:spacing w:line="360" w:lineRule="auto"/>
        <w:jc w:val="both"/>
        <w:rPr>
          <w:rFonts w:cs="Times New Roman"/>
          <w:szCs w:val="24"/>
        </w:rPr>
      </w:pPr>
    </w:p>
    <w:p w14:paraId="687F7B4A" w14:textId="77777777" w:rsidR="00BA4B7D" w:rsidRPr="005C3BEB" w:rsidRDefault="00BA4B7D" w:rsidP="005C3BEB">
      <w:pPr>
        <w:spacing w:line="360" w:lineRule="auto"/>
        <w:jc w:val="both"/>
        <w:rPr>
          <w:rFonts w:cs="Times New Roman"/>
          <w:szCs w:val="24"/>
        </w:rPr>
      </w:pPr>
    </w:p>
    <w:sectPr w:rsidR="00BA4B7D" w:rsidRPr="005C3BEB" w:rsidSect="00DE72FE">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9C50619" w14:textId="77777777" w:rsidR="000721BE" w:rsidRDefault="000721BE" w:rsidP="00546691">
      <w:pPr>
        <w:spacing w:after="0" w:line="240" w:lineRule="auto"/>
      </w:pPr>
      <w:r>
        <w:separator/>
      </w:r>
    </w:p>
  </w:endnote>
  <w:endnote w:type="continuationSeparator" w:id="0">
    <w:p w14:paraId="534B8D5E" w14:textId="77777777" w:rsidR="000721BE" w:rsidRDefault="000721BE" w:rsidP="005466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71140860"/>
      <w:docPartObj>
        <w:docPartGallery w:val="Page Numbers (Bottom of Page)"/>
        <w:docPartUnique/>
      </w:docPartObj>
    </w:sdtPr>
    <w:sdtEndPr/>
    <w:sdtContent>
      <w:p w14:paraId="57BD1718" w14:textId="77777777" w:rsidR="00546691" w:rsidRDefault="0053796F">
        <w:pPr>
          <w:pStyle w:val="Footer"/>
          <w:jc w:val="center"/>
        </w:pPr>
        <w:r>
          <w:fldChar w:fldCharType="begin"/>
        </w:r>
        <w:r>
          <w:instrText xml:space="preserve"> PAGE   \* MERGEFORMAT </w:instrText>
        </w:r>
        <w:r>
          <w:fldChar w:fldCharType="separate"/>
        </w:r>
        <w:r w:rsidR="000464BE">
          <w:rPr>
            <w:noProof/>
          </w:rPr>
          <w:t>2</w:t>
        </w:r>
        <w:r>
          <w:rPr>
            <w:noProof/>
          </w:rPr>
          <w:fldChar w:fldCharType="end"/>
        </w:r>
      </w:p>
    </w:sdtContent>
  </w:sdt>
  <w:p w14:paraId="0C2BCEE9" w14:textId="77777777" w:rsidR="00546691" w:rsidRDefault="0054669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05B62A0" w14:textId="77777777" w:rsidR="000721BE" w:rsidRDefault="000721BE" w:rsidP="00546691">
      <w:pPr>
        <w:spacing w:after="0" w:line="240" w:lineRule="auto"/>
      </w:pPr>
      <w:r>
        <w:separator/>
      </w:r>
    </w:p>
  </w:footnote>
  <w:footnote w:type="continuationSeparator" w:id="0">
    <w:p w14:paraId="3FB303CD" w14:textId="77777777" w:rsidR="000721BE" w:rsidRDefault="000721BE" w:rsidP="0054669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5C1C98"/>
    <w:multiLevelType w:val="hybridMultilevel"/>
    <w:tmpl w:val="3ED85FF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19C42559"/>
    <w:multiLevelType w:val="hybridMultilevel"/>
    <w:tmpl w:val="C7BAD170"/>
    <w:lvl w:ilvl="0" w:tplc="40090001">
      <w:start w:val="1"/>
      <w:numFmt w:val="bullet"/>
      <w:lvlText w:val=""/>
      <w:lvlJc w:val="left"/>
      <w:pPr>
        <w:ind w:left="720" w:hanging="360"/>
      </w:pPr>
      <w:rPr>
        <w:rFonts w:ascii="Symbol" w:hAnsi="Symbol" w:hint="default"/>
      </w:rPr>
    </w:lvl>
    <w:lvl w:ilvl="1" w:tplc="6206FE22">
      <w:start w:val="2021"/>
      <w:numFmt w:val="bullet"/>
      <w:lvlText w:val="•"/>
      <w:lvlJc w:val="left"/>
      <w:pPr>
        <w:ind w:left="1440" w:hanging="360"/>
      </w:pPr>
      <w:rPr>
        <w:rFonts w:ascii="Times New Roman" w:eastAsiaTheme="minorHAnsi" w:hAnsi="Times New Roman" w:cs="Times New Roman"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1E530F98"/>
    <w:multiLevelType w:val="multilevel"/>
    <w:tmpl w:val="DA1274C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4411D5C"/>
    <w:multiLevelType w:val="hybridMultilevel"/>
    <w:tmpl w:val="16226B0A"/>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15:restartNumberingAfterBreak="0">
    <w:nsid w:val="256957DF"/>
    <w:multiLevelType w:val="hybridMultilevel"/>
    <w:tmpl w:val="52EA661E"/>
    <w:lvl w:ilvl="0" w:tplc="EE0A9694">
      <w:start w:val="1"/>
      <w:numFmt w:val="decimal"/>
      <w:lvlText w:val="%1."/>
      <w:lvlJc w:val="left"/>
      <w:pPr>
        <w:ind w:left="720" w:hanging="360"/>
      </w:pPr>
      <w:rPr>
        <w:rFonts w:hint="default"/>
        <w:b/>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 w15:restartNumberingAfterBreak="0">
    <w:nsid w:val="278C7284"/>
    <w:multiLevelType w:val="hybridMultilevel"/>
    <w:tmpl w:val="193EB8FE"/>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27EC5374"/>
    <w:multiLevelType w:val="hybridMultilevel"/>
    <w:tmpl w:val="C152E57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15:restartNumberingAfterBreak="0">
    <w:nsid w:val="28045C3B"/>
    <w:multiLevelType w:val="hybridMultilevel"/>
    <w:tmpl w:val="3C8E89A6"/>
    <w:lvl w:ilvl="0" w:tplc="40090001">
      <w:start w:val="1"/>
      <w:numFmt w:val="bullet"/>
      <w:lvlText w:val=""/>
      <w:lvlJc w:val="left"/>
      <w:pPr>
        <w:ind w:left="1800" w:hanging="360"/>
      </w:pPr>
      <w:rPr>
        <w:rFonts w:ascii="Symbol" w:hAnsi="Symbol" w:hint="default"/>
      </w:rPr>
    </w:lvl>
    <w:lvl w:ilvl="1" w:tplc="40090003" w:tentative="1">
      <w:start w:val="1"/>
      <w:numFmt w:val="bullet"/>
      <w:lvlText w:val="o"/>
      <w:lvlJc w:val="left"/>
      <w:pPr>
        <w:ind w:left="2520" w:hanging="360"/>
      </w:pPr>
      <w:rPr>
        <w:rFonts w:ascii="Courier New" w:hAnsi="Courier New" w:cs="Courier New" w:hint="default"/>
      </w:rPr>
    </w:lvl>
    <w:lvl w:ilvl="2" w:tplc="40090005" w:tentative="1">
      <w:start w:val="1"/>
      <w:numFmt w:val="bullet"/>
      <w:lvlText w:val=""/>
      <w:lvlJc w:val="left"/>
      <w:pPr>
        <w:ind w:left="3240" w:hanging="360"/>
      </w:pPr>
      <w:rPr>
        <w:rFonts w:ascii="Wingdings" w:hAnsi="Wingdings" w:hint="default"/>
      </w:rPr>
    </w:lvl>
    <w:lvl w:ilvl="3" w:tplc="40090001" w:tentative="1">
      <w:start w:val="1"/>
      <w:numFmt w:val="bullet"/>
      <w:lvlText w:val=""/>
      <w:lvlJc w:val="left"/>
      <w:pPr>
        <w:ind w:left="3960" w:hanging="360"/>
      </w:pPr>
      <w:rPr>
        <w:rFonts w:ascii="Symbol" w:hAnsi="Symbol" w:hint="default"/>
      </w:rPr>
    </w:lvl>
    <w:lvl w:ilvl="4" w:tplc="40090003" w:tentative="1">
      <w:start w:val="1"/>
      <w:numFmt w:val="bullet"/>
      <w:lvlText w:val="o"/>
      <w:lvlJc w:val="left"/>
      <w:pPr>
        <w:ind w:left="4680" w:hanging="360"/>
      </w:pPr>
      <w:rPr>
        <w:rFonts w:ascii="Courier New" w:hAnsi="Courier New" w:cs="Courier New" w:hint="default"/>
      </w:rPr>
    </w:lvl>
    <w:lvl w:ilvl="5" w:tplc="40090005" w:tentative="1">
      <w:start w:val="1"/>
      <w:numFmt w:val="bullet"/>
      <w:lvlText w:val=""/>
      <w:lvlJc w:val="left"/>
      <w:pPr>
        <w:ind w:left="5400" w:hanging="360"/>
      </w:pPr>
      <w:rPr>
        <w:rFonts w:ascii="Wingdings" w:hAnsi="Wingdings" w:hint="default"/>
      </w:rPr>
    </w:lvl>
    <w:lvl w:ilvl="6" w:tplc="40090001" w:tentative="1">
      <w:start w:val="1"/>
      <w:numFmt w:val="bullet"/>
      <w:lvlText w:val=""/>
      <w:lvlJc w:val="left"/>
      <w:pPr>
        <w:ind w:left="6120" w:hanging="360"/>
      </w:pPr>
      <w:rPr>
        <w:rFonts w:ascii="Symbol" w:hAnsi="Symbol" w:hint="default"/>
      </w:rPr>
    </w:lvl>
    <w:lvl w:ilvl="7" w:tplc="40090003" w:tentative="1">
      <w:start w:val="1"/>
      <w:numFmt w:val="bullet"/>
      <w:lvlText w:val="o"/>
      <w:lvlJc w:val="left"/>
      <w:pPr>
        <w:ind w:left="6840" w:hanging="360"/>
      </w:pPr>
      <w:rPr>
        <w:rFonts w:ascii="Courier New" w:hAnsi="Courier New" w:cs="Courier New" w:hint="default"/>
      </w:rPr>
    </w:lvl>
    <w:lvl w:ilvl="8" w:tplc="40090005" w:tentative="1">
      <w:start w:val="1"/>
      <w:numFmt w:val="bullet"/>
      <w:lvlText w:val=""/>
      <w:lvlJc w:val="left"/>
      <w:pPr>
        <w:ind w:left="7560" w:hanging="360"/>
      </w:pPr>
      <w:rPr>
        <w:rFonts w:ascii="Wingdings" w:hAnsi="Wingdings" w:hint="default"/>
      </w:rPr>
    </w:lvl>
  </w:abstractNum>
  <w:abstractNum w:abstractNumId="8" w15:restartNumberingAfterBreak="0">
    <w:nsid w:val="37144AB7"/>
    <w:multiLevelType w:val="multilevel"/>
    <w:tmpl w:val="01685FA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984338C"/>
    <w:multiLevelType w:val="hybridMultilevel"/>
    <w:tmpl w:val="7BACE626"/>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 w15:restartNumberingAfterBreak="0">
    <w:nsid w:val="49464585"/>
    <w:multiLevelType w:val="hybridMultilevel"/>
    <w:tmpl w:val="624C647E"/>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1" w15:restartNumberingAfterBreak="0">
    <w:nsid w:val="4D481B47"/>
    <w:multiLevelType w:val="hybridMultilevel"/>
    <w:tmpl w:val="482AEE8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2" w15:restartNumberingAfterBreak="0">
    <w:nsid w:val="51C37AD0"/>
    <w:multiLevelType w:val="hybridMultilevel"/>
    <w:tmpl w:val="81FE5BF2"/>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3" w15:restartNumberingAfterBreak="0">
    <w:nsid w:val="5382629A"/>
    <w:multiLevelType w:val="hybridMultilevel"/>
    <w:tmpl w:val="F7C4AB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4" w15:restartNumberingAfterBreak="0">
    <w:nsid w:val="55AA1767"/>
    <w:multiLevelType w:val="hybridMultilevel"/>
    <w:tmpl w:val="295C1B66"/>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5" w15:restartNumberingAfterBreak="0">
    <w:nsid w:val="595141F6"/>
    <w:multiLevelType w:val="hybridMultilevel"/>
    <w:tmpl w:val="25BC1DE6"/>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6" w15:restartNumberingAfterBreak="0">
    <w:nsid w:val="5FC14361"/>
    <w:multiLevelType w:val="hybridMultilevel"/>
    <w:tmpl w:val="48DCB4A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7" w15:restartNumberingAfterBreak="0">
    <w:nsid w:val="5FEA5677"/>
    <w:multiLevelType w:val="hybridMultilevel"/>
    <w:tmpl w:val="B30C3F48"/>
    <w:lvl w:ilvl="0" w:tplc="40090019">
      <w:start w:val="1"/>
      <w:numFmt w:val="lowerLetter"/>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8" w15:restartNumberingAfterBreak="0">
    <w:nsid w:val="63E93607"/>
    <w:multiLevelType w:val="hybridMultilevel"/>
    <w:tmpl w:val="BFDE59FC"/>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9" w15:restartNumberingAfterBreak="0">
    <w:nsid w:val="6C96146C"/>
    <w:multiLevelType w:val="hybridMultilevel"/>
    <w:tmpl w:val="4684B160"/>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0" w15:restartNumberingAfterBreak="0">
    <w:nsid w:val="7BA0741E"/>
    <w:multiLevelType w:val="hybridMultilevel"/>
    <w:tmpl w:val="01A46E30"/>
    <w:lvl w:ilvl="0" w:tplc="5FCA572E">
      <w:start w:val="5"/>
      <w:numFmt w:val="bullet"/>
      <w:lvlText w:val="•"/>
      <w:lvlJc w:val="left"/>
      <w:pPr>
        <w:ind w:left="720" w:hanging="360"/>
      </w:pPr>
      <w:rPr>
        <w:rFonts w:ascii="Times New Roman" w:eastAsiaTheme="minorHAnsi" w:hAnsi="Times New Roman"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1663505344">
    <w:abstractNumId w:val="8"/>
  </w:num>
  <w:num w:numId="2" w16cid:durableId="1831868123">
    <w:abstractNumId w:val="2"/>
  </w:num>
  <w:num w:numId="3" w16cid:durableId="214707261">
    <w:abstractNumId w:val="14"/>
  </w:num>
  <w:num w:numId="4" w16cid:durableId="655574027">
    <w:abstractNumId w:val="10"/>
  </w:num>
  <w:num w:numId="5" w16cid:durableId="1633244311">
    <w:abstractNumId w:val="19"/>
  </w:num>
  <w:num w:numId="6" w16cid:durableId="1866096383">
    <w:abstractNumId w:val="5"/>
  </w:num>
  <w:num w:numId="7" w16cid:durableId="1957985372">
    <w:abstractNumId w:val="12"/>
  </w:num>
  <w:num w:numId="8" w16cid:durableId="2124228706">
    <w:abstractNumId w:val="9"/>
  </w:num>
  <w:num w:numId="9" w16cid:durableId="1292788784">
    <w:abstractNumId w:val="3"/>
  </w:num>
  <w:num w:numId="10" w16cid:durableId="1876237314">
    <w:abstractNumId w:val="20"/>
  </w:num>
  <w:num w:numId="11" w16cid:durableId="402529914">
    <w:abstractNumId w:val="17"/>
  </w:num>
  <w:num w:numId="12" w16cid:durableId="1972009440">
    <w:abstractNumId w:val="15"/>
  </w:num>
  <w:num w:numId="13" w16cid:durableId="186915186">
    <w:abstractNumId w:val="18"/>
  </w:num>
  <w:num w:numId="14" w16cid:durableId="175269272">
    <w:abstractNumId w:val="1"/>
  </w:num>
  <w:num w:numId="15" w16cid:durableId="653605882">
    <w:abstractNumId w:val="11"/>
  </w:num>
  <w:num w:numId="16" w16cid:durableId="1759980538">
    <w:abstractNumId w:val="7"/>
  </w:num>
  <w:num w:numId="17" w16cid:durableId="1820687735">
    <w:abstractNumId w:val="6"/>
  </w:num>
  <w:num w:numId="18" w16cid:durableId="1102578859">
    <w:abstractNumId w:val="16"/>
  </w:num>
  <w:num w:numId="19" w16cid:durableId="1193961534">
    <w:abstractNumId w:val="13"/>
  </w:num>
  <w:num w:numId="20" w16cid:durableId="1713647935">
    <w:abstractNumId w:val="0"/>
  </w:num>
  <w:num w:numId="21" w16cid:durableId="129540912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6508"/>
    <w:rsid w:val="000464BE"/>
    <w:rsid w:val="00064336"/>
    <w:rsid w:val="000721BE"/>
    <w:rsid w:val="00184D99"/>
    <w:rsid w:val="002A4A73"/>
    <w:rsid w:val="002B63AF"/>
    <w:rsid w:val="00340DC4"/>
    <w:rsid w:val="003645BB"/>
    <w:rsid w:val="00446E62"/>
    <w:rsid w:val="00490153"/>
    <w:rsid w:val="0053796F"/>
    <w:rsid w:val="00546691"/>
    <w:rsid w:val="005C3BEB"/>
    <w:rsid w:val="006A4005"/>
    <w:rsid w:val="00847E96"/>
    <w:rsid w:val="00886000"/>
    <w:rsid w:val="008A4E5B"/>
    <w:rsid w:val="0093589A"/>
    <w:rsid w:val="00953240"/>
    <w:rsid w:val="009D2560"/>
    <w:rsid w:val="00AB7AF7"/>
    <w:rsid w:val="00AD18E1"/>
    <w:rsid w:val="00B21334"/>
    <w:rsid w:val="00B21CE4"/>
    <w:rsid w:val="00B63197"/>
    <w:rsid w:val="00BA4B7D"/>
    <w:rsid w:val="00DC6803"/>
    <w:rsid w:val="00DE72FE"/>
    <w:rsid w:val="00E2017E"/>
    <w:rsid w:val="00E7469C"/>
    <w:rsid w:val="00EB734F"/>
    <w:rsid w:val="00ED5344"/>
    <w:rsid w:val="00F06508"/>
    <w:rsid w:val="00F24132"/>
    <w:rsid w:val="00FA74DA"/>
    <w:rsid w:val="00FF6E3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7ACE17"/>
  <w15:docId w15:val="{D0A4F002-0EA5-4359-A6AF-0E8AF69369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C6803"/>
    <w:rPr>
      <w:rFonts w:ascii="Times New Roman" w:hAnsi="Times New Roman"/>
      <w:sz w:val="24"/>
      <w:lang w:val="en-GB"/>
    </w:rPr>
  </w:style>
  <w:style w:type="paragraph" w:styleId="Heading1">
    <w:name w:val="heading 1"/>
    <w:basedOn w:val="Normal"/>
    <w:next w:val="Normal"/>
    <w:link w:val="Heading1Char"/>
    <w:uiPriority w:val="9"/>
    <w:qFormat/>
    <w:rsid w:val="00DC6803"/>
    <w:pPr>
      <w:keepNext/>
      <w:keepLines/>
      <w:spacing w:before="240" w:after="0"/>
      <w:outlineLvl w:val="0"/>
    </w:pPr>
    <w:rPr>
      <w:rFonts w:eastAsiaTheme="majorEastAsia" w:cstheme="majorBidi"/>
      <w:b/>
      <w:color w:val="000000" w:themeColor="text1"/>
      <w:szCs w:val="32"/>
    </w:rPr>
  </w:style>
  <w:style w:type="paragraph" w:styleId="Heading2">
    <w:name w:val="heading 2"/>
    <w:basedOn w:val="Normal"/>
    <w:next w:val="Normal"/>
    <w:link w:val="Heading2Char"/>
    <w:uiPriority w:val="9"/>
    <w:unhideWhenUsed/>
    <w:qFormat/>
    <w:rsid w:val="00DC6803"/>
    <w:pPr>
      <w:keepNext/>
      <w:keepLines/>
      <w:spacing w:before="40" w:after="0"/>
      <w:outlineLvl w:val="1"/>
    </w:pPr>
    <w:rPr>
      <w:rFonts w:eastAsiaTheme="majorEastAsia" w:cstheme="majorBidi"/>
      <w:b/>
      <w:color w:val="000000" w:themeColor="text1"/>
      <w:szCs w:val="26"/>
    </w:rPr>
  </w:style>
  <w:style w:type="paragraph" w:styleId="Heading3">
    <w:name w:val="heading 3"/>
    <w:basedOn w:val="Normal"/>
    <w:link w:val="Heading3Char"/>
    <w:uiPriority w:val="9"/>
    <w:qFormat/>
    <w:rsid w:val="00AB7AF7"/>
    <w:pPr>
      <w:spacing w:before="100" w:beforeAutospacing="1" w:after="100" w:afterAutospacing="1" w:line="240" w:lineRule="auto"/>
      <w:outlineLvl w:val="2"/>
    </w:pPr>
    <w:rPr>
      <w:rFonts w:eastAsia="Times New Roman" w:cs="Times New Roman"/>
      <w:b/>
      <w:bCs/>
      <w:sz w:val="27"/>
      <w:szCs w:val="27"/>
      <w:lang w:val="en-IN" w:eastAsia="en-IN"/>
    </w:rPr>
  </w:style>
  <w:style w:type="paragraph" w:styleId="Heading4">
    <w:name w:val="heading 4"/>
    <w:basedOn w:val="Normal"/>
    <w:link w:val="Heading4Char"/>
    <w:uiPriority w:val="9"/>
    <w:qFormat/>
    <w:rsid w:val="00AB7AF7"/>
    <w:pPr>
      <w:spacing w:before="100" w:beforeAutospacing="1" w:after="100" w:afterAutospacing="1" w:line="240" w:lineRule="auto"/>
      <w:outlineLvl w:val="3"/>
    </w:pPr>
    <w:rPr>
      <w:rFonts w:eastAsia="Times New Roman" w:cs="Times New Roman"/>
      <w:b/>
      <w:bCs/>
      <w:szCs w:val="24"/>
      <w:lang w:val="en-IN" w:eastAsia="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AB7AF7"/>
    <w:rPr>
      <w:rFonts w:ascii="Times New Roman" w:eastAsia="Times New Roman" w:hAnsi="Times New Roman" w:cs="Times New Roman"/>
      <w:b/>
      <w:bCs/>
      <w:sz w:val="27"/>
      <w:szCs w:val="27"/>
      <w:lang w:eastAsia="en-IN"/>
    </w:rPr>
  </w:style>
  <w:style w:type="character" w:customStyle="1" w:styleId="Heading4Char">
    <w:name w:val="Heading 4 Char"/>
    <w:basedOn w:val="DefaultParagraphFont"/>
    <w:link w:val="Heading4"/>
    <w:uiPriority w:val="9"/>
    <w:rsid w:val="00AB7AF7"/>
    <w:rPr>
      <w:rFonts w:ascii="Times New Roman" w:eastAsia="Times New Roman" w:hAnsi="Times New Roman" w:cs="Times New Roman"/>
      <w:b/>
      <w:bCs/>
      <w:sz w:val="24"/>
      <w:szCs w:val="24"/>
      <w:lang w:eastAsia="en-IN"/>
    </w:rPr>
  </w:style>
  <w:style w:type="paragraph" w:styleId="NormalWeb">
    <w:name w:val="Normal (Web)"/>
    <w:basedOn w:val="Normal"/>
    <w:uiPriority w:val="99"/>
    <w:semiHidden/>
    <w:unhideWhenUsed/>
    <w:rsid w:val="00AB7AF7"/>
    <w:pPr>
      <w:spacing w:before="100" w:beforeAutospacing="1" w:after="100" w:afterAutospacing="1" w:line="240" w:lineRule="auto"/>
    </w:pPr>
    <w:rPr>
      <w:rFonts w:eastAsia="Times New Roman" w:cs="Times New Roman"/>
      <w:szCs w:val="24"/>
      <w:lang w:val="en-IN" w:eastAsia="en-IN"/>
    </w:rPr>
  </w:style>
  <w:style w:type="character" w:styleId="Strong">
    <w:name w:val="Strong"/>
    <w:basedOn w:val="DefaultParagraphFont"/>
    <w:uiPriority w:val="22"/>
    <w:qFormat/>
    <w:rsid w:val="00AB7AF7"/>
    <w:rPr>
      <w:b/>
      <w:bCs/>
    </w:rPr>
  </w:style>
  <w:style w:type="character" w:customStyle="1" w:styleId="Heading1Char">
    <w:name w:val="Heading 1 Char"/>
    <w:basedOn w:val="DefaultParagraphFont"/>
    <w:link w:val="Heading1"/>
    <w:uiPriority w:val="9"/>
    <w:rsid w:val="00DC6803"/>
    <w:rPr>
      <w:rFonts w:ascii="Times New Roman" w:eastAsiaTheme="majorEastAsia" w:hAnsi="Times New Roman" w:cstheme="majorBidi"/>
      <w:b/>
      <w:color w:val="000000" w:themeColor="text1"/>
      <w:sz w:val="24"/>
      <w:szCs w:val="32"/>
      <w:lang w:val="en-GB"/>
    </w:rPr>
  </w:style>
  <w:style w:type="character" w:customStyle="1" w:styleId="Heading2Char">
    <w:name w:val="Heading 2 Char"/>
    <w:basedOn w:val="DefaultParagraphFont"/>
    <w:link w:val="Heading2"/>
    <w:uiPriority w:val="9"/>
    <w:rsid w:val="00DC6803"/>
    <w:rPr>
      <w:rFonts w:ascii="Times New Roman" w:eastAsiaTheme="majorEastAsia" w:hAnsi="Times New Roman" w:cstheme="majorBidi"/>
      <w:b/>
      <w:color w:val="000000" w:themeColor="text1"/>
      <w:sz w:val="24"/>
      <w:szCs w:val="26"/>
      <w:lang w:val="en-GB"/>
    </w:rPr>
  </w:style>
  <w:style w:type="paragraph" w:styleId="TOCHeading">
    <w:name w:val="TOC Heading"/>
    <w:basedOn w:val="Heading1"/>
    <w:next w:val="Normal"/>
    <w:uiPriority w:val="39"/>
    <w:unhideWhenUsed/>
    <w:qFormat/>
    <w:rsid w:val="00DC6803"/>
    <w:pPr>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DC6803"/>
    <w:pPr>
      <w:spacing w:after="100"/>
    </w:pPr>
  </w:style>
  <w:style w:type="paragraph" w:styleId="TOC2">
    <w:name w:val="toc 2"/>
    <w:basedOn w:val="Normal"/>
    <w:next w:val="Normal"/>
    <w:autoRedefine/>
    <w:uiPriority w:val="39"/>
    <w:unhideWhenUsed/>
    <w:rsid w:val="00DC6803"/>
    <w:pPr>
      <w:spacing w:after="100"/>
      <w:ind w:left="240"/>
    </w:pPr>
  </w:style>
  <w:style w:type="paragraph" w:styleId="TOC3">
    <w:name w:val="toc 3"/>
    <w:basedOn w:val="Normal"/>
    <w:next w:val="Normal"/>
    <w:autoRedefine/>
    <w:uiPriority w:val="39"/>
    <w:unhideWhenUsed/>
    <w:rsid w:val="00DC6803"/>
    <w:pPr>
      <w:spacing w:after="100"/>
      <w:ind w:left="480"/>
    </w:pPr>
  </w:style>
  <w:style w:type="character" w:styleId="Hyperlink">
    <w:name w:val="Hyperlink"/>
    <w:basedOn w:val="DefaultParagraphFont"/>
    <w:uiPriority w:val="99"/>
    <w:unhideWhenUsed/>
    <w:rsid w:val="00DC6803"/>
    <w:rPr>
      <w:color w:val="0563C1" w:themeColor="hyperlink"/>
      <w:u w:val="single"/>
    </w:rPr>
  </w:style>
  <w:style w:type="paragraph" w:styleId="NoSpacing">
    <w:name w:val="No Spacing"/>
    <w:uiPriority w:val="1"/>
    <w:qFormat/>
    <w:rsid w:val="00DC6803"/>
    <w:pPr>
      <w:spacing w:after="0" w:line="240" w:lineRule="auto"/>
    </w:pPr>
    <w:rPr>
      <w:rFonts w:ascii="Times New Roman" w:hAnsi="Times New Roman"/>
      <w:sz w:val="24"/>
      <w:lang w:val="en-GB"/>
    </w:rPr>
  </w:style>
  <w:style w:type="paragraph" w:styleId="ListParagraph">
    <w:name w:val="List Paragraph"/>
    <w:basedOn w:val="Normal"/>
    <w:uiPriority w:val="34"/>
    <w:qFormat/>
    <w:rsid w:val="00340DC4"/>
    <w:pPr>
      <w:ind w:left="720"/>
      <w:contextualSpacing/>
    </w:pPr>
  </w:style>
  <w:style w:type="table" w:styleId="TableGrid">
    <w:name w:val="Table Grid"/>
    <w:basedOn w:val="TableNormal"/>
    <w:uiPriority w:val="39"/>
    <w:rsid w:val="00F241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ED5344"/>
    <w:rPr>
      <w:color w:val="605E5C"/>
      <w:shd w:val="clear" w:color="auto" w:fill="E1DFDD"/>
    </w:rPr>
  </w:style>
  <w:style w:type="paragraph" w:styleId="BalloonText">
    <w:name w:val="Balloon Text"/>
    <w:basedOn w:val="Normal"/>
    <w:link w:val="BalloonTextChar"/>
    <w:uiPriority w:val="99"/>
    <w:semiHidden/>
    <w:unhideWhenUsed/>
    <w:rsid w:val="0054669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46691"/>
    <w:rPr>
      <w:rFonts w:ascii="Tahoma" w:hAnsi="Tahoma" w:cs="Tahoma"/>
      <w:sz w:val="16"/>
      <w:szCs w:val="16"/>
      <w:lang w:val="en-GB"/>
    </w:rPr>
  </w:style>
  <w:style w:type="paragraph" w:styleId="Header">
    <w:name w:val="header"/>
    <w:basedOn w:val="Normal"/>
    <w:link w:val="HeaderChar"/>
    <w:uiPriority w:val="99"/>
    <w:semiHidden/>
    <w:unhideWhenUsed/>
    <w:rsid w:val="00546691"/>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546691"/>
    <w:rPr>
      <w:rFonts w:ascii="Times New Roman" w:hAnsi="Times New Roman"/>
      <w:sz w:val="24"/>
      <w:lang w:val="en-GB"/>
    </w:rPr>
  </w:style>
  <w:style w:type="paragraph" w:styleId="Footer">
    <w:name w:val="footer"/>
    <w:basedOn w:val="Normal"/>
    <w:link w:val="FooterChar"/>
    <w:uiPriority w:val="99"/>
    <w:unhideWhenUsed/>
    <w:rsid w:val="00546691"/>
    <w:pPr>
      <w:tabs>
        <w:tab w:val="center" w:pos="4680"/>
        <w:tab w:val="right" w:pos="9360"/>
      </w:tabs>
      <w:spacing w:after="0" w:line="240" w:lineRule="auto"/>
    </w:pPr>
  </w:style>
  <w:style w:type="character" w:customStyle="1" w:styleId="FooterChar">
    <w:name w:val="Footer Char"/>
    <w:basedOn w:val="DefaultParagraphFont"/>
    <w:link w:val="Footer"/>
    <w:uiPriority w:val="99"/>
    <w:rsid w:val="00546691"/>
    <w:rPr>
      <w:rFonts w:ascii="Times New Roman" w:hAnsi="Times New Roman"/>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291576">
      <w:bodyDiv w:val="1"/>
      <w:marLeft w:val="0"/>
      <w:marRight w:val="0"/>
      <w:marTop w:val="0"/>
      <w:marBottom w:val="0"/>
      <w:divBdr>
        <w:top w:val="none" w:sz="0" w:space="0" w:color="auto"/>
        <w:left w:val="none" w:sz="0" w:space="0" w:color="auto"/>
        <w:bottom w:val="none" w:sz="0" w:space="0" w:color="auto"/>
        <w:right w:val="none" w:sz="0" w:space="0" w:color="auto"/>
      </w:divBdr>
    </w:div>
    <w:div w:id="146241105">
      <w:bodyDiv w:val="1"/>
      <w:marLeft w:val="0"/>
      <w:marRight w:val="0"/>
      <w:marTop w:val="0"/>
      <w:marBottom w:val="0"/>
      <w:divBdr>
        <w:top w:val="none" w:sz="0" w:space="0" w:color="auto"/>
        <w:left w:val="none" w:sz="0" w:space="0" w:color="auto"/>
        <w:bottom w:val="none" w:sz="0" w:space="0" w:color="auto"/>
        <w:right w:val="none" w:sz="0" w:space="0" w:color="auto"/>
      </w:divBdr>
    </w:div>
    <w:div w:id="308637293">
      <w:bodyDiv w:val="1"/>
      <w:marLeft w:val="0"/>
      <w:marRight w:val="0"/>
      <w:marTop w:val="0"/>
      <w:marBottom w:val="0"/>
      <w:divBdr>
        <w:top w:val="none" w:sz="0" w:space="0" w:color="auto"/>
        <w:left w:val="none" w:sz="0" w:space="0" w:color="auto"/>
        <w:bottom w:val="none" w:sz="0" w:space="0" w:color="auto"/>
        <w:right w:val="none" w:sz="0" w:space="0" w:color="auto"/>
      </w:divBdr>
    </w:div>
    <w:div w:id="412313398">
      <w:bodyDiv w:val="1"/>
      <w:marLeft w:val="0"/>
      <w:marRight w:val="0"/>
      <w:marTop w:val="0"/>
      <w:marBottom w:val="0"/>
      <w:divBdr>
        <w:top w:val="none" w:sz="0" w:space="0" w:color="auto"/>
        <w:left w:val="none" w:sz="0" w:space="0" w:color="auto"/>
        <w:bottom w:val="none" w:sz="0" w:space="0" w:color="auto"/>
        <w:right w:val="none" w:sz="0" w:space="0" w:color="auto"/>
      </w:divBdr>
    </w:div>
    <w:div w:id="429129809">
      <w:bodyDiv w:val="1"/>
      <w:marLeft w:val="0"/>
      <w:marRight w:val="0"/>
      <w:marTop w:val="0"/>
      <w:marBottom w:val="0"/>
      <w:divBdr>
        <w:top w:val="none" w:sz="0" w:space="0" w:color="auto"/>
        <w:left w:val="none" w:sz="0" w:space="0" w:color="auto"/>
        <w:bottom w:val="none" w:sz="0" w:space="0" w:color="auto"/>
        <w:right w:val="none" w:sz="0" w:space="0" w:color="auto"/>
      </w:divBdr>
    </w:div>
    <w:div w:id="689796799">
      <w:bodyDiv w:val="1"/>
      <w:marLeft w:val="0"/>
      <w:marRight w:val="0"/>
      <w:marTop w:val="0"/>
      <w:marBottom w:val="0"/>
      <w:divBdr>
        <w:top w:val="none" w:sz="0" w:space="0" w:color="auto"/>
        <w:left w:val="none" w:sz="0" w:space="0" w:color="auto"/>
        <w:bottom w:val="none" w:sz="0" w:space="0" w:color="auto"/>
        <w:right w:val="none" w:sz="0" w:space="0" w:color="auto"/>
      </w:divBdr>
      <w:divsChild>
        <w:div w:id="1228220607">
          <w:marLeft w:val="0"/>
          <w:marRight w:val="0"/>
          <w:marTop w:val="0"/>
          <w:marBottom w:val="0"/>
          <w:divBdr>
            <w:top w:val="none" w:sz="0" w:space="0" w:color="auto"/>
            <w:left w:val="none" w:sz="0" w:space="0" w:color="auto"/>
            <w:bottom w:val="none" w:sz="0" w:space="0" w:color="auto"/>
            <w:right w:val="none" w:sz="0" w:space="0" w:color="auto"/>
          </w:divBdr>
          <w:divsChild>
            <w:div w:id="674958341">
              <w:marLeft w:val="0"/>
              <w:marRight w:val="0"/>
              <w:marTop w:val="0"/>
              <w:marBottom w:val="0"/>
              <w:divBdr>
                <w:top w:val="none" w:sz="0" w:space="0" w:color="auto"/>
                <w:left w:val="none" w:sz="0" w:space="0" w:color="auto"/>
                <w:bottom w:val="none" w:sz="0" w:space="0" w:color="auto"/>
                <w:right w:val="none" w:sz="0" w:space="0" w:color="auto"/>
              </w:divBdr>
              <w:divsChild>
                <w:div w:id="1285692179">
                  <w:marLeft w:val="0"/>
                  <w:marRight w:val="0"/>
                  <w:marTop w:val="0"/>
                  <w:marBottom w:val="0"/>
                  <w:divBdr>
                    <w:top w:val="none" w:sz="0" w:space="0" w:color="auto"/>
                    <w:left w:val="none" w:sz="0" w:space="0" w:color="auto"/>
                    <w:bottom w:val="none" w:sz="0" w:space="0" w:color="auto"/>
                    <w:right w:val="none" w:sz="0" w:space="0" w:color="auto"/>
                  </w:divBdr>
                  <w:divsChild>
                    <w:div w:id="1644652827">
                      <w:marLeft w:val="0"/>
                      <w:marRight w:val="0"/>
                      <w:marTop w:val="0"/>
                      <w:marBottom w:val="0"/>
                      <w:divBdr>
                        <w:top w:val="none" w:sz="0" w:space="0" w:color="auto"/>
                        <w:left w:val="none" w:sz="0" w:space="0" w:color="auto"/>
                        <w:bottom w:val="none" w:sz="0" w:space="0" w:color="auto"/>
                        <w:right w:val="none" w:sz="0" w:space="0" w:color="auto"/>
                      </w:divBdr>
                      <w:divsChild>
                        <w:div w:id="823469342">
                          <w:marLeft w:val="0"/>
                          <w:marRight w:val="0"/>
                          <w:marTop w:val="0"/>
                          <w:marBottom w:val="0"/>
                          <w:divBdr>
                            <w:top w:val="none" w:sz="0" w:space="0" w:color="auto"/>
                            <w:left w:val="none" w:sz="0" w:space="0" w:color="auto"/>
                            <w:bottom w:val="none" w:sz="0" w:space="0" w:color="auto"/>
                            <w:right w:val="none" w:sz="0" w:space="0" w:color="auto"/>
                          </w:divBdr>
                          <w:divsChild>
                            <w:div w:id="609506634">
                              <w:marLeft w:val="0"/>
                              <w:marRight w:val="0"/>
                              <w:marTop w:val="0"/>
                              <w:marBottom w:val="0"/>
                              <w:divBdr>
                                <w:top w:val="none" w:sz="0" w:space="0" w:color="auto"/>
                                <w:left w:val="none" w:sz="0" w:space="0" w:color="auto"/>
                                <w:bottom w:val="none" w:sz="0" w:space="0" w:color="auto"/>
                                <w:right w:val="none" w:sz="0" w:space="0" w:color="auto"/>
                              </w:divBdr>
                            </w:div>
                            <w:div w:id="345208345">
                              <w:marLeft w:val="0"/>
                              <w:marRight w:val="0"/>
                              <w:marTop w:val="0"/>
                              <w:marBottom w:val="360"/>
                              <w:divBdr>
                                <w:top w:val="none" w:sz="0" w:space="0" w:color="auto"/>
                                <w:left w:val="none" w:sz="0" w:space="0" w:color="auto"/>
                                <w:bottom w:val="none" w:sz="0" w:space="0" w:color="auto"/>
                                <w:right w:val="none" w:sz="0" w:space="0" w:color="auto"/>
                              </w:divBdr>
                            </w:div>
                            <w:div w:id="1813477346">
                              <w:marLeft w:val="0"/>
                              <w:marRight w:val="0"/>
                              <w:marTop w:val="0"/>
                              <w:marBottom w:val="0"/>
                              <w:divBdr>
                                <w:top w:val="none" w:sz="0" w:space="0" w:color="auto"/>
                                <w:left w:val="none" w:sz="0" w:space="0" w:color="auto"/>
                                <w:bottom w:val="none" w:sz="0" w:space="0" w:color="auto"/>
                                <w:right w:val="none" w:sz="0" w:space="0" w:color="auto"/>
                              </w:divBdr>
                              <w:divsChild>
                                <w:div w:id="1813252379">
                                  <w:marLeft w:val="0"/>
                                  <w:marRight w:val="0"/>
                                  <w:marTop w:val="450"/>
                                  <w:marBottom w:val="600"/>
                                  <w:divBdr>
                                    <w:top w:val="none" w:sz="0" w:space="0" w:color="auto"/>
                                    <w:left w:val="none" w:sz="0" w:space="0" w:color="auto"/>
                                    <w:bottom w:val="none" w:sz="0" w:space="0" w:color="auto"/>
                                    <w:right w:val="none" w:sz="0" w:space="0" w:color="auto"/>
                                  </w:divBdr>
                                  <w:divsChild>
                                    <w:div w:id="347372552">
                                      <w:marLeft w:val="0"/>
                                      <w:marRight w:val="0"/>
                                      <w:marTop w:val="0"/>
                                      <w:marBottom w:val="0"/>
                                      <w:divBdr>
                                        <w:top w:val="none" w:sz="0" w:space="0" w:color="auto"/>
                                        <w:left w:val="none" w:sz="0" w:space="0" w:color="auto"/>
                                        <w:bottom w:val="none" w:sz="0" w:space="0" w:color="auto"/>
                                        <w:right w:val="none" w:sz="0" w:space="0" w:color="auto"/>
                                      </w:divBdr>
                                      <w:divsChild>
                                        <w:div w:id="808329062">
                                          <w:marLeft w:val="0"/>
                                          <w:marRight w:val="0"/>
                                          <w:marTop w:val="0"/>
                                          <w:marBottom w:val="0"/>
                                          <w:divBdr>
                                            <w:top w:val="none" w:sz="0" w:space="0" w:color="auto"/>
                                            <w:left w:val="none" w:sz="0" w:space="0" w:color="auto"/>
                                            <w:bottom w:val="none" w:sz="0" w:space="0" w:color="auto"/>
                                            <w:right w:val="none" w:sz="0" w:space="0" w:color="auto"/>
                                          </w:divBdr>
                                          <w:divsChild>
                                            <w:div w:id="1338145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1338313">
                                      <w:marLeft w:val="0"/>
                                      <w:marRight w:val="0"/>
                                      <w:marTop w:val="0"/>
                                      <w:marBottom w:val="0"/>
                                      <w:divBdr>
                                        <w:top w:val="none" w:sz="0" w:space="0" w:color="auto"/>
                                        <w:left w:val="none" w:sz="0" w:space="0" w:color="auto"/>
                                        <w:bottom w:val="none" w:sz="0" w:space="0" w:color="auto"/>
                                        <w:right w:val="none" w:sz="0" w:space="0" w:color="auto"/>
                                      </w:divBdr>
                                      <w:divsChild>
                                        <w:div w:id="1414471034">
                                          <w:marLeft w:val="0"/>
                                          <w:marRight w:val="0"/>
                                          <w:marTop w:val="0"/>
                                          <w:marBottom w:val="0"/>
                                          <w:divBdr>
                                            <w:top w:val="none" w:sz="0" w:space="0" w:color="auto"/>
                                            <w:left w:val="none" w:sz="0" w:space="0" w:color="auto"/>
                                            <w:bottom w:val="none" w:sz="0" w:space="0" w:color="auto"/>
                                            <w:right w:val="none" w:sz="0" w:space="0" w:color="auto"/>
                                          </w:divBdr>
                                          <w:divsChild>
                                            <w:div w:id="1368529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1544947">
                              <w:marLeft w:val="0"/>
                              <w:marRight w:val="0"/>
                              <w:marTop w:val="0"/>
                              <w:marBottom w:val="0"/>
                              <w:divBdr>
                                <w:top w:val="none" w:sz="0" w:space="0" w:color="auto"/>
                                <w:left w:val="none" w:sz="0" w:space="0" w:color="auto"/>
                                <w:bottom w:val="none" w:sz="0" w:space="0" w:color="auto"/>
                                <w:right w:val="none" w:sz="0" w:space="0" w:color="auto"/>
                              </w:divBdr>
                              <w:divsChild>
                                <w:div w:id="996029493">
                                  <w:marLeft w:val="0"/>
                                  <w:marRight w:val="0"/>
                                  <w:marTop w:val="0"/>
                                  <w:marBottom w:val="0"/>
                                  <w:divBdr>
                                    <w:top w:val="none" w:sz="0" w:space="0" w:color="auto"/>
                                    <w:left w:val="none" w:sz="0" w:space="0" w:color="auto"/>
                                    <w:bottom w:val="none" w:sz="0" w:space="0" w:color="auto"/>
                                    <w:right w:val="none" w:sz="0" w:space="0" w:color="auto"/>
                                  </w:divBdr>
                                </w:div>
                                <w:div w:id="1755198306">
                                  <w:marLeft w:val="0"/>
                                  <w:marRight w:val="0"/>
                                  <w:marTop w:val="0"/>
                                  <w:marBottom w:val="0"/>
                                  <w:divBdr>
                                    <w:top w:val="none" w:sz="0" w:space="0" w:color="auto"/>
                                    <w:left w:val="none" w:sz="0" w:space="0" w:color="auto"/>
                                    <w:bottom w:val="none" w:sz="0" w:space="0" w:color="auto"/>
                                    <w:right w:val="none" w:sz="0" w:space="0" w:color="auto"/>
                                  </w:divBdr>
                                </w:div>
                              </w:divsChild>
                            </w:div>
                            <w:div w:id="113327069">
                              <w:marLeft w:val="0"/>
                              <w:marRight w:val="0"/>
                              <w:marTop w:val="0"/>
                              <w:marBottom w:val="360"/>
                              <w:divBdr>
                                <w:top w:val="none" w:sz="0" w:space="0" w:color="auto"/>
                                <w:left w:val="none" w:sz="0" w:space="0" w:color="auto"/>
                                <w:bottom w:val="none" w:sz="0" w:space="0" w:color="auto"/>
                                <w:right w:val="none" w:sz="0" w:space="0" w:color="auto"/>
                              </w:divBdr>
                              <w:divsChild>
                                <w:div w:id="2059039885">
                                  <w:marLeft w:val="0"/>
                                  <w:marRight w:val="0"/>
                                  <w:marTop w:val="0"/>
                                  <w:marBottom w:val="0"/>
                                  <w:divBdr>
                                    <w:top w:val="none" w:sz="0" w:space="0" w:color="auto"/>
                                    <w:left w:val="none" w:sz="0" w:space="0" w:color="auto"/>
                                    <w:bottom w:val="single" w:sz="36" w:space="0" w:color="519BF5"/>
                                    <w:right w:val="none" w:sz="0" w:space="0" w:color="auto"/>
                                  </w:divBdr>
                                </w:div>
                                <w:div w:id="525560039">
                                  <w:marLeft w:val="0"/>
                                  <w:marRight w:val="0"/>
                                  <w:marTop w:val="0"/>
                                  <w:marBottom w:val="0"/>
                                  <w:divBdr>
                                    <w:top w:val="none" w:sz="0" w:space="0" w:color="auto"/>
                                    <w:left w:val="none" w:sz="0" w:space="0" w:color="auto"/>
                                    <w:bottom w:val="none" w:sz="0" w:space="0" w:color="auto"/>
                                    <w:right w:val="none" w:sz="0" w:space="0" w:color="auto"/>
                                  </w:divBdr>
                                  <w:divsChild>
                                    <w:div w:id="481389666">
                                      <w:marLeft w:val="0"/>
                                      <w:marRight w:val="0"/>
                                      <w:marTop w:val="0"/>
                                      <w:marBottom w:val="0"/>
                                      <w:divBdr>
                                        <w:top w:val="none" w:sz="0" w:space="0" w:color="auto"/>
                                        <w:left w:val="none" w:sz="0" w:space="0" w:color="auto"/>
                                        <w:bottom w:val="none" w:sz="0" w:space="0" w:color="auto"/>
                                        <w:right w:val="none" w:sz="0" w:space="0" w:color="auto"/>
                                      </w:divBdr>
                                      <w:divsChild>
                                        <w:div w:id="1491824285">
                                          <w:marLeft w:val="0"/>
                                          <w:marRight w:val="0"/>
                                          <w:marTop w:val="225"/>
                                          <w:marBottom w:val="225"/>
                                          <w:divBdr>
                                            <w:top w:val="none" w:sz="0" w:space="0" w:color="auto"/>
                                            <w:left w:val="none" w:sz="0" w:space="0" w:color="auto"/>
                                            <w:bottom w:val="none" w:sz="0" w:space="0" w:color="auto"/>
                                            <w:right w:val="none" w:sz="0" w:space="0" w:color="auto"/>
                                          </w:divBdr>
                                        </w:div>
                                      </w:divsChild>
                                    </w:div>
                                  </w:divsChild>
                                </w:div>
                              </w:divsChild>
                            </w:div>
                            <w:div w:id="620191918">
                              <w:marLeft w:val="0"/>
                              <w:marRight w:val="0"/>
                              <w:marTop w:val="0"/>
                              <w:marBottom w:val="360"/>
                              <w:divBdr>
                                <w:top w:val="none" w:sz="0" w:space="0" w:color="auto"/>
                                <w:left w:val="none" w:sz="0" w:space="0" w:color="auto"/>
                                <w:bottom w:val="none" w:sz="0" w:space="0" w:color="auto"/>
                                <w:right w:val="none" w:sz="0" w:space="0" w:color="auto"/>
                              </w:divBdr>
                              <w:divsChild>
                                <w:div w:id="507717517">
                                  <w:marLeft w:val="0"/>
                                  <w:marRight w:val="0"/>
                                  <w:marTop w:val="0"/>
                                  <w:marBottom w:val="0"/>
                                  <w:divBdr>
                                    <w:top w:val="none" w:sz="0" w:space="0" w:color="auto"/>
                                    <w:left w:val="none" w:sz="0" w:space="0" w:color="auto"/>
                                    <w:bottom w:val="single" w:sz="36" w:space="0" w:color="519BF5"/>
                                    <w:right w:val="none" w:sz="0" w:space="0" w:color="auto"/>
                                  </w:divBdr>
                                </w:div>
                                <w:div w:id="93130650">
                                  <w:marLeft w:val="0"/>
                                  <w:marRight w:val="0"/>
                                  <w:marTop w:val="0"/>
                                  <w:marBottom w:val="0"/>
                                  <w:divBdr>
                                    <w:top w:val="none" w:sz="0" w:space="0" w:color="auto"/>
                                    <w:left w:val="none" w:sz="0" w:space="0" w:color="auto"/>
                                    <w:bottom w:val="none" w:sz="0" w:space="0" w:color="auto"/>
                                    <w:right w:val="none" w:sz="0" w:space="0" w:color="auto"/>
                                  </w:divBdr>
                                  <w:divsChild>
                                    <w:div w:id="1773012300">
                                      <w:marLeft w:val="0"/>
                                      <w:marRight w:val="0"/>
                                      <w:marTop w:val="0"/>
                                      <w:marBottom w:val="150"/>
                                      <w:divBdr>
                                        <w:top w:val="none" w:sz="0" w:space="0" w:color="auto"/>
                                        <w:left w:val="none" w:sz="0" w:space="0" w:color="auto"/>
                                        <w:bottom w:val="none" w:sz="0" w:space="0" w:color="auto"/>
                                        <w:right w:val="none" w:sz="0" w:space="0" w:color="auto"/>
                                      </w:divBdr>
                                    </w:div>
                                    <w:div w:id="1450125825">
                                      <w:marLeft w:val="0"/>
                                      <w:marRight w:val="0"/>
                                      <w:marTop w:val="0"/>
                                      <w:marBottom w:val="0"/>
                                      <w:divBdr>
                                        <w:top w:val="none" w:sz="0" w:space="0" w:color="auto"/>
                                        <w:left w:val="none" w:sz="0" w:space="0" w:color="auto"/>
                                        <w:bottom w:val="none" w:sz="0" w:space="0" w:color="auto"/>
                                        <w:right w:val="none" w:sz="0" w:space="0" w:color="auto"/>
                                      </w:divBdr>
                                    </w:div>
                                  </w:divsChild>
                                </w:div>
                                <w:div w:id="2021271545">
                                  <w:marLeft w:val="0"/>
                                  <w:marRight w:val="0"/>
                                  <w:marTop w:val="0"/>
                                  <w:marBottom w:val="0"/>
                                  <w:divBdr>
                                    <w:top w:val="none" w:sz="0" w:space="0" w:color="auto"/>
                                    <w:left w:val="none" w:sz="0" w:space="0" w:color="auto"/>
                                    <w:bottom w:val="none" w:sz="0" w:space="0" w:color="auto"/>
                                    <w:right w:val="none" w:sz="0" w:space="0" w:color="auto"/>
                                  </w:divBdr>
                                  <w:divsChild>
                                    <w:div w:id="418258242">
                                      <w:marLeft w:val="0"/>
                                      <w:marRight w:val="0"/>
                                      <w:marTop w:val="0"/>
                                      <w:marBottom w:val="150"/>
                                      <w:divBdr>
                                        <w:top w:val="none" w:sz="0" w:space="0" w:color="auto"/>
                                        <w:left w:val="none" w:sz="0" w:space="0" w:color="auto"/>
                                        <w:bottom w:val="none" w:sz="0" w:space="0" w:color="auto"/>
                                        <w:right w:val="none" w:sz="0" w:space="0" w:color="auto"/>
                                      </w:divBdr>
                                    </w:div>
                                    <w:div w:id="1775981867">
                                      <w:marLeft w:val="0"/>
                                      <w:marRight w:val="0"/>
                                      <w:marTop w:val="0"/>
                                      <w:marBottom w:val="0"/>
                                      <w:divBdr>
                                        <w:top w:val="none" w:sz="0" w:space="0" w:color="auto"/>
                                        <w:left w:val="none" w:sz="0" w:space="0" w:color="auto"/>
                                        <w:bottom w:val="none" w:sz="0" w:space="0" w:color="auto"/>
                                        <w:right w:val="none" w:sz="0" w:space="0" w:color="auto"/>
                                      </w:divBdr>
                                    </w:div>
                                  </w:divsChild>
                                </w:div>
                                <w:div w:id="911811201">
                                  <w:marLeft w:val="0"/>
                                  <w:marRight w:val="0"/>
                                  <w:marTop w:val="0"/>
                                  <w:marBottom w:val="0"/>
                                  <w:divBdr>
                                    <w:top w:val="none" w:sz="0" w:space="0" w:color="auto"/>
                                    <w:left w:val="none" w:sz="0" w:space="0" w:color="auto"/>
                                    <w:bottom w:val="none" w:sz="0" w:space="0" w:color="auto"/>
                                    <w:right w:val="none" w:sz="0" w:space="0" w:color="auto"/>
                                  </w:divBdr>
                                  <w:divsChild>
                                    <w:div w:id="218785494">
                                      <w:marLeft w:val="0"/>
                                      <w:marRight w:val="0"/>
                                      <w:marTop w:val="0"/>
                                      <w:marBottom w:val="150"/>
                                      <w:divBdr>
                                        <w:top w:val="none" w:sz="0" w:space="0" w:color="auto"/>
                                        <w:left w:val="none" w:sz="0" w:space="0" w:color="auto"/>
                                        <w:bottom w:val="none" w:sz="0" w:space="0" w:color="auto"/>
                                        <w:right w:val="none" w:sz="0" w:space="0" w:color="auto"/>
                                      </w:divBdr>
                                    </w:div>
                                    <w:div w:id="658968892">
                                      <w:marLeft w:val="0"/>
                                      <w:marRight w:val="0"/>
                                      <w:marTop w:val="0"/>
                                      <w:marBottom w:val="0"/>
                                      <w:divBdr>
                                        <w:top w:val="none" w:sz="0" w:space="0" w:color="auto"/>
                                        <w:left w:val="none" w:sz="0" w:space="0" w:color="auto"/>
                                        <w:bottom w:val="none" w:sz="0" w:space="0" w:color="auto"/>
                                        <w:right w:val="none" w:sz="0" w:space="0" w:color="auto"/>
                                      </w:divBdr>
                                    </w:div>
                                  </w:divsChild>
                                </w:div>
                                <w:div w:id="1295406127">
                                  <w:marLeft w:val="0"/>
                                  <w:marRight w:val="0"/>
                                  <w:marTop w:val="0"/>
                                  <w:marBottom w:val="0"/>
                                  <w:divBdr>
                                    <w:top w:val="none" w:sz="0" w:space="0" w:color="auto"/>
                                    <w:left w:val="none" w:sz="0" w:space="0" w:color="auto"/>
                                    <w:bottom w:val="none" w:sz="0" w:space="0" w:color="auto"/>
                                    <w:right w:val="none" w:sz="0" w:space="0" w:color="auto"/>
                                  </w:divBdr>
                                  <w:divsChild>
                                    <w:div w:id="1080447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5632402">
                              <w:marLeft w:val="0"/>
                              <w:marRight w:val="0"/>
                              <w:marTop w:val="0"/>
                              <w:marBottom w:val="300"/>
                              <w:divBdr>
                                <w:top w:val="none" w:sz="0" w:space="0" w:color="auto"/>
                                <w:left w:val="none" w:sz="0" w:space="0" w:color="auto"/>
                                <w:bottom w:val="none" w:sz="0" w:space="0" w:color="auto"/>
                                <w:right w:val="none" w:sz="0" w:space="0" w:color="auto"/>
                              </w:divBdr>
                              <w:divsChild>
                                <w:div w:id="295716763">
                                  <w:marLeft w:val="0"/>
                                  <w:marRight w:val="0"/>
                                  <w:marTop w:val="0"/>
                                  <w:marBottom w:val="0"/>
                                  <w:divBdr>
                                    <w:top w:val="none" w:sz="0" w:space="0" w:color="auto"/>
                                    <w:left w:val="none" w:sz="0" w:space="0" w:color="auto"/>
                                    <w:bottom w:val="single" w:sz="36" w:space="0" w:color="519BF5"/>
                                    <w:right w:val="none" w:sz="0" w:space="0" w:color="auto"/>
                                  </w:divBdr>
                                </w:div>
                                <w:div w:id="1949267824">
                                  <w:marLeft w:val="0"/>
                                  <w:marRight w:val="0"/>
                                  <w:marTop w:val="0"/>
                                  <w:marBottom w:val="0"/>
                                  <w:divBdr>
                                    <w:top w:val="none" w:sz="0" w:space="0" w:color="auto"/>
                                    <w:left w:val="none" w:sz="0" w:space="0" w:color="auto"/>
                                    <w:bottom w:val="none" w:sz="0" w:space="0" w:color="auto"/>
                                    <w:right w:val="none" w:sz="0" w:space="0" w:color="auto"/>
                                  </w:divBdr>
                                  <w:divsChild>
                                    <w:div w:id="1042512136">
                                      <w:marLeft w:val="0"/>
                                      <w:marRight w:val="0"/>
                                      <w:marTop w:val="0"/>
                                      <w:marBottom w:val="0"/>
                                      <w:divBdr>
                                        <w:top w:val="none" w:sz="0" w:space="0" w:color="auto"/>
                                        <w:left w:val="none" w:sz="0" w:space="0" w:color="auto"/>
                                        <w:bottom w:val="none" w:sz="0" w:space="0" w:color="auto"/>
                                        <w:right w:val="none" w:sz="0" w:space="0" w:color="auto"/>
                                      </w:divBdr>
                                      <w:divsChild>
                                        <w:div w:id="888220937">
                                          <w:marLeft w:val="0"/>
                                          <w:marRight w:val="0"/>
                                          <w:marTop w:val="0"/>
                                          <w:marBottom w:val="300"/>
                                          <w:divBdr>
                                            <w:top w:val="none" w:sz="0" w:space="0" w:color="auto"/>
                                            <w:left w:val="none" w:sz="0" w:space="0" w:color="auto"/>
                                            <w:bottom w:val="none" w:sz="0" w:space="0" w:color="auto"/>
                                            <w:right w:val="none" w:sz="0" w:space="0" w:color="auto"/>
                                          </w:divBdr>
                                        </w:div>
                                      </w:divsChild>
                                    </w:div>
                                    <w:div w:id="683939866">
                                      <w:marLeft w:val="0"/>
                                      <w:marRight w:val="0"/>
                                      <w:marTop w:val="0"/>
                                      <w:marBottom w:val="0"/>
                                      <w:divBdr>
                                        <w:top w:val="none" w:sz="0" w:space="0" w:color="auto"/>
                                        <w:left w:val="none" w:sz="0" w:space="0" w:color="auto"/>
                                        <w:bottom w:val="none" w:sz="0" w:space="0" w:color="auto"/>
                                        <w:right w:val="none" w:sz="0" w:space="0" w:color="auto"/>
                                      </w:divBdr>
                                      <w:divsChild>
                                        <w:div w:id="1232692919">
                                          <w:marLeft w:val="0"/>
                                          <w:marRight w:val="0"/>
                                          <w:marTop w:val="0"/>
                                          <w:marBottom w:val="300"/>
                                          <w:divBdr>
                                            <w:top w:val="none" w:sz="0" w:space="0" w:color="auto"/>
                                            <w:left w:val="none" w:sz="0" w:space="0" w:color="auto"/>
                                            <w:bottom w:val="none" w:sz="0" w:space="0" w:color="auto"/>
                                            <w:right w:val="none" w:sz="0" w:space="0" w:color="auto"/>
                                          </w:divBdr>
                                        </w:div>
                                      </w:divsChild>
                                    </w:div>
                                    <w:div w:id="1430078611">
                                      <w:marLeft w:val="0"/>
                                      <w:marRight w:val="0"/>
                                      <w:marTop w:val="0"/>
                                      <w:marBottom w:val="0"/>
                                      <w:divBdr>
                                        <w:top w:val="none" w:sz="0" w:space="0" w:color="auto"/>
                                        <w:left w:val="none" w:sz="0" w:space="0" w:color="auto"/>
                                        <w:bottom w:val="none" w:sz="0" w:space="0" w:color="auto"/>
                                        <w:right w:val="none" w:sz="0" w:space="0" w:color="auto"/>
                                      </w:divBdr>
                                      <w:divsChild>
                                        <w:div w:id="596447866">
                                          <w:marLeft w:val="0"/>
                                          <w:marRight w:val="0"/>
                                          <w:marTop w:val="0"/>
                                          <w:marBottom w:val="300"/>
                                          <w:divBdr>
                                            <w:top w:val="none" w:sz="0" w:space="0" w:color="auto"/>
                                            <w:left w:val="none" w:sz="0" w:space="0" w:color="auto"/>
                                            <w:bottom w:val="none" w:sz="0" w:space="0" w:color="auto"/>
                                            <w:right w:val="none" w:sz="0" w:space="0" w:color="auto"/>
                                          </w:divBdr>
                                        </w:div>
                                      </w:divsChild>
                                    </w:div>
                                    <w:div w:id="1303316320">
                                      <w:marLeft w:val="0"/>
                                      <w:marRight w:val="0"/>
                                      <w:marTop w:val="0"/>
                                      <w:marBottom w:val="0"/>
                                      <w:divBdr>
                                        <w:top w:val="none" w:sz="0" w:space="0" w:color="auto"/>
                                        <w:left w:val="none" w:sz="0" w:space="0" w:color="auto"/>
                                        <w:bottom w:val="none" w:sz="0" w:space="0" w:color="auto"/>
                                        <w:right w:val="none" w:sz="0" w:space="0" w:color="auto"/>
                                      </w:divBdr>
                                      <w:divsChild>
                                        <w:div w:id="1644040378">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 w:id="1225797436">
                              <w:marLeft w:val="0"/>
                              <w:marRight w:val="0"/>
                              <w:marTop w:val="0"/>
                              <w:marBottom w:val="0"/>
                              <w:divBdr>
                                <w:top w:val="none" w:sz="0" w:space="0" w:color="auto"/>
                                <w:left w:val="none" w:sz="0" w:space="0" w:color="auto"/>
                                <w:bottom w:val="none" w:sz="0" w:space="0" w:color="auto"/>
                                <w:right w:val="none" w:sz="0" w:space="0" w:color="auto"/>
                              </w:divBdr>
                            </w:div>
                          </w:divsChild>
                        </w:div>
                        <w:div w:id="211233440">
                          <w:marLeft w:val="0"/>
                          <w:marRight w:val="0"/>
                          <w:marTop w:val="0"/>
                          <w:marBottom w:val="0"/>
                          <w:divBdr>
                            <w:top w:val="none" w:sz="0" w:space="0" w:color="auto"/>
                            <w:left w:val="none" w:sz="0" w:space="0" w:color="auto"/>
                            <w:bottom w:val="none" w:sz="0" w:space="0" w:color="auto"/>
                            <w:right w:val="none" w:sz="0" w:space="0" w:color="auto"/>
                          </w:divBdr>
                          <w:divsChild>
                            <w:div w:id="757561380">
                              <w:marLeft w:val="0"/>
                              <w:marRight w:val="0"/>
                              <w:marTop w:val="0"/>
                              <w:marBottom w:val="360"/>
                              <w:divBdr>
                                <w:top w:val="none" w:sz="0" w:space="0" w:color="auto"/>
                                <w:left w:val="none" w:sz="0" w:space="0" w:color="auto"/>
                                <w:bottom w:val="none" w:sz="0" w:space="0" w:color="auto"/>
                                <w:right w:val="none" w:sz="0" w:space="0" w:color="auto"/>
                              </w:divBdr>
                              <w:divsChild>
                                <w:div w:id="1387559449">
                                  <w:marLeft w:val="-300"/>
                                  <w:marRight w:val="0"/>
                                  <w:marTop w:val="0"/>
                                  <w:marBottom w:val="300"/>
                                  <w:divBdr>
                                    <w:top w:val="none" w:sz="0" w:space="0" w:color="auto"/>
                                    <w:left w:val="none" w:sz="0" w:space="0" w:color="auto"/>
                                    <w:bottom w:val="none" w:sz="0" w:space="0" w:color="auto"/>
                                    <w:right w:val="none" w:sz="0" w:space="0" w:color="auto"/>
                                  </w:divBdr>
                                  <w:divsChild>
                                    <w:div w:id="1802654194">
                                      <w:marLeft w:val="0"/>
                                      <w:marRight w:val="0"/>
                                      <w:marTop w:val="0"/>
                                      <w:marBottom w:val="300"/>
                                      <w:divBdr>
                                        <w:top w:val="none" w:sz="0" w:space="0" w:color="auto"/>
                                        <w:left w:val="none" w:sz="0" w:space="0" w:color="auto"/>
                                        <w:bottom w:val="none" w:sz="0" w:space="0" w:color="auto"/>
                                        <w:right w:val="none" w:sz="0" w:space="0" w:color="auto"/>
                                      </w:divBdr>
                                      <w:divsChild>
                                        <w:div w:id="2073501184">
                                          <w:marLeft w:val="0"/>
                                          <w:marRight w:val="0"/>
                                          <w:marTop w:val="0"/>
                                          <w:marBottom w:val="0"/>
                                          <w:divBdr>
                                            <w:top w:val="none" w:sz="0" w:space="8" w:color="DDDDDD"/>
                                            <w:left w:val="none" w:sz="0" w:space="11" w:color="DDDDDD"/>
                                            <w:bottom w:val="single" w:sz="6" w:space="8" w:color="DDDDDD"/>
                                            <w:right w:val="none" w:sz="0" w:space="11" w:color="DDDDDD"/>
                                          </w:divBdr>
                                        </w:div>
                                        <w:div w:id="2059475717">
                                          <w:marLeft w:val="0"/>
                                          <w:marRight w:val="0"/>
                                          <w:marTop w:val="0"/>
                                          <w:marBottom w:val="0"/>
                                          <w:divBdr>
                                            <w:top w:val="none" w:sz="0" w:space="0" w:color="auto"/>
                                            <w:left w:val="none" w:sz="0" w:space="0" w:color="auto"/>
                                            <w:bottom w:val="none" w:sz="0" w:space="0" w:color="auto"/>
                                            <w:right w:val="none" w:sz="0" w:space="0" w:color="auto"/>
                                          </w:divBdr>
                                        </w:div>
                                        <w:div w:id="157234616">
                                          <w:marLeft w:val="0"/>
                                          <w:marRight w:val="0"/>
                                          <w:marTop w:val="0"/>
                                          <w:marBottom w:val="0"/>
                                          <w:divBdr>
                                            <w:top w:val="none" w:sz="0" w:space="0" w:color="auto"/>
                                            <w:left w:val="none" w:sz="0" w:space="0" w:color="auto"/>
                                            <w:bottom w:val="none" w:sz="0" w:space="0" w:color="auto"/>
                                            <w:right w:val="none" w:sz="0" w:space="0" w:color="auto"/>
                                          </w:divBdr>
                                          <w:divsChild>
                                            <w:div w:id="694892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1327280">
                              <w:marLeft w:val="0"/>
                              <w:marRight w:val="0"/>
                              <w:marTop w:val="0"/>
                              <w:marBottom w:val="360"/>
                              <w:divBdr>
                                <w:top w:val="none" w:sz="0" w:space="0" w:color="auto"/>
                                <w:left w:val="none" w:sz="0" w:space="0" w:color="auto"/>
                                <w:bottom w:val="none" w:sz="0" w:space="0" w:color="auto"/>
                                <w:right w:val="none" w:sz="0" w:space="0" w:color="auto"/>
                              </w:divBdr>
                              <w:divsChild>
                                <w:div w:id="985401328">
                                  <w:marLeft w:val="0"/>
                                  <w:marRight w:val="0"/>
                                  <w:marTop w:val="0"/>
                                  <w:marBottom w:val="0"/>
                                  <w:divBdr>
                                    <w:top w:val="none" w:sz="0" w:space="0" w:color="auto"/>
                                    <w:left w:val="none" w:sz="0" w:space="0" w:color="auto"/>
                                    <w:bottom w:val="none" w:sz="0" w:space="0" w:color="auto"/>
                                    <w:right w:val="none" w:sz="0" w:space="0" w:color="auto"/>
                                  </w:divBdr>
                                </w:div>
                              </w:divsChild>
                            </w:div>
                            <w:div w:id="47265826">
                              <w:marLeft w:val="0"/>
                              <w:marRight w:val="0"/>
                              <w:marTop w:val="0"/>
                              <w:marBottom w:val="360"/>
                              <w:divBdr>
                                <w:top w:val="none" w:sz="0" w:space="0" w:color="auto"/>
                                <w:left w:val="none" w:sz="0" w:space="0" w:color="auto"/>
                                <w:bottom w:val="none" w:sz="0" w:space="0" w:color="auto"/>
                                <w:right w:val="none" w:sz="0" w:space="0" w:color="auto"/>
                              </w:divBdr>
                            </w:div>
                          </w:divsChild>
                        </w:div>
                      </w:divsChild>
                    </w:div>
                  </w:divsChild>
                </w:div>
              </w:divsChild>
            </w:div>
            <w:div w:id="1039085956">
              <w:marLeft w:val="0"/>
              <w:marRight w:val="0"/>
              <w:marTop w:val="0"/>
              <w:marBottom w:val="0"/>
              <w:divBdr>
                <w:top w:val="single" w:sz="18" w:space="0" w:color="auto"/>
                <w:left w:val="none" w:sz="0" w:space="0" w:color="auto"/>
                <w:bottom w:val="none" w:sz="0" w:space="0" w:color="auto"/>
                <w:right w:val="none" w:sz="0" w:space="0" w:color="auto"/>
              </w:divBdr>
              <w:divsChild>
                <w:div w:id="2072196551">
                  <w:marLeft w:val="0"/>
                  <w:marRight w:val="0"/>
                  <w:marTop w:val="0"/>
                  <w:marBottom w:val="0"/>
                  <w:divBdr>
                    <w:top w:val="none" w:sz="0" w:space="0" w:color="auto"/>
                    <w:left w:val="none" w:sz="0" w:space="0" w:color="auto"/>
                    <w:bottom w:val="none" w:sz="0" w:space="0" w:color="auto"/>
                    <w:right w:val="none" w:sz="0" w:space="0" w:color="auto"/>
                  </w:divBdr>
                  <w:divsChild>
                    <w:div w:id="452674094">
                      <w:marLeft w:val="0"/>
                      <w:marRight w:val="0"/>
                      <w:marTop w:val="0"/>
                      <w:marBottom w:val="0"/>
                      <w:divBdr>
                        <w:top w:val="none" w:sz="0" w:space="0" w:color="auto"/>
                        <w:left w:val="none" w:sz="0" w:space="0" w:color="auto"/>
                        <w:bottom w:val="none" w:sz="0" w:space="0" w:color="auto"/>
                        <w:right w:val="none" w:sz="0" w:space="0" w:color="auto"/>
                      </w:divBdr>
                      <w:divsChild>
                        <w:div w:id="308438424">
                          <w:marLeft w:val="0"/>
                          <w:marRight w:val="0"/>
                          <w:marTop w:val="100"/>
                          <w:marBottom w:val="100"/>
                          <w:divBdr>
                            <w:top w:val="none" w:sz="0" w:space="0" w:color="auto"/>
                            <w:left w:val="none" w:sz="0" w:space="0" w:color="auto"/>
                            <w:bottom w:val="none" w:sz="0" w:space="0" w:color="auto"/>
                            <w:right w:val="none" w:sz="0" w:space="0" w:color="auto"/>
                          </w:divBdr>
                          <w:divsChild>
                            <w:div w:id="829059210">
                              <w:marLeft w:val="0"/>
                              <w:marRight w:val="0"/>
                              <w:marTop w:val="0"/>
                              <w:marBottom w:val="450"/>
                              <w:divBdr>
                                <w:top w:val="none" w:sz="0" w:space="0" w:color="auto"/>
                                <w:left w:val="none" w:sz="0" w:space="0" w:color="auto"/>
                                <w:bottom w:val="none" w:sz="0" w:space="0" w:color="auto"/>
                                <w:right w:val="none" w:sz="0" w:space="0" w:color="auto"/>
                              </w:divBdr>
                            </w:div>
                            <w:div w:id="736710238">
                              <w:marLeft w:val="0"/>
                              <w:marRight w:val="0"/>
                              <w:marTop w:val="0"/>
                              <w:marBottom w:val="0"/>
                              <w:divBdr>
                                <w:top w:val="none" w:sz="0" w:space="0" w:color="auto"/>
                                <w:left w:val="none" w:sz="0" w:space="0" w:color="auto"/>
                                <w:bottom w:val="none" w:sz="0" w:space="0" w:color="auto"/>
                                <w:right w:val="none" w:sz="0" w:space="0" w:color="auto"/>
                              </w:divBdr>
                              <w:divsChild>
                                <w:div w:id="299770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86737707">
              <w:marLeft w:val="0"/>
              <w:marRight w:val="0"/>
              <w:marTop w:val="0"/>
              <w:marBottom w:val="0"/>
              <w:divBdr>
                <w:top w:val="none" w:sz="0" w:space="0" w:color="auto"/>
                <w:left w:val="none" w:sz="0" w:space="0" w:color="auto"/>
                <w:bottom w:val="none" w:sz="0" w:space="0" w:color="auto"/>
                <w:right w:val="none" w:sz="0" w:space="0" w:color="auto"/>
              </w:divBdr>
              <w:divsChild>
                <w:div w:id="514878184">
                  <w:marLeft w:val="-180"/>
                  <w:marRight w:val="-180"/>
                  <w:marTop w:val="0"/>
                  <w:marBottom w:val="0"/>
                  <w:divBdr>
                    <w:top w:val="none" w:sz="0" w:space="0" w:color="auto"/>
                    <w:left w:val="none" w:sz="0" w:space="0" w:color="auto"/>
                    <w:bottom w:val="none" w:sz="0" w:space="0" w:color="auto"/>
                    <w:right w:val="none" w:sz="0" w:space="0" w:color="auto"/>
                  </w:divBdr>
                  <w:divsChild>
                    <w:div w:id="613437959">
                      <w:marLeft w:val="0"/>
                      <w:marRight w:val="0"/>
                      <w:marTop w:val="0"/>
                      <w:marBottom w:val="0"/>
                      <w:divBdr>
                        <w:top w:val="none" w:sz="0" w:space="0" w:color="auto"/>
                        <w:left w:val="none" w:sz="0" w:space="0" w:color="auto"/>
                        <w:bottom w:val="none" w:sz="0" w:space="0" w:color="auto"/>
                        <w:right w:val="none" w:sz="0" w:space="0" w:color="auto"/>
                      </w:divBdr>
                      <w:divsChild>
                        <w:div w:id="726219758">
                          <w:marLeft w:val="0"/>
                          <w:marRight w:val="0"/>
                          <w:marTop w:val="0"/>
                          <w:marBottom w:val="0"/>
                          <w:divBdr>
                            <w:top w:val="none" w:sz="0" w:space="0" w:color="auto"/>
                            <w:left w:val="none" w:sz="0" w:space="0" w:color="auto"/>
                            <w:bottom w:val="none" w:sz="0" w:space="0" w:color="auto"/>
                            <w:right w:val="none" w:sz="0" w:space="0" w:color="auto"/>
                          </w:divBdr>
                        </w:div>
                      </w:divsChild>
                    </w:div>
                    <w:div w:id="725490221">
                      <w:marLeft w:val="0"/>
                      <w:marRight w:val="0"/>
                      <w:marTop w:val="0"/>
                      <w:marBottom w:val="0"/>
                      <w:divBdr>
                        <w:top w:val="none" w:sz="0" w:space="0" w:color="auto"/>
                        <w:left w:val="none" w:sz="0" w:space="0" w:color="auto"/>
                        <w:bottom w:val="none" w:sz="0" w:space="0" w:color="auto"/>
                        <w:right w:val="none" w:sz="0" w:space="0" w:color="auto"/>
                      </w:divBdr>
                      <w:divsChild>
                        <w:div w:id="1707556919">
                          <w:marLeft w:val="0"/>
                          <w:marRight w:val="0"/>
                          <w:marTop w:val="0"/>
                          <w:marBottom w:val="0"/>
                          <w:divBdr>
                            <w:top w:val="none" w:sz="0" w:space="0" w:color="auto"/>
                            <w:left w:val="none" w:sz="0" w:space="0" w:color="auto"/>
                            <w:bottom w:val="none" w:sz="0" w:space="0" w:color="auto"/>
                            <w:right w:val="none" w:sz="0" w:space="0" w:color="auto"/>
                          </w:divBdr>
                        </w:div>
                      </w:divsChild>
                    </w:div>
                    <w:div w:id="410742466">
                      <w:marLeft w:val="0"/>
                      <w:marRight w:val="0"/>
                      <w:marTop w:val="0"/>
                      <w:marBottom w:val="0"/>
                      <w:divBdr>
                        <w:top w:val="none" w:sz="0" w:space="0" w:color="auto"/>
                        <w:left w:val="none" w:sz="0" w:space="0" w:color="auto"/>
                        <w:bottom w:val="none" w:sz="0" w:space="0" w:color="auto"/>
                        <w:right w:val="none" w:sz="0" w:space="0" w:color="auto"/>
                      </w:divBdr>
                      <w:divsChild>
                        <w:div w:id="1401639605">
                          <w:marLeft w:val="0"/>
                          <w:marRight w:val="0"/>
                          <w:marTop w:val="0"/>
                          <w:marBottom w:val="900"/>
                          <w:divBdr>
                            <w:top w:val="none" w:sz="0" w:space="0" w:color="auto"/>
                            <w:left w:val="none" w:sz="0" w:space="0" w:color="auto"/>
                            <w:bottom w:val="none" w:sz="0" w:space="0" w:color="auto"/>
                            <w:right w:val="none" w:sz="0" w:space="0" w:color="auto"/>
                          </w:divBdr>
                          <w:divsChild>
                            <w:div w:id="412551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2394348">
              <w:marLeft w:val="0"/>
              <w:marRight w:val="0"/>
              <w:marTop w:val="0"/>
              <w:marBottom w:val="0"/>
              <w:divBdr>
                <w:top w:val="none" w:sz="0" w:space="0" w:color="auto"/>
                <w:left w:val="none" w:sz="0" w:space="0" w:color="auto"/>
                <w:bottom w:val="none" w:sz="0" w:space="0" w:color="auto"/>
                <w:right w:val="none" w:sz="0" w:space="0" w:color="auto"/>
              </w:divBdr>
              <w:divsChild>
                <w:div w:id="1899703232">
                  <w:marLeft w:val="0"/>
                  <w:marRight w:val="0"/>
                  <w:marTop w:val="0"/>
                  <w:marBottom w:val="0"/>
                  <w:divBdr>
                    <w:top w:val="single" w:sz="6" w:space="0" w:color="3F444A"/>
                    <w:left w:val="none" w:sz="0" w:space="0" w:color="auto"/>
                    <w:bottom w:val="none" w:sz="0" w:space="0" w:color="auto"/>
                    <w:right w:val="none" w:sz="0" w:space="0" w:color="auto"/>
                  </w:divBdr>
                </w:div>
              </w:divsChild>
            </w:div>
            <w:div w:id="10497453">
              <w:marLeft w:val="0"/>
              <w:marRight w:val="0"/>
              <w:marTop w:val="0"/>
              <w:marBottom w:val="0"/>
              <w:divBdr>
                <w:top w:val="none" w:sz="0" w:space="0" w:color="auto"/>
                <w:left w:val="none" w:sz="0" w:space="0" w:color="auto"/>
                <w:bottom w:val="none" w:sz="0" w:space="0" w:color="auto"/>
                <w:right w:val="none" w:sz="0" w:space="0" w:color="auto"/>
              </w:divBdr>
              <w:divsChild>
                <w:div w:id="1253468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5090858">
          <w:marLeft w:val="0"/>
          <w:marRight w:val="0"/>
          <w:marTop w:val="0"/>
          <w:marBottom w:val="0"/>
          <w:divBdr>
            <w:top w:val="none" w:sz="0" w:space="0" w:color="auto"/>
            <w:left w:val="none" w:sz="0" w:space="0" w:color="auto"/>
            <w:bottom w:val="none" w:sz="0" w:space="0" w:color="auto"/>
            <w:right w:val="none" w:sz="0" w:space="0" w:color="auto"/>
          </w:divBdr>
        </w:div>
        <w:div w:id="320937523">
          <w:marLeft w:val="0"/>
          <w:marRight w:val="0"/>
          <w:marTop w:val="0"/>
          <w:marBottom w:val="0"/>
          <w:divBdr>
            <w:top w:val="none" w:sz="0" w:space="0" w:color="auto"/>
            <w:left w:val="none" w:sz="0" w:space="0" w:color="auto"/>
            <w:bottom w:val="none" w:sz="0" w:space="0" w:color="auto"/>
            <w:right w:val="none" w:sz="0" w:space="0" w:color="auto"/>
          </w:divBdr>
        </w:div>
      </w:divsChild>
    </w:div>
    <w:div w:id="1001858196">
      <w:bodyDiv w:val="1"/>
      <w:marLeft w:val="0"/>
      <w:marRight w:val="0"/>
      <w:marTop w:val="0"/>
      <w:marBottom w:val="0"/>
      <w:divBdr>
        <w:top w:val="none" w:sz="0" w:space="0" w:color="auto"/>
        <w:left w:val="none" w:sz="0" w:space="0" w:color="auto"/>
        <w:bottom w:val="none" w:sz="0" w:space="0" w:color="auto"/>
        <w:right w:val="none" w:sz="0" w:space="0" w:color="auto"/>
      </w:divBdr>
    </w:div>
    <w:div w:id="1099369165">
      <w:bodyDiv w:val="1"/>
      <w:marLeft w:val="0"/>
      <w:marRight w:val="0"/>
      <w:marTop w:val="0"/>
      <w:marBottom w:val="0"/>
      <w:divBdr>
        <w:top w:val="none" w:sz="0" w:space="0" w:color="auto"/>
        <w:left w:val="none" w:sz="0" w:space="0" w:color="auto"/>
        <w:bottom w:val="none" w:sz="0" w:space="0" w:color="auto"/>
        <w:right w:val="none" w:sz="0" w:space="0" w:color="auto"/>
      </w:divBdr>
    </w:div>
    <w:div w:id="1122723613">
      <w:bodyDiv w:val="1"/>
      <w:marLeft w:val="0"/>
      <w:marRight w:val="0"/>
      <w:marTop w:val="0"/>
      <w:marBottom w:val="0"/>
      <w:divBdr>
        <w:top w:val="none" w:sz="0" w:space="0" w:color="auto"/>
        <w:left w:val="none" w:sz="0" w:space="0" w:color="auto"/>
        <w:bottom w:val="none" w:sz="0" w:space="0" w:color="auto"/>
        <w:right w:val="none" w:sz="0" w:space="0" w:color="auto"/>
      </w:divBdr>
    </w:div>
    <w:div w:id="1347442058">
      <w:bodyDiv w:val="1"/>
      <w:marLeft w:val="0"/>
      <w:marRight w:val="0"/>
      <w:marTop w:val="0"/>
      <w:marBottom w:val="0"/>
      <w:divBdr>
        <w:top w:val="none" w:sz="0" w:space="0" w:color="auto"/>
        <w:left w:val="none" w:sz="0" w:space="0" w:color="auto"/>
        <w:bottom w:val="none" w:sz="0" w:space="0" w:color="auto"/>
        <w:right w:val="none" w:sz="0" w:space="0" w:color="auto"/>
      </w:divBdr>
    </w:div>
    <w:div w:id="1478112954">
      <w:bodyDiv w:val="1"/>
      <w:marLeft w:val="0"/>
      <w:marRight w:val="0"/>
      <w:marTop w:val="0"/>
      <w:marBottom w:val="0"/>
      <w:divBdr>
        <w:top w:val="none" w:sz="0" w:space="0" w:color="auto"/>
        <w:left w:val="none" w:sz="0" w:space="0" w:color="auto"/>
        <w:bottom w:val="none" w:sz="0" w:space="0" w:color="auto"/>
        <w:right w:val="none" w:sz="0" w:space="0" w:color="auto"/>
      </w:divBdr>
    </w:div>
    <w:div w:id="1582444962">
      <w:bodyDiv w:val="1"/>
      <w:marLeft w:val="0"/>
      <w:marRight w:val="0"/>
      <w:marTop w:val="0"/>
      <w:marBottom w:val="0"/>
      <w:divBdr>
        <w:top w:val="none" w:sz="0" w:space="0" w:color="auto"/>
        <w:left w:val="none" w:sz="0" w:space="0" w:color="auto"/>
        <w:bottom w:val="none" w:sz="0" w:space="0" w:color="auto"/>
        <w:right w:val="none" w:sz="0" w:space="0" w:color="auto"/>
      </w:divBdr>
    </w:div>
    <w:div w:id="2096047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03BCCD-0EA0-479E-9391-D46766A5E3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25</Pages>
  <Words>5920</Words>
  <Characters>33745</Characters>
  <Application>Microsoft Office Word</Application>
  <DocSecurity>0</DocSecurity>
  <Lines>281</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Halison Munteanu</dc:creator>
  <cp:keywords/>
  <dc:description/>
  <cp:lastModifiedBy>Lizbet Halison Munteanu Gamboa (2019783)</cp:lastModifiedBy>
  <cp:revision>2</cp:revision>
  <dcterms:created xsi:type="dcterms:W3CDTF">2024-08-20T17:43:00Z</dcterms:created>
  <dcterms:modified xsi:type="dcterms:W3CDTF">2024-08-20T17:43:00Z</dcterms:modified>
</cp:coreProperties>
</file>