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C0FED9" w14:textId="4A43A9AD" w:rsidR="00432473" w:rsidRDefault="004E0276" w:rsidP="00A269A3">
      <w:pPr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>Learning Theories and Play</w:t>
      </w:r>
    </w:p>
    <w:p w14:paraId="20D13FFF" w14:textId="1D85469C" w:rsidR="004E0276" w:rsidRDefault="0077532F" w:rsidP="00A269A3">
      <w:pPr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According to Sigmund Freud, play </w:t>
      </w:r>
      <w:r w:rsidR="00AB30A3">
        <w:rPr>
          <w:rFonts w:ascii="Arial" w:hAnsi="Arial" w:cs="Arial"/>
          <w:sz w:val="24"/>
          <w:szCs w:val="24"/>
          <w:lang w:val="en-US"/>
        </w:rPr>
        <w:t>allowed children to process trauma</w:t>
      </w:r>
      <w:r w:rsidR="00E82A6D">
        <w:rPr>
          <w:rFonts w:ascii="Arial" w:hAnsi="Arial" w:cs="Arial"/>
          <w:sz w:val="24"/>
          <w:szCs w:val="24"/>
          <w:lang w:val="en-US"/>
        </w:rPr>
        <w:t xml:space="preserve"> and events which they had </w:t>
      </w:r>
      <w:r w:rsidR="00A94A43">
        <w:rPr>
          <w:rFonts w:ascii="Arial" w:hAnsi="Arial" w:cs="Arial"/>
          <w:sz w:val="24"/>
          <w:szCs w:val="24"/>
          <w:lang w:val="en-US"/>
        </w:rPr>
        <w:t>suppressed</w:t>
      </w:r>
      <w:r w:rsidR="0012379F">
        <w:rPr>
          <w:rFonts w:ascii="Arial" w:hAnsi="Arial" w:cs="Arial"/>
          <w:sz w:val="24"/>
          <w:szCs w:val="24"/>
          <w:lang w:val="en-US"/>
        </w:rPr>
        <w:t xml:space="preserve"> (Freud Museum</w:t>
      </w:r>
      <w:r w:rsidR="00AB533C">
        <w:rPr>
          <w:rFonts w:ascii="Arial" w:hAnsi="Arial" w:cs="Arial"/>
          <w:sz w:val="24"/>
          <w:szCs w:val="24"/>
          <w:lang w:val="en-US"/>
        </w:rPr>
        <w:t xml:space="preserve"> London, 2017).</w:t>
      </w:r>
      <w:r w:rsidR="00E82A6D">
        <w:rPr>
          <w:rFonts w:ascii="Arial" w:hAnsi="Arial" w:cs="Arial"/>
          <w:sz w:val="24"/>
          <w:szCs w:val="24"/>
          <w:lang w:val="en-US"/>
        </w:rPr>
        <w:t xml:space="preserve">  Placing such a huge significance on the benefit of play </w:t>
      </w:r>
      <w:r w:rsidR="00A94A43">
        <w:rPr>
          <w:rFonts w:ascii="Arial" w:hAnsi="Arial" w:cs="Arial"/>
          <w:sz w:val="24"/>
          <w:szCs w:val="24"/>
          <w:lang w:val="en-US"/>
        </w:rPr>
        <w:t xml:space="preserve">illustrates how </w:t>
      </w:r>
      <w:r w:rsidR="00D42026">
        <w:rPr>
          <w:rFonts w:ascii="Arial" w:hAnsi="Arial" w:cs="Arial"/>
          <w:sz w:val="24"/>
          <w:szCs w:val="24"/>
          <w:lang w:val="en-US"/>
        </w:rPr>
        <w:t>i</w:t>
      </w:r>
      <w:r w:rsidR="00A94A43">
        <w:rPr>
          <w:rFonts w:ascii="Arial" w:hAnsi="Arial" w:cs="Arial"/>
          <w:sz w:val="24"/>
          <w:szCs w:val="24"/>
          <w:lang w:val="en-US"/>
        </w:rPr>
        <w:t>mportant play is</w:t>
      </w:r>
      <w:r w:rsidR="00D42026">
        <w:rPr>
          <w:rFonts w:ascii="Arial" w:hAnsi="Arial" w:cs="Arial"/>
          <w:sz w:val="24"/>
          <w:szCs w:val="24"/>
          <w:lang w:val="en-US"/>
        </w:rPr>
        <w:t xml:space="preserve"> to the </w:t>
      </w:r>
      <w:r w:rsidR="003E24E4">
        <w:rPr>
          <w:rFonts w:ascii="Arial" w:hAnsi="Arial" w:cs="Arial"/>
          <w:sz w:val="24"/>
          <w:szCs w:val="24"/>
          <w:lang w:val="en-US"/>
        </w:rPr>
        <w:t>emotional development of children and the overall holistic development also</w:t>
      </w:r>
      <w:r w:rsidR="00A94A43">
        <w:rPr>
          <w:rFonts w:ascii="Arial" w:hAnsi="Arial" w:cs="Arial"/>
          <w:sz w:val="24"/>
          <w:szCs w:val="24"/>
          <w:lang w:val="en-US"/>
        </w:rPr>
        <w:t>.</w:t>
      </w:r>
      <w:r w:rsidR="000955D0">
        <w:rPr>
          <w:rFonts w:ascii="Arial" w:hAnsi="Arial" w:cs="Arial"/>
          <w:sz w:val="24"/>
          <w:szCs w:val="24"/>
          <w:lang w:val="en-US"/>
        </w:rPr>
        <w:t xml:space="preserve">  Vygotsky believed that the emotional and social development of the child</w:t>
      </w:r>
      <w:r w:rsidR="00F17554">
        <w:rPr>
          <w:rFonts w:ascii="Arial" w:hAnsi="Arial" w:cs="Arial"/>
          <w:sz w:val="24"/>
          <w:szCs w:val="24"/>
          <w:lang w:val="en-US"/>
        </w:rPr>
        <w:t xml:space="preserve"> benefitted from their cognitive development</w:t>
      </w:r>
      <w:r w:rsidR="00D04895">
        <w:rPr>
          <w:rFonts w:ascii="Arial" w:hAnsi="Arial" w:cs="Arial"/>
          <w:sz w:val="24"/>
          <w:szCs w:val="24"/>
          <w:lang w:val="en-US"/>
        </w:rPr>
        <w:t>.  He stated that play developed their cognitive skills because they are using their imaginations</w:t>
      </w:r>
      <w:r w:rsidR="009C69FD">
        <w:rPr>
          <w:rFonts w:ascii="Arial" w:hAnsi="Arial" w:cs="Arial"/>
          <w:sz w:val="24"/>
          <w:szCs w:val="24"/>
          <w:lang w:val="en-US"/>
        </w:rPr>
        <w:t xml:space="preserve">.  The role of the adult is important during this imaginative play to ensure that the child is working at the correct </w:t>
      </w:r>
      <w:r w:rsidR="00EA1555">
        <w:rPr>
          <w:rFonts w:ascii="Arial" w:hAnsi="Arial" w:cs="Arial"/>
          <w:sz w:val="24"/>
          <w:szCs w:val="24"/>
          <w:lang w:val="en-US"/>
        </w:rPr>
        <w:t>level for</w:t>
      </w:r>
      <w:r w:rsidR="009C69FD">
        <w:rPr>
          <w:rFonts w:ascii="Arial" w:hAnsi="Arial" w:cs="Arial"/>
          <w:sz w:val="24"/>
          <w:szCs w:val="24"/>
          <w:lang w:val="en-US"/>
        </w:rPr>
        <w:t xml:space="preserve"> them</w:t>
      </w:r>
      <w:r w:rsidR="00666A73">
        <w:rPr>
          <w:rFonts w:ascii="Arial" w:hAnsi="Arial" w:cs="Arial"/>
          <w:sz w:val="24"/>
          <w:szCs w:val="24"/>
          <w:lang w:val="en-US"/>
        </w:rPr>
        <w:t xml:space="preserve"> which enhances the learning opportunities the play is providing</w:t>
      </w:r>
      <w:r w:rsidR="009F44B8">
        <w:rPr>
          <w:rFonts w:ascii="Arial" w:hAnsi="Arial" w:cs="Arial"/>
          <w:sz w:val="24"/>
          <w:szCs w:val="24"/>
          <w:lang w:val="en-US"/>
        </w:rPr>
        <w:t xml:space="preserve"> (Nilsson and </w:t>
      </w:r>
      <w:proofErr w:type="spellStart"/>
      <w:r w:rsidR="009F44B8">
        <w:rPr>
          <w:rFonts w:ascii="Arial" w:hAnsi="Arial" w:cs="Arial"/>
          <w:sz w:val="24"/>
          <w:szCs w:val="24"/>
          <w:lang w:val="en-US"/>
        </w:rPr>
        <w:t>Ferholt</w:t>
      </w:r>
      <w:proofErr w:type="spellEnd"/>
      <w:r w:rsidR="00B6575A">
        <w:rPr>
          <w:rFonts w:ascii="Arial" w:hAnsi="Arial" w:cs="Arial"/>
          <w:sz w:val="24"/>
          <w:szCs w:val="24"/>
          <w:lang w:val="en-US"/>
        </w:rPr>
        <w:t>, 2014).</w:t>
      </w:r>
      <w:r w:rsidR="00341493">
        <w:rPr>
          <w:rFonts w:ascii="Arial" w:hAnsi="Arial" w:cs="Arial"/>
          <w:sz w:val="24"/>
          <w:szCs w:val="24"/>
          <w:lang w:val="en-US"/>
        </w:rPr>
        <w:t xml:space="preserve"> </w:t>
      </w:r>
      <w:r w:rsidR="00776D6D">
        <w:rPr>
          <w:rFonts w:ascii="Arial" w:hAnsi="Arial" w:cs="Arial"/>
          <w:sz w:val="24"/>
          <w:szCs w:val="24"/>
          <w:lang w:val="en-US"/>
        </w:rPr>
        <w:t xml:space="preserve">Bruner agrees with Vygotsky’s view about the role of the adult and </w:t>
      </w:r>
      <w:r w:rsidR="00EA1555">
        <w:rPr>
          <w:rFonts w:ascii="Arial" w:hAnsi="Arial" w:cs="Arial"/>
          <w:sz w:val="24"/>
          <w:szCs w:val="24"/>
          <w:lang w:val="en-US"/>
        </w:rPr>
        <w:t>says that the adult can provide the challenges to take the child to the next level of their learning</w:t>
      </w:r>
      <w:r w:rsidR="00D251CF">
        <w:rPr>
          <w:rFonts w:ascii="Arial" w:hAnsi="Arial" w:cs="Arial"/>
          <w:sz w:val="24"/>
          <w:szCs w:val="24"/>
          <w:lang w:val="en-US"/>
        </w:rPr>
        <w:t xml:space="preserve"> and development</w:t>
      </w:r>
      <w:r w:rsidR="000E41D5">
        <w:rPr>
          <w:rFonts w:ascii="Arial" w:hAnsi="Arial" w:cs="Arial"/>
          <w:sz w:val="24"/>
          <w:szCs w:val="24"/>
          <w:lang w:val="en-US"/>
        </w:rPr>
        <w:t xml:space="preserve"> (McInnes</w:t>
      </w:r>
      <w:r w:rsidR="000518F6">
        <w:rPr>
          <w:rFonts w:ascii="Arial" w:hAnsi="Arial" w:cs="Arial"/>
          <w:sz w:val="24"/>
          <w:szCs w:val="24"/>
          <w:lang w:val="en-US"/>
        </w:rPr>
        <w:t xml:space="preserve"> et al., 2013).</w:t>
      </w:r>
      <w:r w:rsidR="000A1FB6">
        <w:rPr>
          <w:rFonts w:ascii="Arial" w:hAnsi="Arial" w:cs="Arial"/>
          <w:sz w:val="24"/>
          <w:szCs w:val="24"/>
          <w:lang w:val="en-US"/>
        </w:rPr>
        <w:t xml:space="preserve">  Piaget, </w:t>
      </w:r>
      <w:r w:rsidR="00E1673F">
        <w:rPr>
          <w:rFonts w:ascii="Arial" w:hAnsi="Arial" w:cs="Arial"/>
          <w:sz w:val="24"/>
          <w:szCs w:val="24"/>
          <w:lang w:val="en-US"/>
        </w:rPr>
        <w:t>Parten and Erikson’s theories all focus of stages.  Piaget and Parten’s stages illustrate how the child plays at each stage of their development</w:t>
      </w:r>
      <w:r w:rsidR="003F0BD7">
        <w:rPr>
          <w:rFonts w:ascii="Arial" w:hAnsi="Arial" w:cs="Arial"/>
          <w:sz w:val="24"/>
          <w:szCs w:val="24"/>
          <w:lang w:val="en-US"/>
        </w:rPr>
        <w:t xml:space="preserve"> and age</w:t>
      </w:r>
      <w:r w:rsidR="00000C75">
        <w:rPr>
          <w:rFonts w:ascii="Arial" w:hAnsi="Arial" w:cs="Arial"/>
          <w:sz w:val="24"/>
          <w:szCs w:val="24"/>
          <w:lang w:val="en-US"/>
        </w:rPr>
        <w:t xml:space="preserve"> whereas Erikson’s stages are</w:t>
      </w:r>
      <w:r w:rsidR="00987D61">
        <w:rPr>
          <w:rFonts w:ascii="Arial" w:hAnsi="Arial" w:cs="Arial"/>
          <w:sz w:val="24"/>
          <w:szCs w:val="24"/>
          <w:lang w:val="en-US"/>
        </w:rPr>
        <w:t xml:space="preserve"> the </w:t>
      </w:r>
      <w:r w:rsidR="00813053">
        <w:rPr>
          <w:rFonts w:ascii="Arial" w:hAnsi="Arial" w:cs="Arial"/>
          <w:sz w:val="24"/>
          <w:szCs w:val="24"/>
          <w:lang w:val="en-US"/>
        </w:rPr>
        <w:t>Psychosocial</w:t>
      </w:r>
      <w:r w:rsidR="00987D61">
        <w:rPr>
          <w:rFonts w:ascii="Arial" w:hAnsi="Arial" w:cs="Arial"/>
          <w:sz w:val="24"/>
          <w:szCs w:val="24"/>
          <w:lang w:val="en-US"/>
        </w:rPr>
        <w:t xml:space="preserve"> stages which focus on which </w:t>
      </w:r>
      <w:r w:rsidR="00823A91">
        <w:rPr>
          <w:rFonts w:ascii="Arial" w:hAnsi="Arial" w:cs="Arial"/>
          <w:sz w:val="24"/>
          <w:szCs w:val="24"/>
          <w:lang w:val="en-US"/>
        </w:rPr>
        <w:t xml:space="preserve">social </w:t>
      </w:r>
      <w:r w:rsidR="00987D61">
        <w:rPr>
          <w:rFonts w:ascii="Arial" w:hAnsi="Arial" w:cs="Arial"/>
          <w:sz w:val="24"/>
          <w:szCs w:val="24"/>
          <w:lang w:val="en-US"/>
        </w:rPr>
        <w:t>skills the child develops as they grow.</w:t>
      </w:r>
      <w:r w:rsidR="00823A91">
        <w:rPr>
          <w:rFonts w:ascii="Arial" w:hAnsi="Arial" w:cs="Arial"/>
          <w:sz w:val="24"/>
          <w:szCs w:val="24"/>
          <w:lang w:val="en-US"/>
        </w:rPr>
        <w:t xml:space="preserve">  In </w:t>
      </w:r>
      <w:r w:rsidR="00432339">
        <w:rPr>
          <w:rFonts w:ascii="Arial" w:hAnsi="Arial" w:cs="Arial"/>
          <w:sz w:val="24"/>
          <w:szCs w:val="24"/>
          <w:lang w:val="en-US"/>
        </w:rPr>
        <w:t>all</w:t>
      </w:r>
      <w:r w:rsidR="00823A91">
        <w:rPr>
          <w:rFonts w:ascii="Arial" w:hAnsi="Arial" w:cs="Arial"/>
          <w:sz w:val="24"/>
          <w:szCs w:val="24"/>
          <w:lang w:val="en-US"/>
        </w:rPr>
        <w:t xml:space="preserve"> these </w:t>
      </w:r>
      <w:r w:rsidR="00813053">
        <w:rPr>
          <w:rFonts w:ascii="Arial" w:hAnsi="Arial" w:cs="Arial"/>
          <w:sz w:val="24"/>
          <w:szCs w:val="24"/>
          <w:lang w:val="en-US"/>
        </w:rPr>
        <w:t>theories the</w:t>
      </w:r>
      <w:r w:rsidR="00876712">
        <w:rPr>
          <w:rFonts w:ascii="Arial" w:hAnsi="Arial" w:cs="Arial"/>
          <w:sz w:val="24"/>
          <w:szCs w:val="24"/>
          <w:lang w:val="en-US"/>
        </w:rPr>
        <w:t xml:space="preserve"> child needs to have met the </w:t>
      </w:r>
      <w:r w:rsidR="00813053">
        <w:rPr>
          <w:rFonts w:ascii="Arial" w:hAnsi="Arial" w:cs="Arial"/>
          <w:sz w:val="24"/>
          <w:szCs w:val="24"/>
          <w:lang w:val="en-US"/>
        </w:rPr>
        <w:t>preceding</w:t>
      </w:r>
      <w:r w:rsidR="00876712">
        <w:rPr>
          <w:rFonts w:ascii="Arial" w:hAnsi="Arial" w:cs="Arial"/>
          <w:sz w:val="24"/>
          <w:szCs w:val="24"/>
          <w:lang w:val="en-US"/>
        </w:rPr>
        <w:t xml:space="preserve"> development milestone to </w:t>
      </w:r>
      <w:r w:rsidR="00813053">
        <w:rPr>
          <w:rFonts w:ascii="Arial" w:hAnsi="Arial" w:cs="Arial"/>
          <w:sz w:val="24"/>
          <w:szCs w:val="24"/>
          <w:lang w:val="en-US"/>
        </w:rPr>
        <w:t>conquer</w:t>
      </w:r>
      <w:r w:rsidR="00876712">
        <w:rPr>
          <w:rFonts w:ascii="Arial" w:hAnsi="Arial" w:cs="Arial"/>
          <w:sz w:val="24"/>
          <w:szCs w:val="24"/>
          <w:lang w:val="en-US"/>
        </w:rPr>
        <w:t xml:space="preserve"> the next</w:t>
      </w:r>
      <w:r w:rsidR="00813053">
        <w:rPr>
          <w:rFonts w:ascii="Arial" w:hAnsi="Arial" w:cs="Arial"/>
          <w:sz w:val="24"/>
          <w:szCs w:val="24"/>
          <w:lang w:val="en-US"/>
        </w:rPr>
        <w:t xml:space="preserve">.  The importance of play is noted throughout as a marker for </w:t>
      </w:r>
      <w:r w:rsidR="00432339">
        <w:rPr>
          <w:rFonts w:ascii="Arial" w:hAnsi="Arial" w:cs="Arial"/>
          <w:sz w:val="24"/>
          <w:szCs w:val="24"/>
          <w:lang w:val="en-US"/>
        </w:rPr>
        <w:t>developmental</w:t>
      </w:r>
      <w:r w:rsidR="00813053">
        <w:rPr>
          <w:rFonts w:ascii="Arial" w:hAnsi="Arial" w:cs="Arial"/>
          <w:sz w:val="24"/>
          <w:szCs w:val="24"/>
          <w:lang w:val="en-US"/>
        </w:rPr>
        <w:t xml:space="preserve"> milestones</w:t>
      </w:r>
      <w:r w:rsidR="00432339">
        <w:rPr>
          <w:rFonts w:ascii="Arial" w:hAnsi="Arial" w:cs="Arial"/>
          <w:sz w:val="24"/>
          <w:szCs w:val="24"/>
          <w:lang w:val="en-US"/>
        </w:rPr>
        <w:t xml:space="preserve"> and a</w:t>
      </w:r>
      <w:r w:rsidR="007B579D">
        <w:rPr>
          <w:rFonts w:ascii="Arial" w:hAnsi="Arial" w:cs="Arial"/>
          <w:sz w:val="24"/>
          <w:szCs w:val="24"/>
          <w:lang w:val="en-US"/>
        </w:rPr>
        <w:t>s a</w:t>
      </w:r>
      <w:r w:rsidR="00432339">
        <w:rPr>
          <w:rFonts w:ascii="Arial" w:hAnsi="Arial" w:cs="Arial"/>
          <w:sz w:val="24"/>
          <w:szCs w:val="24"/>
          <w:lang w:val="en-US"/>
        </w:rPr>
        <w:t xml:space="preserve"> method of assessing whether these have been met</w:t>
      </w:r>
      <w:r w:rsidR="0064720C">
        <w:rPr>
          <w:rFonts w:ascii="Arial" w:hAnsi="Arial" w:cs="Arial"/>
          <w:sz w:val="24"/>
          <w:szCs w:val="24"/>
          <w:lang w:val="en-US"/>
        </w:rPr>
        <w:t xml:space="preserve"> (</w:t>
      </w:r>
      <w:r w:rsidR="00EE1D96">
        <w:rPr>
          <w:rFonts w:ascii="Arial" w:hAnsi="Arial" w:cs="Arial"/>
          <w:sz w:val="24"/>
          <w:szCs w:val="24"/>
          <w:lang w:val="en-US"/>
        </w:rPr>
        <w:t>Shree and Shukla, 2016).</w:t>
      </w:r>
    </w:p>
    <w:p w14:paraId="57C604D6" w14:textId="62B47469" w:rsidR="003E1643" w:rsidRDefault="003E1643" w:rsidP="00A269A3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3FE2C4D9" w14:textId="2FD52B13" w:rsidR="003E1643" w:rsidRDefault="003E1643" w:rsidP="00A269A3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1FE245AE" w14:textId="77777777" w:rsidR="003E1643" w:rsidRDefault="003E164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14:paraId="289BFB64" w14:textId="51D763AC" w:rsidR="00EE1D96" w:rsidRDefault="003E1643" w:rsidP="00A269A3">
      <w:pPr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lastRenderedPageBreak/>
        <w:t>Reference List</w:t>
      </w:r>
    </w:p>
    <w:p w14:paraId="4F17A436" w14:textId="77777777" w:rsidR="00EE1D96" w:rsidRPr="00EE1D96" w:rsidRDefault="00EE1D96" w:rsidP="00A269A3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0307E447" w14:textId="77777777" w:rsidR="00EE1D96" w:rsidRPr="00EE1D96" w:rsidRDefault="00EE1D96" w:rsidP="00A269A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E1D96">
        <w:rPr>
          <w:rFonts w:ascii="Arial" w:hAnsi="Arial" w:cs="Arial"/>
          <w:sz w:val="24"/>
          <w:szCs w:val="24"/>
          <w:shd w:val="clear" w:color="auto" w:fill="FFFFFF"/>
        </w:rPr>
        <w:t xml:space="preserve">Freud </w:t>
      </w:r>
      <w:proofErr w:type="spellStart"/>
      <w:r w:rsidRPr="00EE1D96">
        <w:rPr>
          <w:rFonts w:ascii="Arial" w:hAnsi="Arial" w:cs="Arial"/>
          <w:sz w:val="24"/>
          <w:szCs w:val="24"/>
          <w:shd w:val="clear" w:color="auto" w:fill="FFFFFF"/>
        </w:rPr>
        <w:t>Musuem</w:t>
      </w:r>
      <w:proofErr w:type="spellEnd"/>
      <w:r w:rsidRPr="00EE1D96">
        <w:rPr>
          <w:rFonts w:ascii="Arial" w:hAnsi="Arial" w:cs="Arial"/>
          <w:sz w:val="24"/>
          <w:szCs w:val="24"/>
          <w:shd w:val="clear" w:color="auto" w:fill="FFFFFF"/>
        </w:rPr>
        <w:t xml:space="preserve"> London, 2017. </w:t>
      </w:r>
      <w:r w:rsidRPr="00EE1D9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Play </w:t>
      </w:r>
      <w:proofErr w:type="gramStart"/>
      <w:r w:rsidRPr="00EE1D96">
        <w:rPr>
          <w:rFonts w:ascii="Arial" w:hAnsi="Arial" w:cs="Arial"/>
          <w:i/>
          <w:iCs/>
          <w:sz w:val="24"/>
          <w:szCs w:val="24"/>
          <w:shd w:val="clear" w:color="auto" w:fill="FFFFFF"/>
        </w:rPr>
        <w:t>And</w:t>
      </w:r>
      <w:proofErr w:type="gramEnd"/>
      <w:r w:rsidRPr="00EE1D9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Psychoanalysis: Insights Feature</w:t>
      </w:r>
      <w:r w:rsidRPr="00EE1D96">
        <w:rPr>
          <w:rFonts w:ascii="Arial" w:hAnsi="Arial" w:cs="Arial"/>
          <w:sz w:val="24"/>
          <w:szCs w:val="24"/>
          <w:shd w:val="clear" w:color="auto" w:fill="FFFFFF"/>
        </w:rPr>
        <w:t>. [video] Available at:</w:t>
      </w:r>
      <w:r w:rsidRPr="00EE1D9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6" w:history="1">
        <w:r w:rsidRPr="00EE1D96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https://www.youtube.com/watch?v=LUR5iqUnMlY&amp;feature=youtu.be</w:t>
        </w:r>
      </w:hyperlink>
      <w:r w:rsidRPr="00EE1D9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E1D96">
        <w:rPr>
          <w:rFonts w:ascii="Arial" w:hAnsi="Arial" w:cs="Arial"/>
          <w:sz w:val="24"/>
          <w:szCs w:val="24"/>
          <w:shd w:val="clear" w:color="auto" w:fill="FFFFFF"/>
        </w:rPr>
        <w:t xml:space="preserve"> [Accessed 6 December 2020].</w:t>
      </w:r>
    </w:p>
    <w:p w14:paraId="60CD2D11" w14:textId="77777777" w:rsidR="00EE1D96" w:rsidRPr="00EE1D96" w:rsidRDefault="00EE1D96" w:rsidP="00A269A3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E1D96">
        <w:rPr>
          <w:rFonts w:ascii="Arial" w:hAnsi="Arial" w:cs="Arial"/>
          <w:sz w:val="24"/>
          <w:szCs w:val="24"/>
          <w:lang w:val="en-US"/>
        </w:rPr>
        <w:t xml:space="preserve">McInnes, Karen et al., 2013. The nature of adult–child interaction in the early </w:t>
      </w:r>
      <w:proofErr w:type="gramStart"/>
      <w:r w:rsidRPr="00EE1D96">
        <w:rPr>
          <w:rFonts w:ascii="Arial" w:hAnsi="Arial" w:cs="Arial"/>
          <w:sz w:val="24"/>
          <w:szCs w:val="24"/>
          <w:lang w:val="en-US"/>
        </w:rPr>
        <w:t>years</w:t>
      </w:r>
      <w:proofErr w:type="gramEnd"/>
      <w:r w:rsidRPr="00EE1D96">
        <w:rPr>
          <w:rFonts w:ascii="Arial" w:hAnsi="Arial" w:cs="Arial"/>
          <w:sz w:val="24"/>
          <w:szCs w:val="24"/>
          <w:lang w:val="en-US"/>
        </w:rPr>
        <w:t xml:space="preserve"> classroom: Implications for children's perceptions of play and subsequent learning </w:t>
      </w:r>
      <w:proofErr w:type="spellStart"/>
      <w:r w:rsidRPr="00EE1D96">
        <w:rPr>
          <w:rFonts w:ascii="Arial" w:hAnsi="Arial" w:cs="Arial"/>
          <w:sz w:val="24"/>
          <w:szCs w:val="24"/>
          <w:lang w:val="en-US"/>
        </w:rPr>
        <w:t>behaviour</w:t>
      </w:r>
      <w:proofErr w:type="spellEnd"/>
      <w:r w:rsidRPr="00EE1D96">
        <w:rPr>
          <w:rFonts w:ascii="Arial" w:hAnsi="Arial" w:cs="Arial"/>
          <w:sz w:val="24"/>
          <w:szCs w:val="24"/>
          <w:lang w:val="en-US"/>
        </w:rPr>
        <w:t>. European early childhood education research journal, 21(2), pp.268–282.</w:t>
      </w:r>
    </w:p>
    <w:p w14:paraId="3A46C4A3" w14:textId="77777777" w:rsidR="00EE1D96" w:rsidRPr="00EE1D96" w:rsidRDefault="00EE1D96" w:rsidP="00A269A3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E1D96">
        <w:rPr>
          <w:rFonts w:ascii="Arial" w:hAnsi="Arial" w:cs="Arial"/>
          <w:sz w:val="24"/>
          <w:szCs w:val="24"/>
          <w:lang w:val="en-US"/>
        </w:rPr>
        <w:t xml:space="preserve">Nilsson, Monica &amp; </w:t>
      </w:r>
      <w:proofErr w:type="spellStart"/>
      <w:r w:rsidRPr="00EE1D96">
        <w:rPr>
          <w:rFonts w:ascii="Arial" w:hAnsi="Arial" w:cs="Arial"/>
          <w:sz w:val="24"/>
          <w:szCs w:val="24"/>
          <w:lang w:val="en-US"/>
        </w:rPr>
        <w:t>Ferholt</w:t>
      </w:r>
      <w:proofErr w:type="spellEnd"/>
      <w:r w:rsidRPr="00EE1D96">
        <w:rPr>
          <w:rFonts w:ascii="Arial" w:hAnsi="Arial" w:cs="Arial"/>
          <w:sz w:val="24"/>
          <w:szCs w:val="24"/>
          <w:lang w:val="en-US"/>
        </w:rPr>
        <w:t xml:space="preserve">, Beth, 2014. Vygotsky's theories of play, imagination and creativity in current practice: </w:t>
      </w:r>
      <w:proofErr w:type="spellStart"/>
      <w:r w:rsidRPr="00EE1D96">
        <w:rPr>
          <w:rFonts w:ascii="Arial" w:hAnsi="Arial" w:cs="Arial"/>
          <w:sz w:val="24"/>
          <w:szCs w:val="24"/>
          <w:lang w:val="en-US"/>
        </w:rPr>
        <w:t>Gunilla</w:t>
      </w:r>
      <w:proofErr w:type="spellEnd"/>
      <w:r w:rsidRPr="00EE1D96">
        <w:rPr>
          <w:rFonts w:ascii="Arial" w:hAnsi="Arial" w:cs="Arial"/>
          <w:sz w:val="24"/>
          <w:szCs w:val="24"/>
          <w:lang w:val="en-US"/>
        </w:rPr>
        <w:t xml:space="preserve"> Lindqvist's “creative pedagogy of play” in U. S. kindergartens and Swedish Reggio-Emilia inspired preschools. </w:t>
      </w:r>
      <w:proofErr w:type="spellStart"/>
      <w:r w:rsidRPr="00EE1D96">
        <w:rPr>
          <w:rFonts w:ascii="Arial" w:hAnsi="Arial" w:cs="Arial"/>
          <w:sz w:val="24"/>
          <w:szCs w:val="24"/>
          <w:lang w:val="en-US"/>
        </w:rPr>
        <w:t>Perspectiva</w:t>
      </w:r>
      <w:proofErr w:type="spellEnd"/>
      <w:r w:rsidRPr="00EE1D96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EE1D96">
        <w:rPr>
          <w:rFonts w:ascii="Arial" w:hAnsi="Arial" w:cs="Arial"/>
          <w:sz w:val="24"/>
          <w:szCs w:val="24"/>
          <w:lang w:val="en-US"/>
        </w:rPr>
        <w:t>Florianópolis</w:t>
      </w:r>
      <w:proofErr w:type="spellEnd"/>
      <w:r w:rsidRPr="00EE1D96">
        <w:rPr>
          <w:rFonts w:ascii="Arial" w:hAnsi="Arial" w:cs="Arial"/>
          <w:sz w:val="24"/>
          <w:szCs w:val="24"/>
          <w:lang w:val="en-US"/>
        </w:rPr>
        <w:t>, Brazil), 32(3), pp.919–950.</w:t>
      </w:r>
    </w:p>
    <w:p w14:paraId="47F27B6E" w14:textId="77777777" w:rsidR="00EE1D96" w:rsidRPr="00EE1D96" w:rsidRDefault="00EE1D96" w:rsidP="00A269A3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E1D96">
        <w:rPr>
          <w:rFonts w:ascii="Arial" w:hAnsi="Arial" w:cs="Arial"/>
          <w:sz w:val="24"/>
          <w:szCs w:val="24"/>
          <w:shd w:val="clear" w:color="auto" w:fill="FFFFFF"/>
        </w:rPr>
        <w:t>SHREE, A. and SHUKLA, P.C., 2016. Play: World of Children. </w:t>
      </w:r>
      <w:r w:rsidRPr="00EE1D96">
        <w:rPr>
          <w:rFonts w:ascii="Arial" w:hAnsi="Arial" w:cs="Arial"/>
          <w:i/>
          <w:iCs/>
          <w:sz w:val="24"/>
          <w:szCs w:val="24"/>
          <w:shd w:val="clear" w:color="auto" w:fill="FFFFFF"/>
        </w:rPr>
        <w:t>Educational Quest, </w:t>
      </w:r>
      <w:r w:rsidRPr="00EE1D96">
        <w:rPr>
          <w:rFonts w:ascii="Arial" w:hAnsi="Arial" w:cs="Arial"/>
          <w:b/>
          <w:bCs/>
          <w:sz w:val="24"/>
          <w:szCs w:val="24"/>
          <w:shd w:val="clear" w:color="auto" w:fill="FFFFFF"/>
        </w:rPr>
        <w:t>7</w:t>
      </w:r>
      <w:r w:rsidRPr="00EE1D96">
        <w:rPr>
          <w:rFonts w:ascii="Arial" w:hAnsi="Arial" w:cs="Arial"/>
          <w:sz w:val="24"/>
          <w:szCs w:val="24"/>
          <w:shd w:val="clear" w:color="auto" w:fill="FFFFFF"/>
        </w:rPr>
        <w:t>(2), pp. 71-77.</w:t>
      </w:r>
    </w:p>
    <w:p w14:paraId="597E5B71" w14:textId="5F86E97F" w:rsidR="00027BE8" w:rsidRDefault="00027BE8" w:rsidP="00A269A3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55B8991B" w14:textId="77777777" w:rsidR="00027BE8" w:rsidRPr="0077532F" w:rsidRDefault="00027BE8" w:rsidP="00A269A3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4C2AE26E" w14:textId="77777777" w:rsidR="004E0276" w:rsidRPr="004E0276" w:rsidRDefault="004E0276" w:rsidP="00A269A3">
      <w:pPr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sectPr w:rsidR="004E0276" w:rsidRPr="004E027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462394" w14:textId="77777777" w:rsidR="00E96283" w:rsidRDefault="00E96283" w:rsidP="00E96283">
      <w:pPr>
        <w:spacing w:after="0" w:line="240" w:lineRule="auto"/>
      </w:pPr>
      <w:r>
        <w:separator/>
      </w:r>
    </w:p>
  </w:endnote>
  <w:endnote w:type="continuationSeparator" w:id="0">
    <w:p w14:paraId="548825A2" w14:textId="77777777" w:rsidR="00E96283" w:rsidRDefault="00E96283" w:rsidP="00E9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245D36" w14:textId="77777777" w:rsidR="00E96283" w:rsidRDefault="00E96283" w:rsidP="00E96283">
      <w:pPr>
        <w:spacing w:after="0" w:line="240" w:lineRule="auto"/>
      </w:pPr>
      <w:r>
        <w:separator/>
      </w:r>
    </w:p>
  </w:footnote>
  <w:footnote w:type="continuationSeparator" w:id="0">
    <w:p w14:paraId="0E3B2FCE" w14:textId="77777777" w:rsidR="00E96283" w:rsidRDefault="00E96283" w:rsidP="00E96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15728" w14:textId="1AD6D03E" w:rsidR="00E96283" w:rsidRPr="004E0276" w:rsidRDefault="00E96283">
    <w:pPr>
      <w:pStyle w:val="Header"/>
      <w:rPr>
        <w:rFonts w:ascii="Arial" w:hAnsi="Arial" w:cs="Arial"/>
        <w:sz w:val="24"/>
        <w:szCs w:val="24"/>
      </w:rPr>
    </w:pPr>
    <w:r w:rsidRPr="004E0276">
      <w:rPr>
        <w:rFonts w:ascii="Arial" w:hAnsi="Arial" w:cs="Arial"/>
        <w:sz w:val="24"/>
        <w:szCs w:val="24"/>
      </w:rPr>
      <w:t>Alison Goodridge 2008453</w:t>
    </w:r>
  </w:p>
  <w:p w14:paraId="3DFF9B30" w14:textId="0726BD37" w:rsidR="00E96283" w:rsidRPr="004E0276" w:rsidRDefault="00150319">
    <w:pPr>
      <w:pStyle w:val="Header"/>
      <w:rPr>
        <w:rFonts w:ascii="Arial" w:hAnsi="Arial" w:cs="Arial"/>
        <w:sz w:val="24"/>
        <w:szCs w:val="24"/>
      </w:rPr>
    </w:pPr>
    <w:r w:rsidRPr="004E0276">
      <w:rPr>
        <w:rFonts w:ascii="Arial" w:hAnsi="Arial" w:cs="Arial"/>
        <w:sz w:val="24"/>
        <w:szCs w:val="24"/>
      </w:rPr>
      <w:t>Children’s Play</w:t>
    </w:r>
    <w:r w:rsidR="005C3E84" w:rsidRPr="004E0276">
      <w:rPr>
        <w:rFonts w:ascii="Arial" w:hAnsi="Arial" w:cs="Arial"/>
        <w:sz w:val="24"/>
        <w:szCs w:val="24"/>
      </w:rPr>
      <w:t>, Principles and Practise EA</w:t>
    </w:r>
    <w:r w:rsidR="00DA19EC" w:rsidRPr="004E0276">
      <w:rPr>
        <w:rFonts w:ascii="Arial" w:hAnsi="Arial" w:cs="Arial"/>
        <w:sz w:val="24"/>
        <w:szCs w:val="24"/>
      </w:rPr>
      <w:t>EE4004</w:t>
    </w:r>
    <w:r w:rsidR="004E0276" w:rsidRPr="004E0276">
      <w:rPr>
        <w:rFonts w:ascii="Arial" w:hAnsi="Arial" w:cs="Arial"/>
        <w:sz w:val="24"/>
        <w:szCs w:val="24"/>
      </w:rPr>
      <w:t>/</w:t>
    </w:r>
    <w:r w:rsidR="00DA19EC" w:rsidRPr="004E0276">
      <w:rPr>
        <w:rFonts w:ascii="Arial" w:hAnsi="Arial" w:cs="Arial"/>
        <w:sz w:val="24"/>
        <w:szCs w:val="24"/>
      </w:rPr>
      <w:t>C</w:t>
    </w:r>
  </w:p>
  <w:p w14:paraId="41EF8F49" w14:textId="77777777" w:rsidR="00E96283" w:rsidRPr="004E0276" w:rsidRDefault="00E96283">
    <w:pPr>
      <w:pStyle w:val="Header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AEE"/>
    <w:rsid w:val="00000C75"/>
    <w:rsid w:val="00027BE8"/>
    <w:rsid w:val="000518F6"/>
    <w:rsid w:val="000955D0"/>
    <w:rsid w:val="000A1FB6"/>
    <w:rsid w:val="000E41D5"/>
    <w:rsid w:val="0012379F"/>
    <w:rsid w:val="00150319"/>
    <w:rsid w:val="00200B5F"/>
    <w:rsid w:val="00341493"/>
    <w:rsid w:val="0035303B"/>
    <w:rsid w:val="003E1643"/>
    <w:rsid w:val="003E24E4"/>
    <w:rsid w:val="003F0BD7"/>
    <w:rsid w:val="003F1492"/>
    <w:rsid w:val="004203E6"/>
    <w:rsid w:val="00432339"/>
    <w:rsid w:val="00432473"/>
    <w:rsid w:val="004E0276"/>
    <w:rsid w:val="005C3E84"/>
    <w:rsid w:val="0064720C"/>
    <w:rsid w:val="00666A73"/>
    <w:rsid w:val="0077532F"/>
    <w:rsid w:val="00776D6D"/>
    <w:rsid w:val="007B579D"/>
    <w:rsid w:val="00813053"/>
    <w:rsid w:val="00823A91"/>
    <w:rsid w:val="00876712"/>
    <w:rsid w:val="00987D61"/>
    <w:rsid w:val="009B383D"/>
    <w:rsid w:val="009C69FD"/>
    <w:rsid w:val="009F44B8"/>
    <w:rsid w:val="00A269A3"/>
    <w:rsid w:val="00A94A43"/>
    <w:rsid w:val="00AB30A3"/>
    <w:rsid w:val="00AB533C"/>
    <w:rsid w:val="00B6575A"/>
    <w:rsid w:val="00D04895"/>
    <w:rsid w:val="00D251CF"/>
    <w:rsid w:val="00D42026"/>
    <w:rsid w:val="00DA19EC"/>
    <w:rsid w:val="00E1673F"/>
    <w:rsid w:val="00E436D5"/>
    <w:rsid w:val="00E82A6D"/>
    <w:rsid w:val="00E96283"/>
    <w:rsid w:val="00EA1555"/>
    <w:rsid w:val="00EE1D96"/>
    <w:rsid w:val="00F17554"/>
    <w:rsid w:val="00FD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87382"/>
  <w15:chartTrackingRefBased/>
  <w15:docId w15:val="{B89DBAF4-90ED-475D-8F48-12F9E3FE4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283"/>
  </w:style>
  <w:style w:type="paragraph" w:styleId="Footer">
    <w:name w:val="footer"/>
    <w:basedOn w:val="Normal"/>
    <w:link w:val="FooterChar"/>
    <w:uiPriority w:val="99"/>
    <w:unhideWhenUsed/>
    <w:rsid w:val="00E9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283"/>
  </w:style>
  <w:style w:type="character" w:styleId="Hyperlink">
    <w:name w:val="Hyperlink"/>
    <w:basedOn w:val="DefaultParagraphFont"/>
    <w:uiPriority w:val="99"/>
    <w:unhideWhenUsed/>
    <w:rsid w:val="009B38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38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LUR5iqUnMlY&amp;feature=youtu.b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2095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Jane Goodridge</dc:creator>
  <cp:keywords/>
  <dc:description/>
  <cp:lastModifiedBy>Alison Jane Goodridge</cp:lastModifiedBy>
  <cp:revision>2</cp:revision>
  <dcterms:created xsi:type="dcterms:W3CDTF">2020-12-06T22:34:00Z</dcterms:created>
  <dcterms:modified xsi:type="dcterms:W3CDTF">2020-12-06T22:34:00Z</dcterms:modified>
</cp:coreProperties>
</file>