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6DA2E" w14:textId="02F90E69" w:rsidR="00E06162" w:rsidRPr="00DB3FA6" w:rsidRDefault="00E06162" w:rsidP="00DB3FA6">
      <w:pPr>
        <w:rPr>
          <w:rFonts w:ascii="Arial" w:hAnsi="Arial" w:cs="Arial"/>
          <w:sz w:val="22"/>
          <w:szCs w:val="22"/>
        </w:rPr>
      </w:pPr>
    </w:p>
    <w:p w14:paraId="2D7A875E" w14:textId="77777777" w:rsidR="00E06162" w:rsidRDefault="00E06162" w:rsidP="00E06162">
      <w:pPr>
        <w:rPr>
          <w:rFonts w:ascii="Arial" w:hAnsi="Arial" w:cs="Arial"/>
          <w:sz w:val="22"/>
          <w:szCs w:val="22"/>
        </w:rPr>
      </w:pPr>
    </w:p>
    <w:p w14:paraId="5332BD2C" w14:textId="77777777" w:rsidR="00E06162" w:rsidRDefault="00E06162" w:rsidP="00E06162">
      <w:pPr>
        <w:rPr>
          <w:rFonts w:ascii="Arial" w:hAnsi="Arial" w:cs="Arial"/>
          <w:sz w:val="22"/>
          <w:szCs w:val="22"/>
        </w:rPr>
      </w:pPr>
    </w:p>
    <w:p w14:paraId="225E7FED" w14:textId="77777777" w:rsidR="00E06162" w:rsidRDefault="00E06162" w:rsidP="00E06162">
      <w:pPr>
        <w:rPr>
          <w:rFonts w:ascii="Arial" w:hAnsi="Arial" w:cs="Arial"/>
          <w:sz w:val="22"/>
          <w:szCs w:val="22"/>
        </w:rPr>
      </w:pPr>
    </w:p>
    <w:p w14:paraId="32C515D5" w14:textId="77777777" w:rsidR="00C97040" w:rsidRDefault="00C97040" w:rsidP="00C97040">
      <w:pPr>
        <w:rPr>
          <w:rFonts w:ascii="Arial" w:hAnsi="Arial" w:cs="Arial"/>
          <w:sz w:val="22"/>
          <w:szCs w:val="22"/>
        </w:rPr>
      </w:pPr>
    </w:p>
    <w:p w14:paraId="0FA952F2" w14:textId="77777777" w:rsidR="0025615C" w:rsidRDefault="0025615C"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p>
    <w:p w14:paraId="6A2AB917" w14:textId="6FBB69FC" w:rsidR="009C34D8" w:rsidRPr="004B3CE5" w:rsidRDefault="00284C39"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Name: Siakha Bi</w:t>
      </w:r>
    </w:p>
    <w:p w14:paraId="130EF914" w14:textId="4F85E6B8" w:rsidR="004B3CE5" w:rsidRPr="004B3CE5" w:rsidRDefault="0025615C"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Student Number: 2512334</w:t>
      </w:r>
    </w:p>
    <w:p w14:paraId="3C826234" w14:textId="4916EBA9" w:rsidR="004B3CE5" w:rsidRPr="004B3CE5" w:rsidRDefault="0025615C" w:rsidP="00FD312C">
      <w:pPr>
        <w:spacing w:line="360" w:lineRule="auto"/>
        <w:rPr>
          <w:rFonts w:ascii="Arial" w:eastAsia="Cambria"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Module</w:t>
      </w:r>
      <w:r w:rsidR="004B3CE5" w:rsidRPr="004B3CE5">
        <w:rPr>
          <w:rFonts w:ascii="Arial" w:hAnsi="Arial" w:cs="Arial"/>
          <w:b/>
          <w:bCs/>
          <w:sz w:val="22"/>
          <w:szCs w:val="22"/>
        </w:rPr>
        <w:t xml:space="preserve">: </w:t>
      </w:r>
      <w:r w:rsidR="004B3CE5" w:rsidRPr="004B3CE5">
        <w:rPr>
          <w:rFonts w:ascii="Arial" w:eastAsia="Cambria" w:hAnsi="Arial" w:cs="Arial"/>
          <w:sz w:val="22"/>
          <w:szCs w:val="22"/>
        </w:rPr>
        <w:t>Introduction to Health and Social Care</w:t>
      </w:r>
    </w:p>
    <w:p w14:paraId="7C5D3A4A" w14:textId="67826D77" w:rsidR="004B3CE5" w:rsidRPr="004B3CE5" w:rsidRDefault="0025615C"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r>
      <w:r w:rsidR="004B3CE5" w:rsidRPr="004B3CE5">
        <w:rPr>
          <w:rFonts w:ascii="Arial" w:eastAsia="Cambria" w:hAnsi="Arial" w:cs="Arial"/>
          <w:sz w:val="22"/>
          <w:szCs w:val="22"/>
        </w:rPr>
        <w:t>Module Code: LCHS4003</w:t>
      </w:r>
    </w:p>
    <w:p w14:paraId="4E0B44EE" w14:textId="5227D824" w:rsidR="00F9237F" w:rsidRDefault="0025615C"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r>
      <w:r w:rsidR="004B3CE5" w:rsidRPr="004B3CE5">
        <w:rPr>
          <w:rFonts w:ascii="Arial" w:eastAsia="Cambria" w:hAnsi="Arial" w:cs="Arial"/>
          <w:sz w:val="22"/>
          <w:szCs w:val="22"/>
        </w:rPr>
        <w:t>Lecturer Name:</w:t>
      </w:r>
      <w:r w:rsidR="00F9237F">
        <w:rPr>
          <w:rFonts w:ascii="Arial" w:eastAsia="Cambria" w:hAnsi="Arial" w:cs="Arial"/>
          <w:sz w:val="22"/>
          <w:szCs w:val="22"/>
        </w:rPr>
        <w:t xml:space="preserve"> V</w:t>
      </w:r>
      <w:r w:rsidR="00E30316">
        <w:rPr>
          <w:rFonts w:ascii="Arial" w:eastAsia="Cambria" w:hAnsi="Arial" w:cs="Arial"/>
          <w:sz w:val="22"/>
          <w:szCs w:val="22"/>
        </w:rPr>
        <w:t>ivian Os</w:t>
      </w:r>
      <w:r w:rsidR="00027A7F">
        <w:rPr>
          <w:rFonts w:ascii="Arial" w:eastAsia="Cambria" w:hAnsi="Arial" w:cs="Arial"/>
          <w:sz w:val="22"/>
          <w:szCs w:val="22"/>
        </w:rPr>
        <w:t>uchukwu</w:t>
      </w:r>
    </w:p>
    <w:p w14:paraId="159F3E38" w14:textId="718CCA93" w:rsidR="00D763A1" w:rsidRDefault="00D763A1"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t>Assignment Title: Portfo</w:t>
      </w:r>
      <w:r w:rsidR="00214A17">
        <w:rPr>
          <w:rFonts w:ascii="Arial" w:eastAsia="Cambria" w:hAnsi="Arial" w:cs="Arial"/>
          <w:sz w:val="22"/>
          <w:szCs w:val="22"/>
        </w:rPr>
        <w:t>lio -Two Tasks</w:t>
      </w:r>
    </w:p>
    <w:p w14:paraId="4F9802D9" w14:textId="77777777" w:rsidR="007C0ABE" w:rsidRDefault="007C0ABE" w:rsidP="00C97040">
      <w:pPr>
        <w:rPr>
          <w:rFonts w:ascii="Arial" w:eastAsia="Cambria" w:hAnsi="Arial" w:cs="Arial"/>
          <w:sz w:val="22"/>
          <w:szCs w:val="22"/>
        </w:rPr>
      </w:pPr>
    </w:p>
    <w:p w14:paraId="6D01A94D" w14:textId="77777777" w:rsidR="007C0ABE" w:rsidRDefault="007C0ABE" w:rsidP="00C97040">
      <w:pPr>
        <w:rPr>
          <w:rFonts w:ascii="Arial" w:eastAsia="Cambria" w:hAnsi="Arial" w:cs="Arial"/>
          <w:sz w:val="22"/>
          <w:szCs w:val="22"/>
        </w:rPr>
      </w:pPr>
    </w:p>
    <w:p w14:paraId="7A7EB1DA" w14:textId="77777777" w:rsidR="007C0ABE" w:rsidRDefault="007C0ABE" w:rsidP="00C97040">
      <w:pPr>
        <w:rPr>
          <w:rFonts w:ascii="Arial" w:eastAsia="Cambria" w:hAnsi="Arial" w:cs="Arial"/>
          <w:sz w:val="22"/>
          <w:szCs w:val="22"/>
        </w:rPr>
      </w:pPr>
    </w:p>
    <w:p w14:paraId="07FEAA03" w14:textId="77777777" w:rsidR="007C0ABE" w:rsidRDefault="007C0ABE" w:rsidP="00C97040">
      <w:pPr>
        <w:rPr>
          <w:rFonts w:ascii="Arial" w:eastAsia="Cambria" w:hAnsi="Arial" w:cs="Arial"/>
          <w:sz w:val="22"/>
          <w:szCs w:val="22"/>
        </w:rPr>
      </w:pPr>
    </w:p>
    <w:p w14:paraId="023C7D46" w14:textId="77777777" w:rsidR="007C0ABE" w:rsidRDefault="007C0ABE" w:rsidP="00C97040">
      <w:pPr>
        <w:rPr>
          <w:rFonts w:ascii="Arial" w:eastAsia="Cambria" w:hAnsi="Arial" w:cs="Arial"/>
          <w:sz w:val="22"/>
          <w:szCs w:val="22"/>
        </w:rPr>
      </w:pPr>
    </w:p>
    <w:p w14:paraId="12D07072" w14:textId="77777777" w:rsidR="007C0ABE" w:rsidRDefault="007C0ABE" w:rsidP="00C97040">
      <w:pPr>
        <w:rPr>
          <w:rFonts w:ascii="Arial" w:eastAsia="Cambria" w:hAnsi="Arial" w:cs="Arial"/>
          <w:sz w:val="22"/>
          <w:szCs w:val="22"/>
        </w:rPr>
      </w:pPr>
    </w:p>
    <w:p w14:paraId="1C4A2EFF" w14:textId="77777777" w:rsidR="007C0ABE" w:rsidRDefault="007C0ABE" w:rsidP="00C97040">
      <w:pPr>
        <w:rPr>
          <w:rFonts w:ascii="Arial" w:eastAsia="Cambria" w:hAnsi="Arial" w:cs="Arial"/>
          <w:sz w:val="22"/>
          <w:szCs w:val="22"/>
        </w:rPr>
      </w:pPr>
    </w:p>
    <w:p w14:paraId="5C4E92DB" w14:textId="77777777" w:rsidR="007C0ABE" w:rsidRDefault="007C0ABE" w:rsidP="00C97040">
      <w:pPr>
        <w:rPr>
          <w:rFonts w:ascii="Arial" w:eastAsia="Cambria" w:hAnsi="Arial" w:cs="Arial"/>
          <w:sz w:val="22"/>
          <w:szCs w:val="22"/>
        </w:rPr>
      </w:pPr>
    </w:p>
    <w:p w14:paraId="2BA11AF4" w14:textId="77777777" w:rsidR="007C0ABE" w:rsidRDefault="007C0ABE" w:rsidP="00C97040">
      <w:pPr>
        <w:rPr>
          <w:rFonts w:ascii="Arial" w:eastAsia="Cambria" w:hAnsi="Arial" w:cs="Arial"/>
          <w:sz w:val="22"/>
          <w:szCs w:val="22"/>
        </w:rPr>
      </w:pPr>
    </w:p>
    <w:p w14:paraId="65B857CF" w14:textId="77777777" w:rsidR="007C0ABE" w:rsidRDefault="007C0ABE" w:rsidP="00C97040">
      <w:pPr>
        <w:rPr>
          <w:rFonts w:ascii="Arial" w:eastAsia="Cambria" w:hAnsi="Arial" w:cs="Arial"/>
          <w:sz w:val="22"/>
          <w:szCs w:val="22"/>
        </w:rPr>
      </w:pPr>
    </w:p>
    <w:p w14:paraId="5C885DDF" w14:textId="709DEF1C" w:rsidR="007C0ABE" w:rsidRDefault="007C0ABE" w:rsidP="00C97040">
      <w:pPr>
        <w:rPr>
          <w:rFonts w:ascii="Arial" w:eastAsia="Cambria" w:hAnsi="Arial" w:cs="Arial"/>
          <w:sz w:val="22"/>
          <w:szCs w:val="22"/>
        </w:rPr>
      </w:pPr>
    </w:p>
    <w:p w14:paraId="128B9651" w14:textId="135A216D" w:rsidR="007C0ABE" w:rsidRDefault="007C0ABE" w:rsidP="00C97040">
      <w:pPr>
        <w:rPr>
          <w:rFonts w:ascii="Arial" w:eastAsia="Cambria" w:hAnsi="Arial" w:cs="Arial"/>
          <w:sz w:val="22"/>
          <w:szCs w:val="22"/>
        </w:rPr>
      </w:pPr>
    </w:p>
    <w:p w14:paraId="290E0213" w14:textId="130599D2" w:rsidR="007C0ABE" w:rsidRDefault="007C0ABE" w:rsidP="00C97040">
      <w:pPr>
        <w:rPr>
          <w:rFonts w:ascii="Arial" w:eastAsia="Cambria" w:hAnsi="Arial" w:cs="Arial"/>
          <w:sz w:val="22"/>
          <w:szCs w:val="22"/>
        </w:rPr>
      </w:pPr>
    </w:p>
    <w:p w14:paraId="55DF4567" w14:textId="77777777" w:rsidR="007C0ABE" w:rsidRDefault="007C0ABE" w:rsidP="00C97040">
      <w:pPr>
        <w:rPr>
          <w:rFonts w:ascii="Arial" w:eastAsia="Cambria" w:hAnsi="Arial" w:cs="Arial"/>
          <w:sz w:val="22"/>
          <w:szCs w:val="22"/>
        </w:rPr>
      </w:pPr>
    </w:p>
    <w:p w14:paraId="63F2ED56" w14:textId="7BFDECF7" w:rsidR="007C0ABE" w:rsidRDefault="007C0ABE" w:rsidP="00C97040">
      <w:pPr>
        <w:rPr>
          <w:rFonts w:ascii="Arial" w:eastAsia="Cambria" w:hAnsi="Arial" w:cs="Arial"/>
          <w:sz w:val="22"/>
          <w:szCs w:val="22"/>
        </w:rPr>
      </w:pPr>
    </w:p>
    <w:p w14:paraId="6F4E85B5" w14:textId="058AA366" w:rsidR="007C0ABE" w:rsidRDefault="007C0ABE" w:rsidP="00C97040">
      <w:pPr>
        <w:rPr>
          <w:rFonts w:ascii="Arial" w:eastAsia="Cambria" w:hAnsi="Arial" w:cs="Arial"/>
          <w:sz w:val="22"/>
          <w:szCs w:val="22"/>
        </w:rPr>
      </w:pPr>
    </w:p>
    <w:p w14:paraId="021CDC73" w14:textId="10FF203D" w:rsidR="007C0ABE" w:rsidRDefault="007C0ABE" w:rsidP="00C97040">
      <w:pPr>
        <w:rPr>
          <w:rFonts w:ascii="Arial" w:eastAsia="Cambria" w:hAnsi="Arial" w:cs="Arial"/>
          <w:sz w:val="22"/>
          <w:szCs w:val="22"/>
        </w:rPr>
      </w:pPr>
    </w:p>
    <w:p w14:paraId="19E98C09" w14:textId="60C38490" w:rsidR="00282E94" w:rsidRDefault="00282E94" w:rsidP="00454ADB">
      <w:pPr>
        <w:rPr>
          <w:rFonts w:ascii="Arial" w:eastAsia="Cambria" w:hAnsi="Arial" w:cs="Arial"/>
          <w:sz w:val="22"/>
          <w:szCs w:val="22"/>
        </w:rPr>
      </w:pPr>
    </w:p>
    <w:p w14:paraId="65A05A0A" w14:textId="1718CB7F" w:rsidR="009B4E3B" w:rsidRDefault="00C64A7B" w:rsidP="00454ADB">
      <w:pPr>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p>
    <w:p w14:paraId="567BBD7A" w14:textId="694AD544" w:rsidR="0093614D" w:rsidRDefault="0093614D" w:rsidP="00D32982">
      <w:pPr>
        <w:rPr>
          <w:rFonts w:ascii="Segoe UI Emoji" w:eastAsia="Cambria" w:hAnsi="Segoe UI Emoji" w:cs="Segoe UI Emoji"/>
          <w:b/>
          <w:bCs/>
          <w:sz w:val="32"/>
          <w:szCs w:val="32"/>
        </w:rPr>
      </w:pPr>
    </w:p>
    <w:p w14:paraId="79BA5145" w14:textId="749C2603" w:rsidR="00D32982" w:rsidRDefault="0093614D" w:rsidP="00D32982">
      <w:pPr>
        <w:rPr>
          <w:rFonts w:ascii="Segoe UI Emoji" w:hAnsi="Segoe UI Emoji" w:cs="Segoe UI Emoji"/>
          <w:b/>
          <w:bCs/>
          <w:sz w:val="32"/>
          <w:szCs w:val="32"/>
        </w:rPr>
      </w:pPr>
      <w:r>
        <w:rPr>
          <w:noProof/>
        </w:rPr>
        <w:lastRenderedPageBreak/>
        <w:drawing>
          <wp:anchor distT="0" distB="0" distL="114300" distR="114300" simplePos="0" relativeHeight="251658253" behindDoc="0" locked="0" layoutInCell="1" allowOverlap="1" wp14:anchorId="04F7AF0E" wp14:editId="0E8E696D">
            <wp:simplePos x="0" y="0"/>
            <wp:positionH relativeFrom="column">
              <wp:posOffset>4952365</wp:posOffset>
            </wp:positionH>
            <wp:positionV relativeFrom="page">
              <wp:posOffset>529796</wp:posOffset>
            </wp:positionV>
            <wp:extent cx="914400" cy="914400"/>
            <wp:effectExtent l="0" t="0" r="0" b="0"/>
            <wp:wrapNone/>
            <wp:docPr id="850478912" name="Graphic 18" descr="Protecting ha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78912" name="Graphic 850478912" descr="Protecting hand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4" behindDoc="0" locked="0" layoutInCell="1" allowOverlap="1" wp14:anchorId="1AFCD704" wp14:editId="1494623B">
            <wp:simplePos x="0" y="0"/>
            <wp:positionH relativeFrom="margin">
              <wp:posOffset>-350402</wp:posOffset>
            </wp:positionH>
            <wp:positionV relativeFrom="margin">
              <wp:posOffset>191135</wp:posOffset>
            </wp:positionV>
            <wp:extent cx="797442" cy="797442"/>
            <wp:effectExtent l="0" t="0" r="3175" b="0"/>
            <wp:wrapNone/>
            <wp:docPr id="1335606834" name="Graphic 17" descr="Open ha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06834" name="Graphic 1335606834" descr="Open hand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797442" cy="797442"/>
                    </a:xfrm>
                    <a:prstGeom prst="rect">
                      <a:avLst/>
                    </a:prstGeom>
                  </pic:spPr>
                </pic:pic>
              </a:graphicData>
            </a:graphic>
            <wp14:sizeRelH relativeFrom="margin">
              <wp14:pctWidth>0</wp14:pctWidth>
            </wp14:sizeRelH>
            <wp14:sizeRelV relativeFrom="margin">
              <wp14:pctHeight>0</wp14:pctHeight>
            </wp14:sizeRelV>
          </wp:anchor>
        </w:drawing>
      </w:r>
      <w:r>
        <w:rPr>
          <w:rFonts w:ascii="Segoe UI Emoji" w:eastAsia="Cambria" w:hAnsi="Segoe UI Emoji" w:cs="Segoe UI Emoji"/>
          <w:b/>
          <w:bCs/>
          <w:sz w:val="32"/>
          <w:szCs w:val="32"/>
        </w:rPr>
        <w:tab/>
      </w:r>
      <w:r>
        <w:rPr>
          <w:rFonts w:ascii="Segoe UI Emoji" w:eastAsia="Cambria" w:hAnsi="Segoe UI Emoji" w:cs="Segoe UI Emoji"/>
          <w:b/>
          <w:bCs/>
          <w:sz w:val="32"/>
          <w:szCs w:val="32"/>
        </w:rPr>
        <w:tab/>
      </w:r>
      <w:r>
        <w:rPr>
          <w:rFonts w:ascii="Segoe UI Emoji" w:eastAsia="Cambria" w:hAnsi="Segoe UI Emoji" w:cs="Segoe UI Emoji"/>
          <w:b/>
          <w:bCs/>
          <w:sz w:val="32"/>
          <w:szCs w:val="32"/>
        </w:rPr>
        <w:tab/>
      </w:r>
      <w:r w:rsidR="00AF0C8A" w:rsidRPr="00830E8A">
        <w:rPr>
          <w:rFonts w:ascii="Segoe UI Emoji" w:eastAsia="Cambria" w:hAnsi="Segoe UI Emoji" w:cs="Segoe UI Emoji"/>
          <w:b/>
          <w:bCs/>
          <w:sz w:val="32"/>
          <w:szCs w:val="32"/>
        </w:rPr>
        <w:t>💊</w:t>
      </w:r>
      <w:r w:rsidR="009C103C" w:rsidRPr="00830E8A">
        <w:rPr>
          <w:rFonts w:ascii="Segoe UI Emoji" w:eastAsia="Cambria" w:hAnsi="Segoe UI Emoji" w:cs="Segoe UI Emoji"/>
          <w:b/>
          <w:bCs/>
          <w:sz w:val="32"/>
          <w:szCs w:val="32"/>
        </w:rPr>
        <w:t>💊</w:t>
      </w:r>
      <w:r w:rsidR="00A56DA6" w:rsidRPr="00830E8A">
        <w:rPr>
          <w:rFonts w:ascii="Arial" w:eastAsia="Cambria" w:hAnsi="Arial" w:cs="Arial"/>
          <w:b/>
          <w:bCs/>
          <w:sz w:val="32"/>
          <w:szCs w:val="32"/>
        </w:rPr>
        <w:t xml:space="preserve"> </w:t>
      </w:r>
      <w:r w:rsidR="00454ADB"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PHARMACY SERVICES</w:t>
      </w:r>
      <w:r w:rsidR="00AF0C8A"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 xml:space="preserve"> </w:t>
      </w:r>
      <w:r w:rsidR="00AF0C8A" w:rsidRPr="00830E8A">
        <w:rPr>
          <w:rFonts w:ascii="Segoe UI Emoji" w:hAnsi="Segoe UI Emoji" w:cs="Segoe UI Emoji"/>
          <w:b/>
          <w:bCs/>
          <w:sz w:val="32"/>
          <w:szCs w:val="32"/>
        </w:rPr>
        <w:t>💊💊</w:t>
      </w:r>
    </w:p>
    <w:p w14:paraId="6A3120B3" w14:textId="77A16604" w:rsidR="00490C6B" w:rsidRPr="002F79C0" w:rsidRDefault="001A53EE" w:rsidP="00D32982">
      <w:pPr>
        <w:rPr>
          <w:rFonts w:ascii="Segoe UI Emoji" w:hAnsi="Segoe UI Emoji" w:cs="Segoe UI Emoji"/>
          <w:b/>
          <w:bCs/>
          <w:sz w:val="32"/>
          <w:szCs w:val="32"/>
        </w:rPr>
      </w:pPr>
      <w:r>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ab/>
      </w:r>
      <w:r w:rsidR="00454ADB"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SUPPORTING SAFE AND EFF</w:t>
      </w:r>
      <w:r w:rsidR="00D024A8">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ECTIVE</w:t>
      </w:r>
      <w:r w:rsidR="00F00968">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 xml:space="preserve"> </w:t>
      </w:r>
      <w:r w:rsidR="00F93C72">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HEALTHCARE</w:t>
      </w:r>
    </w:p>
    <w:p w14:paraId="4D54311A" w14:textId="456CA596" w:rsidR="00E134F2" w:rsidRPr="008E7F58" w:rsidRDefault="00FF4E18" w:rsidP="00454ADB">
      <w:pPr>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pPr>
      <w:r>
        <w:rPr>
          <w:noProof/>
        </w:rPr>
        <mc:AlternateContent>
          <mc:Choice Requires="wps">
            <w:drawing>
              <wp:anchor distT="0" distB="0" distL="114300" distR="114300" simplePos="0" relativeHeight="251658265" behindDoc="0" locked="0" layoutInCell="1" allowOverlap="1" wp14:anchorId="6B56DACB" wp14:editId="07DECF54">
                <wp:simplePos x="0" y="0"/>
                <wp:positionH relativeFrom="column">
                  <wp:posOffset>1113155</wp:posOffset>
                </wp:positionH>
                <wp:positionV relativeFrom="paragraph">
                  <wp:posOffset>2981960</wp:posOffset>
                </wp:positionV>
                <wp:extent cx="0" cy="142875"/>
                <wp:effectExtent l="76200" t="0" r="57150" b="47625"/>
                <wp:wrapNone/>
                <wp:docPr id="590973016" name="Straight Arrow Connector 27"/>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2B68ADF" id="_x0000_t32" coordsize="21600,21600" o:spt="32" o:oned="t" path="m,l21600,21600e" filled="f">
                <v:path arrowok="t" fillok="f" o:connecttype="none"/>
                <o:lock v:ext="edit" shapetype="t"/>
              </v:shapetype>
              <v:shape id="Straight Arrow Connector 27" o:spid="_x0000_s1026" type="#_x0000_t32" style="position:absolute;margin-left:87.65pt;margin-top:234.8pt;width:0;height:11.25pt;z-index:2516582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6" behindDoc="0" locked="0" layoutInCell="1" allowOverlap="1" wp14:anchorId="7913F26D" wp14:editId="298CCFFD">
                <wp:simplePos x="0" y="0"/>
                <wp:positionH relativeFrom="column">
                  <wp:posOffset>1123950</wp:posOffset>
                </wp:positionH>
                <wp:positionV relativeFrom="paragraph">
                  <wp:posOffset>3607435</wp:posOffset>
                </wp:positionV>
                <wp:extent cx="0" cy="171450"/>
                <wp:effectExtent l="76200" t="0" r="57150" b="57150"/>
                <wp:wrapNone/>
                <wp:docPr id="136986572" name="Straight Arrow Connector 29"/>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8B616B6" id="Straight Arrow Connector 29" o:spid="_x0000_s1026" type="#_x0000_t32" style="position:absolute;margin-left:88.5pt;margin-top:284.05pt;width:0;height:13.5pt;z-index:25165826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8" behindDoc="0" locked="0" layoutInCell="1" allowOverlap="1" wp14:anchorId="42B894C1" wp14:editId="4DB42804">
                <wp:simplePos x="0" y="0"/>
                <wp:positionH relativeFrom="column">
                  <wp:posOffset>1120140</wp:posOffset>
                </wp:positionH>
                <wp:positionV relativeFrom="paragraph">
                  <wp:posOffset>4979670</wp:posOffset>
                </wp:positionV>
                <wp:extent cx="0" cy="152400"/>
                <wp:effectExtent l="76200" t="0" r="57150" b="57150"/>
                <wp:wrapNone/>
                <wp:docPr id="148761785" name="Straight Arrow Connector 33"/>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868F138" id="Straight Arrow Connector 33" o:spid="_x0000_s1026" type="#_x0000_t32" style="position:absolute;margin-left:88.2pt;margin-top:392.1pt;width:0;height:12pt;z-index:2516582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7" behindDoc="0" locked="0" layoutInCell="1" allowOverlap="1" wp14:anchorId="4E6540A2" wp14:editId="4D809363">
                <wp:simplePos x="0" y="0"/>
                <wp:positionH relativeFrom="column">
                  <wp:posOffset>1133475</wp:posOffset>
                </wp:positionH>
                <wp:positionV relativeFrom="paragraph">
                  <wp:posOffset>4303395</wp:posOffset>
                </wp:positionV>
                <wp:extent cx="0" cy="171450"/>
                <wp:effectExtent l="76200" t="0" r="57150" b="57150"/>
                <wp:wrapNone/>
                <wp:docPr id="1315949823" name="Straight Arrow Connector 31"/>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6CDA587" id="Straight Arrow Connector 31" o:spid="_x0000_s1026" type="#_x0000_t32" style="position:absolute;margin-left:89.25pt;margin-top:338.85pt;width:0;height:13.5pt;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9" behindDoc="0" locked="0" layoutInCell="1" allowOverlap="1" wp14:anchorId="1D311A9F" wp14:editId="253E92C7">
                <wp:simplePos x="0" y="0"/>
                <wp:positionH relativeFrom="column">
                  <wp:posOffset>1123950</wp:posOffset>
                </wp:positionH>
                <wp:positionV relativeFrom="paragraph">
                  <wp:posOffset>5598795</wp:posOffset>
                </wp:positionV>
                <wp:extent cx="0" cy="142875"/>
                <wp:effectExtent l="76200" t="0" r="57150" b="47625"/>
                <wp:wrapNone/>
                <wp:docPr id="321713169" name="Straight Arrow Connector 34"/>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FC3414C" id="Straight Arrow Connector 34" o:spid="_x0000_s1026" type="#_x0000_t32" style="position:absolute;margin-left:88.5pt;margin-top:440.85pt;width:0;height:11.25pt;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" strokecolor="#156082 [3204]" strokeweight="1.5pt">
                <v:stroke endarrow="block" joinstyle="miter"/>
              </v:shape>
            </w:pict>
          </mc:Fallback>
        </mc:AlternateContent>
      </w:r>
      <w:r w:rsidR="001C5E5B">
        <w:rPr>
          <w:rFonts w:ascii="Arial" w:eastAsia="Times New Roman" w:hAnsi="Arial" w:cs="Arial"/>
          <w:noProof/>
          <w:sz w:val="22"/>
          <w:szCs w:val="22"/>
          <w:lang w:eastAsia="en-GB"/>
        </w:rPr>
        <w:drawing>
          <wp:anchor distT="0" distB="0" distL="114300" distR="114300" simplePos="0" relativeHeight="251658259" behindDoc="0" locked="0" layoutInCell="1" allowOverlap="1" wp14:anchorId="712DF66D" wp14:editId="239FD429">
            <wp:simplePos x="0" y="0"/>
            <wp:positionH relativeFrom="page">
              <wp:posOffset>2992588</wp:posOffset>
            </wp:positionH>
            <wp:positionV relativeFrom="margin">
              <wp:posOffset>7464437</wp:posOffset>
            </wp:positionV>
            <wp:extent cx="716297" cy="637954"/>
            <wp:effectExtent l="0" t="0" r="7620" b="0"/>
            <wp:wrapNone/>
            <wp:docPr id="55814725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47252" name="Picture 558147252"/>
                    <pic:cNvPicPr/>
                  </pic:nvPicPr>
                  <pic:blipFill rotWithShape="1">
                    <a:blip r:embed="rId12" cstate="print">
                      <a:extLst>
                        <a:ext uri="{28A0092B-C50C-407E-A947-70E740481C1C}">
                          <a14:useLocalDpi xmlns:a14="http://schemas.microsoft.com/office/drawing/2010/main" val="0"/>
                        </a:ext>
                      </a:extLst>
                    </a:blip>
                    <a:srcRect t="11836" r="3542" b="20230"/>
                    <a:stretch>
                      <a:fillRect/>
                    </a:stretch>
                  </pic:blipFill>
                  <pic:spPr bwMode="auto">
                    <a:xfrm>
                      <a:off x="0" y="0"/>
                      <a:ext cx="716297" cy="6379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0DFC">
        <w:rPr>
          <w:noProof/>
        </w:rPr>
        <mc:AlternateContent>
          <mc:Choice Requires="wps">
            <w:drawing>
              <wp:anchor distT="0" distB="0" distL="114300" distR="114300" simplePos="0" relativeHeight="251658243" behindDoc="0" locked="0" layoutInCell="1" allowOverlap="1" wp14:anchorId="1EDFB733" wp14:editId="2503C66A">
                <wp:simplePos x="0" y="0"/>
                <wp:positionH relativeFrom="column">
                  <wp:posOffset>-657225</wp:posOffset>
                </wp:positionH>
                <wp:positionV relativeFrom="paragraph">
                  <wp:posOffset>2122170</wp:posOffset>
                </wp:positionV>
                <wp:extent cx="3552825" cy="885825"/>
                <wp:effectExtent l="0" t="0" r="9525" b="9525"/>
                <wp:wrapThrough wrapText="bothSides">
                  <wp:wrapPolygon edited="0">
                    <wp:start x="0" y="0"/>
                    <wp:lineTo x="0" y="21368"/>
                    <wp:lineTo x="21542" y="21368"/>
                    <wp:lineTo x="21542" y="0"/>
                    <wp:lineTo x="0" y="0"/>
                  </wp:wrapPolygon>
                </wp:wrapThrough>
                <wp:docPr id="1998387557" name="Text Box 9"/>
                <wp:cNvGraphicFramePr/>
                <a:graphic xmlns:a="http://schemas.openxmlformats.org/drawingml/2006/main">
                  <a:graphicData uri="http://schemas.microsoft.com/office/word/2010/wordprocessingShape">
                    <wps:wsp>
                      <wps:cNvSpPr txBox="1"/>
                      <wps:spPr>
                        <a:xfrm>
                          <a:off x="0" y="0"/>
                          <a:ext cx="3552825" cy="88582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08541060" w14:textId="77777777" w:rsidR="00F049FB" w:rsidRDefault="00757056" w:rsidP="00FC010A">
                            <w:pPr>
                              <w:spacing w:after="160" w:line="240" w:lineRule="auto"/>
                              <w:jc w:val="center"/>
                              <w:rPr>
                                <w:rFonts w:ascii="Arial" w:eastAsiaTheme="minorHAnsi" w:hAnsi="Arial" w:cs="Arial"/>
                                <w:kern w:val="2"/>
                                <w:sz w:val="22"/>
                                <w:szCs w:val="22"/>
                                <w14:ligatures w14:val="standardContextual"/>
                              </w:rPr>
                            </w:pPr>
                            <w:r w:rsidRPr="00780CDE">
                              <w:rPr>
                                <w:rFonts w:eastAsia="Times New Roman" w:cs="Arial"/>
                                <w:b/>
                                <w:bCs/>
                                <w:sz w:val="22"/>
                                <w:szCs w:val="22"/>
                                <w:lang w:eastAsia="en-GB"/>
                              </w:rPr>
                              <w:t>Brief History of</w:t>
                            </w:r>
                            <w:r w:rsidRPr="00E106D6">
                              <w:rPr>
                                <w:rFonts w:ascii="Arial" w:eastAsia="Times New Roman" w:hAnsi="Arial" w:cs="Arial"/>
                                <w:b/>
                                <w:bCs/>
                                <w:sz w:val="22"/>
                                <w:szCs w:val="22"/>
                                <w:lang w:eastAsia="en-GB"/>
                              </w:rPr>
                              <w:t xml:space="preserve"> Pharmacy Services</w:t>
                            </w:r>
                          </w:p>
                          <w:p w14:paraId="1A42395D" w14:textId="0BD88833" w:rsidR="005834B6" w:rsidRPr="005D3F26" w:rsidRDefault="00B00DFC" w:rsidP="00FF17AC">
                            <w:pPr>
                              <w:pStyle w:val="ListParagraph"/>
                              <w:numPr>
                                <w:ilvl w:val="0"/>
                                <w:numId w:val="13"/>
                              </w:numPr>
                            </w:pPr>
                            <w:r w:rsidRPr="00B00DFC">
                              <w:rPr>
                                <w:b/>
                                <w:bCs/>
                              </w:rPr>
                              <w:t>3000 BCE onwards</w:t>
                            </w:r>
                            <w:r w:rsidRPr="00B00DFC">
                              <w:t xml:space="preserve"> – Use of plants, herbs and natural substances to treat illnesses. (Royal Pharmaceutical Society, 2023; 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FB733" id="_x0000_t202" coordsize="21600,21600" o:spt="202" path="m,l,21600r21600,l21600,xe">
                <v:stroke joinstyle="miter"/>
                <v:path gradientshapeok="t" o:connecttype="rect"/>
              </v:shapetype>
              <v:shape id="Text Box 9" o:spid="_x0000_s1026" type="#_x0000_t202" style="position:absolute;margin-left:-51.75pt;margin-top:167.1pt;width:279.75pt;height:69.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" fillcolor="#8dd873 [1945]" stroked="f" strokeweight="1.5pt">
                <v:fill color2="#a2d7f0 [980]" colors="0 #8ed973;48497f #74c4e9;54395f #74c4e9;1 #a2d8f0" focus="100%" type="gradient"/>
                <v:textbox>
                  <w:txbxContent>
                    <w:p w14:paraId="08541060" w14:textId="77777777" w:rsidR="00F049FB" w:rsidRDefault="00757056" w:rsidP="00FC010A">
                      <w:pPr>
                        <w:spacing w:after="160" w:line="240" w:lineRule="auto"/>
                        <w:jc w:val="center"/>
                        <w:rPr>
                          <w:rFonts w:ascii="Arial" w:eastAsiaTheme="minorHAnsi" w:hAnsi="Arial" w:cs="Arial"/>
                          <w:kern w:val="2"/>
                          <w:sz w:val="22"/>
                          <w:szCs w:val="22"/>
                          <w14:ligatures w14:val="standardContextual"/>
                        </w:rPr>
                      </w:pPr>
                      <w:r w:rsidRPr="00780CDE">
                        <w:rPr>
                          <w:rFonts w:eastAsia="Times New Roman" w:cs="Arial"/>
                          <w:b/>
                          <w:bCs/>
                          <w:sz w:val="22"/>
                          <w:szCs w:val="22"/>
                          <w:lang w:eastAsia="en-GB"/>
                        </w:rPr>
                        <w:t>Brief History of</w:t>
                      </w:r>
                      <w:r w:rsidRPr="00E106D6">
                        <w:rPr>
                          <w:rFonts w:ascii="Arial" w:eastAsia="Times New Roman" w:hAnsi="Arial" w:cs="Arial"/>
                          <w:b/>
                          <w:bCs/>
                          <w:sz w:val="22"/>
                          <w:szCs w:val="22"/>
                          <w:lang w:eastAsia="en-GB"/>
                        </w:rPr>
                        <w:t xml:space="preserve"> Pharmacy Services</w:t>
                      </w:r>
                    </w:p>
                    <w:p w14:paraId="1A42395D" w14:textId="0BD88833" w:rsidR="005834B6" w:rsidRPr="005D3F26" w:rsidRDefault="00B00DFC" w:rsidP="00FF17AC">
                      <w:pPr>
                        <w:pStyle w:val="ListParagraph"/>
                        <w:numPr>
                          <w:ilvl w:val="0"/>
                          <w:numId w:val="13"/>
                        </w:numPr>
                      </w:pPr>
                      <w:r w:rsidRPr="00B00DFC">
                        <w:rPr>
                          <w:b/>
                          <w:bCs/>
                        </w:rPr>
                        <w:t>3000 BCE onwards</w:t>
                      </w:r>
                      <w:r w:rsidRPr="00B00DFC">
                        <w:t xml:space="preserve"> – Use of plants, herbs and natural substances to treat illnesses. (Royal Pharmaceutical Society, 2023; NHS England, 2024).</w:t>
                      </w:r>
                    </w:p>
                  </w:txbxContent>
                </v:textbox>
                <w10:wrap type="through"/>
              </v:shape>
            </w:pict>
          </mc:Fallback>
        </mc:AlternateContent>
      </w:r>
      <w:r w:rsidR="00BB7A3C">
        <w:rPr>
          <w:noProof/>
        </w:rPr>
        <mc:AlternateContent>
          <mc:Choice Requires="wps">
            <w:drawing>
              <wp:anchor distT="0" distB="0" distL="114300" distR="114300" simplePos="0" relativeHeight="251658248" behindDoc="0" locked="0" layoutInCell="1" allowOverlap="1" wp14:anchorId="6D529B2F" wp14:editId="4E560ABB">
                <wp:simplePos x="0" y="0"/>
                <wp:positionH relativeFrom="column">
                  <wp:posOffset>-755015</wp:posOffset>
                </wp:positionH>
                <wp:positionV relativeFrom="paragraph">
                  <wp:posOffset>5757545</wp:posOffset>
                </wp:positionV>
                <wp:extent cx="3651885" cy="939800"/>
                <wp:effectExtent l="0" t="0" r="5715" b="0"/>
                <wp:wrapThrough wrapText="bothSides">
                  <wp:wrapPolygon edited="0">
                    <wp:start x="0" y="0"/>
                    <wp:lineTo x="0" y="21016"/>
                    <wp:lineTo x="21521" y="21016"/>
                    <wp:lineTo x="21521" y="0"/>
                    <wp:lineTo x="0" y="0"/>
                  </wp:wrapPolygon>
                </wp:wrapThrough>
                <wp:docPr id="595368814" name="Text Box 9"/>
                <wp:cNvGraphicFramePr/>
                <a:graphic xmlns:a="http://schemas.openxmlformats.org/drawingml/2006/main">
                  <a:graphicData uri="http://schemas.microsoft.com/office/word/2010/wordprocessingShape">
                    <wps:wsp>
                      <wps:cNvSpPr txBox="1"/>
                      <wps:spPr>
                        <a:xfrm>
                          <a:off x="0" y="0"/>
                          <a:ext cx="3651885" cy="93980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47DA784F" w14:textId="77777777" w:rsidR="005D3F26" w:rsidRDefault="005D3F26" w:rsidP="005D3F26">
                            <w:pPr>
                              <w:pStyle w:val="ListParagraph"/>
                              <w:numPr>
                                <w:ilvl w:val="0"/>
                                <w:numId w:val="13"/>
                              </w:numPr>
                            </w:pPr>
                            <w:r w:rsidRPr="007B44E4">
                              <w:rPr>
                                <w:b/>
                                <w:bCs/>
                              </w:rPr>
                              <w:t>2000s–Present (21st Century)</w:t>
                            </w:r>
                            <w:r w:rsidRPr="00FF17AC">
                              <w:t xml:space="preserve"> – Pharmacists provide clinical services, medication reviews, vaccinations, and direct patient care.</w:t>
                            </w:r>
                          </w:p>
                          <w:p w14:paraId="23464731" w14:textId="77777777" w:rsidR="005D3F26" w:rsidRDefault="005D3F26" w:rsidP="005D3F26">
                            <w:pPr>
                              <w:pStyle w:val="ListParagraph"/>
                              <w:numPr>
                                <w:ilvl w:val="0"/>
                                <w:numId w:val="13"/>
                              </w:numPr>
                            </w:pPr>
                            <w:r w:rsidRPr="00293B31">
                              <w:t>(Royal Pharmaceutical Society, 2023; NHS England, 2024).</w:t>
                            </w:r>
                          </w:p>
                          <w:p w14:paraId="5A25EA22" w14:textId="77777777" w:rsidR="005D3F26" w:rsidRDefault="005D3F26" w:rsidP="005D3F26"/>
                          <w:p w14:paraId="60EDC27C" w14:textId="79F7256A" w:rsidR="005D3F26" w:rsidRPr="005D3F26" w:rsidRDefault="005D3F26" w:rsidP="005D3F26">
                            <w:pPr>
                              <w:pStyle w:val="ListParagraph"/>
                              <w:numPr>
                                <w:ilvl w:val="0"/>
                                <w:numId w:val="13"/>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29B2F" id="_x0000_s1027" type="#_x0000_t202" style="position:absolute;margin-left:-59.45pt;margin-top:453.35pt;width:287.55pt;height:74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" fillcolor="#8dd873 [1945]" stroked="f" strokeweight="1.5pt">
                <v:fill color2="#a2d7f0 [980]" colors="0 #8ed973;48497f #74c4e9;54395f #74c4e9;1 #a2d8f0" focus="100%" type="gradient"/>
                <v:textbox>
                  <w:txbxContent>
                    <w:p w14:paraId="47DA784F" w14:textId="77777777" w:rsidR="005D3F26" w:rsidRDefault="005D3F26" w:rsidP="005D3F26">
                      <w:pPr>
                        <w:pStyle w:val="ListParagraph"/>
                        <w:numPr>
                          <w:ilvl w:val="0"/>
                          <w:numId w:val="13"/>
                        </w:numPr>
                      </w:pPr>
                      <w:r w:rsidRPr="007B44E4">
                        <w:rPr>
                          <w:b/>
                          <w:bCs/>
                        </w:rPr>
                        <w:t>2000s–Present (21st Century)</w:t>
                      </w:r>
                      <w:r w:rsidRPr="00FF17AC">
                        <w:t xml:space="preserve"> – Pharmacists provide clinical services, medication reviews, vaccinations, and direct patient care.</w:t>
                      </w:r>
                    </w:p>
                    <w:p w14:paraId="23464731" w14:textId="77777777" w:rsidR="005D3F26" w:rsidRDefault="005D3F26" w:rsidP="005D3F26">
                      <w:pPr>
                        <w:pStyle w:val="ListParagraph"/>
                        <w:numPr>
                          <w:ilvl w:val="0"/>
                          <w:numId w:val="13"/>
                        </w:numPr>
                      </w:pPr>
                      <w:r w:rsidRPr="00293B31">
                        <w:t>(Royal Pharmaceutical Society, 2023; NHS England, 2024).</w:t>
                      </w:r>
                    </w:p>
                    <w:p w14:paraId="5A25EA22" w14:textId="77777777" w:rsidR="005D3F26" w:rsidRDefault="005D3F26" w:rsidP="005D3F26"/>
                    <w:p w14:paraId="60EDC27C" w14:textId="79F7256A" w:rsidR="005D3F26" w:rsidRPr="005D3F26" w:rsidRDefault="005D3F26" w:rsidP="005D3F26">
                      <w:pPr>
                        <w:pStyle w:val="ListParagraph"/>
                        <w:numPr>
                          <w:ilvl w:val="0"/>
                          <w:numId w:val="13"/>
                        </w:numPr>
                      </w:pPr>
                    </w:p>
                  </w:txbxContent>
                </v:textbox>
                <w10:wrap type="through"/>
              </v:shape>
            </w:pict>
          </mc:Fallback>
        </mc:AlternateContent>
      </w:r>
      <w:r w:rsidR="00BB7A3C">
        <w:rPr>
          <w:noProof/>
        </w:rPr>
        <mc:AlternateContent>
          <mc:Choice Requires="wps">
            <w:drawing>
              <wp:anchor distT="0" distB="0" distL="114300" distR="114300" simplePos="0" relativeHeight="251658242" behindDoc="0" locked="0" layoutInCell="1" allowOverlap="1" wp14:anchorId="149EE2E5" wp14:editId="46CFEB56">
                <wp:simplePos x="0" y="0"/>
                <wp:positionH relativeFrom="page">
                  <wp:posOffset>3823335</wp:posOffset>
                </wp:positionH>
                <wp:positionV relativeFrom="paragraph">
                  <wp:posOffset>5059045</wp:posOffset>
                </wp:positionV>
                <wp:extent cx="3636010" cy="2816860"/>
                <wp:effectExtent l="0" t="0" r="21590" b="21590"/>
                <wp:wrapThrough wrapText="bothSides">
                  <wp:wrapPolygon edited="0">
                    <wp:start x="0" y="0"/>
                    <wp:lineTo x="0" y="21619"/>
                    <wp:lineTo x="21615" y="21619"/>
                    <wp:lineTo x="21615" y="0"/>
                    <wp:lineTo x="0" y="0"/>
                  </wp:wrapPolygon>
                </wp:wrapThrough>
                <wp:docPr id="21386968" name="Text Box 8"/>
                <wp:cNvGraphicFramePr/>
                <a:graphic xmlns:a="http://schemas.openxmlformats.org/drawingml/2006/main">
                  <a:graphicData uri="http://schemas.microsoft.com/office/word/2010/wordprocessingShape">
                    <wps:wsp>
                      <wps:cNvSpPr txBox="1"/>
                      <wps:spPr>
                        <a:xfrm>
                          <a:off x="0" y="0"/>
                          <a:ext cx="3636010" cy="281686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schemeClr val="accent6">
                              <a:lumMod val="50000"/>
                            </a:schemeClr>
                          </a:solidFill>
                        </a:ln>
                      </wps:spPr>
                      <wps:txbx>
                        <w:txbxContent>
                          <w:p w14:paraId="5BEADA75" w14:textId="77777777" w:rsidR="00FF4E18" w:rsidRDefault="00E106D6" w:rsidP="00FF4E18">
                            <w:pPr>
                              <w:spacing w:before="100" w:beforeAutospacing="1" w:after="100" w:afterAutospacing="1" w:line="240" w:lineRule="auto"/>
                              <w:jc w:val="center"/>
                              <w:rPr>
                                <w:rFonts w:ascii="Arial" w:eastAsia="Times New Roman" w:hAnsi="Arial" w:cs="Arial"/>
                                <w:sz w:val="18"/>
                                <w:szCs w:val="18"/>
                                <w:lang w:eastAsia="en-GB"/>
                              </w:rPr>
                            </w:pPr>
                            <w:r w:rsidRPr="00E106D6">
                              <w:rPr>
                                <w:rFonts w:ascii="Arial" w:eastAsia="Times New Roman" w:hAnsi="Arial" w:cs="Arial"/>
                                <w:b/>
                                <w:bCs/>
                                <w:sz w:val="22"/>
                                <w:szCs w:val="22"/>
                                <w:lang w:eastAsia="en-GB"/>
                              </w:rPr>
                              <w:t xml:space="preserve">How Pharmacy Services Function </w:t>
                            </w:r>
                            <w:r w:rsidR="00AD56CB" w:rsidRPr="00E106D6">
                              <w:rPr>
                                <w:rFonts w:ascii="Arial" w:eastAsia="Times New Roman" w:hAnsi="Arial" w:cs="Arial"/>
                                <w:b/>
                                <w:bCs/>
                                <w:sz w:val="22"/>
                                <w:szCs w:val="22"/>
                                <w:lang w:eastAsia="en-GB"/>
                              </w:rPr>
                              <w:t>Toda</w:t>
                            </w:r>
                            <w:r w:rsidR="00AD56CB" w:rsidRPr="00E106D6">
                              <w:rPr>
                                <w:rFonts w:ascii="Arial" w:eastAsia="Times New Roman" w:hAnsi="Arial" w:cs="Arial"/>
                                <w:sz w:val="22"/>
                                <w:szCs w:val="22"/>
                                <w:lang w:eastAsia="en-GB"/>
                              </w:rPr>
                              <w:t>y</w:t>
                            </w:r>
                            <w:r w:rsidR="00AD56CB" w:rsidRPr="0099047E">
                              <w:rPr>
                                <w:rFonts w:ascii="Arial" w:eastAsia="Times New Roman" w:hAnsi="Arial" w:cs="Arial"/>
                                <w:sz w:val="18"/>
                                <w:szCs w:val="18"/>
                                <w:lang w:eastAsia="en-GB"/>
                              </w:rPr>
                              <w:t xml:space="preserve"> </w:t>
                            </w:r>
                          </w:p>
                          <w:p w14:paraId="6315E040" w14:textId="7A2AED9F" w:rsidR="00953663" w:rsidRDefault="00AD56CB" w:rsidP="00D348BD">
                            <w:pPr>
                              <w:spacing w:before="100" w:beforeAutospacing="1" w:after="100" w:afterAutospacing="1" w:line="240" w:lineRule="auto"/>
                              <w:jc w:val="center"/>
                              <w:rPr>
                                <w:rFonts w:ascii="Arial" w:eastAsia="Times New Roman" w:hAnsi="Arial" w:cs="Arial"/>
                                <w:sz w:val="22"/>
                                <w:szCs w:val="22"/>
                                <w:lang w:eastAsia="en-GB"/>
                              </w:rPr>
                            </w:pPr>
                            <w:r w:rsidRPr="0099047E">
                              <w:rPr>
                                <w:rFonts w:ascii="Arial" w:eastAsia="Times New Roman" w:hAnsi="Arial" w:cs="Arial"/>
                                <w:sz w:val="18"/>
                                <w:szCs w:val="18"/>
                                <w:lang w:eastAsia="en-GB"/>
                              </w:rPr>
                              <w:t>(</w:t>
                            </w:r>
                            <w:r w:rsidR="0099047E" w:rsidRPr="0099047E">
                              <w:rPr>
                                <w:rFonts w:ascii="Arial" w:eastAsia="Times New Roman" w:hAnsi="Arial" w:cs="Arial"/>
                                <w:sz w:val="18"/>
                                <w:szCs w:val="18"/>
                                <w:lang w:eastAsia="en-GB"/>
                              </w:rPr>
                              <w:t>General Pharmaceutical Council, 2024).</w:t>
                            </w:r>
                          </w:p>
                          <w:p w14:paraId="17ABD1D7" w14:textId="1817C60F" w:rsidR="00360891" w:rsidRPr="00953663" w:rsidRDefault="00360891" w:rsidP="00A30F02">
                            <w:pPr>
                              <w:pStyle w:val="ListParagraph"/>
                              <w:numPr>
                                <w:ilvl w:val="0"/>
                                <w:numId w:val="17"/>
                              </w:numPr>
                              <w:spacing w:before="100" w:beforeAutospacing="1" w:after="100" w:afterAutospacing="1" w:line="240" w:lineRule="auto"/>
                              <w:rPr>
                                <w:rFonts w:ascii="Arial" w:eastAsia="Times New Roman" w:hAnsi="Arial" w:cs="Arial"/>
                                <w:sz w:val="22"/>
                                <w:szCs w:val="22"/>
                                <w:lang w:eastAsia="en-GB"/>
                              </w:rPr>
                            </w:pPr>
                            <w:r w:rsidRPr="00953663">
                              <w:rPr>
                                <w:b/>
                                <w:bCs/>
                              </w:rPr>
                              <w:t>Community pharmacies</w:t>
                            </w:r>
                            <w:r w:rsidRPr="00360891">
                              <w:t xml:space="preserve"> – Accessible healthcare advice without appointments. </w:t>
                            </w:r>
                          </w:p>
                          <w:p w14:paraId="359DD7D5" w14:textId="77777777" w:rsidR="00360891" w:rsidRPr="00360891" w:rsidRDefault="00360891" w:rsidP="00A30F02">
                            <w:pPr>
                              <w:numPr>
                                <w:ilvl w:val="0"/>
                                <w:numId w:val="11"/>
                              </w:numPr>
                              <w:spacing w:line="240" w:lineRule="auto"/>
                            </w:pPr>
                            <w:r w:rsidRPr="00360891">
                              <w:rPr>
                                <w:b/>
                                <w:bCs/>
                              </w:rPr>
                              <w:t>Pharmacists</w:t>
                            </w:r>
                            <w:r w:rsidRPr="00360891">
                              <w:t xml:space="preserve"> – Assess symptoms, review medicines, and provide treatment. </w:t>
                            </w:r>
                          </w:p>
                          <w:p w14:paraId="036DDF19" w14:textId="77777777" w:rsidR="00360891" w:rsidRPr="00360891" w:rsidRDefault="00360891" w:rsidP="00A30F02">
                            <w:pPr>
                              <w:numPr>
                                <w:ilvl w:val="0"/>
                                <w:numId w:val="11"/>
                              </w:numPr>
                              <w:spacing w:line="240" w:lineRule="auto"/>
                            </w:pPr>
                            <w:r w:rsidRPr="00360891">
                              <w:rPr>
                                <w:b/>
                                <w:bCs/>
                              </w:rPr>
                              <w:t>Referrals</w:t>
                            </w:r>
                            <w:r w:rsidRPr="00360891">
                              <w:t xml:space="preserve"> – Direct patients to GPs or other healthcare professionals when needed. </w:t>
                            </w:r>
                          </w:p>
                          <w:p w14:paraId="291477F5" w14:textId="77777777" w:rsidR="00360891" w:rsidRPr="00360891" w:rsidRDefault="00360891" w:rsidP="00A30F02">
                            <w:pPr>
                              <w:numPr>
                                <w:ilvl w:val="0"/>
                                <w:numId w:val="11"/>
                              </w:numPr>
                              <w:spacing w:line="240" w:lineRule="auto"/>
                            </w:pPr>
                            <w:r w:rsidRPr="00360891">
                              <w:rPr>
                                <w:b/>
                                <w:bCs/>
                              </w:rPr>
                              <w:t>Hospital pharmacists</w:t>
                            </w:r>
                            <w:r w:rsidRPr="00360891">
                              <w:t xml:space="preserve"> – Ensure medicines are used safely and effectively. </w:t>
                            </w:r>
                          </w:p>
                          <w:p w14:paraId="7B2DA9A6" w14:textId="64928F73" w:rsidR="00360891" w:rsidRPr="00360891" w:rsidRDefault="00360891" w:rsidP="00A30F02">
                            <w:pPr>
                              <w:numPr>
                                <w:ilvl w:val="0"/>
                                <w:numId w:val="11"/>
                              </w:numPr>
                              <w:spacing w:line="240" w:lineRule="auto"/>
                            </w:pPr>
                            <w:r w:rsidRPr="00360891">
                              <w:rPr>
                                <w:b/>
                                <w:bCs/>
                              </w:rPr>
                              <w:t>Primary care pharmacists</w:t>
                            </w:r>
                            <w:r w:rsidRPr="00360891">
                              <w:t xml:space="preserve"> – Support medication reviews and long-term condition management. </w:t>
                            </w:r>
                          </w:p>
                          <w:p w14:paraId="01CF4D6F" w14:textId="77777777" w:rsidR="00757056" w:rsidRDefault="00757056" w:rsidP="00A30F02">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EE2E5" id="Text Box 8" o:spid="_x0000_s1028" type="#_x0000_t202" style="position:absolute;margin-left:301.05pt;margin-top:398.35pt;width:286.3pt;height:221.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" fillcolor="#8dd873 [1945]" strokecolor="#265317 [1609]" strokeweight=".5pt">
                <v:fill color2="#a2d7f0 [980]" colors="0 #8ed973;48497f #74c4e9;54395f #74c4e9;1 #a2d8f0" focus="100%" type="gradient"/>
                <v:textbox>
                  <w:txbxContent>
                    <w:p w14:paraId="5BEADA75" w14:textId="77777777" w:rsidR="00FF4E18" w:rsidRDefault="00E106D6" w:rsidP="00FF4E18">
                      <w:pPr>
                        <w:spacing w:before="100" w:beforeAutospacing="1" w:after="100" w:afterAutospacing="1" w:line="240" w:lineRule="auto"/>
                        <w:jc w:val="center"/>
                        <w:rPr>
                          <w:rFonts w:ascii="Arial" w:eastAsia="Times New Roman" w:hAnsi="Arial" w:cs="Arial"/>
                          <w:sz w:val="18"/>
                          <w:szCs w:val="18"/>
                          <w:lang w:eastAsia="en-GB"/>
                        </w:rPr>
                      </w:pPr>
                      <w:r w:rsidRPr="00E106D6">
                        <w:rPr>
                          <w:rFonts w:ascii="Arial" w:eastAsia="Times New Roman" w:hAnsi="Arial" w:cs="Arial"/>
                          <w:b/>
                          <w:bCs/>
                          <w:sz w:val="22"/>
                          <w:szCs w:val="22"/>
                          <w:lang w:eastAsia="en-GB"/>
                        </w:rPr>
                        <w:t xml:space="preserve">How Pharmacy Services Function </w:t>
                      </w:r>
                      <w:r w:rsidR="00AD56CB" w:rsidRPr="00E106D6">
                        <w:rPr>
                          <w:rFonts w:ascii="Arial" w:eastAsia="Times New Roman" w:hAnsi="Arial" w:cs="Arial"/>
                          <w:b/>
                          <w:bCs/>
                          <w:sz w:val="22"/>
                          <w:szCs w:val="22"/>
                          <w:lang w:eastAsia="en-GB"/>
                        </w:rPr>
                        <w:t>Toda</w:t>
                      </w:r>
                      <w:r w:rsidR="00AD56CB" w:rsidRPr="00E106D6">
                        <w:rPr>
                          <w:rFonts w:ascii="Arial" w:eastAsia="Times New Roman" w:hAnsi="Arial" w:cs="Arial"/>
                          <w:sz w:val="22"/>
                          <w:szCs w:val="22"/>
                          <w:lang w:eastAsia="en-GB"/>
                        </w:rPr>
                        <w:t>y</w:t>
                      </w:r>
                      <w:r w:rsidR="00AD56CB" w:rsidRPr="0099047E">
                        <w:rPr>
                          <w:rFonts w:ascii="Arial" w:eastAsia="Times New Roman" w:hAnsi="Arial" w:cs="Arial"/>
                          <w:sz w:val="18"/>
                          <w:szCs w:val="18"/>
                          <w:lang w:eastAsia="en-GB"/>
                        </w:rPr>
                        <w:t xml:space="preserve"> </w:t>
                      </w:r>
                    </w:p>
                    <w:p w14:paraId="6315E040" w14:textId="7A2AED9F" w:rsidR="00953663" w:rsidRDefault="00AD56CB" w:rsidP="00D348BD">
                      <w:pPr>
                        <w:spacing w:before="100" w:beforeAutospacing="1" w:after="100" w:afterAutospacing="1" w:line="240" w:lineRule="auto"/>
                        <w:jc w:val="center"/>
                        <w:rPr>
                          <w:rFonts w:ascii="Arial" w:eastAsia="Times New Roman" w:hAnsi="Arial" w:cs="Arial"/>
                          <w:sz w:val="22"/>
                          <w:szCs w:val="22"/>
                          <w:lang w:eastAsia="en-GB"/>
                        </w:rPr>
                      </w:pPr>
                      <w:r w:rsidRPr="0099047E">
                        <w:rPr>
                          <w:rFonts w:ascii="Arial" w:eastAsia="Times New Roman" w:hAnsi="Arial" w:cs="Arial"/>
                          <w:sz w:val="18"/>
                          <w:szCs w:val="18"/>
                          <w:lang w:eastAsia="en-GB"/>
                        </w:rPr>
                        <w:t>(</w:t>
                      </w:r>
                      <w:r w:rsidR="0099047E" w:rsidRPr="0099047E">
                        <w:rPr>
                          <w:rFonts w:ascii="Arial" w:eastAsia="Times New Roman" w:hAnsi="Arial" w:cs="Arial"/>
                          <w:sz w:val="18"/>
                          <w:szCs w:val="18"/>
                          <w:lang w:eastAsia="en-GB"/>
                        </w:rPr>
                        <w:t>General Pharmaceutical Council, 2024).</w:t>
                      </w:r>
                    </w:p>
                    <w:p w14:paraId="17ABD1D7" w14:textId="1817C60F" w:rsidR="00360891" w:rsidRPr="00953663" w:rsidRDefault="00360891" w:rsidP="00A30F02">
                      <w:pPr>
                        <w:pStyle w:val="ListParagraph"/>
                        <w:numPr>
                          <w:ilvl w:val="0"/>
                          <w:numId w:val="17"/>
                        </w:numPr>
                        <w:spacing w:before="100" w:beforeAutospacing="1" w:after="100" w:afterAutospacing="1" w:line="240" w:lineRule="auto"/>
                        <w:rPr>
                          <w:rFonts w:ascii="Arial" w:eastAsia="Times New Roman" w:hAnsi="Arial" w:cs="Arial"/>
                          <w:sz w:val="22"/>
                          <w:szCs w:val="22"/>
                          <w:lang w:eastAsia="en-GB"/>
                        </w:rPr>
                      </w:pPr>
                      <w:r w:rsidRPr="00953663">
                        <w:rPr>
                          <w:b/>
                          <w:bCs/>
                        </w:rPr>
                        <w:t>Community pharmacies</w:t>
                      </w:r>
                      <w:r w:rsidRPr="00360891">
                        <w:t xml:space="preserve"> – Accessible healthcare advice without appointments. </w:t>
                      </w:r>
                    </w:p>
                    <w:p w14:paraId="359DD7D5" w14:textId="77777777" w:rsidR="00360891" w:rsidRPr="00360891" w:rsidRDefault="00360891" w:rsidP="00A30F02">
                      <w:pPr>
                        <w:numPr>
                          <w:ilvl w:val="0"/>
                          <w:numId w:val="11"/>
                        </w:numPr>
                        <w:spacing w:line="240" w:lineRule="auto"/>
                      </w:pPr>
                      <w:r w:rsidRPr="00360891">
                        <w:rPr>
                          <w:b/>
                          <w:bCs/>
                        </w:rPr>
                        <w:t>Pharmacists</w:t>
                      </w:r>
                      <w:r w:rsidRPr="00360891">
                        <w:t xml:space="preserve"> – Assess symptoms, review medicines, and provide treatment. </w:t>
                      </w:r>
                    </w:p>
                    <w:p w14:paraId="036DDF19" w14:textId="77777777" w:rsidR="00360891" w:rsidRPr="00360891" w:rsidRDefault="00360891" w:rsidP="00A30F02">
                      <w:pPr>
                        <w:numPr>
                          <w:ilvl w:val="0"/>
                          <w:numId w:val="11"/>
                        </w:numPr>
                        <w:spacing w:line="240" w:lineRule="auto"/>
                      </w:pPr>
                      <w:r w:rsidRPr="00360891">
                        <w:rPr>
                          <w:b/>
                          <w:bCs/>
                        </w:rPr>
                        <w:t>Referrals</w:t>
                      </w:r>
                      <w:r w:rsidRPr="00360891">
                        <w:t xml:space="preserve"> – Direct patients to GPs or other healthcare professionals when needed. </w:t>
                      </w:r>
                    </w:p>
                    <w:p w14:paraId="291477F5" w14:textId="77777777" w:rsidR="00360891" w:rsidRPr="00360891" w:rsidRDefault="00360891" w:rsidP="00A30F02">
                      <w:pPr>
                        <w:numPr>
                          <w:ilvl w:val="0"/>
                          <w:numId w:val="11"/>
                        </w:numPr>
                        <w:spacing w:line="240" w:lineRule="auto"/>
                      </w:pPr>
                      <w:r w:rsidRPr="00360891">
                        <w:rPr>
                          <w:b/>
                          <w:bCs/>
                        </w:rPr>
                        <w:t>Hospital pharmacists</w:t>
                      </w:r>
                      <w:r w:rsidRPr="00360891">
                        <w:t xml:space="preserve"> – Ensure medicines are used safely and effectively. </w:t>
                      </w:r>
                    </w:p>
                    <w:p w14:paraId="7B2DA9A6" w14:textId="64928F73" w:rsidR="00360891" w:rsidRPr="00360891" w:rsidRDefault="00360891" w:rsidP="00A30F02">
                      <w:pPr>
                        <w:numPr>
                          <w:ilvl w:val="0"/>
                          <w:numId w:val="11"/>
                        </w:numPr>
                        <w:spacing w:line="240" w:lineRule="auto"/>
                      </w:pPr>
                      <w:r w:rsidRPr="00360891">
                        <w:rPr>
                          <w:b/>
                          <w:bCs/>
                        </w:rPr>
                        <w:t>Primary care pharmacists</w:t>
                      </w:r>
                      <w:r w:rsidRPr="00360891">
                        <w:t xml:space="preserve"> – Support medication reviews and long-term condition management. </w:t>
                      </w:r>
                    </w:p>
                    <w:p w14:paraId="01CF4D6F" w14:textId="77777777" w:rsidR="00757056" w:rsidRDefault="00757056" w:rsidP="00A30F02">
                      <w:pPr>
                        <w:spacing w:line="240" w:lineRule="auto"/>
                      </w:pPr>
                    </w:p>
                  </w:txbxContent>
                </v:textbox>
                <w10:wrap type="through" anchorx="page"/>
              </v:shape>
            </w:pict>
          </mc:Fallback>
        </mc:AlternateContent>
      </w:r>
      <w:r w:rsidR="00015022">
        <w:rPr>
          <w:noProof/>
        </w:rPr>
        <mc:AlternateContent>
          <mc:Choice Requires="wps">
            <w:drawing>
              <wp:anchor distT="0" distB="0" distL="114300" distR="114300" simplePos="0" relativeHeight="251658273" behindDoc="0" locked="0" layoutInCell="1" allowOverlap="1" wp14:anchorId="7FF14430" wp14:editId="11D15FE5">
                <wp:simplePos x="0" y="0"/>
                <wp:positionH relativeFrom="column">
                  <wp:posOffset>3104515</wp:posOffset>
                </wp:positionH>
                <wp:positionV relativeFrom="paragraph">
                  <wp:posOffset>4789953</wp:posOffset>
                </wp:positionV>
                <wp:extent cx="3093868" cy="223284"/>
                <wp:effectExtent l="0" t="0" r="0" b="5715"/>
                <wp:wrapNone/>
                <wp:docPr id="30915626" name="Text Box 18"/>
                <wp:cNvGraphicFramePr/>
                <a:graphic xmlns:a="http://schemas.openxmlformats.org/drawingml/2006/main">
                  <a:graphicData uri="http://schemas.microsoft.com/office/word/2010/wordprocessingShape">
                    <wps:wsp>
                      <wps:cNvSpPr txBox="1"/>
                      <wps:spPr>
                        <a:xfrm>
                          <a:off x="0" y="0"/>
                          <a:ext cx="3093868" cy="223284"/>
                        </a:xfrm>
                        <a:prstGeom prst="rect">
                          <a:avLst/>
                        </a:prstGeom>
                        <a:solidFill>
                          <a:schemeClr val="lt1"/>
                        </a:solidFill>
                        <a:ln w="6350">
                          <a:noFill/>
                        </a:ln>
                      </wps:spPr>
                      <wps:txbx>
                        <w:txbxContent>
                          <w:p w14:paraId="3E724CC6" w14:textId="4046B7B7" w:rsidR="00780CDE" w:rsidRPr="00BB7A3C" w:rsidRDefault="00D76BEB">
                            <w:pPr>
                              <w:rPr>
                                <w:b/>
                                <w:bCs/>
                                <w:sz w:val="16"/>
                                <w:szCs w:val="16"/>
                              </w:rPr>
                            </w:pPr>
                            <w:r w:rsidRPr="00BB7A3C">
                              <w:rPr>
                                <w:b/>
                                <w:bCs/>
                                <w:sz w:val="18"/>
                                <w:szCs w:val="18"/>
                              </w:rPr>
                              <w:t xml:space="preserve"> </w:t>
                            </w:r>
                            <w:r w:rsidR="00BB7A3C">
                              <w:rPr>
                                <w:b/>
                                <w:bCs/>
                                <w:sz w:val="18"/>
                                <w:szCs w:val="18"/>
                              </w:rPr>
                              <w:tab/>
                            </w:r>
                            <w:r w:rsidR="00BB7A3C">
                              <w:rPr>
                                <w:b/>
                                <w:bCs/>
                                <w:sz w:val="18"/>
                                <w:szCs w:val="18"/>
                              </w:rPr>
                              <w:tab/>
                            </w:r>
                            <w:r w:rsidR="009E11A7" w:rsidRPr="00BB7A3C">
                              <w:rPr>
                                <w:b/>
                                <w:bCs/>
                                <w:sz w:val="16"/>
                                <w:szCs w:val="16"/>
                              </w:rPr>
                              <w:t>(NHS</w:t>
                            </w:r>
                            <w:r w:rsidR="00BB7A3C" w:rsidRPr="00BB7A3C">
                              <w:rPr>
                                <w:b/>
                                <w:bCs/>
                                <w:sz w:val="16"/>
                                <w:szCs w:val="16"/>
                              </w:rPr>
                              <w:t xml:space="preserve"> England</w:t>
                            </w:r>
                            <w:r w:rsidR="009E11A7" w:rsidRPr="00BB7A3C">
                              <w:rPr>
                                <w:b/>
                                <w:bCs/>
                                <w:sz w:val="16"/>
                                <w:szCs w:val="16"/>
                              </w:rPr>
                              <w:t>,</w:t>
                            </w:r>
                            <w:r w:rsidRPr="00BB7A3C">
                              <w:rPr>
                                <w:b/>
                                <w:bCs/>
                                <w:sz w:val="16"/>
                                <w:szCs w:val="16"/>
                              </w:rPr>
                              <w:t xml:space="preserve"> </w:t>
                            </w:r>
                            <w:r w:rsidR="009E11A7" w:rsidRPr="00BB7A3C">
                              <w:rPr>
                                <w:b/>
                                <w:bCs/>
                                <w:sz w:val="16"/>
                                <w:szCs w:val="16"/>
                              </w:rP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14430" id="Text Box 18" o:spid="_x0000_s1029" type="#_x0000_t202" style="position:absolute;margin-left:244.45pt;margin-top:377.15pt;width:243.6pt;height:17.6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" fillcolor="white [3201]" stroked="f" strokeweight=".5pt">
                <v:textbox>
                  <w:txbxContent>
                    <w:p w14:paraId="3E724CC6" w14:textId="4046B7B7" w:rsidR="00780CDE" w:rsidRPr="00BB7A3C" w:rsidRDefault="00D76BEB">
                      <w:pPr>
                        <w:rPr>
                          <w:b/>
                          <w:bCs/>
                          <w:sz w:val="16"/>
                          <w:szCs w:val="16"/>
                        </w:rPr>
                      </w:pPr>
                      <w:r w:rsidRPr="00BB7A3C">
                        <w:rPr>
                          <w:b/>
                          <w:bCs/>
                          <w:sz w:val="18"/>
                          <w:szCs w:val="18"/>
                        </w:rPr>
                        <w:t xml:space="preserve"> </w:t>
                      </w:r>
                      <w:r w:rsidR="00BB7A3C">
                        <w:rPr>
                          <w:b/>
                          <w:bCs/>
                          <w:sz w:val="18"/>
                          <w:szCs w:val="18"/>
                        </w:rPr>
                        <w:tab/>
                      </w:r>
                      <w:r w:rsidR="00BB7A3C">
                        <w:rPr>
                          <w:b/>
                          <w:bCs/>
                          <w:sz w:val="18"/>
                          <w:szCs w:val="18"/>
                        </w:rPr>
                        <w:tab/>
                      </w:r>
                      <w:r w:rsidR="009E11A7" w:rsidRPr="00BB7A3C">
                        <w:rPr>
                          <w:b/>
                          <w:bCs/>
                          <w:sz w:val="16"/>
                          <w:szCs w:val="16"/>
                        </w:rPr>
                        <w:t>(NHS</w:t>
                      </w:r>
                      <w:r w:rsidR="00BB7A3C" w:rsidRPr="00BB7A3C">
                        <w:rPr>
                          <w:b/>
                          <w:bCs/>
                          <w:sz w:val="16"/>
                          <w:szCs w:val="16"/>
                        </w:rPr>
                        <w:t xml:space="preserve"> England</w:t>
                      </w:r>
                      <w:r w:rsidR="009E11A7" w:rsidRPr="00BB7A3C">
                        <w:rPr>
                          <w:b/>
                          <w:bCs/>
                          <w:sz w:val="16"/>
                          <w:szCs w:val="16"/>
                        </w:rPr>
                        <w:t>,</w:t>
                      </w:r>
                      <w:r w:rsidRPr="00BB7A3C">
                        <w:rPr>
                          <w:b/>
                          <w:bCs/>
                          <w:sz w:val="16"/>
                          <w:szCs w:val="16"/>
                        </w:rPr>
                        <w:t xml:space="preserve"> </w:t>
                      </w:r>
                      <w:r w:rsidR="009E11A7" w:rsidRPr="00BB7A3C">
                        <w:rPr>
                          <w:b/>
                          <w:bCs/>
                          <w:sz w:val="16"/>
                          <w:szCs w:val="16"/>
                        </w:rPr>
                        <w:t>2024).</w:t>
                      </w:r>
                    </w:p>
                  </w:txbxContent>
                </v:textbox>
              </v:shape>
            </w:pict>
          </mc:Fallback>
        </mc:AlternateContent>
      </w:r>
      <w:r w:rsidR="00015022">
        <w:rPr>
          <w:noProof/>
        </w:rPr>
        <w:drawing>
          <wp:anchor distT="0" distB="0" distL="114300" distR="114300" simplePos="0" relativeHeight="251658244" behindDoc="0" locked="0" layoutInCell="1" allowOverlap="1" wp14:anchorId="2EE5F796" wp14:editId="01E6910E">
            <wp:simplePos x="0" y="0"/>
            <wp:positionH relativeFrom="column">
              <wp:posOffset>2987675</wp:posOffset>
            </wp:positionH>
            <wp:positionV relativeFrom="paragraph">
              <wp:posOffset>2078828</wp:posOffset>
            </wp:positionV>
            <wp:extent cx="3596640" cy="2737485"/>
            <wp:effectExtent l="0" t="0" r="3810" b="5715"/>
            <wp:wrapTopAndBottom/>
            <wp:docPr id="16928479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96640" cy="2737485"/>
                    </a:xfrm>
                    <a:prstGeom prst="rect">
                      <a:avLst/>
                    </a:prstGeom>
                    <a:noFill/>
                  </pic:spPr>
                </pic:pic>
              </a:graphicData>
            </a:graphic>
            <wp14:sizeRelH relativeFrom="margin">
              <wp14:pctWidth>0</wp14:pctWidth>
            </wp14:sizeRelH>
            <wp14:sizeRelV relativeFrom="margin">
              <wp14:pctHeight>0</wp14:pctHeight>
            </wp14:sizeRelV>
          </wp:anchor>
        </w:drawing>
      </w:r>
      <w:r w:rsidR="00015022">
        <w:rPr>
          <w:noProof/>
        </w:rPr>
        <w:drawing>
          <wp:anchor distT="0" distB="0" distL="114300" distR="114300" simplePos="0" relativeHeight="251658252" behindDoc="0" locked="0" layoutInCell="1" allowOverlap="1" wp14:anchorId="2804A333" wp14:editId="50C4FF33">
            <wp:simplePos x="0" y="0"/>
            <wp:positionH relativeFrom="margin">
              <wp:posOffset>-716959</wp:posOffset>
            </wp:positionH>
            <wp:positionV relativeFrom="paragraph">
              <wp:posOffset>1436724</wp:posOffset>
            </wp:positionV>
            <wp:extent cx="956310" cy="956310"/>
            <wp:effectExtent l="0" t="0" r="0" b="0"/>
            <wp:wrapNone/>
            <wp:docPr id="7116434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43433" name="Picture 711643433"/>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956310" cy="956310"/>
                    </a:xfrm>
                    <a:prstGeom prst="rect">
                      <a:avLst/>
                    </a:prstGeom>
                  </pic:spPr>
                </pic:pic>
              </a:graphicData>
            </a:graphic>
            <wp14:sizeRelH relativeFrom="margin">
              <wp14:pctWidth>0</wp14:pctWidth>
            </wp14:sizeRelH>
            <wp14:sizeRelV relativeFrom="margin">
              <wp14:pctHeight>0</wp14:pctHeight>
            </wp14:sizeRelV>
          </wp:anchor>
        </w:drawing>
      </w:r>
      <w:r w:rsidR="000D45CD">
        <w:rPr>
          <w:noProof/>
        </w:rPr>
        <mc:AlternateContent>
          <mc:Choice Requires="wps">
            <w:drawing>
              <wp:anchor distT="0" distB="0" distL="114300" distR="114300" simplePos="0" relativeHeight="251658247" behindDoc="0" locked="0" layoutInCell="1" allowOverlap="1" wp14:anchorId="525BDEF5" wp14:editId="3C6B65DB">
                <wp:simplePos x="0" y="0"/>
                <wp:positionH relativeFrom="column">
                  <wp:posOffset>-687823</wp:posOffset>
                </wp:positionH>
                <wp:positionV relativeFrom="paragraph">
                  <wp:posOffset>3099257</wp:posOffset>
                </wp:positionV>
                <wp:extent cx="3599180" cy="504190"/>
                <wp:effectExtent l="0" t="0" r="1270" b="0"/>
                <wp:wrapThrough wrapText="bothSides">
                  <wp:wrapPolygon edited="0">
                    <wp:start x="0" y="0"/>
                    <wp:lineTo x="0" y="20403"/>
                    <wp:lineTo x="21493" y="20403"/>
                    <wp:lineTo x="21493" y="0"/>
                    <wp:lineTo x="0" y="0"/>
                  </wp:wrapPolygon>
                </wp:wrapThrough>
                <wp:docPr id="1907289291" name="Text Box 9"/>
                <wp:cNvGraphicFramePr/>
                <a:graphic xmlns:a="http://schemas.openxmlformats.org/drawingml/2006/main">
                  <a:graphicData uri="http://schemas.microsoft.com/office/word/2010/wordprocessingShape">
                    <wps:wsp>
                      <wps:cNvSpPr txBox="1"/>
                      <wps:spPr>
                        <a:xfrm>
                          <a:off x="0" y="0"/>
                          <a:ext cx="3599180" cy="50419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79564037"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16D052E3" w14:textId="77777777" w:rsidR="00D37C74" w:rsidRDefault="00D37C74" w:rsidP="00D37C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BDEF5" id="_x0000_s1030" type="#_x0000_t202" style="position:absolute;margin-left:-54.15pt;margin-top:244.05pt;width:283.4pt;height:39.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" fillcolor="#8dd873 [1945]" stroked="f" strokeweight="1.5pt">
                <v:fill color2="#a2d7f0 [980]" colors="0 #8ed973;48497f #74c4e9;54395f #74c4e9;1 #a2d8f0" focus="100%" type="gradient"/>
                <v:textbox>
                  <w:txbxContent>
                    <w:p w14:paraId="79564037"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16D052E3" w14:textId="77777777" w:rsidR="00D37C74" w:rsidRDefault="00D37C74" w:rsidP="00D37C74"/>
                  </w:txbxContent>
                </v:textbox>
                <w10:wrap type="through"/>
              </v:shape>
            </w:pict>
          </mc:Fallback>
        </mc:AlternateContent>
      </w:r>
      <w:r w:rsidR="00F90AFC">
        <w:rPr>
          <w:noProof/>
        </w:rPr>
        <mc:AlternateContent>
          <mc:Choice Requires="wps">
            <w:drawing>
              <wp:anchor distT="0" distB="0" distL="114300" distR="114300" simplePos="0" relativeHeight="251658246" behindDoc="0" locked="0" layoutInCell="1" allowOverlap="1" wp14:anchorId="2386E7D2" wp14:editId="359716DC">
                <wp:simplePos x="0" y="0"/>
                <wp:positionH relativeFrom="margin">
                  <wp:posOffset>-797442</wp:posOffset>
                </wp:positionH>
                <wp:positionV relativeFrom="paragraph">
                  <wp:posOffset>6697640</wp:posOffset>
                </wp:positionV>
                <wp:extent cx="3709035" cy="2314708"/>
                <wp:effectExtent l="0" t="0" r="24765" b="28575"/>
                <wp:wrapNone/>
                <wp:docPr id="597460287" name="Text Box 13"/>
                <wp:cNvGraphicFramePr/>
                <a:graphic xmlns:a="http://schemas.openxmlformats.org/drawingml/2006/main">
                  <a:graphicData uri="http://schemas.microsoft.com/office/word/2010/wordprocessingShape">
                    <wps:wsp>
                      <wps:cNvSpPr txBox="1"/>
                      <wps:spPr>
                        <a:xfrm>
                          <a:off x="0" y="0"/>
                          <a:ext cx="3709035" cy="2314708"/>
                        </a:xfrm>
                        <a:prstGeom prst="rect">
                          <a:avLst/>
                        </a:prstGeom>
                        <a:solidFill>
                          <a:schemeClr val="lt1"/>
                        </a:solidFill>
                        <a:ln w="6350">
                          <a:solidFill>
                            <a:srgbClr val="92D050"/>
                          </a:solidFill>
                        </a:ln>
                        <a:effectLst>
                          <a:innerShdw blurRad="63500" dist="50800" dir="2700000">
                            <a:prstClr val="black">
                              <a:alpha val="50000"/>
                            </a:prstClr>
                          </a:innerShdw>
                        </a:effectLst>
                      </wps:spPr>
                      <wps:txbx>
                        <w:txbxContent>
                          <w:p w14:paraId="31DB1261" w14:textId="441F5375" w:rsidR="0016325B" w:rsidRDefault="0046685E"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Example </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Role</w:t>
                            </w: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the Pharmacist in Pat</w:t>
                            </w:r>
                            <w:r w:rsidR="00F90AFC">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ie</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nt </w:t>
                            </w:r>
                            <w:r w:rsidR="0016325B"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w:t>
                            </w:r>
                            <w:r w:rsidR="0016325B"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45DCD8C2" w14:textId="127F1F29" w:rsidR="005C519B" w:rsidRDefault="0016325B"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A04DF"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Health Organization, 2023)</w:t>
                            </w:r>
                          </w:p>
                          <w:p w14:paraId="38B1C1E6" w14:textId="65B985D9" w:rsidR="001C5E5B" w:rsidRPr="001C5E5B" w:rsidRDefault="001C5E5B" w:rsidP="001C5E5B">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Explain dosage instructions and possible side effects</w:t>
                            </w:r>
                          </w:p>
                          <w:p w14:paraId="0F3AA1E2" w14:textId="6B5C0FF3" w:rsidR="00234F24" w:rsidRPr="00716405" w:rsidRDefault="00234F24" w:rsidP="00716405">
                            <w:pPr>
                              <w:spacing w:after="160" w:line="278" w:lineRule="auto"/>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34F24">
                              <w:rPr>
                                <w:rFonts w:ascii="Arial" w:eastAsia="Times New Roman" w:hAnsi="Arial" w:cs="Arial"/>
                                <w:noProof/>
                                <w:sz w:val="18"/>
                                <w:szCs w:val="18"/>
                                <w:lang w:eastAsia="en-GB"/>
                              </w:rPr>
                              <w:t>Provide advice on the safe and effective use of medicines</w:t>
                            </w:r>
                          </w:p>
                          <w:p w14:paraId="4328420A" w14:textId="77777777"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Identify and prevent harmful drug interactions</w:t>
                            </w:r>
                          </w:p>
                          <w:p w14:paraId="7A7A4EAC" w14:textId="1E6288C3"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Support patients with long-term conditions such as diabetes, asthma</w:t>
                            </w:r>
                          </w:p>
                          <w:p w14:paraId="412922E8" w14:textId="45257309"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 xml:space="preserve">Monitor medication effectiveness </w:t>
                            </w:r>
                          </w:p>
                          <w:p w14:paraId="097E63C6" w14:textId="77777777" w:rsidR="003E0DCD"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Work collaboratively with doctors, nurses, and other healthcare professionals</w:t>
                            </w:r>
                          </w:p>
                          <w:p w14:paraId="5EE310D0" w14:textId="6CBE3C93" w:rsidR="00234F24" w:rsidRPr="00CF54E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Educate patients to make informed decisions about their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6E7D2" id="Text Box 13" o:spid="_x0000_s1031" type="#_x0000_t202" style="position:absolute;margin-left:-62.8pt;margin-top:527.35pt;width:292.05pt;height:182.2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" fillcolor="white [3201]" strokecolor="#92d050" strokeweight=".5pt">
                <v:textbox>
                  <w:txbxContent>
                    <w:p w14:paraId="31DB1261" w14:textId="441F5375" w:rsidR="0016325B" w:rsidRDefault="0046685E"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Example </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Role</w:t>
                      </w: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the Pharmacist in Pat</w:t>
                      </w:r>
                      <w:r w:rsidR="00F90AFC">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ie</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nt </w:t>
                      </w:r>
                      <w:r w:rsidR="0016325B"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w:t>
                      </w:r>
                      <w:r w:rsidR="0016325B"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45DCD8C2" w14:textId="127F1F29" w:rsidR="005C519B" w:rsidRDefault="0016325B"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A04DF"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Health Organization, 2023)</w:t>
                      </w:r>
                    </w:p>
                    <w:p w14:paraId="38B1C1E6" w14:textId="65B985D9" w:rsidR="001C5E5B" w:rsidRPr="001C5E5B" w:rsidRDefault="001C5E5B" w:rsidP="001C5E5B">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Explain dosage instructions and possible side effects</w:t>
                      </w:r>
                    </w:p>
                    <w:p w14:paraId="0F3AA1E2" w14:textId="6B5C0FF3" w:rsidR="00234F24" w:rsidRPr="00716405" w:rsidRDefault="00234F24" w:rsidP="00716405">
                      <w:pPr>
                        <w:spacing w:after="160" w:line="278" w:lineRule="auto"/>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34F24">
                        <w:rPr>
                          <w:rFonts w:ascii="Arial" w:eastAsia="Times New Roman" w:hAnsi="Arial" w:cs="Arial"/>
                          <w:noProof/>
                          <w:sz w:val="18"/>
                          <w:szCs w:val="18"/>
                          <w:lang w:eastAsia="en-GB"/>
                        </w:rPr>
                        <w:t>Provide advice on the safe and effective use of medicines</w:t>
                      </w:r>
                    </w:p>
                    <w:p w14:paraId="4328420A" w14:textId="77777777"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Identify and prevent harmful drug interactions</w:t>
                      </w:r>
                    </w:p>
                    <w:p w14:paraId="7A7A4EAC" w14:textId="1E6288C3"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Support patients with long-term conditions such as diabetes, asthma</w:t>
                      </w:r>
                    </w:p>
                    <w:p w14:paraId="412922E8" w14:textId="45257309"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 xml:space="preserve">Monitor medication effectiveness </w:t>
                      </w:r>
                    </w:p>
                    <w:p w14:paraId="097E63C6" w14:textId="77777777" w:rsidR="003E0DCD"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Work collaboratively with doctors, nurses, and other healthcare professionals</w:t>
                      </w:r>
                    </w:p>
                    <w:p w14:paraId="5EE310D0" w14:textId="6CBE3C93" w:rsidR="00234F24" w:rsidRPr="00CF54E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Educate patients to make informed decisions about their health</w:t>
                      </w:r>
                    </w:p>
                  </w:txbxContent>
                </v:textbox>
                <w10:wrap anchorx="margin"/>
              </v:shape>
            </w:pict>
          </mc:Fallback>
        </mc:AlternateContent>
      </w:r>
      <w:r w:rsidR="00674FDE">
        <w:rPr>
          <w:noProof/>
        </w:rPr>
        <mc:AlternateContent>
          <mc:Choice Requires="wps">
            <w:drawing>
              <wp:anchor distT="0" distB="0" distL="114300" distR="114300" simplePos="0" relativeHeight="251658249" behindDoc="0" locked="0" layoutInCell="1" allowOverlap="1" wp14:anchorId="0B82F470" wp14:editId="404B1CAF">
                <wp:simplePos x="0" y="0"/>
                <wp:positionH relativeFrom="column">
                  <wp:posOffset>-680720</wp:posOffset>
                </wp:positionH>
                <wp:positionV relativeFrom="paragraph">
                  <wp:posOffset>3758565</wp:posOffset>
                </wp:positionV>
                <wp:extent cx="3594100" cy="525780"/>
                <wp:effectExtent l="0" t="0" r="6350" b="7620"/>
                <wp:wrapThrough wrapText="bothSides">
                  <wp:wrapPolygon edited="0">
                    <wp:start x="0" y="0"/>
                    <wp:lineTo x="0" y="21130"/>
                    <wp:lineTo x="21524" y="21130"/>
                    <wp:lineTo x="21524" y="0"/>
                    <wp:lineTo x="0" y="0"/>
                  </wp:wrapPolygon>
                </wp:wrapThrough>
                <wp:docPr id="1992916370" name="Text Box 9"/>
                <wp:cNvGraphicFramePr/>
                <a:graphic xmlns:a="http://schemas.openxmlformats.org/drawingml/2006/main">
                  <a:graphicData uri="http://schemas.microsoft.com/office/word/2010/wordprocessingShape">
                    <wps:wsp>
                      <wps:cNvSpPr txBox="1"/>
                      <wps:spPr>
                        <a:xfrm>
                          <a:off x="0" y="0"/>
                          <a:ext cx="3594100" cy="52578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0C6D017E"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4CDEF745" w14:textId="77777777" w:rsidR="005D3F26" w:rsidRDefault="005D3F26" w:rsidP="005D3F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2F470" id="_x0000_s1032" type="#_x0000_t202" style="position:absolute;margin-left:-53.6pt;margin-top:295.95pt;width:283pt;height:41.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" fillcolor="#8dd873 [1945]" stroked="f" strokeweight="1.5pt">
                <v:fill color2="#a2d7f0 [980]" colors="0 #8ed973;48497f #74c4e9;54395f #74c4e9;1 #a2d8f0" focus="100%" type="gradient"/>
                <v:textbox>
                  <w:txbxContent>
                    <w:p w14:paraId="0C6D017E"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4CDEF745" w14:textId="77777777" w:rsidR="005D3F26" w:rsidRDefault="005D3F26" w:rsidP="005D3F26"/>
                  </w:txbxContent>
                </v:textbox>
                <w10:wrap type="through"/>
              </v:shape>
            </w:pict>
          </mc:Fallback>
        </mc:AlternateContent>
      </w:r>
      <w:r w:rsidR="00A412D1">
        <w:rPr>
          <w:noProof/>
        </w:rPr>
        <mc:AlternateContent>
          <mc:Choice Requires="wps">
            <w:drawing>
              <wp:anchor distT="0" distB="0" distL="114300" distR="114300" simplePos="0" relativeHeight="251658250" behindDoc="0" locked="0" layoutInCell="1" allowOverlap="1" wp14:anchorId="2C464E38" wp14:editId="5038F293">
                <wp:simplePos x="0" y="0"/>
                <wp:positionH relativeFrom="margin">
                  <wp:posOffset>-666750</wp:posOffset>
                </wp:positionH>
                <wp:positionV relativeFrom="paragraph">
                  <wp:posOffset>4484370</wp:posOffset>
                </wp:positionV>
                <wp:extent cx="3562350" cy="447675"/>
                <wp:effectExtent l="0" t="0" r="0" b="9525"/>
                <wp:wrapThrough wrapText="bothSides">
                  <wp:wrapPolygon edited="0">
                    <wp:start x="0" y="0"/>
                    <wp:lineTo x="0" y="21140"/>
                    <wp:lineTo x="21484" y="21140"/>
                    <wp:lineTo x="21484" y="0"/>
                    <wp:lineTo x="0" y="0"/>
                  </wp:wrapPolygon>
                </wp:wrapThrough>
                <wp:docPr id="1073862175" name="Text Box 9"/>
                <wp:cNvGraphicFramePr/>
                <a:graphic xmlns:a="http://schemas.openxmlformats.org/drawingml/2006/main">
                  <a:graphicData uri="http://schemas.microsoft.com/office/word/2010/wordprocessingShape">
                    <wps:wsp>
                      <wps:cNvSpPr txBox="1"/>
                      <wps:spPr>
                        <a:xfrm>
                          <a:off x="0" y="0"/>
                          <a:ext cx="3562350" cy="44767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31DDF545" w14:textId="77777777" w:rsidR="0046685E" w:rsidRPr="00FF17AC" w:rsidRDefault="0046685E" w:rsidP="0046685E">
                            <w:pPr>
                              <w:pStyle w:val="ListParagraph"/>
                              <w:numPr>
                                <w:ilvl w:val="0"/>
                                <w:numId w:val="13"/>
                              </w:numPr>
                            </w:pPr>
                            <w:r w:rsidRPr="007B44E4">
                              <w:rPr>
                                <w:b/>
                                <w:bCs/>
                              </w:rPr>
                              <w:t>1800s (19th Century)</w:t>
                            </w:r>
                            <w:r w:rsidRPr="00FF17AC">
                              <w:t xml:space="preserve"> – Pharmacy became a recognised profession with formal education and training. </w:t>
                            </w:r>
                          </w:p>
                          <w:p w14:paraId="457EF342" w14:textId="77777777" w:rsidR="0046685E" w:rsidRPr="005D3F26" w:rsidRDefault="0046685E" w:rsidP="004668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64E38" id="_x0000_s1033" type="#_x0000_t202" style="position:absolute;margin-left:-52.5pt;margin-top:353.1pt;width:280.5pt;height:35.2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" fillcolor="#8dd873 [1945]" stroked="f" strokeweight="1.5pt">
                <v:fill color2="#a2d7f0 [980]" colors="0 #8ed973;48497f #74c4e9;54395f #74c4e9;1 #a2d8f0" focus="100%" type="gradient"/>
                <v:textbox>
                  <w:txbxContent>
                    <w:p w14:paraId="31DDF545" w14:textId="77777777" w:rsidR="0046685E" w:rsidRPr="00FF17AC" w:rsidRDefault="0046685E" w:rsidP="0046685E">
                      <w:pPr>
                        <w:pStyle w:val="ListParagraph"/>
                        <w:numPr>
                          <w:ilvl w:val="0"/>
                          <w:numId w:val="13"/>
                        </w:numPr>
                      </w:pPr>
                      <w:r w:rsidRPr="007B44E4">
                        <w:rPr>
                          <w:b/>
                          <w:bCs/>
                        </w:rPr>
                        <w:t>1800s (19th Century)</w:t>
                      </w:r>
                      <w:r w:rsidRPr="00FF17AC">
                        <w:t xml:space="preserve"> – Pharmacy became a recognised profession with formal education and training. </w:t>
                      </w:r>
                    </w:p>
                    <w:p w14:paraId="457EF342" w14:textId="77777777" w:rsidR="0046685E" w:rsidRPr="005D3F26" w:rsidRDefault="0046685E" w:rsidP="0046685E"/>
                  </w:txbxContent>
                </v:textbox>
                <w10:wrap type="through" anchorx="margin"/>
              </v:shape>
            </w:pict>
          </mc:Fallback>
        </mc:AlternateContent>
      </w:r>
      <w:r w:rsidR="00A412D1">
        <w:rPr>
          <w:noProof/>
        </w:rPr>
        <mc:AlternateContent>
          <mc:Choice Requires="wps">
            <w:drawing>
              <wp:anchor distT="0" distB="0" distL="114300" distR="114300" simplePos="0" relativeHeight="251658251" behindDoc="0" locked="0" layoutInCell="1" allowOverlap="1" wp14:anchorId="21B34AB9" wp14:editId="4C14B49F">
                <wp:simplePos x="0" y="0"/>
                <wp:positionH relativeFrom="margin">
                  <wp:posOffset>-714375</wp:posOffset>
                </wp:positionH>
                <wp:positionV relativeFrom="paragraph">
                  <wp:posOffset>5141595</wp:posOffset>
                </wp:positionV>
                <wp:extent cx="3609975" cy="447675"/>
                <wp:effectExtent l="0" t="0" r="9525" b="9525"/>
                <wp:wrapThrough wrapText="bothSides">
                  <wp:wrapPolygon edited="0">
                    <wp:start x="0" y="0"/>
                    <wp:lineTo x="0" y="21140"/>
                    <wp:lineTo x="21543" y="21140"/>
                    <wp:lineTo x="21543" y="0"/>
                    <wp:lineTo x="0" y="0"/>
                  </wp:wrapPolygon>
                </wp:wrapThrough>
                <wp:docPr id="173399024" name="Text Box 9"/>
                <wp:cNvGraphicFramePr/>
                <a:graphic xmlns:a="http://schemas.openxmlformats.org/drawingml/2006/main">
                  <a:graphicData uri="http://schemas.microsoft.com/office/word/2010/wordprocessingShape">
                    <wps:wsp>
                      <wps:cNvSpPr txBox="1"/>
                      <wps:spPr>
                        <a:xfrm>
                          <a:off x="0" y="0"/>
                          <a:ext cx="3609975" cy="44767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191ACAB9" w14:textId="77777777" w:rsidR="0046685E" w:rsidRPr="00FF17AC" w:rsidRDefault="0046685E" w:rsidP="0046685E">
                            <w:pPr>
                              <w:pStyle w:val="ListParagraph"/>
                              <w:numPr>
                                <w:ilvl w:val="0"/>
                                <w:numId w:val="13"/>
                              </w:numPr>
                            </w:pPr>
                            <w:r w:rsidRPr="007B44E4">
                              <w:rPr>
                                <w:b/>
                                <w:bCs/>
                              </w:rPr>
                              <w:t>1900s (20th Century)</w:t>
                            </w:r>
                            <w:r w:rsidRPr="00FF17AC">
                              <w:t xml:space="preserve"> – Pharmacists mainly dispensed medicines prescribed by doctors. </w:t>
                            </w:r>
                          </w:p>
                          <w:p w14:paraId="0891E812" w14:textId="77777777" w:rsidR="0046685E" w:rsidRPr="005D3F26" w:rsidRDefault="0046685E" w:rsidP="004668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34AB9" id="_x0000_s1034" type="#_x0000_t202" style="position:absolute;margin-left:-56.25pt;margin-top:404.85pt;width:284.25pt;height:35.2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" fillcolor="#8dd873 [1945]" stroked="f" strokeweight="1.5pt">
                <v:fill color2="#a2d7f0 [980]" colors="0 #8ed973;48497f #74c4e9;54395f #74c4e9;1 #a2d8f0" focus="100%" type="gradient"/>
                <v:textbox>
                  <w:txbxContent>
                    <w:p w14:paraId="191ACAB9" w14:textId="77777777" w:rsidR="0046685E" w:rsidRPr="00FF17AC" w:rsidRDefault="0046685E" w:rsidP="0046685E">
                      <w:pPr>
                        <w:pStyle w:val="ListParagraph"/>
                        <w:numPr>
                          <w:ilvl w:val="0"/>
                          <w:numId w:val="13"/>
                        </w:numPr>
                      </w:pPr>
                      <w:r w:rsidRPr="007B44E4">
                        <w:rPr>
                          <w:b/>
                          <w:bCs/>
                        </w:rPr>
                        <w:t>1900s (20th Century)</w:t>
                      </w:r>
                      <w:r w:rsidRPr="00FF17AC">
                        <w:t xml:space="preserve"> – Pharmacists mainly dispensed medicines prescribed by doctors. </w:t>
                      </w:r>
                    </w:p>
                    <w:p w14:paraId="0891E812" w14:textId="77777777" w:rsidR="0046685E" w:rsidRPr="005D3F26" w:rsidRDefault="0046685E" w:rsidP="0046685E"/>
                  </w:txbxContent>
                </v:textbox>
                <w10:wrap type="through" anchorx="margin"/>
              </v:shape>
            </w:pict>
          </mc:Fallback>
        </mc:AlternateContent>
      </w:r>
      <w:r w:rsidR="00933EA4" w:rsidRPr="007C745F">
        <w:rPr>
          <w:rFonts w:ascii="Arial" w:eastAsia="Cambria" w:hAnsi="Arial" w:cs="Arial"/>
          <w:b/>
          <w:bCs/>
          <w:noProof/>
          <w:color w:val="F6C5AC" w:themeColor="accent2" w:themeTint="66"/>
          <w:sz w:val="32"/>
          <w:szCs w:val="32"/>
          <w14:textOutline w14:w="11112" w14:cap="flat" w14:cmpd="sng" w14:algn="ctr">
            <w14:solidFill>
              <w14:schemeClr w14:val="accent2"/>
            </w14:solidFill>
            <w14:prstDash w14:val="solid"/>
            <w14:round/>
          </w14:textOutline>
        </w:rPr>
        <mc:AlternateContent>
          <mc:Choice Requires="wps">
            <w:drawing>
              <wp:anchor distT="45720" distB="45720" distL="114300" distR="114300" simplePos="0" relativeHeight="251658241" behindDoc="0" locked="0" layoutInCell="1" allowOverlap="1" wp14:anchorId="5CDF3575" wp14:editId="64408457">
                <wp:simplePos x="0" y="0"/>
                <wp:positionH relativeFrom="margin">
                  <wp:posOffset>2781300</wp:posOffset>
                </wp:positionH>
                <wp:positionV relativeFrom="paragraph">
                  <wp:posOffset>38100</wp:posOffset>
                </wp:positionV>
                <wp:extent cx="3771900" cy="19145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1914525"/>
                        </a:xfrm>
                        <a:prstGeom prst="rect">
                          <a:avLst/>
                        </a:prstGeom>
                        <a:gradFill>
                          <a:gsLst>
                            <a:gs pos="0">
                              <a:schemeClr val="accent6">
                                <a:lumMod val="60000"/>
                                <a:lumOff val="40000"/>
                              </a:schemeClr>
                            </a:gs>
                            <a:gs pos="74000">
                              <a:schemeClr val="accent1">
                                <a:lumMod val="45000"/>
                                <a:lumOff val="55000"/>
                              </a:schemeClr>
                            </a:gs>
                            <a:gs pos="100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387EF1BF" w14:textId="5213FA43" w:rsidR="00E66FFC" w:rsidRPr="00476039" w:rsidRDefault="00FD0BDE" w:rsidP="00E66FFC">
                            <w:pPr>
                              <w:rPr>
                                <w:b/>
                                <w:bCs/>
                              </w:rPr>
                            </w:pPr>
                            <w:r w:rsidRPr="00780CDE">
                              <w:rPr>
                                <w:b/>
                                <w:bCs/>
                              </w:rPr>
                              <w:t>What Are Pharmacy Services?</w:t>
                            </w:r>
                            <w:r w:rsidR="0007036C">
                              <w:rPr>
                                <w:b/>
                                <w:bCs/>
                              </w:rPr>
                              <w:t xml:space="preserve"> </w:t>
                            </w:r>
                            <w:r w:rsidRPr="00780CDE">
                              <w:rPr>
                                <w:rFonts w:cs="Arial"/>
                              </w:rPr>
                              <w:t>Pharmacy services are an essential part of healthcare, focusing on the safe supply and effective use of medicines</w:t>
                            </w:r>
                            <w:r w:rsidR="00947FCA" w:rsidRPr="00780CDE">
                              <w:rPr>
                                <w:rFonts w:cs="Arial"/>
                              </w:rPr>
                              <w:t xml:space="preserve"> (NHS England, 2024).</w:t>
                            </w:r>
                            <w:r w:rsidRPr="00780CDE">
                              <w:rPr>
                                <w:rFonts w:cs="Arial"/>
                              </w:rPr>
                              <w:t xml:space="preserve"> Pharmacists and pharmacy technicians work with patients and other healthcare professionals to ensure medications are used correctly and to improve health outcomes.</w:t>
                            </w:r>
                            <w:r w:rsidR="00F65310" w:rsidRPr="00F65310">
                              <w:t xml:space="preserve"> </w:t>
                            </w:r>
                            <w:r w:rsidR="00F65310" w:rsidRPr="00F65310">
                              <w:rPr>
                                <w:rFonts w:cs="Arial"/>
                              </w:rPr>
                              <w:t>(Health Education England, 2023)</w:t>
                            </w:r>
                            <w:r w:rsidR="00F65310">
                              <w:rPr>
                                <w:rFonts w:cs="Arial"/>
                              </w:rPr>
                              <w:t>.</w:t>
                            </w:r>
                            <w:r w:rsidRPr="00780CDE">
                              <w:rPr>
                                <w:rFonts w:cs="Arial"/>
                              </w:rPr>
                              <w:t xml:space="preserve"> In addition to dispensing prescriptions, pharmacy services provide advice on medicines, support for managing long-term conditions, health screening, vaccinations, and public health initiatives (</w:t>
                            </w:r>
                            <w:r w:rsidR="00E66FFC" w:rsidRPr="00E66FFC">
                              <w:rPr>
                                <w:rFonts w:eastAsia="Cambria" w:cs="Arial"/>
                                <w:noProof/>
                              </w:rPr>
                              <w:t>Welsh Government, 2024; UK Health Security Agency, 2024).</w:t>
                            </w:r>
                          </w:p>
                          <w:p w14:paraId="39FC72BE" w14:textId="790D0D91" w:rsidR="00FD0BDE" w:rsidRPr="00780CDE" w:rsidRDefault="00FD0BDE" w:rsidP="00FD0BDE">
                            <w:pPr>
                              <w:rPr>
                                <w:rFonts w:cs="Arial"/>
                              </w:rPr>
                            </w:pPr>
                          </w:p>
                          <w:p w14:paraId="6FB131AF" w14:textId="1E9BCB1F" w:rsidR="007C745F" w:rsidRPr="00780CDE" w:rsidRDefault="007C74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F3575" id="Text Box 2" o:spid="_x0000_s1035" type="#_x0000_t202" style="position:absolute;margin-left:219pt;margin-top:3pt;width:297pt;height:150.7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" fillcolor="#8dd873 [1945]">
                <v:fill color2="#a2d7f0 [980]" colors="0 #8ed973;48497f #74c4e9;1 #74c4e9;1 #a2d8f0" focus="100%" type="gradient"/>
                <v:textbox>
                  <w:txbxContent>
                    <w:p w14:paraId="387EF1BF" w14:textId="5213FA43" w:rsidR="00E66FFC" w:rsidRPr="00476039" w:rsidRDefault="00FD0BDE" w:rsidP="00E66FFC">
                      <w:pPr>
                        <w:rPr>
                          <w:b/>
                          <w:bCs/>
                        </w:rPr>
                      </w:pPr>
                      <w:r w:rsidRPr="00780CDE">
                        <w:rPr>
                          <w:b/>
                          <w:bCs/>
                        </w:rPr>
                        <w:t>What Are Pharmacy Services?</w:t>
                      </w:r>
                      <w:r w:rsidR="0007036C">
                        <w:rPr>
                          <w:b/>
                          <w:bCs/>
                        </w:rPr>
                        <w:t xml:space="preserve"> </w:t>
                      </w:r>
                      <w:r w:rsidRPr="00780CDE">
                        <w:rPr>
                          <w:rFonts w:cs="Arial"/>
                        </w:rPr>
                        <w:t>Pharmacy services are an essential part of healthcare, focusing on the safe supply and effective use of medicines</w:t>
                      </w:r>
                      <w:r w:rsidR="00947FCA" w:rsidRPr="00780CDE">
                        <w:rPr>
                          <w:rFonts w:cs="Arial"/>
                        </w:rPr>
                        <w:t xml:space="preserve"> (NHS England, 2024).</w:t>
                      </w:r>
                      <w:r w:rsidRPr="00780CDE">
                        <w:rPr>
                          <w:rFonts w:cs="Arial"/>
                        </w:rPr>
                        <w:t xml:space="preserve"> Pharmacists and pharmacy technicians work with patients and other healthcare professionals to ensure medications are used correctly and to improve health outcomes.</w:t>
                      </w:r>
                      <w:r w:rsidR="00F65310" w:rsidRPr="00F65310">
                        <w:t xml:space="preserve"> </w:t>
                      </w:r>
                      <w:r w:rsidR="00F65310" w:rsidRPr="00F65310">
                        <w:rPr>
                          <w:rFonts w:cs="Arial"/>
                        </w:rPr>
                        <w:t>(Health Education England, 2023)</w:t>
                      </w:r>
                      <w:r w:rsidR="00F65310">
                        <w:rPr>
                          <w:rFonts w:cs="Arial"/>
                        </w:rPr>
                        <w:t>.</w:t>
                      </w:r>
                      <w:r w:rsidRPr="00780CDE">
                        <w:rPr>
                          <w:rFonts w:cs="Arial"/>
                        </w:rPr>
                        <w:t xml:space="preserve"> In addition to dispensing prescriptions, pharmacy services provide advice on medicines, support for managing long-term conditions, health screening, vaccinations, and public health initiatives (</w:t>
                      </w:r>
                      <w:r w:rsidR="00E66FFC" w:rsidRPr="00E66FFC">
                        <w:rPr>
                          <w:rFonts w:eastAsia="Cambria" w:cs="Arial"/>
                          <w:noProof/>
                        </w:rPr>
                        <w:t>Welsh Government, 2024; UK Health Security Agency, 2024).</w:t>
                      </w:r>
                    </w:p>
                    <w:p w14:paraId="39FC72BE" w14:textId="790D0D91" w:rsidR="00FD0BDE" w:rsidRPr="00780CDE" w:rsidRDefault="00FD0BDE" w:rsidP="00FD0BDE">
                      <w:pPr>
                        <w:rPr>
                          <w:rFonts w:cs="Arial"/>
                        </w:rPr>
                      </w:pPr>
                    </w:p>
                    <w:p w14:paraId="6FB131AF" w14:textId="1E9BCB1F" w:rsidR="007C745F" w:rsidRPr="00780CDE" w:rsidRDefault="007C745F"/>
                  </w:txbxContent>
                </v:textbox>
                <w10:wrap type="square" anchorx="margin"/>
              </v:shape>
            </w:pict>
          </mc:Fallback>
        </mc:AlternateContent>
      </w:r>
      <w:r w:rsidR="007E6AAC" w:rsidRPr="00177AA0">
        <w:rPr>
          <w:rFonts w:ascii="Arial" w:eastAsia="Cambria" w:hAnsi="Arial" w:cs="Arial"/>
          <w:b/>
          <w:bCs/>
          <w:noProof/>
          <w:color w:val="F6C5AC" w:themeColor="accent2" w:themeTint="66"/>
          <w:sz w:val="32"/>
          <w:szCs w:val="32"/>
          <w14:textOutline w14:w="11112" w14:cap="flat" w14:cmpd="sng" w14:algn="ctr">
            <w14:solidFill>
              <w14:schemeClr w14:val="accent2"/>
            </w14:solidFill>
            <w14:prstDash w14:val="solid"/>
            <w14:round/>
          </w14:textOutline>
        </w:rPr>
        <w:drawing>
          <wp:inline distT="0" distB="0" distL="0" distR="0" wp14:anchorId="4FD6F20D" wp14:editId="254E7063">
            <wp:extent cx="2637155" cy="2028825"/>
            <wp:effectExtent l="0" t="0" r="0" b="9525"/>
            <wp:docPr id="719704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7155" cy="2028825"/>
                    </a:xfrm>
                    <a:prstGeom prst="rect">
                      <a:avLst/>
                    </a:prstGeom>
                    <a:noFill/>
                    <a:ln>
                      <a:noFill/>
                    </a:ln>
                  </pic:spPr>
                </pic:pic>
              </a:graphicData>
            </a:graphic>
          </wp:inline>
        </w:drawing>
      </w:r>
      <w:r w:rsidR="003E74AF">
        <w:rPr>
          <w:noProof/>
        </w:rPr>
        <mc:AlternateContent>
          <mc:Choice Requires="wps">
            <w:drawing>
              <wp:anchor distT="0" distB="0" distL="114300" distR="114300" simplePos="0" relativeHeight="251658240" behindDoc="0" locked="0" layoutInCell="1" allowOverlap="1" wp14:anchorId="78CF41FD" wp14:editId="3CE43E73">
                <wp:simplePos x="0" y="0"/>
                <wp:positionH relativeFrom="column">
                  <wp:posOffset>0</wp:posOffset>
                </wp:positionH>
                <wp:positionV relativeFrom="paragraph">
                  <wp:posOffset>0</wp:posOffset>
                </wp:positionV>
                <wp:extent cx="1828800" cy="1828800"/>
                <wp:effectExtent l="0" t="0" r="0" b="0"/>
                <wp:wrapNone/>
                <wp:docPr id="64210248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5754AEC" w14:textId="0A3763EF" w:rsidR="003E74AF" w:rsidRPr="003E74AF" w:rsidRDefault="003E74AF" w:rsidP="003E74AF">
                            <w:pPr>
                              <w:jc w:val="center"/>
                              <w:rPr>
                                <w:rFonts w:ascii="Arial" w:eastAsia="Cambria"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8CF41FD" id="Text Box 1" o:spid="_x0000_s1036" type="#_x0000_t202" style="position:absolute;margin-left:0;margin-top:0;width:2in;height:2in;z-index:2516582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" filled="f" stroked="f">
                <v:textbox style="mso-fit-shape-to-text:t">
                  <w:txbxContent>
                    <w:p w14:paraId="45754AEC" w14:textId="0A3763EF" w:rsidR="003E74AF" w:rsidRPr="003E74AF" w:rsidRDefault="003E74AF" w:rsidP="003E74AF">
                      <w:pPr>
                        <w:jc w:val="center"/>
                        <w:rPr>
                          <w:rFonts w:ascii="Arial" w:eastAsia="Cambria"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A9634E6" w14:textId="6A699857" w:rsidR="00757056" w:rsidRDefault="006B2DFD" w:rsidP="005F6DCE">
      <w:r w:rsidRPr="006B2DFD">
        <w:rPr>
          <w:rFonts w:ascii="Arial" w:eastAsia="Cambria" w:hAnsi="Arial" w:cs="Arial"/>
          <w:noProof/>
          <w:color w:val="92D050"/>
          <w:sz w:val="22"/>
          <w:szCs w:val="22"/>
        </w:rPr>
        <mc:AlternateContent>
          <mc:Choice Requires="wps">
            <w:drawing>
              <wp:inline distT="0" distB="0" distL="0" distR="0" wp14:anchorId="58523336" wp14:editId="260F0FCD">
                <wp:extent cx="304800" cy="304800"/>
                <wp:effectExtent l="0" t="0" r="0" b="0"/>
                <wp:docPr id="119831695" name="Rectangle 10" descr="Generated image: Pharmacy services infographic over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3C4FB2" id="Rectangle 10" o:spid="_x0000_s1026" alt="Generated image: Pharmacy services infographic over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B2DFD">
        <w:t xml:space="preserve"> </w:t>
      </w:r>
      <w:r w:rsidRPr="006B2DFD">
        <w:rPr>
          <w:rFonts w:ascii="Arial" w:eastAsia="Cambria" w:hAnsi="Arial" w:cs="Arial"/>
          <w:noProof/>
          <w:color w:val="92D050"/>
          <w:sz w:val="22"/>
          <w:szCs w:val="22"/>
        </w:rPr>
        <mc:AlternateContent>
          <mc:Choice Requires="wps">
            <w:drawing>
              <wp:inline distT="0" distB="0" distL="0" distR="0" wp14:anchorId="2056F5B4" wp14:editId="0B3C9049">
                <wp:extent cx="304800" cy="304800"/>
                <wp:effectExtent l="0" t="0" r="0" b="0"/>
                <wp:docPr id="525239312" name="Rectangle 11" descr="Generated image: Pharmacy services infographic over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01AE42" id="Rectangle 11" o:spid="_x0000_s1026" alt="Generated image: Pharmacy services infographic over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53663">
        <w:t xml:space="preserve"> </w:t>
      </w:r>
    </w:p>
    <w:p w14:paraId="2E4F31CF" w14:textId="1B8F981E" w:rsidR="0086001D" w:rsidRDefault="0086001D" w:rsidP="005F6DCE"/>
    <w:p w14:paraId="0112DB97" w14:textId="2D590610" w:rsidR="00933EA4" w:rsidRDefault="00933EA4" w:rsidP="008E0659">
      <w:pPr>
        <w:spacing w:after="160" w:line="278" w:lineRule="auto"/>
        <w:rPr>
          <w:rFonts w:ascii="Arial" w:eastAsia="Times New Roman" w:hAnsi="Arial" w:cs="Arial"/>
          <w:sz w:val="22"/>
          <w:szCs w:val="22"/>
          <w:lang w:eastAsia="en-GB"/>
        </w:rPr>
      </w:pPr>
    </w:p>
    <w:p w14:paraId="5B661A73" w14:textId="153017F4" w:rsidR="00DF2657" w:rsidRDefault="00ED20AF" w:rsidP="006A5B45">
      <w:pPr>
        <w:spacing w:after="160" w:line="278" w:lineRule="auto"/>
        <w:rPr>
          <w:rFonts w:ascii="Arial" w:eastAsia="Times New Roman" w:hAnsi="Arial" w:cs="Arial"/>
          <w:sz w:val="22"/>
          <w:szCs w:val="22"/>
          <w:lang w:eastAsia="en-GB"/>
        </w:rPr>
      </w:pPr>
      <w:r>
        <w:rPr>
          <w:rFonts w:ascii="Arial" w:eastAsia="Cambria" w:hAnsi="Arial" w:cs="Arial"/>
          <w:noProof/>
          <w:sz w:val="22"/>
          <w:szCs w:val="22"/>
        </w:rPr>
        <w:drawing>
          <wp:anchor distT="0" distB="0" distL="114300" distR="114300" simplePos="0" relativeHeight="251658272" behindDoc="0" locked="0" layoutInCell="1" allowOverlap="1" wp14:anchorId="11541D6B" wp14:editId="134E889F">
            <wp:simplePos x="0" y="0"/>
            <wp:positionH relativeFrom="page">
              <wp:posOffset>3859619</wp:posOffset>
            </wp:positionH>
            <wp:positionV relativeFrom="page">
              <wp:posOffset>9516140</wp:posOffset>
            </wp:positionV>
            <wp:extent cx="3612411" cy="1179040"/>
            <wp:effectExtent l="0" t="0" r="7620" b="2540"/>
            <wp:wrapSquare wrapText="bothSides"/>
            <wp:docPr id="18333616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5308" cy="1179985"/>
                    </a:xfrm>
                    <a:prstGeom prst="rect">
                      <a:avLst/>
                    </a:prstGeom>
                    <a:noFill/>
                  </pic:spPr>
                </pic:pic>
              </a:graphicData>
            </a:graphic>
            <wp14:sizeRelH relativeFrom="margin">
              <wp14:pctWidth>0</wp14:pctWidth>
            </wp14:sizeRelH>
            <wp14:sizeRelV relativeFrom="margin">
              <wp14:pctHeight>0</wp14:pctHeight>
            </wp14:sizeRelV>
          </wp:anchor>
        </w:drawing>
      </w:r>
    </w:p>
    <w:p w14:paraId="4C0FB24B" w14:textId="6F9323FB" w:rsidR="001A26EC" w:rsidRPr="005E6EA2" w:rsidRDefault="00BB7A3C" w:rsidP="006A5B45">
      <w:pPr>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lastRenderedPageBreak/>
        <w:drawing>
          <wp:anchor distT="0" distB="0" distL="114300" distR="114300" simplePos="0" relativeHeight="251658261" behindDoc="0" locked="0" layoutInCell="1" allowOverlap="1" wp14:anchorId="7236E62B" wp14:editId="2925E967">
            <wp:simplePos x="0" y="0"/>
            <wp:positionH relativeFrom="column">
              <wp:posOffset>-499110</wp:posOffset>
            </wp:positionH>
            <wp:positionV relativeFrom="paragraph">
              <wp:posOffset>-733425</wp:posOffset>
            </wp:positionV>
            <wp:extent cx="3613589" cy="1577252"/>
            <wp:effectExtent l="0" t="0" r="6350" b="4445"/>
            <wp:wrapNone/>
            <wp:docPr id="116449670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13589" cy="1577252"/>
                    </a:xfrm>
                    <a:prstGeom prst="rect">
                      <a:avLst/>
                    </a:prstGeom>
                    <a:noFill/>
                  </pic:spPr>
                </pic:pic>
              </a:graphicData>
            </a:graphic>
            <wp14:sizeRelH relativeFrom="margin">
              <wp14:pctWidth>0</wp14:pctWidth>
            </wp14:sizeRelH>
            <wp14:sizeRelV relativeFrom="margin">
              <wp14:pctHeight>0</wp14:pctHeight>
            </wp14:sizeRelV>
          </wp:anchor>
        </w:drawing>
      </w:r>
      <w:r w:rsidR="00E60693">
        <w:rPr>
          <w:rFonts w:ascii="Arial" w:eastAsia="Times New Roman" w:hAnsi="Arial" w:cs="Arial"/>
          <w:noProof/>
          <w:sz w:val="22"/>
          <w:szCs w:val="22"/>
          <w:lang w:eastAsia="en-GB"/>
        </w:rPr>
        <w:drawing>
          <wp:anchor distT="0" distB="0" distL="114300" distR="114300" simplePos="0" relativeHeight="251658262" behindDoc="0" locked="0" layoutInCell="1" allowOverlap="1" wp14:anchorId="63C739E7" wp14:editId="61F95CEB">
            <wp:simplePos x="0" y="0"/>
            <wp:positionH relativeFrom="column">
              <wp:posOffset>3179135</wp:posOffset>
            </wp:positionH>
            <wp:positionV relativeFrom="paragraph">
              <wp:posOffset>-850605</wp:posOffset>
            </wp:positionV>
            <wp:extent cx="3306725" cy="1652270"/>
            <wp:effectExtent l="0" t="0" r="8255" b="5080"/>
            <wp:wrapNone/>
            <wp:docPr id="15341411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41133" name="Picture 27"/>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324029" cy="1660917"/>
                    </a:xfrm>
                    <a:prstGeom prst="rect">
                      <a:avLst/>
                    </a:prstGeom>
                  </pic:spPr>
                </pic:pic>
              </a:graphicData>
            </a:graphic>
            <wp14:sizeRelH relativeFrom="margin">
              <wp14:pctWidth>0</wp14:pctWidth>
            </wp14:sizeRelH>
            <wp14:sizeRelV relativeFrom="margin">
              <wp14:pctHeight>0</wp14:pctHeight>
            </wp14:sizeRelV>
          </wp:anchor>
        </w:drawing>
      </w:r>
    </w:p>
    <w:p w14:paraId="491A9418" w14:textId="65AA2219" w:rsidR="00883134" w:rsidRDefault="00883134"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D5CDF6" w14:textId="55E7A2ED" w:rsidR="0086686E" w:rsidRDefault="00C325C7"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E236ACE" w14:textId="6DE06DF8" w:rsidR="0095356B" w:rsidRPr="00711028" w:rsidRDefault="00671CA8"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imes New Roman" w:hAnsi="Arial" w:cs="Arial"/>
          <w:noProof/>
          <w:sz w:val="22"/>
          <w:szCs w:val="22"/>
          <w:lang w:eastAsia="en-GB"/>
        </w:rPr>
        <w:drawing>
          <wp:anchor distT="0" distB="0" distL="114300" distR="114300" simplePos="0" relativeHeight="251658260" behindDoc="0" locked="0" layoutInCell="1" allowOverlap="1" wp14:anchorId="1C7CF39E" wp14:editId="3DAC0C0B">
            <wp:simplePos x="0" y="0"/>
            <wp:positionH relativeFrom="margin">
              <wp:posOffset>3519170</wp:posOffset>
            </wp:positionH>
            <wp:positionV relativeFrom="paragraph">
              <wp:posOffset>56515</wp:posOffset>
            </wp:positionV>
            <wp:extent cx="2923540" cy="2338705"/>
            <wp:effectExtent l="0" t="0" r="0" b="4445"/>
            <wp:wrapThrough wrapText="bothSides">
              <wp:wrapPolygon edited="0">
                <wp:start x="0" y="0"/>
                <wp:lineTo x="0" y="21465"/>
                <wp:lineTo x="21394" y="21465"/>
                <wp:lineTo x="21394" y="0"/>
                <wp:lineTo x="0" y="0"/>
              </wp:wrapPolygon>
            </wp:wrapThrough>
            <wp:docPr id="33117633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23540" cy="2338705"/>
                    </a:xfrm>
                    <a:prstGeom prst="rect">
                      <a:avLst/>
                    </a:prstGeom>
                    <a:noFill/>
                  </pic:spPr>
                </pic:pic>
              </a:graphicData>
            </a:graphic>
            <wp14:sizeRelH relativeFrom="margin">
              <wp14:pctWidth>0</wp14:pctWidth>
            </wp14:sizeRelH>
            <wp14:sizeRelV relativeFrom="margin">
              <wp14:pctHeight>0</wp14:pctHeight>
            </wp14:sizeRelV>
          </wp:anchor>
        </w:drawing>
      </w:r>
      <w:r w:rsidR="00FE4794">
        <w:rPr>
          <w:rFonts w:ascii="Arial" w:eastAsia="Times New Roman" w:hAnsi="Arial" w:cs="Arial"/>
          <w:noProof/>
          <w:sz w:val="22"/>
          <w:szCs w:val="22"/>
          <w:lang w:eastAsia="en-GB"/>
        </w:rPr>
        <w:drawing>
          <wp:anchor distT="0" distB="0" distL="114300" distR="114300" simplePos="0" relativeHeight="251658255" behindDoc="0" locked="0" layoutInCell="1" allowOverlap="1" wp14:anchorId="77230B3B" wp14:editId="61D81AE1">
            <wp:simplePos x="0" y="0"/>
            <wp:positionH relativeFrom="leftMargin">
              <wp:posOffset>466090</wp:posOffset>
            </wp:positionH>
            <wp:positionV relativeFrom="paragraph">
              <wp:posOffset>323850</wp:posOffset>
            </wp:positionV>
            <wp:extent cx="542925" cy="542925"/>
            <wp:effectExtent l="0" t="0" r="0" b="9525"/>
            <wp:wrapNone/>
            <wp:docPr id="1158724980" name="Graphic 19" descr="Need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24980" name="Graphic 1158724980" descr="Needle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542925" cy="542925"/>
                    </a:xfrm>
                    <a:prstGeom prst="rect">
                      <a:avLst/>
                    </a:prstGeom>
                  </pic:spPr>
                </pic:pic>
              </a:graphicData>
            </a:graphic>
            <wp14:sizeRelH relativeFrom="margin">
              <wp14:pctWidth>0</wp14:pctWidth>
            </wp14:sizeRelH>
            <wp14:sizeRelV relativeFrom="margin">
              <wp14:pctHeight>0</wp14:pctHeight>
            </wp14:sizeRelV>
          </wp:anchor>
        </w:drawing>
      </w:r>
      <w:r w:rsidR="00E423CC"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Contribution to Publ</w:t>
      </w:r>
      <w:r w:rsidR="00234F24"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E423CC"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 Health</w:t>
      </w:r>
    </w:p>
    <w:p w14:paraId="4786A4CF" w14:textId="48C04A10" w:rsidR="00B146AD" w:rsidRPr="00B146AD" w:rsidRDefault="006A5B45" w:rsidP="00B146AD">
      <w:pPr>
        <w:numPr>
          <w:ilvl w:val="0"/>
          <w:numId w:val="5"/>
        </w:numPr>
        <w:shd w:val="clear" w:color="auto" w:fill="5DBA4E"/>
        <w:spacing w:after="160" w:line="278" w:lineRule="auto"/>
        <w:rPr>
          <w:rFonts w:ascii="Arial" w:eastAsia="Times New Roman" w:hAnsi="Arial" w:cs="Arial"/>
          <w:sz w:val="22"/>
          <w:szCs w:val="22"/>
          <w:lang w:eastAsia="en-GB"/>
        </w:rPr>
      </w:pPr>
      <w:r w:rsidRPr="00CA14CD">
        <w:rPr>
          <w:rFonts w:ascii="Arial" w:eastAsia="Times New Roman" w:hAnsi="Arial" w:cs="Arial"/>
          <w:sz w:val="22"/>
          <w:szCs w:val="22"/>
          <w:lang w:eastAsia="en-GB"/>
        </w:rPr>
        <w:t xml:space="preserve">Provide vaccination programmes and immunisation services </w:t>
      </w:r>
      <w:r w:rsidR="00A457FC" w:rsidRPr="00A457FC">
        <w:rPr>
          <w:rFonts w:ascii="Arial" w:eastAsia="Times New Roman" w:hAnsi="Arial" w:cs="Arial"/>
          <w:sz w:val="22"/>
          <w:szCs w:val="22"/>
          <w:lang w:eastAsia="en-GB"/>
        </w:rPr>
        <w:t>(NHS</w:t>
      </w:r>
      <w:r w:rsidR="00E2134C">
        <w:rPr>
          <w:rFonts w:ascii="Arial" w:eastAsia="Times New Roman" w:hAnsi="Arial" w:cs="Arial"/>
          <w:sz w:val="22"/>
          <w:szCs w:val="22"/>
          <w:lang w:eastAsia="en-GB"/>
        </w:rPr>
        <w:t xml:space="preserve"> </w:t>
      </w:r>
      <w:r w:rsidR="00A457FC" w:rsidRPr="00A457FC">
        <w:rPr>
          <w:rFonts w:ascii="Arial" w:eastAsia="Times New Roman" w:hAnsi="Arial" w:cs="Arial"/>
          <w:sz w:val="22"/>
          <w:szCs w:val="22"/>
          <w:lang w:eastAsia="en-GB"/>
        </w:rPr>
        <w:t>England, 2024)</w:t>
      </w:r>
    </w:p>
    <w:p w14:paraId="5D6F9F30" w14:textId="783B0B01" w:rsidR="00CF6C9E" w:rsidRPr="00CF030F" w:rsidRDefault="00FE4794" w:rsidP="00CF030F">
      <w:pPr>
        <w:numPr>
          <w:ilvl w:val="0"/>
          <w:numId w:val="5"/>
        </w:numPr>
        <w:shd w:val="clear" w:color="auto" w:fill="FFFF99"/>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drawing>
          <wp:anchor distT="0" distB="0" distL="114300" distR="114300" simplePos="0" relativeHeight="251658256" behindDoc="0" locked="0" layoutInCell="1" allowOverlap="1" wp14:anchorId="5273A617" wp14:editId="22AE5F85">
            <wp:simplePos x="0" y="0"/>
            <wp:positionH relativeFrom="leftMargin">
              <wp:posOffset>542925</wp:posOffset>
            </wp:positionH>
            <wp:positionV relativeFrom="paragraph">
              <wp:posOffset>15875</wp:posOffset>
            </wp:positionV>
            <wp:extent cx="485775" cy="485775"/>
            <wp:effectExtent l="0" t="0" r="0" b="9525"/>
            <wp:wrapNone/>
            <wp:docPr id="783495413" name="Graphic 20" descr="No smok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495413" name="Graphic 783495413" descr="No smoking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485775" cy="485775"/>
                    </a:xfrm>
                    <a:prstGeom prst="rect">
                      <a:avLst/>
                    </a:prstGeom>
                  </pic:spPr>
                </pic:pic>
              </a:graphicData>
            </a:graphic>
            <wp14:sizeRelH relativeFrom="margin">
              <wp14:pctWidth>0</wp14:pctWidth>
            </wp14:sizeRelH>
            <wp14:sizeRelV relativeFrom="margin">
              <wp14:pctHeight>0</wp14:pctHeight>
            </wp14:sizeRelV>
          </wp:anchor>
        </w:drawing>
      </w:r>
      <w:r w:rsidR="00B146AD">
        <w:rPr>
          <w:rFonts w:eastAsia="Times New Roman"/>
          <w:noProof/>
          <w:lang w:eastAsia="en-GB"/>
        </w:rPr>
        <w:drawing>
          <wp:anchor distT="0" distB="0" distL="114300" distR="114300" simplePos="0" relativeHeight="251658257" behindDoc="0" locked="0" layoutInCell="1" allowOverlap="1" wp14:anchorId="14CB78A4" wp14:editId="34F24DB3">
            <wp:simplePos x="0" y="0"/>
            <wp:positionH relativeFrom="column">
              <wp:posOffset>-390525</wp:posOffset>
            </wp:positionH>
            <wp:positionV relativeFrom="paragraph">
              <wp:posOffset>565785</wp:posOffset>
            </wp:positionV>
            <wp:extent cx="495300" cy="495300"/>
            <wp:effectExtent l="0" t="0" r="0" b="0"/>
            <wp:wrapNone/>
            <wp:docPr id="687277400" name="Graphic 22" descr="Ger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77400" name="Graphic 687277400" descr="Germ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495300" cy="495300"/>
                    </a:xfrm>
                    <a:prstGeom prst="rect">
                      <a:avLst/>
                    </a:prstGeom>
                  </pic:spPr>
                </pic:pic>
              </a:graphicData>
            </a:graphic>
            <wp14:sizeRelH relativeFrom="margin">
              <wp14:pctWidth>0</wp14:pctWidth>
            </wp14:sizeRelH>
            <wp14:sizeRelV relativeFrom="margin">
              <wp14:pctHeight>0</wp14:pctHeight>
            </wp14:sizeRelV>
          </wp:anchor>
        </w:drawing>
      </w:r>
      <w:r w:rsidR="006A5B45" w:rsidRPr="00CF030F">
        <w:rPr>
          <w:rFonts w:ascii="Arial" w:eastAsia="Times New Roman" w:hAnsi="Arial" w:cs="Arial"/>
          <w:sz w:val="22"/>
          <w:szCs w:val="22"/>
          <w:lang w:eastAsia="en-GB"/>
        </w:rPr>
        <w:t xml:space="preserve">Support smoking cessation </w:t>
      </w:r>
      <w:r w:rsidR="00CF030F" w:rsidRPr="00CF030F">
        <w:rPr>
          <w:rFonts w:ascii="Arial" w:eastAsia="Times New Roman" w:hAnsi="Arial" w:cs="Arial"/>
          <w:sz w:val="22"/>
          <w:szCs w:val="22"/>
          <w:lang w:eastAsia="en-GB"/>
        </w:rPr>
        <w:t>and o</w:t>
      </w:r>
      <w:r w:rsidR="006A5B45" w:rsidRPr="00CF030F">
        <w:rPr>
          <w:rFonts w:ascii="Arial" w:eastAsia="Times New Roman" w:hAnsi="Arial" w:cs="Arial"/>
          <w:sz w:val="22"/>
          <w:szCs w:val="22"/>
          <w:lang w:eastAsia="en-GB"/>
        </w:rPr>
        <w:t>ffer lifestyle advice on diet, exercise, and alcohol consumption</w:t>
      </w:r>
      <w:r w:rsidR="00A457FC">
        <w:rPr>
          <w:rFonts w:ascii="Arial" w:eastAsia="Times New Roman" w:hAnsi="Arial" w:cs="Arial"/>
          <w:sz w:val="22"/>
          <w:szCs w:val="22"/>
          <w:lang w:eastAsia="en-GB"/>
        </w:rPr>
        <w:t xml:space="preserve"> </w:t>
      </w:r>
      <w:r w:rsidR="00A457FC" w:rsidRPr="00A457FC">
        <w:rPr>
          <w:rFonts w:ascii="Arial" w:eastAsia="Times New Roman" w:hAnsi="Arial" w:cs="Arial"/>
          <w:sz w:val="22"/>
          <w:szCs w:val="22"/>
          <w:lang w:eastAsia="en-GB"/>
        </w:rPr>
        <w:t>(NHS</w:t>
      </w:r>
      <w:r w:rsidR="00E2134C">
        <w:rPr>
          <w:rFonts w:ascii="Arial" w:eastAsia="Times New Roman" w:hAnsi="Arial" w:cs="Arial"/>
          <w:sz w:val="22"/>
          <w:szCs w:val="22"/>
          <w:lang w:eastAsia="en-GB"/>
        </w:rPr>
        <w:t xml:space="preserve"> </w:t>
      </w:r>
      <w:r w:rsidR="00A457FC" w:rsidRPr="00A457FC">
        <w:rPr>
          <w:rFonts w:ascii="Arial" w:eastAsia="Times New Roman" w:hAnsi="Arial" w:cs="Arial"/>
          <w:sz w:val="22"/>
          <w:szCs w:val="22"/>
          <w:lang w:eastAsia="en-GB"/>
        </w:rPr>
        <w:t>England, 2024)</w:t>
      </w:r>
    </w:p>
    <w:p w14:paraId="62D86EDF" w14:textId="77B8CFF0" w:rsidR="002448A6" w:rsidRPr="002A4195" w:rsidRDefault="00B146AD" w:rsidP="002A4195">
      <w:pPr>
        <w:numPr>
          <w:ilvl w:val="0"/>
          <w:numId w:val="5"/>
        </w:numPr>
        <w:shd w:val="clear" w:color="auto" w:fill="5DBA4E"/>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drawing>
          <wp:anchor distT="0" distB="0" distL="114300" distR="114300" simplePos="0" relativeHeight="251658258" behindDoc="0" locked="0" layoutInCell="1" allowOverlap="1" wp14:anchorId="212C5467" wp14:editId="166AF3D6">
            <wp:simplePos x="0" y="0"/>
            <wp:positionH relativeFrom="column">
              <wp:posOffset>-389890</wp:posOffset>
            </wp:positionH>
            <wp:positionV relativeFrom="paragraph">
              <wp:posOffset>405130</wp:posOffset>
            </wp:positionV>
            <wp:extent cx="571500" cy="571500"/>
            <wp:effectExtent l="0" t="0" r="0" b="0"/>
            <wp:wrapNone/>
            <wp:docPr id="1925206713" name="Graphic 23"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06713" name="Graphic 1925206713" descr="Medicine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 cy="571500"/>
                    </a:xfrm>
                    <a:prstGeom prst="rect">
                      <a:avLst/>
                    </a:prstGeom>
                  </pic:spPr>
                </pic:pic>
              </a:graphicData>
            </a:graphic>
            <wp14:sizeRelH relativeFrom="margin">
              <wp14:pctWidth>0</wp14:pctWidth>
            </wp14:sizeRelH>
            <wp14:sizeRelV relativeFrom="margin">
              <wp14:pctHeight>0</wp14:pctHeight>
            </wp14:sizeRelV>
          </wp:anchor>
        </w:drawing>
      </w:r>
      <w:r w:rsidR="006A5B45" w:rsidRPr="00CF030F">
        <w:rPr>
          <w:rFonts w:ascii="Arial" w:eastAsia="Times New Roman" w:hAnsi="Arial" w:cs="Arial"/>
          <w:sz w:val="22"/>
          <w:szCs w:val="22"/>
          <w:lang w:eastAsia="en-GB"/>
        </w:rPr>
        <w:t xml:space="preserve">Help prevent disease and improve population health </w:t>
      </w:r>
      <w:r w:rsidR="008C0279" w:rsidRPr="00CF030F">
        <w:rPr>
          <w:rFonts w:ascii="Arial" w:eastAsia="Times New Roman" w:hAnsi="Arial" w:cs="Arial"/>
          <w:sz w:val="22"/>
          <w:szCs w:val="22"/>
          <w:lang w:eastAsia="en-GB"/>
        </w:rPr>
        <w:t>outcome</w:t>
      </w:r>
      <w:r w:rsidR="003950FB">
        <w:rPr>
          <w:rFonts w:ascii="Arial" w:eastAsia="Times New Roman" w:hAnsi="Arial" w:cs="Arial"/>
          <w:sz w:val="22"/>
          <w:szCs w:val="22"/>
          <w:lang w:eastAsia="en-GB"/>
        </w:rPr>
        <w:t>s</w:t>
      </w:r>
      <w:r w:rsidR="002A4195">
        <w:rPr>
          <w:rFonts w:ascii="Arial" w:eastAsia="Times New Roman" w:hAnsi="Arial" w:cs="Arial"/>
          <w:sz w:val="22"/>
          <w:szCs w:val="22"/>
          <w:lang w:eastAsia="en-GB"/>
        </w:rPr>
        <w:t xml:space="preserve"> </w:t>
      </w:r>
      <w:r w:rsidR="002A4195" w:rsidRPr="002A4195">
        <w:rPr>
          <w:rFonts w:ascii="Arial" w:eastAsia="Times New Roman" w:hAnsi="Arial" w:cs="Arial"/>
          <w:sz w:val="22"/>
          <w:szCs w:val="22"/>
          <w:lang w:eastAsia="en-GB"/>
        </w:rPr>
        <w:t>(Brown et al., 2016).</w:t>
      </w:r>
      <w:r w:rsidR="003950FB" w:rsidRPr="002A4195">
        <w:rPr>
          <w:rFonts w:ascii="Arial" w:eastAsia="Times New Roman" w:hAnsi="Arial" w:cs="Arial"/>
          <w:sz w:val="22"/>
          <w:szCs w:val="22"/>
          <w:lang w:eastAsia="en-GB"/>
        </w:rPr>
        <w:tab/>
      </w:r>
    </w:p>
    <w:p w14:paraId="446A537C" w14:textId="30BF56B4" w:rsidR="00AD68AE" w:rsidRPr="00B74C91" w:rsidRDefault="00B74C91" w:rsidP="00B74C91">
      <w:pPr>
        <w:numPr>
          <w:ilvl w:val="0"/>
          <w:numId w:val="5"/>
        </w:numPr>
        <w:shd w:val="clear" w:color="auto" w:fill="FFFF99"/>
        <w:spacing w:after="160" w:line="278" w:lineRule="auto"/>
        <w:rPr>
          <w:rFonts w:ascii="Arial" w:eastAsia="Times New Roman" w:hAnsi="Arial" w:cs="Arial"/>
          <w:sz w:val="22"/>
          <w:szCs w:val="22"/>
          <w:lang w:eastAsia="en-GB"/>
        </w:rPr>
      </w:pPr>
      <w:r w:rsidRPr="00B74C91">
        <w:rPr>
          <w:rFonts w:ascii="Arial" w:eastAsia="Times New Roman" w:hAnsi="Arial" w:cs="Arial"/>
          <w:sz w:val="22"/>
          <w:szCs w:val="22"/>
          <w:lang w:eastAsia="en-GB"/>
        </w:rPr>
        <w:t>Maintained the reliable distribution of essential medicines during the COVID-19 outbreak (Brown et al., 2021).</w:t>
      </w:r>
    </w:p>
    <w:p w14:paraId="3D836ADD" w14:textId="52348550" w:rsidR="009B1626" w:rsidRPr="00671CA8" w:rsidRDefault="00C53550" w:rsidP="00131FC1">
      <w:pPr>
        <w:spacing w:after="160" w:line="278" w:lineRule="auto"/>
        <w:rPr>
          <w:rFonts w:ascii="Arial" w:eastAsia="Times New Roman" w:hAnsi="Arial" w:cs="Arial"/>
          <w:sz w:val="18"/>
          <w:szCs w:val="18"/>
          <w:lang w:eastAsia="en-GB"/>
        </w:rPr>
      </w:pP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sidRPr="00671CA8">
        <w:rPr>
          <w:rFonts w:ascii="Arial" w:eastAsia="Times New Roman" w:hAnsi="Arial" w:cs="Arial"/>
          <w:sz w:val="18"/>
          <w:szCs w:val="18"/>
          <w:lang w:eastAsia="en-GB"/>
        </w:rPr>
        <w:t>(NHS England, 2024)</w:t>
      </w:r>
      <w:r w:rsidR="004B2D81" w:rsidRPr="00671CA8">
        <w:rPr>
          <w:rFonts w:ascii="Arial" w:eastAsia="Times New Roman" w:hAnsi="Arial" w:cs="Arial"/>
          <w:noProof/>
          <w:sz w:val="18"/>
          <w:szCs w:val="18"/>
          <w:lang w:eastAsia="en-GB"/>
        </w:rPr>
        <w:drawing>
          <wp:anchor distT="0" distB="0" distL="114300" distR="114300" simplePos="0" relativeHeight="251658264" behindDoc="0" locked="0" layoutInCell="1" allowOverlap="1" wp14:anchorId="2F817B79" wp14:editId="1B60E6F1">
            <wp:simplePos x="0" y="0"/>
            <wp:positionH relativeFrom="column">
              <wp:posOffset>5648325</wp:posOffset>
            </wp:positionH>
            <wp:positionV relativeFrom="paragraph">
              <wp:posOffset>108585</wp:posOffset>
            </wp:positionV>
            <wp:extent cx="771525" cy="771525"/>
            <wp:effectExtent l="0" t="0" r="0" b="0"/>
            <wp:wrapNone/>
            <wp:docPr id="1688607505" name="Graphic 23" descr="Puzz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07505" name="Graphic 1688607505" descr="Puzzle with solid fill"/>
                    <pic:cNvPicPr/>
                  </pic:nvPicPr>
                  <pic:blipFill>
                    <a:blip r:embed="rId30">
                      <a:extLst>
                        <a:ext uri="{96DAC541-7B7A-43D3-8B79-37D633B846F1}">
                          <asvg:svgBlip xmlns:asvg="http://schemas.microsoft.com/office/drawing/2016/SVG/main" r:embed="rId31"/>
                        </a:ext>
                      </a:extLst>
                    </a:blip>
                    <a:stretch>
                      <a:fillRect/>
                    </a:stretch>
                  </pic:blipFill>
                  <pic:spPr>
                    <a:xfrm>
                      <a:off x="0" y="0"/>
                      <a:ext cx="771525" cy="771525"/>
                    </a:xfrm>
                    <a:prstGeom prst="rect">
                      <a:avLst/>
                    </a:prstGeom>
                  </pic:spPr>
                </pic:pic>
              </a:graphicData>
            </a:graphic>
            <wp14:sizeRelH relativeFrom="margin">
              <wp14:pctWidth>0</wp14:pctWidth>
            </wp14:sizeRelH>
            <wp14:sizeRelV relativeFrom="margin">
              <wp14:pctHeight>0</wp14:pctHeight>
            </wp14:sizeRelV>
          </wp:anchor>
        </w:drawing>
      </w:r>
      <w:r w:rsidR="004B2D81" w:rsidRPr="00671CA8">
        <w:rPr>
          <w:rFonts w:ascii="Arial" w:eastAsia="Times New Roman" w:hAnsi="Arial" w:cs="Arial"/>
          <w:noProof/>
          <w:sz w:val="18"/>
          <w:szCs w:val="18"/>
          <w:lang w:eastAsia="en-GB"/>
        </w:rPr>
        <w:drawing>
          <wp:anchor distT="0" distB="0" distL="114300" distR="114300" simplePos="0" relativeHeight="251658263" behindDoc="0" locked="0" layoutInCell="1" allowOverlap="1" wp14:anchorId="0E6B5367" wp14:editId="210915A8">
            <wp:simplePos x="0" y="0"/>
            <wp:positionH relativeFrom="column">
              <wp:posOffset>1971675</wp:posOffset>
            </wp:positionH>
            <wp:positionV relativeFrom="paragraph">
              <wp:posOffset>128270</wp:posOffset>
            </wp:positionV>
            <wp:extent cx="752475" cy="752475"/>
            <wp:effectExtent l="0" t="0" r="0" b="0"/>
            <wp:wrapNone/>
            <wp:docPr id="1323435536" name="Graphic 24" descr="Puzz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435536" name="Graphic 1323435536" descr="Puzzle outline"/>
                    <pic:cNvPicPr/>
                  </pic:nvPicPr>
                  <pic:blipFill>
                    <a:blip r:embed="rId32">
                      <a:extLst>
                        <a:ext uri="{96DAC541-7B7A-43D3-8B79-37D633B846F1}">
                          <asvg:svgBlip xmlns:asvg="http://schemas.microsoft.com/office/drawing/2016/SVG/main" r:embed="rId33"/>
                        </a:ext>
                      </a:extLst>
                    </a:blip>
                    <a:stretch>
                      <a:fillRect/>
                    </a:stretch>
                  </pic:blipFill>
                  <pic:spPr>
                    <a:xfrm>
                      <a:off x="0" y="0"/>
                      <a:ext cx="752475" cy="75247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pPr w:leftFromText="180" w:rightFromText="180" w:vertAnchor="text" w:horzAnchor="margin" w:tblpXSpec="center" w:tblpY="107"/>
        <w:tblW w:w="11052" w:type="dxa"/>
        <w:tblLook w:val="04A0" w:firstRow="1" w:lastRow="0" w:firstColumn="1" w:lastColumn="0" w:noHBand="0" w:noVBand="1"/>
      </w:tblPr>
      <w:tblGrid>
        <w:gridCol w:w="5364"/>
        <w:gridCol w:w="5688"/>
      </w:tblGrid>
      <w:tr w:rsidR="008954C8" w14:paraId="03B6A8F0" w14:textId="77777777" w:rsidTr="004C3593">
        <w:trPr>
          <w:trHeight w:val="558"/>
        </w:trPr>
        <w:tc>
          <w:tcPr>
            <w:tcW w:w="5364" w:type="dxa"/>
            <w:shd w:val="clear" w:color="auto" w:fill="83CAEB" w:themeFill="accent1" w:themeFillTint="66"/>
          </w:tcPr>
          <w:p w14:paraId="68348847" w14:textId="77777777" w:rsidR="008954C8" w:rsidRPr="00B820CB" w:rsidRDefault="008954C8" w:rsidP="008954C8">
            <w:pPr>
              <w:spacing w:after="160" w:line="278" w:lineRule="auto"/>
              <w:rPr>
                <w:rFonts w:ascii="Arial" w:eastAsia="Times New Roman" w:hAnsi="Arial" w:cs="Arial"/>
                <w:b/>
                <w:bCs/>
                <w:sz w:val="22"/>
                <w:szCs w:val="22"/>
                <w:u w:val="single"/>
                <w:lang w:eastAsia="en-GB"/>
              </w:rPr>
            </w:pPr>
            <w:r w:rsidRPr="00B820CB">
              <w:rPr>
                <w:rFonts w:ascii="Arial" w:eastAsia="Times New Roman" w:hAnsi="Arial" w:cs="Arial"/>
                <w:b/>
                <w:bCs/>
                <w:sz w:val="22"/>
                <w:szCs w:val="22"/>
                <w:u w:val="single"/>
                <w:lang w:eastAsia="en-GB"/>
              </w:rPr>
              <w:t>Challenge 1: Workforce Shortages</w:t>
            </w:r>
          </w:p>
        </w:tc>
        <w:tc>
          <w:tcPr>
            <w:tcW w:w="5688" w:type="dxa"/>
            <w:shd w:val="clear" w:color="auto" w:fill="83CAEB" w:themeFill="accent1" w:themeFillTint="66"/>
          </w:tcPr>
          <w:p w14:paraId="425CF884" w14:textId="3F3C7419" w:rsidR="00941CB4" w:rsidRPr="00B820CB" w:rsidRDefault="008954C8" w:rsidP="008954C8">
            <w:pPr>
              <w:spacing w:after="160" w:line="278" w:lineRule="auto"/>
              <w:rPr>
                <w:rFonts w:ascii="Arial" w:eastAsia="Times New Roman" w:hAnsi="Arial" w:cs="Arial"/>
                <w:b/>
                <w:bCs/>
                <w:sz w:val="22"/>
                <w:szCs w:val="22"/>
                <w:u w:val="single"/>
                <w:lang w:eastAsia="en-GB"/>
              </w:rPr>
            </w:pPr>
            <w:r w:rsidRPr="00B820CB">
              <w:rPr>
                <w:rFonts w:ascii="Arial" w:eastAsia="Times New Roman" w:hAnsi="Arial" w:cs="Arial"/>
                <w:b/>
                <w:bCs/>
                <w:sz w:val="22"/>
                <w:szCs w:val="22"/>
                <w:u w:val="single"/>
                <w:lang w:eastAsia="en-GB"/>
              </w:rPr>
              <w:t>Challenge 2: Rising Demand for Services</w:t>
            </w:r>
            <w:r w:rsidR="00005C21">
              <w:rPr>
                <w:rFonts w:ascii="Arial" w:eastAsia="Times New Roman" w:hAnsi="Arial" w:cs="Arial"/>
                <w:b/>
                <w:bCs/>
                <w:sz w:val="22"/>
                <w:szCs w:val="22"/>
                <w:u w:val="single"/>
                <w:lang w:eastAsia="en-GB"/>
              </w:rPr>
              <w:t xml:space="preserve"> </w:t>
            </w:r>
          </w:p>
        </w:tc>
      </w:tr>
      <w:tr w:rsidR="008954C8" w14:paraId="1596A9E8" w14:textId="77777777" w:rsidTr="004C3593">
        <w:tc>
          <w:tcPr>
            <w:tcW w:w="5364" w:type="dxa"/>
            <w:shd w:val="clear" w:color="auto" w:fill="83CAEB" w:themeFill="accent1" w:themeFillTint="66"/>
          </w:tcPr>
          <w:p w14:paraId="079FA82B" w14:textId="1F327DD6" w:rsidR="00602226" w:rsidRPr="00A80BC1" w:rsidRDefault="00602226" w:rsidP="00602226">
            <w:pPr>
              <w:pStyle w:val="ListParagraph"/>
              <w:rPr>
                <w:rFonts w:ascii="Arial" w:eastAsia="Times New Roman" w:hAnsi="Arial" w:cs="Arial"/>
                <w:lang w:eastAsia="en-GB"/>
              </w:rPr>
            </w:pPr>
            <w:r w:rsidRPr="00A80BC1">
              <w:rPr>
                <w:rFonts w:ascii="Arial" w:eastAsia="Times New Roman" w:hAnsi="Arial" w:cs="Arial"/>
                <w:lang w:eastAsia="en-GB"/>
              </w:rPr>
              <w:t>(Royal Pharmaceutical Society, 2023).</w:t>
            </w:r>
          </w:p>
          <w:p w14:paraId="117BAF85" w14:textId="07BA0D5F" w:rsidR="008954C8" w:rsidRPr="00A30F02" w:rsidRDefault="008954C8" w:rsidP="00A30F02">
            <w:pPr>
              <w:pStyle w:val="ListParagraph"/>
              <w:numPr>
                <w:ilvl w:val="0"/>
                <w:numId w:val="14"/>
              </w:numPr>
              <w:rPr>
                <w:rFonts w:ascii="Arial" w:eastAsia="Times New Roman" w:hAnsi="Arial" w:cs="Arial"/>
                <w:sz w:val="22"/>
                <w:szCs w:val="22"/>
                <w:lang w:eastAsia="en-GB"/>
              </w:rPr>
            </w:pPr>
            <w:r w:rsidRPr="00A30F02">
              <w:rPr>
                <w:rFonts w:ascii="Arial" w:eastAsia="Times New Roman" w:hAnsi="Arial" w:cs="Arial"/>
                <w:sz w:val="22"/>
                <w:szCs w:val="22"/>
                <w:lang w:eastAsia="en-GB"/>
              </w:rPr>
              <w:t xml:space="preserve">Shortage of </w:t>
            </w:r>
            <w:r w:rsidRPr="007F0F2E">
              <w:rPr>
                <w:rFonts w:ascii="Arial" w:eastAsia="Times New Roman" w:hAnsi="Arial" w:cs="Arial"/>
                <w:sz w:val="22"/>
                <w:szCs w:val="22"/>
                <w:lang w:eastAsia="en-GB"/>
              </w:rPr>
              <w:t xml:space="preserve">qualified </w:t>
            </w:r>
            <w:r w:rsidRPr="00A30F02">
              <w:rPr>
                <w:rFonts w:ascii="Arial" w:eastAsia="Times New Roman" w:hAnsi="Arial" w:cs="Arial"/>
                <w:sz w:val="22"/>
                <w:szCs w:val="22"/>
                <w:lang w:eastAsia="en-GB"/>
              </w:rPr>
              <w:t xml:space="preserve">pharmacists </w:t>
            </w:r>
          </w:p>
          <w:p w14:paraId="51093ADC" w14:textId="06CE82C9"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Growing healthcare demand is increasing workforce pressure. </w:t>
            </w:r>
          </w:p>
          <w:p w14:paraId="6A23F6F1" w14:textId="77777777"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Recruitment and retention difficulties are worsening staff shortages. </w:t>
            </w:r>
          </w:p>
          <w:p w14:paraId="00C56069" w14:textId="38154C3F"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Workplace stress contributes to workforce challenges. </w:t>
            </w:r>
          </w:p>
          <w:p w14:paraId="2F103BFE" w14:textId="4C990950"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Staff shortages increase workloads for existing employees. </w:t>
            </w:r>
          </w:p>
          <w:p w14:paraId="1CDA3A52" w14:textId="0BE0EFF7"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Patients may experience longer waiting times. </w:t>
            </w:r>
          </w:p>
          <w:p w14:paraId="7AFC1FDC" w14:textId="0FEA32E4"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Addressing workforce issues is essential to meet future patient need</w:t>
            </w:r>
            <w:r w:rsidR="00A80BC1">
              <w:rPr>
                <w:rFonts w:ascii="Arial" w:eastAsia="Times New Roman" w:hAnsi="Arial" w:cs="Arial"/>
                <w:sz w:val="22"/>
                <w:szCs w:val="22"/>
                <w:lang w:eastAsia="en-GB"/>
              </w:rPr>
              <w:t xml:space="preserve"> (RPS, 2023).</w:t>
            </w:r>
          </w:p>
        </w:tc>
        <w:tc>
          <w:tcPr>
            <w:tcW w:w="5688" w:type="dxa"/>
            <w:shd w:val="clear" w:color="auto" w:fill="83CAEB" w:themeFill="accent1" w:themeFillTint="66"/>
          </w:tcPr>
          <w:p w14:paraId="128B7610" w14:textId="3F49B9D7" w:rsidR="00A30F02" w:rsidRPr="00045259" w:rsidRDefault="00045259" w:rsidP="00045259">
            <w:pPr>
              <w:ind w:left="360"/>
              <w:rPr>
                <w:rFonts w:ascii="Arial" w:eastAsia="Times New Roman" w:hAnsi="Arial" w:cs="Arial"/>
                <w:sz w:val="18"/>
                <w:szCs w:val="18"/>
                <w:lang w:eastAsia="en-GB"/>
              </w:rPr>
            </w:pPr>
            <w:r>
              <w:rPr>
                <w:rFonts w:ascii="Arial" w:eastAsia="Times New Roman" w:hAnsi="Arial" w:cs="Arial"/>
                <w:sz w:val="22"/>
                <w:szCs w:val="22"/>
                <w:lang w:eastAsia="en-GB"/>
              </w:rPr>
              <w:tab/>
            </w:r>
            <w:r w:rsidR="00320C15">
              <w:rPr>
                <w:rFonts w:ascii="Arial" w:eastAsia="Times New Roman" w:hAnsi="Arial" w:cs="Arial"/>
                <w:sz w:val="22"/>
                <w:szCs w:val="22"/>
                <w:lang w:eastAsia="en-GB"/>
              </w:rPr>
              <w:t>(</w:t>
            </w:r>
            <w:r w:rsidRPr="00045259">
              <w:rPr>
                <w:rFonts w:ascii="Arial" w:eastAsia="Times New Roman" w:hAnsi="Arial" w:cs="Arial"/>
                <w:sz w:val="18"/>
                <w:szCs w:val="18"/>
                <w:lang w:eastAsia="en-GB"/>
              </w:rPr>
              <w:t>NHS England, 2024)</w:t>
            </w:r>
          </w:p>
          <w:p w14:paraId="355F28BB" w14:textId="281A4310" w:rsidR="008954C8" w:rsidRPr="00CF030F"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Growing demand for pharmacy services. </w:t>
            </w:r>
          </w:p>
          <w:p w14:paraId="1EAA5C16" w14:textId="77777777"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Rising rates of chronic illnesses contribute to workload. </w:t>
            </w:r>
          </w:p>
          <w:p w14:paraId="089B7CC8" w14:textId="41BE5666"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Increased use of medicines places additional pressure. </w:t>
            </w:r>
          </w:p>
          <w:p w14:paraId="500EAE64" w14:textId="7E85A78F"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More patients are seeking support from community pharmacies due to pressures on GP practices and hospitals. </w:t>
            </w:r>
          </w:p>
          <w:p w14:paraId="5E4512D6" w14:textId="42CA062A"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Maintaining service quality and patient safety depends on sufficient investment. </w:t>
            </w:r>
          </w:p>
          <w:p w14:paraId="1AF073C9" w14:textId="42C6C67D"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Increasing demand may reduce the efficiency and accessibility of pharmacy services if resources are inadequate (NHS England, 2024</w:t>
            </w:r>
            <w:r w:rsidR="00602226">
              <w:rPr>
                <w:rFonts w:ascii="Arial" w:eastAsia="Times New Roman" w:hAnsi="Arial" w:cs="Arial"/>
                <w:sz w:val="22"/>
                <w:szCs w:val="22"/>
                <w:lang w:eastAsia="en-GB"/>
              </w:rPr>
              <w:t>)</w:t>
            </w:r>
            <w:r w:rsidRPr="00D3460B">
              <w:rPr>
                <w:rFonts w:ascii="Arial" w:eastAsia="Times New Roman" w:hAnsi="Arial" w:cs="Arial"/>
                <w:sz w:val="22"/>
                <w:szCs w:val="22"/>
                <w:lang w:eastAsia="en-GB"/>
              </w:rPr>
              <w:t>.</w:t>
            </w:r>
          </w:p>
        </w:tc>
      </w:tr>
    </w:tbl>
    <w:p w14:paraId="2218C017" w14:textId="0EE14E6E" w:rsidR="004E5A0B" w:rsidRPr="004E5A0B" w:rsidRDefault="002633A7" w:rsidP="004E5A0B">
      <w:pPr>
        <w:tabs>
          <w:tab w:val="left" w:pos="3767"/>
        </w:tabs>
        <w:rPr>
          <w:rFonts w:ascii="Arial" w:eastAsia="Times New Roman" w:hAnsi="Arial" w:cs="Arial"/>
          <w:sz w:val="22"/>
          <w:szCs w:val="22"/>
          <w:lang w:eastAsia="en-GB"/>
        </w:rPr>
      </w:pPr>
      <w:r w:rsidRPr="005A0F00">
        <w:rPr>
          <w:rFonts w:ascii="Arial" w:eastAsia="Times New Roman" w:hAnsi="Arial" w:cs="Arial"/>
          <w:noProof/>
          <w:sz w:val="22"/>
          <w:szCs w:val="22"/>
          <w:lang w:eastAsia="en-GB"/>
        </w:rPr>
        <w:drawing>
          <wp:anchor distT="0" distB="0" distL="114300" distR="114300" simplePos="0" relativeHeight="251658245" behindDoc="0" locked="0" layoutInCell="1" allowOverlap="1" wp14:anchorId="07D5ADD7" wp14:editId="250C9BF3">
            <wp:simplePos x="0" y="0"/>
            <wp:positionH relativeFrom="margin">
              <wp:posOffset>318770</wp:posOffset>
            </wp:positionH>
            <wp:positionV relativeFrom="paragraph">
              <wp:posOffset>2780030</wp:posOffset>
            </wp:positionV>
            <wp:extent cx="4921885" cy="1711325"/>
            <wp:effectExtent l="0" t="0" r="0" b="3175"/>
            <wp:wrapSquare wrapText="bothSides"/>
            <wp:docPr id="2231807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80795" name="Picture 22318079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921885" cy="1711325"/>
                    </a:xfrm>
                    <a:prstGeom prst="rect">
                      <a:avLst/>
                    </a:prstGeom>
                  </pic:spPr>
                </pic:pic>
              </a:graphicData>
            </a:graphic>
            <wp14:sizeRelH relativeFrom="margin">
              <wp14:pctWidth>0</wp14:pctWidth>
            </wp14:sizeRelH>
            <wp14:sizeRelV relativeFrom="margin">
              <wp14:pctHeight>0</wp14:pctHeight>
            </wp14:sizeRelV>
          </wp:anchor>
        </w:drawing>
      </w:r>
      <w:r w:rsidR="00ED20AF">
        <w:rPr>
          <w:rFonts w:ascii="Arial" w:eastAsia="Cambria" w:hAnsi="Arial" w:cs="Arial"/>
          <w:noProof/>
          <w:sz w:val="22"/>
          <w:szCs w:val="22"/>
        </w:rPr>
        <w:drawing>
          <wp:anchor distT="0" distB="0" distL="114300" distR="114300" simplePos="0" relativeHeight="251658270" behindDoc="0" locked="0" layoutInCell="1" allowOverlap="1" wp14:anchorId="31D4F0DA" wp14:editId="7B19C78F">
            <wp:simplePos x="0" y="0"/>
            <wp:positionH relativeFrom="column">
              <wp:posOffset>-638175</wp:posOffset>
            </wp:positionH>
            <wp:positionV relativeFrom="margin">
              <wp:posOffset>6878955</wp:posOffset>
            </wp:positionV>
            <wp:extent cx="861060" cy="839470"/>
            <wp:effectExtent l="0" t="0" r="0" b="0"/>
            <wp:wrapSquare wrapText="bothSides"/>
            <wp:docPr id="19544289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61060" cy="839470"/>
                    </a:xfrm>
                    <a:prstGeom prst="rect">
                      <a:avLst/>
                    </a:prstGeom>
                    <a:noFill/>
                  </pic:spPr>
                </pic:pic>
              </a:graphicData>
            </a:graphic>
            <wp14:sizeRelH relativeFrom="margin">
              <wp14:pctWidth>0</wp14:pctWidth>
            </wp14:sizeRelH>
            <wp14:sizeRelV relativeFrom="margin">
              <wp14:pctHeight>0</wp14:pctHeight>
            </wp14:sizeRelV>
          </wp:anchor>
        </w:drawing>
      </w:r>
      <w:r w:rsidR="00ED20AF">
        <w:rPr>
          <w:rFonts w:ascii="Arial" w:eastAsia="Cambria" w:hAnsi="Arial" w:cs="Arial"/>
          <w:noProof/>
          <w:sz w:val="22"/>
          <w:szCs w:val="22"/>
        </w:rPr>
        <w:drawing>
          <wp:anchor distT="0" distB="0" distL="114300" distR="114300" simplePos="0" relativeHeight="251658271" behindDoc="0" locked="0" layoutInCell="1" allowOverlap="1" wp14:anchorId="0E2284FC" wp14:editId="630659B0">
            <wp:simplePos x="0" y="0"/>
            <wp:positionH relativeFrom="rightMargin">
              <wp:posOffset>-181610</wp:posOffset>
            </wp:positionH>
            <wp:positionV relativeFrom="paragraph">
              <wp:posOffset>3107690</wp:posOffset>
            </wp:positionV>
            <wp:extent cx="651510" cy="903605"/>
            <wp:effectExtent l="0" t="0" r="0" b="0"/>
            <wp:wrapSquare wrapText="bothSides"/>
            <wp:docPr id="16491085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51510" cy="903605"/>
                    </a:xfrm>
                    <a:prstGeom prst="rect">
                      <a:avLst/>
                    </a:prstGeom>
                    <a:noFill/>
                  </pic:spPr>
                </pic:pic>
              </a:graphicData>
            </a:graphic>
            <wp14:sizeRelH relativeFrom="margin">
              <wp14:pctWidth>0</wp14:pctWidth>
            </wp14:sizeRelH>
            <wp14:sizeRelV relativeFrom="margin">
              <wp14:pctHeight>0</wp14:pctHeight>
            </wp14:sizeRelV>
          </wp:anchor>
        </w:drawing>
      </w:r>
    </w:p>
    <w:p w14:paraId="7B647A91" w14:textId="77777777" w:rsidR="002633A7" w:rsidRDefault="002633A7" w:rsidP="004C3593">
      <w:pPr>
        <w:rPr>
          <w:rFonts w:ascii="Arial" w:hAnsi="Arial" w:cs="Arial"/>
          <w:sz w:val="22"/>
          <w:szCs w:val="22"/>
        </w:rPr>
      </w:pPr>
    </w:p>
    <w:p w14:paraId="30B7AF98" w14:textId="77777777" w:rsidR="002633A7" w:rsidRDefault="002633A7" w:rsidP="004C3593">
      <w:pPr>
        <w:rPr>
          <w:rFonts w:ascii="Arial" w:hAnsi="Arial" w:cs="Arial"/>
          <w:sz w:val="22"/>
          <w:szCs w:val="22"/>
        </w:rPr>
      </w:pPr>
    </w:p>
    <w:p w14:paraId="1F973775" w14:textId="77777777" w:rsidR="007F0F2E" w:rsidRDefault="008954C8" w:rsidP="007F0F2E">
      <w:pPr>
        <w:rPr>
          <w:rFonts w:ascii="Arial" w:hAnsi="Arial" w:cs="Arial"/>
        </w:rPr>
      </w:pPr>
      <w:r w:rsidRPr="002633A7">
        <w:rPr>
          <w:rFonts w:ascii="Arial" w:hAnsi="Arial" w:cs="Arial"/>
        </w:rPr>
        <w:t>Figure 1: Impact of workforce shortages on pharmacy services, showing increased workload, longer waiting times, staff stress, reduced patient care, and recruitment difficulties as key challenges</w:t>
      </w:r>
      <w:r w:rsidR="00536C99">
        <w:rPr>
          <w:rFonts w:ascii="Arial" w:hAnsi="Arial" w:cs="Arial"/>
        </w:rPr>
        <w:t xml:space="preserve">. </w:t>
      </w:r>
      <w:r w:rsidRPr="002633A7">
        <w:rPr>
          <w:rFonts w:ascii="Arial" w:hAnsi="Arial" w:cs="Arial"/>
        </w:rPr>
        <w:t>Royal Pharmaceutical Society</w:t>
      </w:r>
      <w:r w:rsidR="000508B8">
        <w:rPr>
          <w:rFonts w:ascii="Arial" w:hAnsi="Arial" w:cs="Arial"/>
        </w:rPr>
        <w:t xml:space="preserve"> </w:t>
      </w:r>
      <w:r w:rsidR="00536C99">
        <w:rPr>
          <w:rFonts w:ascii="Arial" w:hAnsi="Arial" w:cs="Arial"/>
        </w:rPr>
        <w:t>(</w:t>
      </w:r>
      <w:r w:rsidRPr="002633A7">
        <w:rPr>
          <w:rFonts w:ascii="Arial" w:hAnsi="Arial" w:cs="Arial"/>
        </w:rPr>
        <w:t>2023</w:t>
      </w:r>
      <w:r w:rsidR="00B27D0A">
        <w:rPr>
          <w:rFonts w:ascii="Arial" w:hAnsi="Arial" w:cs="Arial"/>
        </w:rPr>
        <w:t>).</w:t>
      </w:r>
    </w:p>
    <w:p w14:paraId="0D99EF3C" w14:textId="28AD68B9" w:rsidR="005A4122" w:rsidRDefault="00954084" w:rsidP="007F0F2E">
      <w:pPr>
        <w:rPr>
          <w:rFonts w:ascii="Arial" w:eastAsia="Times New Roman" w:hAnsi="Arial" w:cs="Arial"/>
          <w:b/>
          <w:bCs/>
          <w:sz w:val="22"/>
          <w:szCs w:val="22"/>
          <w:lang w:eastAsia="en-GB"/>
        </w:rPr>
      </w:pPr>
      <w:r w:rsidRPr="007F0F2E">
        <w:rPr>
          <w:rFonts w:ascii="Arial" w:eastAsia="Times New Roman" w:hAnsi="Arial" w:cs="Arial"/>
          <w:b/>
          <w:bCs/>
          <w:sz w:val="22"/>
          <w:szCs w:val="22"/>
          <w:lang w:eastAsia="en-GB"/>
        </w:rPr>
        <w:lastRenderedPageBreak/>
        <w:t>Residential Care Homes: Development, Current Role and Importance in Social Care</w:t>
      </w:r>
    </w:p>
    <w:p w14:paraId="6F306B3A" w14:textId="77777777" w:rsidR="007F0F2E" w:rsidRPr="007F0F2E" w:rsidRDefault="007F0F2E" w:rsidP="007F0F2E">
      <w:pPr>
        <w:rPr>
          <w:rFonts w:ascii="Arial" w:hAnsi="Arial" w:cs="Arial"/>
        </w:rPr>
      </w:pPr>
    </w:p>
    <w:p w14:paraId="193BCCCC" w14:textId="77777777" w:rsidR="000C474C" w:rsidRPr="007F0F2E" w:rsidRDefault="00BC490F" w:rsidP="007F0F2E">
      <w:pPr>
        <w:spacing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In the UK, residential care facilities play a vital role within the social care sector by providing accommodation, personal support, and assistance with daily living for individuals who are unable to live independently because of age, illness, disability, or complex care needs (Social Care Institute for Excellence, 2025).</w:t>
      </w:r>
      <w:r w:rsidR="000C474C" w:rsidRPr="007F0F2E">
        <w:rPr>
          <w:rFonts w:ascii="Arial" w:eastAsia="Times New Roman" w:hAnsi="Arial" w:cs="Arial"/>
          <w:sz w:val="22"/>
          <w:szCs w:val="22"/>
          <w:lang w:eastAsia="en-GB"/>
        </w:rPr>
        <w:t xml:space="preserve"> </w:t>
      </w:r>
      <w:r w:rsidR="00954084" w:rsidRPr="007F0F2E">
        <w:rPr>
          <w:rFonts w:ascii="Arial" w:eastAsia="Times New Roman" w:hAnsi="Arial" w:cs="Arial"/>
          <w:sz w:val="22"/>
          <w:szCs w:val="22"/>
          <w:lang w:eastAsia="en-GB"/>
        </w:rPr>
        <w:t>These services aim to provide a safe environment where residents can receive assistance while maintaining their dignity and wellbeing (NHS England, 2024).</w:t>
      </w:r>
    </w:p>
    <w:p w14:paraId="507FD1AF" w14:textId="2C963353" w:rsidR="00B27D0A" w:rsidRPr="007F0F2E" w:rsidRDefault="00654E11" w:rsidP="007F0F2E">
      <w:pPr>
        <w:spacing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In the twentieth century, the establishment of the welfare state and the National Health Service (NHS) in 1948 encouraged a more supportive approach to care provision (The King's Fund, 2024)</w:t>
      </w:r>
      <w:r w:rsidR="00851551" w:rsidRPr="007F0F2E">
        <w:rPr>
          <w:rFonts w:ascii="Arial" w:eastAsia="Times New Roman" w:hAnsi="Arial" w:cs="Arial"/>
          <w:sz w:val="22"/>
          <w:szCs w:val="22"/>
          <w:lang w:eastAsia="en-GB"/>
        </w:rPr>
        <w:t xml:space="preserve">. </w:t>
      </w:r>
      <w:r w:rsidR="00D80D26" w:rsidRPr="007F0F2E">
        <w:rPr>
          <w:rFonts w:ascii="Arial" w:eastAsia="Times New Roman" w:hAnsi="Arial" w:cs="Arial"/>
          <w:sz w:val="22"/>
          <w:szCs w:val="22"/>
          <w:lang w:eastAsia="en-GB"/>
        </w:rPr>
        <w:t>Over time, workhouses were replaced by residential care homes that focused on personal care and improving quality of life</w:t>
      </w:r>
      <w:r w:rsidR="00B27D0A" w:rsidRPr="007F0F2E">
        <w:rPr>
          <w:rFonts w:ascii="Arial" w:eastAsia="Times New Roman" w:hAnsi="Arial" w:cs="Arial"/>
          <w:sz w:val="22"/>
          <w:szCs w:val="22"/>
          <w:lang w:eastAsia="en-GB"/>
        </w:rPr>
        <w:t>.</w:t>
      </w:r>
    </w:p>
    <w:p w14:paraId="5F140BA2" w14:textId="69D7A451" w:rsidR="00B57D1F" w:rsidRPr="007F0F2E" w:rsidRDefault="00E12C72" w:rsidP="007F0F2E">
      <w:pPr>
        <w:spacing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Today,</w:t>
      </w:r>
      <w:r w:rsidR="00B27D0A" w:rsidRPr="007F0F2E">
        <w:rPr>
          <w:rFonts w:ascii="Arial" w:eastAsia="Times New Roman" w:hAnsi="Arial" w:cs="Arial"/>
          <w:sz w:val="22"/>
          <w:szCs w:val="22"/>
          <w:lang w:eastAsia="en-GB"/>
        </w:rPr>
        <w:t xml:space="preserve"> care homes create a safe and supportive environment, offering companionship for residents. These settings deliver a range of services to help individuals manage daily life, including assistance with personal hygiene, dressing, eating, mobility, medication use, and emotional support (NICE, 2023). In addition, residents benefit from access to professional care that may otherwise be difficult to obtain. For those with complex needs, personalised support can improve physical health, emotional wellbeing, and overall quality of life (NICE, 2023).</w:t>
      </w:r>
    </w:p>
    <w:p w14:paraId="4EB5F131" w14:textId="3655FEFB" w:rsidR="00903345" w:rsidRPr="007F0F2E" w:rsidRDefault="00954084"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Many homes also organise social activities and recreational programmes to reduce loneliness and encourage community participation</w:t>
      </w:r>
      <w:r w:rsidR="00CF7AB4" w:rsidRPr="007F0F2E">
        <w:rPr>
          <w:rFonts w:ascii="Arial" w:eastAsia="Times New Roman" w:hAnsi="Arial" w:cs="Arial"/>
          <w:sz w:val="22"/>
          <w:szCs w:val="22"/>
          <w:lang w:eastAsia="en-GB"/>
        </w:rPr>
        <w:t>.</w:t>
      </w:r>
      <w:r w:rsidR="009956F2" w:rsidRPr="007F0F2E">
        <w:rPr>
          <w:rFonts w:ascii="Arial" w:eastAsia="Times New Roman" w:hAnsi="Arial" w:cs="Arial"/>
          <w:sz w:val="22"/>
          <w:szCs w:val="22"/>
          <w:lang w:eastAsia="en-GB"/>
        </w:rPr>
        <w:t xml:space="preserve"> </w:t>
      </w:r>
      <w:r w:rsidR="00ED290A" w:rsidRPr="007F0F2E">
        <w:rPr>
          <w:rFonts w:ascii="Arial" w:eastAsia="Times New Roman" w:hAnsi="Arial" w:cs="Arial"/>
          <w:sz w:val="22"/>
          <w:szCs w:val="22"/>
          <w:lang w:eastAsia="en-GB"/>
        </w:rPr>
        <w:t>In England, all providers must be registered with the Care Quality Commission (CQC)</w:t>
      </w:r>
      <w:r w:rsidR="00FC7C60" w:rsidRPr="007F0F2E">
        <w:rPr>
          <w:rFonts w:ascii="Arial" w:eastAsia="Times New Roman" w:hAnsi="Arial" w:cs="Arial"/>
          <w:sz w:val="22"/>
          <w:szCs w:val="22"/>
          <w:lang w:eastAsia="en-GB"/>
        </w:rPr>
        <w:t>,</w:t>
      </w:r>
      <w:r w:rsidR="0076144F" w:rsidRPr="007F0F2E">
        <w:rPr>
          <w:rFonts w:ascii="Arial" w:eastAsia="Times New Roman" w:hAnsi="Arial" w:cs="Arial"/>
          <w:sz w:val="22"/>
          <w:szCs w:val="22"/>
          <w:lang w:eastAsia="en-GB"/>
        </w:rPr>
        <w:t xml:space="preserve"> </w:t>
      </w:r>
      <w:r w:rsidRPr="007F0F2E">
        <w:rPr>
          <w:rFonts w:ascii="Arial" w:eastAsia="Times New Roman" w:hAnsi="Arial" w:cs="Arial"/>
          <w:sz w:val="22"/>
          <w:szCs w:val="22"/>
          <w:lang w:eastAsia="en-GB"/>
        </w:rPr>
        <w:t>which regulates services and ensures providers meet standards relating to safety and quality of care. The government states that all residential care homes carrying out regulated activities must register with the CQC and comply with essential standards of quality and safety (GOV.UK, 20</w:t>
      </w:r>
      <w:r w:rsidR="00F470AA" w:rsidRPr="007F0F2E">
        <w:rPr>
          <w:rFonts w:ascii="Arial" w:eastAsia="Times New Roman" w:hAnsi="Arial" w:cs="Arial"/>
          <w:sz w:val="22"/>
          <w:szCs w:val="22"/>
          <w:lang w:eastAsia="en-GB"/>
        </w:rPr>
        <w:t>09</w:t>
      </w:r>
      <w:r w:rsidRPr="007F0F2E">
        <w:rPr>
          <w:rFonts w:ascii="Arial" w:eastAsia="Times New Roman" w:hAnsi="Arial" w:cs="Arial"/>
          <w:sz w:val="22"/>
          <w:szCs w:val="22"/>
          <w:lang w:eastAsia="en-GB"/>
        </w:rPr>
        <w:t>).</w:t>
      </w:r>
    </w:p>
    <w:p w14:paraId="7CF637A0" w14:textId="4F2262B7" w:rsidR="00434B02" w:rsidRPr="007F0F2E" w:rsidRDefault="00434B02"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A critical evaluation of residential care homes highlights both strengths and challenges. One key advantage is the provision of 24-hour support from trained staff. This is important as it enables immediate assistance, reducing risks such as falls, medication errors, and other health-related complications (Care Quality Commission, 2024). In addition, these settings can enhance emotional wellbeing by promoting social interaction and reducing feelings of isolation among residents (NICE, 2023).</w:t>
      </w:r>
    </w:p>
    <w:p w14:paraId="295C7460" w14:textId="77777777" w:rsidR="00903345" w:rsidRPr="007F0F2E" w:rsidRDefault="00954084"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However, workforce shortages remain a significant challenge. According to Skills for Care workforce data and analysis by The King's Fund, the adult social care sector continues to experience recruitment and retention difficulties, with vacancy levels remaining higher than </w:t>
      </w:r>
      <w:r w:rsidRPr="007F0F2E">
        <w:rPr>
          <w:rFonts w:ascii="Arial" w:eastAsia="Times New Roman" w:hAnsi="Arial" w:cs="Arial"/>
          <w:sz w:val="22"/>
          <w:szCs w:val="22"/>
          <w:lang w:eastAsia="en-GB"/>
        </w:rPr>
        <w:lastRenderedPageBreak/>
        <w:t>before the COVID-19 pandemic (Skills for Care, 2024). Workforce shortages place pressure on care providers and may affect the consistency and quality of care available to residents.</w:t>
      </w:r>
    </w:p>
    <w:p w14:paraId="3F0E299E" w14:textId="03A9EFAD" w:rsidR="00954084" w:rsidRPr="007F0F2E" w:rsidRDefault="00954084"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Funding pressures also affect the effectiveness of residential care homes. The King's Fund reports that requests for adult social care support have reached record levels, while rising costs continue to place financial strain on local authorities and care providers (The King's Fund, 2024). Increasing demand from an ageing population means that many services are operating under significant pressure.</w:t>
      </w:r>
    </w:p>
    <w:p w14:paraId="752604F3" w14:textId="78CF5269" w:rsidR="00C30A6D" w:rsidRPr="007F0F2E" w:rsidRDefault="00954084"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Another criticism is that some residents may experience reduced independence after moving into residential care. Daily routines are often structured to ensure safety and efficiency, which can limit personal choice compared with living independently. Furthermore, concerns about variations in care quality have highlighted the importance of effective regulation and inspection systems (Care Quality Commission, 2024). Reports of care home closures and regulatory intervention demonstrate that maintaining high standards remains an ongoing challenge within the sector.</w:t>
      </w:r>
    </w:p>
    <w:p w14:paraId="5B340D39" w14:textId="77777777" w:rsidR="00733A60" w:rsidRPr="007F0F2E" w:rsidRDefault="009E19EB" w:rsidP="007F0F2E">
      <w:pPr>
        <w:spacing w:after="160" w:line="360" w:lineRule="auto"/>
        <w:rPr>
          <w:rFonts w:ascii="Arial" w:eastAsia="Times New Roman" w:hAnsi="Arial" w:cs="Arial"/>
          <w:b/>
          <w:bCs/>
          <w:sz w:val="22"/>
          <w:szCs w:val="22"/>
          <w:lang w:eastAsia="en-GB"/>
        </w:rPr>
      </w:pPr>
      <w:r w:rsidRPr="007F0F2E">
        <w:rPr>
          <w:rFonts w:ascii="Arial" w:eastAsia="Times New Roman" w:hAnsi="Arial" w:cs="Arial"/>
          <w:b/>
          <w:bCs/>
          <w:sz w:val="22"/>
          <w:szCs w:val="22"/>
          <w:lang w:eastAsia="en-GB"/>
        </w:rPr>
        <w:t>C</w:t>
      </w:r>
      <w:r w:rsidR="008A6C86" w:rsidRPr="007F0F2E">
        <w:rPr>
          <w:rFonts w:ascii="Arial" w:eastAsia="Times New Roman" w:hAnsi="Arial" w:cs="Arial"/>
          <w:b/>
          <w:bCs/>
          <w:sz w:val="22"/>
          <w:szCs w:val="22"/>
          <w:lang w:eastAsia="en-GB"/>
        </w:rPr>
        <w:t>onclusion</w:t>
      </w:r>
    </w:p>
    <w:p w14:paraId="5676D8B3" w14:textId="1848AB8E" w:rsidR="00911508" w:rsidRPr="007F0F2E" w:rsidRDefault="00F66CB7"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Residential care homes have changed </w:t>
      </w:r>
      <w:r w:rsidR="00402072" w:rsidRPr="007F0F2E">
        <w:rPr>
          <w:rFonts w:ascii="Arial" w:eastAsia="Times New Roman" w:hAnsi="Arial" w:cs="Arial"/>
          <w:sz w:val="22"/>
          <w:szCs w:val="22"/>
          <w:lang w:eastAsia="en-GB"/>
        </w:rPr>
        <w:t>since</w:t>
      </w:r>
      <w:r w:rsidRPr="007F0F2E">
        <w:rPr>
          <w:rFonts w:ascii="Arial" w:eastAsia="Times New Roman" w:hAnsi="Arial" w:cs="Arial"/>
          <w:sz w:val="22"/>
          <w:szCs w:val="22"/>
          <w:lang w:eastAsia="en-GB"/>
        </w:rPr>
        <w:t xml:space="preserve"> the nineteenth-century workhouse system and are now regulated services that focus on person-centred care. Although the sector faces</w:t>
      </w:r>
      <w:r w:rsidR="00D67763" w:rsidRPr="007F0F2E">
        <w:rPr>
          <w:rFonts w:ascii="Arial" w:eastAsia="Times New Roman" w:hAnsi="Arial" w:cs="Arial"/>
          <w:sz w:val="22"/>
          <w:szCs w:val="22"/>
          <w:lang w:eastAsia="en-GB"/>
        </w:rPr>
        <w:t xml:space="preserve"> </w:t>
      </w:r>
      <w:r w:rsidRPr="007F0F2E">
        <w:rPr>
          <w:rFonts w:ascii="Arial" w:eastAsia="Times New Roman" w:hAnsi="Arial" w:cs="Arial"/>
          <w:sz w:val="22"/>
          <w:szCs w:val="22"/>
          <w:lang w:eastAsia="en-GB"/>
        </w:rPr>
        <w:t>challenges such as staffing shortages, financial pressures, and concerns about care quality, residential care homes continue to be a key part of social care</w:t>
      </w:r>
      <w:r w:rsidR="0018039A" w:rsidRPr="007F0F2E">
        <w:rPr>
          <w:rFonts w:ascii="Arial" w:eastAsia="Times New Roman" w:hAnsi="Arial" w:cs="Arial"/>
          <w:sz w:val="22"/>
          <w:szCs w:val="22"/>
          <w:lang w:eastAsia="en-GB"/>
        </w:rPr>
        <w:t xml:space="preserve">. </w:t>
      </w:r>
      <w:r w:rsidR="00733A60" w:rsidRPr="007F0F2E">
        <w:rPr>
          <w:rFonts w:ascii="Arial" w:eastAsia="Times New Roman" w:hAnsi="Arial" w:cs="Arial"/>
          <w:sz w:val="22"/>
          <w:szCs w:val="22"/>
          <w:lang w:eastAsia="en-GB"/>
        </w:rPr>
        <w:t>However,</w:t>
      </w:r>
      <w:r w:rsidR="0018039A" w:rsidRPr="007F0F2E">
        <w:rPr>
          <w:rFonts w:ascii="Arial" w:eastAsia="Times New Roman" w:hAnsi="Arial" w:cs="Arial"/>
          <w:sz w:val="22"/>
          <w:szCs w:val="22"/>
          <w:lang w:eastAsia="en-GB"/>
        </w:rPr>
        <w:t xml:space="preserve"> their </w:t>
      </w:r>
      <w:r w:rsidRPr="007F0F2E">
        <w:rPr>
          <w:rFonts w:ascii="Arial" w:eastAsia="Times New Roman" w:hAnsi="Arial" w:cs="Arial"/>
          <w:sz w:val="22"/>
          <w:szCs w:val="22"/>
          <w:lang w:eastAsia="en-GB"/>
        </w:rPr>
        <w:t xml:space="preserve">ability </w:t>
      </w:r>
      <w:r w:rsidR="0018039A" w:rsidRPr="007F0F2E">
        <w:rPr>
          <w:rFonts w:ascii="Arial" w:eastAsia="Times New Roman" w:hAnsi="Arial" w:cs="Arial"/>
          <w:sz w:val="22"/>
          <w:szCs w:val="22"/>
          <w:lang w:eastAsia="en-GB"/>
        </w:rPr>
        <w:t xml:space="preserve">is </w:t>
      </w:r>
      <w:r w:rsidRPr="007F0F2E">
        <w:rPr>
          <w:rFonts w:ascii="Arial" w:eastAsia="Times New Roman" w:hAnsi="Arial" w:cs="Arial"/>
          <w:sz w:val="22"/>
          <w:szCs w:val="22"/>
          <w:lang w:eastAsia="en-GB"/>
        </w:rPr>
        <w:t>to support residents effectively depends on adequate resources, a skilled workforce, and high standards of care. By encouraging safety, dignity, wellbeing, and social participation, residential care homes make an important contribution to the lives of vulnerable individuals.</w:t>
      </w:r>
    </w:p>
    <w:p w14:paraId="1528E4B9" w14:textId="77777777" w:rsidR="000E5F4B" w:rsidRDefault="000E5F4B" w:rsidP="007F0F2E">
      <w:pPr>
        <w:spacing w:after="160" w:line="360" w:lineRule="auto"/>
        <w:rPr>
          <w:rFonts w:ascii="Arial" w:eastAsia="Times New Roman" w:hAnsi="Arial" w:cs="Arial"/>
          <w:b/>
          <w:bCs/>
          <w:sz w:val="22"/>
          <w:szCs w:val="22"/>
          <w:lang w:eastAsia="en-GB"/>
        </w:rPr>
      </w:pPr>
    </w:p>
    <w:p w14:paraId="6563C7AE" w14:textId="77777777" w:rsidR="000E5F4B" w:rsidRDefault="000E5F4B" w:rsidP="007F0F2E">
      <w:pPr>
        <w:spacing w:after="160" w:line="360" w:lineRule="auto"/>
        <w:rPr>
          <w:rFonts w:ascii="Arial" w:eastAsia="Times New Roman" w:hAnsi="Arial" w:cs="Arial"/>
          <w:b/>
          <w:bCs/>
          <w:sz w:val="22"/>
          <w:szCs w:val="22"/>
          <w:lang w:eastAsia="en-GB"/>
        </w:rPr>
      </w:pPr>
    </w:p>
    <w:p w14:paraId="00355EC8" w14:textId="77777777" w:rsidR="000E5F4B" w:rsidRDefault="000E5F4B" w:rsidP="007F0F2E">
      <w:pPr>
        <w:spacing w:after="160" w:line="360" w:lineRule="auto"/>
        <w:rPr>
          <w:rFonts w:ascii="Arial" w:eastAsia="Times New Roman" w:hAnsi="Arial" w:cs="Arial"/>
          <w:b/>
          <w:bCs/>
          <w:sz w:val="22"/>
          <w:szCs w:val="22"/>
          <w:lang w:eastAsia="en-GB"/>
        </w:rPr>
      </w:pPr>
    </w:p>
    <w:p w14:paraId="03A33A4B" w14:textId="77777777" w:rsidR="000E5F4B" w:rsidRDefault="000E5F4B" w:rsidP="007F0F2E">
      <w:pPr>
        <w:spacing w:after="160" w:line="360" w:lineRule="auto"/>
        <w:rPr>
          <w:rFonts w:ascii="Arial" w:eastAsia="Times New Roman" w:hAnsi="Arial" w:cs="Arial"/>
          <w:b/>
          <w:bCs/>
          <w:sz w:val="22"/>
          <w:szCs w:val="22"/>
          <w:lang w:eastAsia="en-GB"/>
        </w:rPr>
      </w:pPr>
    </w:p>
    <w:p w14:paraId="23606DD2" w14:textId="77777777" w:rsidR="000E5F4B" w:rsidRDefault="000E5F4B" w:rsidP="007F0F2E">
      <w:pPr>
        <w:spacing w:after="160" w:line="360" w:lineRule="auto"/>
        <w:rPr>
          <w:rFonts w:ascii="Arial" w:eastAsia="Times New Roman" w:hAnsi="Arial" w:cs="Arial"/>
          <w:b/>
          <w:bCs/>
          <w:sz w:val="22"/>
          <w:szCs w:val="22"/>
          <w:lang w:eastAsia="en-GB"/>
        </w:rPr>
      </w:pPr>
    </w:p>
    <w:p w14:paraId="52E043B6" w14:textId="77777777" w:rsidR="000E5F4B" w:rsidRDefault="000E5F4B" w:rsidP="007F0F2E">
      <w:pPr>
        <w:spacing w:after="160" w:line="360" w:lineRule="auto"/>
        <w:rPr>
          <w:rFonts w:ascii="Arial" w:eastAsia="Times New Roman" w:hAnsi="Arial" w:cs="Arial"/>
          <w:b/>
          <w:bCs/>
          <w:sz w:val="22"/>
          <w:szCs w:val="22"/>
          <w:lang w:eastAsia="en-GB"/>
        </w:rPr>
      </w:pPr>
    </w:p>
    <w:p w14:paraId="0E0A0542" w14:textId="77777777" w:rsidR="000E5F4B" w:rsidRDefault="000E5F4B" w:rsidP="007F0F2E">
      <w:pPr>
        <w:spacing w:after="160" w:line="360" w:lineRule="auto"/>
        <w:rPr>
          <w:rFonts w:ascii="Arial" w:eastAsia="Times New Roman" w:hAnsi="Arial" w:cs="Arial"/>
          <w:b/>
          <w:bCs/>
          <w:sz w:val="22"/>
          <w:szCs w:val="22"/>
          <w:lang w:eastAsia="en-GB"/>
        </w:rPr>
      </w:pPr>
    </w:p>
    <w:p w14:paraId="722F741D" w14:textId="77777777" w:rsidR="000E5F4B" w:rsidRDefault="000E5F4B" w:rsidP="007F0F2E">
      <w:pPr>
        <w:spacing w:after="160" w:line="360" w:lineRule="auto"/>
        <w:rPr>
          <w:rFonts w:ascii="Arial" w:eastAsia="Times New Roman" w:hAnsi="Arial" w:cs="Arial"/>
          <w:b/>
          <w:bCs/>
          <w:sz w:val="22"/>
          <w:szCs w:val="22"/>
          <w:lang w:eastAsia="en-GB"/>
        </w:rPr>
      </w:pPr>
    </w:p>
    <w:p w14:paraId="63371F08" w14:textId="77777777" w:rsidR="00C42D7B" w:rsidRDefault="00C42D7B" w:rsidP="007F0F2E">
      <w:pPr>
        <w:spacing w:after="160" w:line="360" w:lineRule="auto"/>
        <w:rPr>
          <w:rFonts w:ascii="Arial" w:eastAsia="Times New Roman" w:hAnsi="Arial" w:cs="Arial"/>
          <w:b/>
          <w:bCs/>
          <w:sz w:val="22"/>
          <w:szCs w:val="22"/>
          <w:lang w:eastAsia="en-GB"/>
        </w:rPr>
      </w:pPr>
    </w:p>
    <w:p w14:paraId="4315ABEE" w14:textId="60C660C6" w:rsidR="00C42D7B" w:rsidRPr="007F0F2E" w:rsidRDefault="008D6699" w:rsidP="007F0F2E">
      <w:pPr>
        <w:spacing w:after="160" w:line="360" w:lineRule="auto"/>
        <w:rPr>
          <w:rFonts w:ascii="Arial" w:eastAsia="Times New Roman" w:hAnsi="Arial" w:cs="Arial"/>
          <w:b/>
          <w:bCs/>
          <w:sz w:val="22"/>
          <w:szCs w:val="22"/>
          <w:lang w:eastAsia="en-GB"/>
        </w:rPr>
      </w:pPr>
      <w:r w:rsidRPr="007F0F2E">
        <w:rPr>
          <w:rFonts w:ascii="Arial" w:eastAsia="Times New Roman" w:hAnsi="Arial" w:cs="Arial"/>
          <w:b/>
          <w:bCs/>
          <w:sz w:val="22"/>
          <w:szCs w:val="22"/>
          <w:lang w:eastAsia="en-GB"/>
        </w:rPr>
        <w:lastRenderedPageBreak/>
        <w:t>References</w:t>
      </w:r>
    </w:p>
    <w:p w14:paraId="3EEB0B08" w14:textId="4EE8A7EC" w:rsidR="00814403" w:rsidRPr="007F0F2E" w:rsidRDefault="00D83C66"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Brown, T.J., Todd, A., O'Malley, C., Moore, H.J., Husband, A.K., Bambra, C., Kasim, A. and Sniehotta, F.F. (2016) </w:t>
      </w:r>
      <w:r w:rsidRPr="007F0F2E">
        <w:rPr>
          <w:rFonts w:ascii="Arial" w:eastAsia="Times New Roman" w:hAnsi="Arial" w:cs="Arial"/>
          <w:i/>
          <w:iCs/>
          <w:sz w:val="22"/>
          <w:szCs w:val="22"/>
          <w:lang w:eastAsia="en-GB"/>
        </w:rPr>
        <w:t>Community pharmacy-delivered public health interventions: a systematic review of interventions and outcomes</w:t>
      </w:r>
      <w:r w:rsidRPr="007F0F2E">
        <w:rPr>
          <w:rFonts w:ascii="Arial" w:eastAsia="Times New Roman" w:hAnsi="Arial" w:cs="Arial"/>
          <w:sz w:val="22"/>
          <w:szCs w:val="22"/>
          <w:lang w:eastAsia="en-GB"/>
        </w:rPr>
        <w:t>. NIHR Journals Library.</w:t>
      </w:r>
    </w:p>
    <w:p w14:paraId="67924134" w14:textId="5294C0F3" w:rsidR="008E3C09" w:rsidRPr="007F0F2E" w:rsidRDefault="008E3C09"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Brown, T.J., Todd, A., O'Malley, C. </w:t>
      </w:r>
      <w:r w:rsidRPr="007F0F2E">
        <w:rPr>
          <w:rFonts w:ascii="Arial" w:eastAsia="Times New Roman" w:hAnsi="Arial" w:cs="Arial"/>
          <w:i/>
          <w:iCs/>
          <w:sz w:val="22"/>
          <w:szCs w:val="22"/>
          <w:lang w:eastAsia="en-GB"/>
        </w:rPr>
        <w:t>et al.</w:t>
      </w:r>
      <w:r w:rsidRPr="007F0F2E">
        <w:rPr>
          <w:rFonts w:ascii="Arial" w:eastAsia="Times New Roman" w:hAnsi="Arial" w:cs="Arial"/>
          <w:sz w:val="22"/>
          <w:szCs w:val="22"/>
          <w:lang w:eastAsia="en-GB"/>
        </w:rPr>
        <w:t xml:space="preserve"> (2021) </w:t>
      </w:r>
      <w:r w:rsidRPr="007F0F2E">
        <w:rPr>
          <w:rFonts w:ascii="Arial" w:eastAsia="Times New Roman" w:hAnsi="Arial" w:cs="Arial"/>
          <w:i/>
          <w:iCs/>
          <w:sz w:val="22"/>
          <w:szCs w:val="22"/>
          <w:lang w:eastAsia="en-GB"/>
        </w:rPr>
        <w:t>Rapid realist review of the role of community pharmacy in the public health response to COVID-19</w:t>
      </w:r>
      <w:r w:rsidRPr="007F0F2E">
        <w:rPr>
          <w:rFonts w:ascii="Arial" w:eastAsia="Times New Roman" w:hAnsi="Arial" w:cs="Arial"/>
          <w:sz w:val="22"/>
          <w:szCs w:val="22"/>
          <w:lang w:eastAsia="en-GB"/>
        </w:rPr>
        <w:t xml:space="preserve">. </w:t>
      </w:r>
      <w:r w:rsidRPr="007F0F2E">
        <w:rPr>
          <w:rFonts w:ascii="Arial" w:eastAsia="Times New Roman" w:hAnsi="Arial" w:cs="Arial"/>
          <w:i/>
          <w:iCs/>
          <w:sz w:val="22"/>
          <w:szCs w:val="22"/>
          <w:lang w:eastAsia="en-GB"/>
        </w:rPr>
        <w:t>BMJ Open</w:t>
      </w:r>
      <w:r w:rsidRPr="007F0F2E">
        <w:rPr>
          <w:rFonts w:ascii="Arial" w:eastAsia="Times New Roman" w:hAnsi="Arial" w:cs="Arial"/>
          <w:sz w:val="22"/>
          <w:szCs w:val="22"/>
          <w:lang w:eastAsia="en-GB"/>
        </w:rPr>
        <w:t>, 11(6), e050043.</w:t>
      </w:r>
    </w:p>
    <w:p w14:paraId="70583FC6" w14:textId="14A815F9" w:rsidR="00327A1D"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Care Quality Commission (202</w:t>
      </w:r>
      <w:r w:rsidR="000E5F4B">
        <w:rPr>
          <w:rFonts w:ascii="Arial" w:eastAsia="Times New Roman" w:hAnsi="Arial" w:cs="Arial"/>
          <w:sz w:val="22"/>
          <w:szCs w:val="22"/>
          <w:lang w:eastAsia="en-GB"/>
        </w:rPr>
        <w:t>4</w:t>
      </w:r>
      <w:r w:rsidRPr="007F0F2E">
        <w:rPr>
          <w:rFonts w:ascii="Arial" w:eastAsia="Times New Roman" w:hAnsi="Arial" w:cs="Arial"/>
          <w:sz w:val="22"/>
          <w:szCs w:val="22"/>
          <w:lang w:eastAsia="en-GB"/>
        </w:rPr>
        <w:t xml:space="preserve">) </w:t>
      </w:r>
      <w:r w:rsidRPr="007F0F2E">
        <w:rPr>
          <w:rFonts w:ascii="Arial" w:eastAsia="Times New Roman" w:hAnsi="Arial" w:cs="Arial"/>
          <w:i/>
          <w:iCs/>
          <w:sz w:val="22"/>
          <w:szCs w:val="22"/>
          <w:lang w:eastAsia="en-GB"/>
        </w:rPr>
        <w:t>Services we regulate</w:t>
      </w:r>
      <w:r w:rsidRPr="007F0F2E">
        <w:rPr>
          <w:rFonts w:ascii="Arial" w:eastAsia="Times New Roman" w:hAnsi="Arial" w:cs="Arial"/>
          <w:sz w:val="22"/>
          <w:szCs w:val="22"/>
          <w:lang w:eastAsia="en-GB"/>
        </w:rPr>
        <w:t xml:space="preserve">. Available at: </w:t>
      </w:r>
      <w:hyperlink r:id="rId37" w:tgtFrame="_new" w:history="1">
        <w:r w:rsidRPr="007F0F2E">
          <w:rPr>
            <w:rStyle w:val="Hyperlink"/>
            <w:rFonts w:ascii="Arial" w:eastAsia="Times New Roman" w:hAnsi="Arial" w:cs="Arial"/>
            <w:sz w:val="22"/>
            <w:szCs w:val="22"/>
            <w:lang w:eastAsia="en-GB"/>
          </w:rPr>
          <w:t>https://www.cqc.org.uk/about-us/services-we-regulate</w:t>
        </w:r>
      </w:hyperlink>
      <w:r w:rsidRPr="007F0F2E">
        <w:rPr>
          <w:rFonts w:ascii="Arial" w:eastAsia="Times New Roman" w:hAnsi="Arial" w:cs="Arial"/>
          <w:sz w:val="22"/>
          <w:szCs w:val="22"/>
          <w:lang w:eastAsia="en-GB"/>
        </w:rPr>
        <w:t xml:space="preserve"> (Accessed: 12 June 2026).</w:t>
      </w:r>
    </w:p>
    <w:p w14:paraId="735A3DD2" w14:textId="2EA9F0F4" w:rsidR="000C06AF" w:rsidRPr="007F0F2E" w:rsidRDefault="000C06AF"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General Pharmaceutical Council (2024) </w:t>
      </w:r>
      <w:r w:rsidRPr="007F0F2E">
        <w:rPr>
          <w:rFonts w:ascii="Arial" w:eastAsia="Times New Roman" w:hAnsi="Arial" w:cs="Arial"/>
          <w:i/>
          <w:iCs/>
          <w:sz w:val="22"/>
          <w:szCs w:val="22"/>
          <w:lang w:eastAsia="en-GB"/>
        </w:rPr>
        <w:t>About pharmacy professionals</w:t>
      </w:r>
      <w:r w:rsidRPr="007F0F2E">
        <w:rPr>
          <w:rFonts w:ascii="Arial" w:eastAsia="Times New Roman" w:hAnsi="Arial" w:cs="Arial"/>
          <w:sz w:val="22"/>
          <w:szCs w:val="22"/>
          <w:lang w:eastAsia="en-GB"/>
        </w:rPr>
        <w:t xml:space="preserve">. London: General Pharmaceutical Council. Available at: </w:t>
      </w:r>
      <w:hyperlink r:id="rId38" w:tgtFrame="_new" w:history="1">
        <w:r w:rsidRPr="007F0F2E">
          <w:rPr>
            <w:rStyle w:val="Hyperlink"/>
            <w:rFonts w:ascii="Arial" w:eastAsia="Times New Roman" w:hAnsi="Arial" w:cs="Arial"/>
            <w:sz w:val="22"/>
            <w:szCs w:val="22"/>
            <w:lang w:eastAsia="en-GB"/>
          </w:rPr>
          <w:t>https://www.pharmacyregulation.org</w:t>
        </w:r>
      </w:hyperlink>
      <w:r w:rsidRPr="007F0F2E">
        <w:rPr>
          <w:rFonts w:ascii="Arial" w:eastAsia="Times New Roman" w:hAnsi="Arial" w:cs="Arial"/>
          <w:sz w:val="22"/>
          <w:szCs w:val="22"/>
          <w:lang w:eastAsia="en-GB"/>
        </w:rPr>
        <w:t xml:space="preserve"> (Accessed: 12 June 2026).</w:t>
      </w:r>
    </w:p>
    <w:p w14:paraId="049385FF" w14:textId="43303E75" w:rsidR="00327A1D"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GOV.UK (2009) </w:t>
      </w:r>
      <w:r w:rsidRPr="007F0F2E">
        <w:rPr>
          <w:rFonts w:ascii="Arial" w:eastAsia="Times New Roman" w:hAnsi="Arial" w:cs="Arial"/>
          <w:i/>
          <w:iCs/>
          <w:sz w:val="22"/>
          <w:szCs w:val="22"/>
          <w:lang w:eastAsia="en-GB"/>
        </w:rPr>
        <w:t>Care Quality Commission (Registration) Regulations</w:t>
      </w:r>
      <w:r w:rsidRPr="007F0F2E">
        <w:rPr>
          <w:rFonts w:ascii="Arial" w:eastAsia="Times New Roman" w:hAnsi="Arial" w:cs="Arial"/>
          <w:sz w:val="22"/>
          <w:szCs w:val="22"/>
          <w:lang w:eastAsia="en-GB"/>
        </w:rPr>
        <w:t xml:space="preserve"> </w:t>
      </w:r>
      <w:r w:rsidR="0096246C" w:rsidRPr="007F0F2E">
        <w:rPr>
          <w:rFonts w:ascii="Arial" w:eastAsia="Times New Roman" w:hAnsi="Arial" w:cs="Arial"/>
          <w:sz w:val="22"/>
          <w:szCs w:val="22"/>
          <w:lang w:eastAsia="en-GB"/>
        </w:rPr>
        <w:t>(</w:t>
      </w:r>
      <w:r w:rsidRPr="007F0F2E">
        <w:rPr>
          <w:rFonts w:ascii="Arial" w:eastAsia="Times New Roman" w:hAnsi="Arial" w:cs="Arial"/>
          <w:sz w:val="22"/>
          <w:szCs w:val="22"/>
          <w:lang w:eastAsia="en-GB"/>
        </w:rPr>
        <w:t>2009</w:t>
      </w:r>
      <w:r w:rsidR="0096246C" w:rsidRPr="007F0F2E">
        <w:rPr>
          <w:rFonts w:ascii="Arial" w:eastAsia="Times New Roman" w:hAnsi="Arial" w:cs="Arial"/>
          <w:sz w:val="22"/>
          <w:szCs w:val="22"/>
          <w:lang w:eastAsia="en-GB"/>
        </w:rPr>
        <w:t>)</w:t>
      </w:r>
      <w:r w:rsidRPr="007F0F2E">
        <w:rPr>
          <w:rFonts w:ascii="Arial" w:eastAsia="Times New Roman" w:hAnsi="Arial" w:cs="Arial"/>
          <w:sz w:val="22"/>
          <w:szCs w:val="22"/>
          <w:lang w:eastAsia="en-GB"/>
        </w:rPr>
        <w:t>. Available at: https://www.legislation.gov.uk/uksi/2009/3112/contents/made (Accessed: 12 June 2026).</w:t>
      </w:r>
    </w:p>
    <w:p w14:paraId="38CB5DA6" w14:textId="52A43E56" w:rsidR="00C1029F" w:rsidRPr="007F0F2E" w:rsidRDefault="00C1029F"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Health Education England (2023) </w:t>
      </w:r>
      <w:r w:rsidRPr="007F0F2E">
        <w:rPr>
          <w:rFonts w:ascii="Arial" w:eastAsia="Times New Roman" w:hAnsi="Arial" w:cs="Arial"/>
          <w:i/>
          <w:iCs/>
          <w:sz w:val="22"/>
          <w:szCs w:val="22"/>
          <w:lang w:eastAsia="en-GB"/>
        </w:rPr>
        <w:t>Pharmacy workforce and roles</w:t>
      </w:r>
      <w:r w:rsidRPr="007F0F2E">
        <w:rPr>
          <w:rFonts w:ascii="Arial" w:eastAsia="Times New Roman" w:hAnsi="Arial" w:cs="Arial"/>
          <w:sz w:val="22"/>
          <w:szCs w:val="22"/>
          <w:lang w:eastAsia="en-GB"/>
        </w:rPr>
        <w:t xml:space="preserve">. Available at: </w:t>
      </w:r>
      <w:hyperlink r:id="rId39" w:tgtFrame="_new" w:history="1">
        <w:r w:rsidRPr="007F0F2E">
          <w:rPr>
            <w:rStyle w:val="Hyperlink"/>
            <w:rFonts w:ascii="Arial" w:eastAsia="Times New Roman" w:hAnsi="Arial" w:cs="Arial"/>
            <w:sz w:val="22"/>
            <w:szCs w:val="22"/>
            <w:lang w:eastAsia="en-GB"/>
          </w:rPr>
          <w:t>https://www.hee.nhs.uk/our-work/pharmacy</w:t>
        </w:r>
      </w:hyperlink>
      <w:r w:rsidRPr="007F0F2E">
        <w:rPr>
          <w:rFonts w:ascii="Arial" w:eastAsia="Times New Roman" w:hAnsi="Arial" w:cs="Arial"/>
          <w:sz w:val="22"/>
          <w:szCs w:val="22"/>
          <w:lang w:eastAsia="en-GB"/>
        </w:rPr>
        <w:t xml:space="preserve"> (Accessed: 18 June 2026).</w:t>
      </w:r>
    </w:p>
    <w:p w14:paraId="2A882CE1" w14:textId="31F7EE13" w:rsidR="00327A1D"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National Institute for Health and Care Excellence (NICE) (20</w:t>
      </w:r>
      <w:r w:rsidR="00B84AE0" w:rsidRPr="007F0F2E">
        <w:rPr>
          <w:rFonts w:ascii="Arial" w:eastAsia="Times New Roman" w:hAnsi="Arial" w:cs="Arial"/>
          <w:sz w:val="22"/>
          <w:szCs w:val="22"/>
          <w:lang w:eastAsia="en-GB"/>
        </w:rPr>
        <w:t>23</w:t>
      </w:r>
      <w:r w:rsidRPr="007F0F2E">
        <w:rPr>
          <w:rFonts w:ascii="Arial" w:eastAsia="Times New Roman" w:hAnsi="Arial" w:cs="Arial"/>
          <w:sz w:val="22"/>
          <w:szCs w:val="22"/>
          <w:lang w:eastAsia="en-GB"/>
        </w:rPr>
        <w:t>)</w:t>
      </w:r>
      <w:r w:rsidR="00B84AE0" w:rsidRPr="007F0F2E">
        <w:rPr>
          <w:rFonts w:ascii="Arial" w:eastAsia="Times New Roman" w:hAnsi="Arial" w:cs="Arial"/>
          <w:sz w:val="22"/>
          <w:szCs w:val="22"/>
          <w:lang w:eastAsia="en-GB"/>
        </w:rPr>
        <w:t>.</w:t>
      </w:r>
      <w:r w:rsidRPr="007F0F2E">
        <w:rPr>
          <w:rFonts w:ascii="Arial" w:eastAsia="Times New Roman" w:hAnsi="Arial" w:cs="Arial"/>
          <w:sz w:val="22"/>
          <w:szCs w:val="22"/>
          <w:lang w:eastAsia="en-GB"/>
        </w:rPr>
        <w:t xml:space="preserve"> </w:t>
      </w:r>
      <w:r w:rsidRPr="007F0F2E">
        <w:rPr>
          <w:rFonts w:ascii="Arial" w:eastAsia="Times New Roman" w:hAnsi="Arial" w:cs="Arial"/>
          <w:i/>
          <w:iCs/>
          <w:sz w:val="22"/>
          <w:szCs w:val="22"/>
          <w:lang w:eastAsia="en-GB"/>
        </w:rPr>
        <w:t>People's experience in adult social care services: improving the experience of care and support for people using adult social care services (NG86)</w:t>
      </w:r>
      <w:r w:rsidRPr="007F0F2E">
        <w:rPr>
          <w:rFonts w:ascii="Arial" w:eastAsia="Times New Roman" w:hAnsi="Arial" w:cs="Arial"/>
          <w:sz w:val="22"/>
          <w:szCs w:val="22"/>
          <w:lang w:eastAsia="en-GB"/>
        </w:rPr>
        <w:t xml:space="preserve">. Available at: </w:t>
      </w:r>
      <w:hyperlink r:id="rId40" w:tgtFrame="_new" w:history="1">
        <w:r w:rsidRPr="007F0F2E">
          <w:rPr>
            <w:rStyle w:val="Hyperlink"/>
            <w:rFonts w:ascii="Arial" w:eastAsia="Times New Roman" w:hAnsi="Arial" w:cs="Arial"/>
            <w:sz w:val="22"/>
            <w:szCs w:val="22"/>
            <w:lang w:eastAsia="en-GB"/>
          </w:rPr>
          <w:t>https://www.nice.org.uk/guidance/ng86</w:t>
        </w:r>
      </w:hyperlink>
      <w:r w:rsidRPr="007F0F2E">
        <w:rPr>
          <w:rFonts w:ascii="Arial" w:eastAsia="Times New Roman" w:hAnsi="Arial" w:cs="Arial"/>
          <w:sz w:val="22"/>
          <w:szCs w:val="22"/>
          <w:lang w:eastAsia="en-GB"/>
        </w:rPr>
        <w:t xml:space="preserve"> (Accessed: 12 June 2026).</w:t>
      </w:r>
    </w:p>
    <w:p w14:paraId="206F3E3A" w14:textId="4004C380" w:rsidR="005B7179" w:rsidRPr="007F0F2E" w:rsidRDefault="005B7179"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NHS England (2024) </w:t>
      </w:r>
      <w:r w:rsidRPr="007F0F2E">
        <w:rPr>
          <w:rFonts w:ascii="Arial" w:eastAsia="Times New Roman" w:hAnsi="Arial" w:cs="Arial"/>
          <w:i/>
          <w:iCs/>
          <w:sz w:val="22"/>
          <w:szCs w:val="22"/>
          <w:lang w:eastAsia="en-GB"/>
        </w:rPr>
        <w:t>Primary care and pharmacy services</w:t>
      </w:r>
      <w:r w:rsidRPr="007F0F2E">
        <w:rPr>
          <w:rFonts w:ascii="Arial" w:eastAsia="Times New Roman" w:hAnsi="Arial" w:cs="Arial"/>
          <w:sz w:val="22"/>
          <w:szCs w:val="22"/>
          <w:lang w:eastAsia="en-GB"/>
        </w:rPr>
        <w:t xml:space="preserve">. Available at: </w:t>
      </w:r>
      <w:hyperlink r:id="rId41" w:tgtFrame="_new" w:history="1">
        <w:r w:rsidRPr="007F0F2E">
          <w:rPr>
            <w:rStyle w:val="Hyperlink"/>
            <w:rFonts w:ascii="Arial" w:eastAsia="Times New Roman" w:hAnsi="Arial" w:cs="Arial"/>
            <w:sz w:val="22"/>
            <w:szCs w:val="22"/>
            <w:lang w:eastAsia="en-GB"/>
          </w:rPr>
          <w:t>https://www.england.nhs.uk/primary-care/pharmacy/</w:t>
        </w:r>
      </w:hyperlink>
      <w:r w:rsidRPr="007F0F2E">
        <w:rPr>
          <w:rFonts w:ascii="Arial" w:eastAsia="Times New Roman" w:hAnsi="Arial" w:cs="Arial"/>
          <w:sz w:val="22"/>
          <w:szCs w:val="22"/>
          <w:lang w:eastAsia="en-GB"/>
        </w:rPr>
        <w:t xml:space="preserve"> (Accessed: 18 June 2026).</w:t>
      </w:r>
    </w:p>
    <w:p w14:paraId="452E71C7" w14:textId="77777777" w:rsidR="00327A1D"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NHS England (2024) </w:t>
      </w:r>
      <w:r w:rsidRPr="007F0F2E">
        <w:rPr>
          <w:rFonts w:ascii="Arial" w:eastAsia="Times New Roman" w:hAnsi="Arial" w:cs="Arial"/>
          <w:i/>
          <w:iCs/>
          <w:sz w:val="22"/>
          <w:szCs w:val="22"/>
          <w:lang w:eastAsia="en-GB"/>
        </w:rPr>
        <w:t>Adult social care</w:t>
      </w:r>
      <w:r w:rsidRPr="007F0F2E">
        <w:rPr>
          <w:rFonts w:ascii="Arial" w:eastAsia="Times New Roman" w:hAnsi="Arial" w:cs="Arial"/>
          <w:sz w:val="22"/>
          <w:szCs w:val="22"/>
          <w:lang w:eastAsia="en-GB"/>
        </w:rPr>
        <w:t>. Available at: https://www.england.nhs.uk/ourwork/part-rel/transformation-fund/adult-social-care/ (Accessed: 12 June 2026).</w:t>
      </w:r>
    </w:p>
    <w:p w14:paraId="35C0AC00" w14:textId="77777777" w:rsidR="007F70CE" w:rsidRPr="007F0F2E" w:rsidRDefault="007F70CE"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NHS England (2024) </w:t>
      </w:r>
      <w:r w:rsidRPr="007F0F2E">
        <w:rPr>
          <w:rFonts w:ascii="Arial" w:eastAsia="Times New Roman" w:hAnsi="Arial" w:cs="Arial"/>
          <w:i/>
          <w:iCs/>
          <w:sz w:val="22"/>
          <w:szCs w:val="22"/>
          <w:lang w:eastAsia="en-GB"/>
        </w:rPr>
        <w:t>Community pharmacy services and public health contributions</w:t>
      </w:r>
      <w:r w:rsidRPr="007F0F2E">
        <w:rPr>
          <w:rFonts w:ascii="Arial" w:eastAsia="Times New Roman" w:hAnsi="Arial" w:cs="Arial"/>
          <w:sz w:val="22"/>
          <w:szCs w:val="22"/>
          <w:lang w:eastAsia="en-GB"/>
        </w:rPr>
        <w:t xml:space="preserve">. Available at: </w:t>
      </w:r>
      <w:hyperlink r:id="rId42" w:tgtFrame="_new" w:history="1">
        <w:r w:rsidRPr="007F0F2E">
          <w:rPr>
            <w:rStyle w:val="Hyperlink"/>
            <w:rFonts w:ascii="Arial" w:eastAsia="Times New Roman" w:hAnsi="Arial" w:cs="Arial"/>
            <w:sz w:val="22"/>
            <w:szCs w:val="22"/>
            <w:lang w:eastAsia="en-GB"/>
          </w:rPr>
          <w:t>https://www.england.nhs.uk</w:t>
        </w:r>
      </w:hyperlink>
      <w:r w:rsidRPr="007F0F2E">
        <w:rPr>
          <w:rFonts w:ascii="Arial" w:eastAsia="Times New Roman" w:hAnsi="Arial" w:cs="Arial"/>
          <w:sz w:val="22"/>
          <w:szCs w:val="22"/>
          <w:lang w:eastAsia="en-GB"/>
        </w:rPr>
        <w:t xml:space="preserve"> (Accessed: 12 June 2026).</w:t>
      </w:r>
    </w:p>
    <w:p w14:paraId="3CF37C9D" w14:textId="61B79B79" w:rsidR="00E16138" w:rsidRPr="007F0F2E" w:rsidRDefault="00E16138"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Royal Pharmaceutical Society (2023) </w:t>
      </w:r>
      <w:r w:rsidRPr="007F0F2E">
        <w:rPr>
          <w:rFonts w:ascii="Arial" w:eastAsia="Times New Roman" w:hAnsi="Arial" w:cs="Arial"/>
          <w:i/>
          <w:iCs/>
          <w:sz w:val="22"/>
          <w:szCs w:val="22"/>
          <w:lang w:eastAsia="en-GB"/>
        </w:rPr>
        <w:t>Workforce wellbeing and pharmacy workforce challenges</w:t>
      </w:r>
      <w:r w:rsidRPr="007F0F2E">
        <w:rPr>
          <w:rFonts w:ascii="Arial" w:eastAsia="Times New Roman" w:hAnsi="Arial" w:cs="Arial"/>
          <w:sz w:val="22"/>
          <w:szCs w:val="22"/>
          <w:lang w:eastAsia="en-GB"/>
        </w:rPr>
        <w:t xml:space="preserve">. London: Royal Pharmaceutical Society. Available at: </w:t>
      </w:r>
      <w:hyperlink r:id="rId43" w:tgtFrame="_new" w:history="1">
        <w:r w:rsidRPr="007F0F2E">
          <w:rPr>
            <w:rStyle w:val="Hyperlink"/>
            <w:rFonts w:ascii="Arial" w:eastAsia="Times New Roman" w:hAnsi="Arial" w:cs="Arial"/>
            <w:sz w:val="22"/>
            <w:szCs w:val="22"/>
            <w:lang w:eastAsia="en-GB"/>
          </w:rPr>
          <w:t>https://www.rpharms.com</w:t>
        </w:r>
      </w:hyperlink>
      <w:r w:rsidRPr="007F0F2E">
        <w:rPr>
          <w:rFonts w:ascii="Arial" w:eastAsia="Times New Roman" w:hAnsi="Arial" w:cs="Arial"/>
          <w:sz w:val="22"/>
          <w:szCs w:val="22"/>
          <w:lang w:eastAsia="en-GB"/>
        </w:rPr>
        <w:t xml:space="preserve"> (Accessed: 12 June 2026).</w:t>
      </w:r>
    </w:p>
    <w:p w14:paraId="21CFC86B" w14:textId="32083B72" w:rsidR="00327A1D"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Skills for Care (2024) </w:t>
      </w:r>
      <w:r w:rsidRPr="007F0F2E">
        <w:rPr>
          <w:rFonts w:ascii="Arial" w:eastAsia="Times New Roman" w:hAnsi="Arial" w:cs="Arial"/>
          <w:i/>
          <w:iCs/>
          <w:sz w:val="22"/>
          <w:szCs w:val="22"/>
          <w:lang w:eastAsia="en-GB"/>
        </w:rPr>
        <w:t>The state of the adult social care sector and workforce in England 2024</w:t>
      </w:r>
      <w:r w:rsidRPr="007F0F2E">
        <w:rPr>
          <w:rFonts w:ascii="Arial" w:eastAsia="Times New Roman" w:hAnsi="Arial" w:cs="Arial"/>
          <w:sz w:val="22"/>
          <w:szCs w:val="22"/>
          <w:lang w:eastAsia="en-GB"/>
        </w:rPr>
        <w:t xml:space="preserve">. Available at: </w:t>
      </w:r>
      <w:hyperlink r:id="rId44" w:history="1">
        <w:r w:rsidR="004D79F8" w:rsidRPr="007F0F2E">
          <w:rPr>
            <w:rStyle w:val="Hyperlink"/>
            <w:rFonts w:ascii="Arial" w:eastAsia="Times New Roman" w:hAnsi="Arial" w:cs="Arial"/>
            <w:sz w:val="22"/>
            <w:szCs w:val="22"/>
            <w:lang w:eastAsia="en-GB"/>
          </w:rPr>
          <w:t>https://www.skillsforcare.org.uk/Adult-Social-Care-Workforce-</w:t>
        </w:r>
        <w:r w:rsidR="004D79F8" w:rsidRPr="007F0F2E">
          <w:rPr>
            <w:rStyle w:val="Hyperlink"/>
            <w:rFonts w:ascii="Arial" w:eastAsia="Times New Roman" w:hAnsi="Arial" w:cs="Arial"/>
            <w:sz w:val="22"/>
            <w:szCs w:val="22"/>
            <w:lang w:eastAsia="en-GB"/>
          </w:rPr>
          <w:lastRenderedPageBreak/>
          <w:t>Data/Workforce-intelligence/publications/national-information/The-state-of-the-adult-social-care-sector-and-workforce-in-England.aspx</w:t>
        </w:r>
      </w:hyperlink>
      <w:r w:rsidRPr="007F0F2E">
        <w:rPr>
          <w:rFonts w:ascii="Arial" w:eastAsia="Times New Roman" w:hAnsi="Arial" w:cs="Arial"/>
          <w:sz w:val="22"/>
          <w:szCs w:val="22"/>
          <w:lang w:eastAsia="en-GB"/>
        </w:rPr>
        <w:t xml:space="preserve"> (Accessed: 12 June 2026).</w:t>
      </w:r>
    </w:p>
    <w:p w14:paraId="27CC4111" w14:textId="593E385C" w:rsidR="005A4122" w:rsidRPr="007F0F2E" w:rsidRDefault="005A4122"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Social Care Institute for Excellence (2025) </w:t>
      </w:r>
      <w:r w:rsidRPr="007F0F2E">
        <w:rPr>
          <w:rFonts w:ascii="Arial" w:eastAsia="Times New Roman" w:hAnsi="Arial" w:cs="Arial"/>
          <w:i/>
          <w:iCs/>
          <w:sz w:val="22"/>
          <w:szCs w:val="22"/>
          <w:lang w:eastAsia="en-GB"/>
        </w:rPr>
        <w:t>Care homes as a model for housing with care and support</w:t>
      </w:r>
      <w:r w:rsidRPr="007F0F2E">
        <w:rPr>
          <w:rFonts w:ascii="Arial" w:eastAsia="Times New Roman" w:hAnsi="Arial" w:cs="Arial"/>
          <w:sz w:val="22"/>
          <w:szCs w:val="22"/>
          <w:lang w:eastAsia="en-GB"/>
        </w:rPr>
        <w:t xml:space="preserve">. Available at: </w:t>
      </w:r>
      <w:hyperlink r:id="rId45" w:tgtFrame="_new" w:history="1">
        <w:r w:rsidRPr="007F0F2E">
          <w:rPr>
            <w:rStyle w:val="Hyperlink"/>
            <w:rFonts w:ascii="Arial" w:eastAsia="Times New Roman" w:hAnsi="Arial" w:cs="Arial"/>
            <w:sz w:val="22"/>
            <w:szCs w:val="22"/>
            <w:lang w:eastAsia="en-GB"/>
          </w:rPr>
          <w:t>https://www.scie.org.uk/housing/role-of-housing/promising-practice/models/care-home/</w:t>
        </w:r>
      </w:hyperlink>
      <w:r w:rsidRPr="007F0F2E">
        <w:rPr>
          <w:rFonts w:ascii="Arial" w:eastAsia="Times New Roman" w:hAnsi="Arial" w:cs="Arial"/>
          <w:sz w:val="22"/>
          <w:szCs w:val="22"/>
          <w:lang w:eastAsia="en-GB"/>
        </w:rPr>
        <w:t xml:space="preserve"> (Accessed: 21 June 2026).</w:t>
      </w:r>
    </w:p>
    <w:p w14:paraId="05F201A2" w14:textId="1C23C57E" w:rsidR="00AA523F" w:rsidRPr="007F0F2E" w:rsidRDefault="00327A1D"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The King's Fund (202</w:t>
      </w:r>
      <w:r w:rsidR="00F470AA" w:rsidRPr="007F0F2E">
        <w:rPr>
          <w:rFonts w:ascii="Arial" w:eastAsia="Times New Roman" w:hAnsi="Arial" w:cs="Arial"/>
          <w:sz w:val="22"/>
          <w:szCs w:val="22"/>
          <w:lang w:eastAsia="en-GB"/>
        </w:rPr>
        <w:t>4</w:t>
      </w:r>
      <w:r w:rsidRPr="007F0F2E">
        <w:rPr>
          <w:rFonts w:ascii="Arial" w:eastAsia="Times New Roman" w:hAnsi="Arial" w:cs="Arial"/>
          <w:sz w:val="22"/>
          <w:szCs w:val="22"/>
          <w:lang w:eastAsia="en-GB"/>
        </w:rPr>
        <w:t xml:space="preserve">) </w:t>
      </w:r>
      <w:r w:rsidRPr="007F0F2E">
        <w:rPr>
          <w:rFonts w:ascii="Arial" w:eastAsia="Times New Roman" w:hAnsi="Arial" w:cs="Arial"/>
          <w:i/>
          <w:iCs/>
          <w:sz w:val="22"/>
          <w:szCs w:val="22"/>
          <w:lang w:eastAsia="en-GB"/>
        </w:rPr>
        <w:t>Social Care 360</w:t>
      </w:r>
      <w:r w:rsidRPr="007F0F2E">
        <w:rPr>
          <w:rFonts w:ascii="Arial" w:eastAsia="Times New Roman" w:hAnsi="Arial" w:cs="Arial"/>
          <w:sz w:val="22"/>
          <w:szCs w:val="22"/>
          <w:lang w:eastAsia="en-GB"/>
        </w:rPr>
        <w:t xml:space="preserve">. Available at: </w:t>
      </w:r>
      <w:hyperlink r:id="rId46" w:tgtFrame="_new" w:history="1">
        <w:r w:rsidRPr="007F0F2E">
          <w:rPr>
            <w:rStyle w:val="Hyperlink"/>
            <w:rFonts w:ascii="Arial" w:eastAsia="Times New Roman" w:hAnsi="Arial" w:cs="Arial"/>
            <w:sz w:val="22"/>
            <w:szCs w:val="22"/>
            <w:lang w:eastAsia="en-GB"/>
          </w:rPr>
          <w:t>https://www.kingsfund.org.uk/insight-and-analysis/long-reads/social-care-360</w:t>
        </w:r>
      </w:hyperlink>
      <w:r w:rsidRPr="007F0F2E">
        <w:rPr>
          <w:rFonts w:ascii="Arial" w:eastAsia="Times New Roman" w:hAnsi="Arial" w:cs="Arial"/>
          <w:sz w:val="22"/>
          <w:szCs w:val="22"/>
          <w:lang w:eastAsia="en-GB"/>
        </w:rPr>
        <w:t xml:space="preserve"> (Accessed: 12 June 2026).</w:t>
      </w:r>
    </w:p>
    <w:p w14:paraId="12B8CE4C" w14:textId="254C94B7" w:rsidR="00AA523F" w:rsidRPr="007F0F2E" w:rsidRDefault="00AA523F"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UK Health Security Agency (2024) </w:t>
      </w:r>
      <w:r w:rsidRPr="007F0F2E">
        <w:rPr>
          <w:rFonts w:ascii="Arial" w:eastAsia="Times New Roman" w:hAnsi="Arial" w:cs="Arial"/>
          <w:i/>
          <w:iCs/>
          <w:sz w:val="22"/>
          <w:szCs w:val="22"/>
          <w:lang w:eastAsia="en-GB"/>
        </w:rPr>
        <w:t>UK Health Security Agency: organisation overview</w:t>
      </w:r>
      <w:r w:rsidRPr="007F0F2E">
        <w:rPr>
          <w:rFonts w:ascii="Arial" w:eastAsia="Times New Roman" w:hAnsi="Arial" w:cs="Arial"/>
          <w:sz w:val="22"/>
          <w:szCs w:val="22"/>
          <w:lang w:eastAsia="en-GB"/>
        </w:rPr>
        <w:t xml:space="preserve">. Available at: </w:t>
      </w:r>
      <w:hyperlink r:id="rId47" w:tgtFrame="_new" w:history="1">
        <w:r w:rsidRPr="007F0F2E">
          <w:rPr>
            <w:rStyle w:val="Hyperlink"/>
            <w:rFonts w:ascii="Arial" w:eastAsia="Times New Roman" w:hAnsi="Arial" w:cs="Arial"/>
            <w:sz w:val="22"/>
            <w:szCs w:val="22"/>
            <w:lang w:eastAsia="en-GB"/>
          </w:rPr>
          <w:t>https://www.gov.uk/government/organisations/uk-health-security-agency</w:t>
        </w:r>
      </w:hyperlink>
      <w:r w:rsidRPr="007F0F2E">
        <w:rPr>
          <w:rFonts w:ascii="Arial" w:eastAsia="Times New Roman" w:hAnsi="Arial" w:cs="Arial"/>
          <w:sz w:val="22"/>
          <w:szCs w:val="22"/>
          <w:lang w:eastAsia="en-GB"/>
        </w:rPr>
        <w:t xml:space="preserve"> (Accessed: 18 June 2026)</w:t>
      </w:r>
    </w:p>
    <w:p w14:paraId="0A9B0E65" w14:textId="77777777" w:rsidR="003E69A1" w:rsidRDefault="007B5FC4" w:rsidP="007F0F2E">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Welsh Government (2024) </w:t>
      </w:r>
      <w:r w:rsidRPr="007F0F2E">
        <w:rPr>
          <w:rFonts w:ascii="Arial" w:eastAsia="Times New Roman" w:hAnsi="Arial" w:cs="Arial"/>
          <w:i/>
          <w:iCs/>
          <w:sz w:val="22"/>
          <w:szCs w:val="22"/>
          <w:lang w:eastAsia="en-GB"/>
        </w:rPr>
        <w:t>Community pharmacy services</w:t>
      </w:r>
      <w:r w:rsidRPr="007F0F2E">
        <w:rPr>
          <w:rFonts w:ascii="Arial" w:eastAsia="Times New Roman" w:hAnsi="Arial" w:cs="Arial"/>
          <w:sz w:val="22"/>
          <w:szCs w:val="22"/>
          <w:lang w:eastAsia="en-GB"/>
        </w:rPr>
        <w:t xml:space="preserve">. Available at: </w:t>
      </w:r>
      <w:hyperlink r:id="rId48" w:tgtFrame="_new" w:history="1">
        <w:r w:rsidRPr="007F0F2E">
          <w:rPr>
            <w:rStyle w:val="Hyperlink"/>
            <w:rFonts w:ascii="Arial" w:eastAsia="Times New Roman" w:hAnsi="Arial" w:cs="Arial"/>
            <w:sz w:val="22"/>
            <w:szCs w:val="22"/>
            <w:lang w:eastAsia="en-GB"/>
          </w:rPr>
          <w:t>https://www.gov.wales/community-pharmacy-services</w:t>
        </w:r>
      </w:hyperlink>
      <w:r w:rsidRPr="007F0F2E">
        <w:rPr>
          <w:rFonts w:ascii="Arial" w:eastAsia="Times New Roman" w:hAnsi="Arial" w:cs="Arial"/>
          <w:sz w:val="22"/>
          <w:szCs w:val="22"/>
          <w:lang w:eastAsia="en-GB"/>
        </w:rPr>
        <w:t xml:space="preserve"> (Accessed: 18 June 2026).</w:t>
      </w:r>
    </w:p>
    <w:p w14:paraId="4C5CBDDE" w14:textId="465F36DD" w:rsidR="003E69A1" w:rsidRPr="003E69A1" w:rsidRDefault="00706039" w:rsidP="003E69A1">
      <w:pPr>
        <w:spacing w:after="160" w:line="360" w:lineRule="auto"/>
        <w:rPr>
          <w:rFonts w:ascii="Arial" w:eastAsia="Times New Roman" w:hAnsi="Arial" w:cs="Arial"/>
          <w:sz w:val="22"/>
          <w:szCs w:val="22"/>
          <w:lang w:eastAsia="en-GB"/>
        </w:rPr>
      </w:pPr>
      <w:r w:rsidRPr="007F0F2E">
        <w:rPr>
          <w:rFonts w:ascii="Arial" w:eastAsia="Times New Roman" w:hAnsi="Arial" w:cs="Arial"/>
          <w:sz w:val="22"/>
          <w:szCs w:val="22"/>
          <w:lang w:eastAsia="en-GB"/>
        </w:rPr>
        <w:t xml:space="preserve">World Health Organization (2023) </w:t>
      </w:r>
      <w:r w:rsidRPr="007F0F2E">
        <w:rPr>
          <w:rFonts w:ascii="Arial" w:eastAsia="Times New Roman" w:hAnsi="Arial" w:cs="Arial"/>
          <w:i/>
          <w:iCs/>
          <w:sz w:val="22"/>
          <w:szCs w:val="22"/>
          <w:lang w:eastAsia="en-GB"/>
        </w:rPr>
        <w:t>Primary health care and community health services</w:t>
      </w:r>
      <w:r w:rsidRPr="007F0F2E">
        <w:rPr>
          <w:rFonts w:ascii="Arial" w:eastAsia="Times New Roman" w:hAnsi="Arial" w:cs="Arial"/>
          <w:sz w:val="22"/>
          <w:szCs w:val="22"/>
          <w:lang w:eastAsia="en-GB"/>
        </w:rPr>
        <w:t xml:space="preserve">. Geneva: World Health Organization. Available at: </w:t>
      </w:r>
      <w:hyperlink r:id="rId49" w:tgtFrame="_new" w:history="1">
        <w:r w:rsidRPr="007F0F2E">
          <w:rPr>
            <w:rStyle w:val="Hyperlink"/>
            <w:rFonts w:ascii="Arial" w:eastAsia="Times New Roman" w:hAnsi="Arial" w:cs="Arial"/>
            <w:sz w:val="22"/>
            <w:szCs w:val="22"/>
            <w:lang w:eastAsia="en-GB"/>
          </w:rPr>
          <w:t>https://www.who.int</w:t>
        </w:r>
      </w:hyperlink>
      <w:r w:rsidRPr="007F0F2E">
        <w:rPr>
          <w:rFonts w:ascii="Arial" w:eastAsia="Times New Roman" w:hAnsi="Arial" w:cs="Arial"/>
          <w:sz w:val="22"/>
          <w:szCs w:val="22"/>
          <w:lang w:eastAsia="en-GB"/>
        </w:rPr>
        <w:t xml:space="preserve"> (Accessed: 12 June 2026).</w:t>
      </w:r>
    </w:p>
    <w:p w14:paraId="56C9B6DC" w14:textId="1CECBB5A" w:rsidR="004B3CE5" w:rsidRPr="007F0F2E" w:rsidRDefault="004B3CE5" w:rsidP="007F0F2E">
      <w:pPr>
        <w:spacing w:after="160" w:line="360" w:lineRule="auto"/>
        <w:rPr>
          <w:rFonts w:ascii="Arial" w:eastAsia="Times New Roman" w:hAnsi="Arial" w:cs="Arial"/>
          <w:sz w:val="22"/>
          <w:szCs w:val="22"/>
          <w:lang w:eastAsia="en-GB"/>
        </w:rPr>
      </w:pPr>
    </w:p>
    <w:sectPr w:rsidR="004B3CE5" w:rsidRPr="007F0F2E">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19E32" w14:textId="77777777" w:rsidR="00214B81" w:rsidRDefault="00214B81" w:rsidP="00C375C8">
      <w:pPr>
        <w:spacing w:after="0" w:line="240" w:lineRule="auto"/>
      </w:pPr>
      <w:r>
        <w:separator/>
      </w:r>
    </w:p>
  </w:endnote>
  <w:endnote w:type="continuationSeparator" w:id="0">
    <w:p w14:paraId="7B6A10C5" w14:textId="77777777" w:rsidR="00214B81" w:rsidRDefault="00214B81" w:rsidP="00C3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622229"/>
      <w:docPartObj>
        <w:docPartGallery w:val="Page Numbers (Bottom of Page)"/>
        <w:docPartUnique/>
      </w:docPartObj>
    </w:sdtPr>
    <w:sdtEndPr>
      <w:rPr>
        <w:noProof/>
      </w:rPr>
    </w:sdtEndPr>
    <w:sdtContent>
      <w:p w14:paraId="25DAC943" w14:textId="2235D32D" w:rsidR="00316537" w:rsidRDefault="003165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76105A" w14:textId="77777777" w:rsidR="003E487B" w:rsidRDefault="003E4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BD02F" w14:textId="77777777" w:rsidR="00214B81" w:rsidRDefault="00214B81" w:rsidP="00C375C8">
      <w:pPr>
        <w:spacing w:after="0" w:line="240" w:lineRule="auto"/>
      </w:pPr>
      <w:r>
        <w:separator/>
      </w:r>
    </w:p>
  </w:footnote>
  <w:footnote w:type="continuationSeparator" w:id="0">
    <w:p w14:paraId="570AD5FF" w14:textId="77777777" w:rsidR="00214B81" w:rsidRDefault="00214B81" w:rsidP="00C37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E6F6"/>
      </v:shape>
    </w:pict>
  </w:numPicBullet>
  <w:abstractNum w:abstractNumId="0" w15:restartNumberingAfterBreak="0">
    <w:nsid w:val="06552DB3"/>
    <w:multiLevelType w:val="multilevel"/>
    <w:tmpl w:val="DF80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4126C"/>
    <w:multiLevelType w:val="hybridMultilevel"/>
    <w:tmpl w:val="4AD068A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D1A14"/>
    <w:multiLevelType w:val="hybridMultilevel"/>
    <w:tmpl w:val="5E3A4C8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4B21A32"/>
    <w:multiLevelType w:val="hybridMultilevel"/>
    <w:tmpl w:val="4BC4F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43D1C"/>
    <w:multiLevelType w:val="hybridMultilevel"/>
    <w:tmpl w:val="3886E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5B4403"/>
    <w:multiLevelType w:val="hybridMultilevel"/>
    <w:tmpl w:val="D648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672B9"/>
    <w:multiLevelType w:val="hybridMultilevel"/>
    <w:tmpl w:val="0C68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BD088A"/>
    <w:multiLevelType w:val="multilevel"/>
    <w:tmpl w:val="DF80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471650"/>
    <w:multiLevelType w:val="multilevel"/>
    <w:tmpl w:val="5470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892A71"/>
    <w:multiLevelType w:val="hybridMultilevel"/>
    <w:tmpl w:val="D91A6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80702A"/>
    <w:multiLevelType w:val="hybridMultilevel"/>
    <w:tmpl w:val="70E20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D7EB8"/>
    <w:multiLevelType w:val="hybridMultilevel"/>
    <w:tmpl w:val="6F880C9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54663"/>
    <w:multiLevelType w:val="hybridMultilevel"/>
    <w:tmpl w:val="ECD0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A1655C"/>
    <w:multiLevelType w:val="hybridMultilevel"/>
    <w:tmpl w:val="8730C5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143524"/>
    <w:multiLevelType w:val="multilevel"/>
    <w:tmpl w:val="F210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5A12D5"/>
    <w:multiLevelType w:val="multilevel"/>
    <w:tmpl w:val="6944B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6051CB"/>
    <w:multiLevelType w:val="hybridMultilevel"/>
    <w:tmpl w:val="5AD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0B23D1"/>
    <w:multiLevelType w:val="hybridMultilevel"/>
    <w:tmpl w:val="92FE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16440">
    <w:abstractNumId w:val="14"/>
  </w:num>
  <w:num w:numId="2" w16cid:durableId="1117599788">
    <w:abstractNumId w:val="15"/>
  </w:num>
  <w:num w:numId="3" w16cid:durableId="840896686">
    <w:abstractNumId w:val="3"/>
  </w:num>
  <w:num w:numId="4" w16cid:durableId="897938712">
    <w:abstractNumId w:val="13"/>
  </w:num>
  <w:num w:numId="5" w16cid:durableId="270822036">
    <w:abstractNumId w:val="0"/>
  </w:num>
  <w:num w:numId="6" w16cid:durableId="596789262">
    <w:abstractNumId w:val="1"/>
  </w:num>
  <w:num w:numId="7" w16cid:durableId="2039617374">
    <w:abstractNumId w:val="4"/>
  </w:num>
  <w:num w:numId="8" w16cid:durableId="2021657802">
    <w:abstractNumId w:val="12"/>
  </w:num>
  <w:num w:numId="9" w16cid:durableId="1901094394">
    <w:abstractNumId w:val="16"/>
  </w:num>
  <w:num w:numId="10" w16cid:durableId="534972786">
    <w:abstractNumId w:val="17"/>
  </w:num>
  <w:num w:numId="11" w16cid:durableId="1540555839">
    <w:abstractNumId w:val="8"/>
  </w:num>
  <w:num w:numId="12" w16cid:durableId="1917861220">
    <w:abstractNumId w:val="11"/>
  </w:num>
  <w:num w:numId="13" w16cid:durableId="407191254">
    <w:abstractNumId w:val="2"/>
  </w:num>
  <w:num w:numId="14" w16cid:durableId="300117024">
    <w:abstractNumId w:val="10"/>
  </w:num>
  <w:num w:numId="15" w16cid:durableId="902835630">
    <w:abstractNumId w:val="6"/>
  </w:num>
  <w:num w:numId="16" w16cid:durableId="1315722228">
    <w:abstractNumId w:val="7"/>
  </w:num>
  <w:num w:numId="17" w16cid:durableId="1285497464">
    <w:abstractNumId w:val="5"/>
  </w:num>
  <w:num w:numId="18" w16cid:durableId="13929212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CE5"/>
    <w:rsid w:val="00005C21"/>
    <w:rsid w:val="000135B3"/>
    <w:rsid w:val="00015022"/>
    <w:rsid w:val="00027A7F"/>
    <w:rsid w:val="0003483B"/>
    <w:rsid w:val="00035228"/>
    <w:rsid w:val="00045259"/>
    <w:rsid w:val="000465C2"/>
    <w:rsid w:val="000508B8"/>
    <w:rsid w:val="000638AF"/>
    <w:rsid w:val="0007036C"/>
    <w:rsid w:val="000739E1"/>
    <w:rsid w:val="00083540"/>
    <w:rsid w:val="000922E0"/>
    <w:rsid w:val="0009428B"/>
    <w:rsid w:val="00095407"/>
    <w:rsid w:val="0009554C"/>
    <w:rsid w:val="0009651E"/>
    <w:rsid w:val="000C06AF"/>
    <w:rsid w:val="000C474C"/>
    <w:rsid w:val="000C5705"/>
    <w:rsid w:val="000C6591"/>
    <w:rsid w:val="000D45CD"/>
    <w:rsid w:val="000E04B4"/>
    <w:rsid w:val="000E5F4B"/>
    <w:rsid w:val="000F1692"/>
    <w:rsid w:val="00127FF9"/>
    <w:rsid w:val="00131FC1"/>
    <w:rsid w:val="001343D9"/>
    <w:rsid w:val="00136EB2"/>
    <w:rsid w:val="00141F2E"/>
    <w:rsid w:val="0014307C"/>
    <w:rsid w:val="00162C3E"/>
    <w:rsid w:val="00162FD0"/>
    <w:rsid w:val="0016325B"/>
    <w:rsid w:val="00166EA6"/>
    <w:rsid w:val="00166FAA"/>
    <w:rsid w:val="001706A9"/>
    <w:rsid w:val="00177AA0"/>
    <w:rsid w:val="0018039A"/>
    <w:rsid w:val="001826B9"/>
    <w:rsid w:val="001844F9"/>
    <w:rsid w:val="00195B51"/>
    <w:rsid w:val="00195ED2"/>
    <w:rsid w:val="001A26EC"/>
    <w:rsid w:val="001A53EE"/>
    <w:rsid w:val="001C5E5B"/>
    <w:rsid w:val="001E339D"/>
    <w:rsid w:val="001F01D7"/>
    <w:rsid w:val="00214A17"/>
    <w:rsid w:val="00214B0C"/>
    <w:rsid w:val="00214B81"/>
    <w:rsid w:val="0022653E"/>
    <w:rsid w:val="00227A4B"/>
    <w:rsid w:val="002322D6"/>
    <w:rsid w:val="00234F24"/>
    <w:rsid w:val="00240436"/>
    <w:rsid w:val="002448A6"/>
    <w:rsid w:val="00246524"/>
    <w:rsid w:val="002516D7"/>
    <w:rsid w:val="0025615C"/>
    <w:rsid w:val="002578D2"/>
    <w:rsid w:val="002633A7"/>
    <w:rsid w:val="00267438"/>
    <w:rsid w:val="00272E30"/>
    <w:rsid w:val="002779C6"/>
    <w:rsid w:val="00282E94"/>
    <w:rsid w:val="00284C39"/>
    <w:rsid w:val="00293AFC"/>
    <w:rsid w:val="00293B31"/>
    <w:rsid w:val="002A37D6"/>
    <w:rsid w:val="002A4195"/>
    <w:rsid w:val="002A747E"/>
    <w:rsid w:val="002C1A26"/>
    <w:rsid w:val="002F699E"/>
    <w:rsid w:val="002F79C0"/>
    <w:rsid w:val="00311D60"/>
    <w:rsid w:val="00312FA5"/>
    <w:rsid w:val="00313039"/>
    <w:rsid w:val="00316537"/>
    <w:rsid w:val="00317C84"/>
    <w:rsid w:val="00320C15"/>
    <w:rsid w:val="00325117"/>
    <w:rsid w:val="00327A1D"/>
    <w:rsid w:val="003330DC"/>
    <w:rsid w:val="00340699"/>
    <w:rsid w:val="003460C8"/>
    <w:rsid w:val="00351B6A"/>
    <w:rsid w:val="00360891"/>
    <w:rsid w:val="00374268"/>
    <w:rsid w:val="00377083"/>
    <w:rsid w:val="00377FB1"/>
    <w:rsid w:val="0038077A"/>
    <w:rsid w:val="003864D0"/>
    <w:rsid w:val="00390815"/>
    <w:rsid w:val="00391608"/>
    <w:rsid w:val="003950FB"/>
    <w:rsid w:val="003B49C1"/>
    <w:rsid w:val="003C4F9C"/>
    <w:rsid w:val="003D510A"/>
    <w:rsid w:val="003E0DCD"/>
    <w:rsid w:val="003E487B"/>
    <w:rsid w:val="003E69A1"/>
    <w:rsid w:val="003E74AF"/>
    <w:rsid w:val="003F155E"/>
    <w:rsid w:val="003F2FB0"/>
    <w:rsid w:val="003F6460"/>
    <w:rsid w:val="003F6A52"/>
    <w:rsid w:val="00402072"/>
    <w:rsid w:val="00403071"/>
    <w:rsid w:val="004252A9"/>
    <w:rsid w:val="0042597E"/>
    <w:rsid w:val="00426083"/>
    <w:rsid w:val="00431027"/>
    <w:rsid w:val="00434B02"/>
    <w:rsid w:val="004417F0"/>
    <w:rsid w:val="004429FF"/>
    <w:rsid w:val="00444021"/>
    <w:rsid w:val="00454ADB"/>
    <w:rsid w:val="0046008D"/>
    <w:rsid w:val="00461A86"/>
    <w:rsid w:val="0046685E"/>
    <w:rsid w:val="00470B19"/>
    <w:rsid w:val="004712F8"/>
    <w:rsid w:val="00472438"/>
    <w:rsid w:val="00473B44"/>
    <w:rsid w:val="00473DF8"/>
    <w:rsid w:val="00476039"/>
    <w:rsid w:val="00490C6B"/>
    <w:rsid w:val="00494CBD"/>
    <w:rsid w:val="00495727"/>
    <w:rsid w:val="004A0F3A"/>
    <w:rsid w:val="004A12E7"/>
    <w:rsid w:val="004A31A9"/>
    <w:rsid w:val="004A343C"/>
    <w:rsid w:val="004A3AA1"/>
    <w:rsid w:val="004A48DF"/>
    <w:rsid w:val="004A6B35"/>
    <w:rsid w:val="004B05C5"/>
    <w:rsid w:val="004B2227"/>
    <w:rsid w:val="004B27B8"/>
    <w:rsid w:val="004B2D81"/>
    <w:rsid w:val="004B3CE5"/>
    <w:rsid w:val="004C3593"/>
    <w:rsid w:val="004D6892"/>
    <w:rsid w:val="004D79F8"/>
    <w:rsid w:val="004E0C9F"/>
    <w:rsid w:val="004E4D42"/>
    <w:rsid w:val="004E5A0B"/>
    <w:rsid w:val="004E6CD6"/>
    <w:rsid w:val="004F40E0"/>
    <w:rsid w:val="004F69B5"/>
    <w:rsid w:val="00510619"/>
    <w:rsid w:val="00511B54"/>
    <w:rsid w:val="005132C9"/>
    <w:rsid w:val="00514459"/>
    <w:rsid w:val="00516D73"/>
    <w:rsid w:val="00523995"/>
    <w:rsid w:val="00527765"/>
    <w:rsid w:val="00536C99"/>
    <w:rsid w:val="0054000B"/>
    <w:rsid w:val="0054344C"/>
    <w:rsid w:val="005509A8"/>
    <w:rsid w:val="00560813"/>
    <w:rsid w:val="005635BA"/>
    <w:rsid w:val="00563A67"/>
    <w:rsid w:val="00571279"/>
    <w:rsid w:val="005733FC"/>
    <w:rsid w:val="00576BF3"/>
    <w:rsid w:val="005834B6"/>
    <w:rsid w:val="00585701"/>
    <w:rsid w:val="00592DF9"/>
    <w:rsid w:val="00593DC6"/>
    <w:rsid w:val="0059443E"/>
    <w:rsid w:val="00595E1D"/>
    <w:rsid w:val="005A0F00"/>
    <w:rsid w:val="005A4122"/>
    <w:rsid w:val="005A606C"/>
    <w:rsid w:val="005B7179"/>
    <w:rsid w:val="005C088F"/>
    <w:rsid w:val="005C0B7C"/>
    <w:rsid w:val="005C3B59"/>
    <w:rsid w:val="005C519B"/>
    <w:rsid w:val="005D28D6"/>
    <w:rsid w:val="005D3A66"/>
    <w:rsid w:val="005D3F26"/>
    <w:rsid w:val="005E07A4"/>
    <w:rsid w:val="005E29ED"/>
    <w:rsid w:val="005E6EA2"/>
    <w:rsid w:val="005F2F85"/>
    <w:rsid w:val="005F369C"/>
    <w:rsid w:val="005F6DCE"/>
    <w:rsid w:val="00602226"/>
    <w:rsid w:val="00607E16"/>
    <w:rsid w:val="006131E4"/>
    <w:rsid w:val="006143C4"/>
    <w:rsid w:val="0061778D"/>
    <w:rsid w:val="00617BB0"/>
    <w:rsid w:val="00617F07"/>
    <w:rsid w:val="006247AA"/>
    <w:rsid w:val="00631B1E"/>
    <w:rsid w:val="00634281"/>
    <w:rsid w:val="006367A6"/>
    <w:rsid w:val="0064118C"/>
    <w:rsid w:val="00643348"/>
    <w:rsid w:val="00646738"/>
    <w:rsid w:val="00650BEC"/>
    <w:rsid w:val="00651C3E"/>
    <w:rsid w:val="00653D31"/>
    <w:rsid w:val="00654E11"/>
    <w:rsid w:val="00656579"/>
    <w:rsid w:val="00657FCE"/>
    <w:rsid w:val="00661AF2"/>
    <w:rsid w:val="0066421F"/>
    <w:rsid w:val="00671CA8"/>
    <w:rsid w:val="00673220"/>
    <w:rsid w:val="00674FDE"/>
    <w:rsid w:val="00675ED7"/>
    <w:rsid w:val="00680E7C"/>
    <w:rsid w:val="00686FB3"/>
    <w:rsid w:val="00687598"/>
    <w:rsid w:val="00693A5E"/>
    <w:rsid w:val="00695F3A"/>
    <w:rsid w:val="006A0F62"/>
    <w:rsid w:val="006A297D"/>
    <w:rsid w:val="006A5639"/>
    <w:rsid w:val="006A5B45"/>
    <w:rsid w:val="006A5E15"/>
    <w:rsid w:val="006A7B4A"/>
    <w:rsid w:val="006B1380"/>
    <w:rsid w:val="006B2DFD"/>
    <w:rsid w:val="006B4C33"/>
    <w:rsid w:val="006B5082"/>
    <w:rsid w:val="006C0E60"/>
    <w:rsid w:val="006C21AE"/>
    <w:rsid w:val="006D143E"/>
    <w:rsid w:val="006D32A1"/>
    <w:rsid w:val="006D35B6"/>
    <w:rsid w:val="006D4595"/>
    <w:rsid w:val="006D57B9"/>
    <w:rsid w:val="006D7E2D"/>
    <w:rsid w:val="006E0BCA"/>
    <w:rsid w:val="006E24F9"/>
    <w:rsid w:val="006E49A4"/>
    <w:rsid w:val="006E63E4"/>
    <w:rsid w:val="006F0A2B"/>
    <w:rsid w:val="006F1838"/>
    <w:rsid w:val="00703BAB"/>
    <w:rsid w:val="00706039"/>
    <w:rsid w:val="00706CE5"/>
    <w:rsid w:val="00711028"/>
    <w:rsid w:val="00716405"/>
    <w:rsid w:val="00724184"/>
    <w:rsid w:val="00732DC2"/>
    <w:rsid w:val="00733A60"/>
    <w:rsid w:val="00737946"/>
    <w:rsid w:val="0074016E"/>
    <w:rsid w:val="00747F89"/>
    <w:rsid w:val="0075063E"/>
    <w:rsid w:val="00757056"/>
    <w:rsid w:val="0076144F"/>
    <w:rsid w:val="0077558A"/>
    <w:rsid w:val="00780CDE"/>
    <w:rsid w:val="00784A27"/>
    <w:rsid w:val="00786192"/>
    <w:rsid w:val="00791EF9"/>
    <w:rsid w:val="00796071"/>
    <w:rsid w:val="0079661A"/>
    <w:rsid w:val="007B44E4"/>
    <w:rsid w:val="007B4E48"/>
    <w:rsid w:val="007B5FC4"/>
    <w:rsid w:val="007C0ABE"/>
    <w:rsid w:val="007C745F"/>
    <w:rsid w:val="007E6AAC"/>
    <w:rsid w:val="007F0F2E"/>
    <w:rsid w:val="007F51B2"/>
    <w:rsid w:val="007F70CE"/>
    <w:rsid w:val="00800CA0"/>
    <w:rsid w:val="008020DC"/>
    <w:rsid w:val="008042D6"/>
    <w:rsid w:val="0081233A"/>
    <w:rsid w:val="0081235C"/>
    <w:rsid w:val="0081278C"/>
    <w:rsid w:val="00813431"/>
    <w:rsid w:val="00814403"/>
    <w:rsid w:val="00816D75"/>
    <w:rsid w:val="008174DC"/>
    <w:rsid w:val="008236F7"/>
    <w:rsid w:val="00830E8A"/>
    <w:rsid w:val="008421CF"/>
    <w:rsid w:val="00843B50"/>
    <w:rsid w:val="00845943"/>
    <w:rsid w:val="00850DE6"/>
    <w:rsid w:val="00851551"/>
    <w:rsid w:val="00851EA0"/>
    <w:rsid w:val="00857970"/>
    <w:rsid w:val="0086001D"/>
    <w:rsid w:val="008629E4"/>
    <w:rsid w:val="008630A4"/>
    <w:rsid w:val="00863BB9"/>
    <w:rsid w:val="0086686E"/>
    <w:rsid w:val="008709BD"/>
    <w:rsid w:val="00883134"/>
    <w:rsid w:val="008841BB"/>
    <w:rsid w:val="00885265"/>
    <w:rsid w:val="00885FAC"/>
    <w:rsid w:val="008954C8"/>
    <w:rsid w:val="0089574A"/>
    <w:rsid w:val="008A05CD"/>
    <w:rsid w:val="008A18ED"/>
    <w:rsid w:val="008A6C86"/>
    <w:rsid w:val="008A7285"/>
    <w:rsid w:val="008C0279"/>
    <w:rsid w:val="008C046C"/>
    <w:rsid w:val="008C6253"/>
    <w:rsid w:val="008D4616"/>
    <w:rsid w:val="008D6699"/>
    <w:rsid w:val="008E0659"/>
    <w:rsid w:val="008E3C09"/>
    <w:rsid w:val="008E7F58"/>
    <w:rsid w:val="008F34BA"/>
    <w:rsid w:val="008F55D4"/>
    <w:rsid w:val="00903345"/>
    <w:rsid w:val="00904BF3"/>
    <w:rsid w:val="009057AD"/>
    <w:rsid w:val="00910FA3"/>
    <w:rsid w:val="00911508"/>
    <w:rsid w:val="009152DE"/>
    <w:rsid w:val="00920379"/>
    <w:rsid w:val="00931474"/>
    <w:rsid w:val="00933EA4"/>
    <w:rsid w:val="00934155"/>
    <w:rsid w:val="00935AA7"/>
    <w:rsid w:val="00935CEB"/>
    <w:rsid w:val="0093614D"/>
    <w:rsid w:val="009415C5"/>
    <w:rsid w:val="00941CB4"/>
    <w:rsid w:val="00946DEC"/>
    <w:rsid w:val="00947FCA"/>
    <w:rsid w:val="0095356B"/>
    <w:rsid w:val="00953663"/>
    <w:rsid w:val="00954084"/>
    <w:rsid w:val="00955F02"/>
    <w:rsid w:val="0096246C"/>
    <w:rsid w:val="0097231B"/>
    <w:rsid w:val="00975B56"/>
    <w:rsid w:val="009770F1"/>
    <w:rsid w:val="0099047E"/>
    <w:rsid w:val="00994064"/>
    <w:rsid w:val="009956F2"/>
    <w:rsid w:val="00997ECA"/>
    <w:rsid w:val="009A04DF"/>
    <w:rsid w:val="009A2951"/>
    <w:rsid w:val="009A3BF4"/>
    <w:rsid w:val="009B1626"/>
    <w:rsid w:val="009B2323"/>
    <w:rsid w:val="009B4E3B"/>
    <w:rsid w:val="009C103C"/>
    <w:rsid w:val="009C34D8"/>
    <w:rsid w:val="009C6D53"/>
    <w:rsid w:val="009D165C"/>
    <w:rsid w:val="009D2259"/>
    <w:rsid w:val="009D2CC0"/>
    <w:rsid w:val="009E10DF"/>
    <w:rsid w:val="009E11A7"/>
    <w:rsid w:val="009E19EB"/>
    <w:rsid w:val="009F53F1"/>
    <w:rsid w:val="009F60BC"/>
    <w:rsid w:val="00A01810"/>
    <w:rsid w:val="00A146A3"/>
    <w:rsid w:val="00A15AE4"/>
    <w:rsid w:val="00A30F02"/>
    <w:rsid w:val="00A311E7"/>
    <w:rsid w:val="00A37770"/>
    <w:rsid w:val="00A412D1"/>
    <w:rsid w:val="00A41F43"/>
    <w:rsid w:val="00A42391"/>
    <w:rsid w:val="00A44B15"/>
    <w:rsid w:val="00A457FC"/>
    <w:rsid w:val="00A457FF"/>
    <w:rsid w:val="00A51CE5"/>
    <w:rsid w:val="00A54670"/>
    <w:rsid w:val="00A56DA6"/>
    <w:rsid w:val="00A6154D"/>
    <w:rsid w:val="00A62C90"/>
    <w:rsid w:val="00A70851"/>
    <w:rsid w:val="00A73825"/>
    <w:rsid w:val="00A8055B"/>
    <w:rsid w:val="00A80BC1"/>
    <w:rsid w:val="00A92E95"/>
    <w:rsid w:val="00A94B8D"/>
    <w:rsid w:val="00A96AE1"/>
    <w:rsid w:val="00AA3D34"/>
    <w:rsid w:val="00AA523F"/>
    <w:rsid w:val="00AA7765"/>
    <w:rsid w:val="00AB7BCD"/>
    <w:rsid w:val="00AC30F6"/>
    <w:rsid w:val="00AC6508"/>
    <w:rsid w:val="00AD56CB"/>
    <w:rsid w:val="00AD61CF"/>
    <w:rsid w:val="00AD63AD"/>
    <w:rsid w:val="00AD667D"/>
    <w:rsid w:val="00AD68AE"/>
    <w:rsid w:val="00AE0344"/>
    <w:rsid w:val="00AF0C8A"/>
    <w:rsid w:val="00AF14BF"/>
    <w:rsid w:val="00AF3EC6"/>
    <w:rsid w:val="00AF4136"/>
    <w:rsid w:val="00AF5C09"/>
    <w:rsid w:val="00B002AD"/>
    <w:rsid w:val="00B00DFC"/>
    <w:rsid w:val="00B146AD"/>
    <w:rsid w:val="00B27D0A"/>
    <w:rsid w:val="00B32E50"/>
    <w:rsid w:val="00B37D04"/>
    <w:rsid w:val="00B42393"/>
    <w:rsid w:val="00B46389"/>
    <w:rsid w:val="00B469CB"/>
    <w:rsid w:val="00B50108"/>
    <w:rsid w:val="00B5107A"/>
    <w:rsid w:val="00B5533F"/>
    <w:rsid w:val="00B57D1F"/>
    <w:rsid w:val="00B65C2D"/>
    <w:rsid w:val="00B74C91"/>
    <w:rsid w:val="00B74E0A"/>
    <w:rsid w:val="00B7505B"/>
    <w:rsid w:val="00B81B3E"/>
    <w:rsid w:val="00B820CB"/>
    <w:rsid w:val="00B8357D"/>
    <w:rsid w:val="00B83F39"/>
    <w:rsid w:val="00B84AE0"/>
    <w:rsid w:val="00B92D59"/>
    <w:rsid w:val="00B96FF2"/>
    <w:rsid w:val="00BB1D5B"/>
    <w:rsid w:val="00BB47EA"/>
    <w:rsid w:val="00BB56B6"/>
    <w:rsid w:val="00BB7A3C"/>
    <w:rsid w:val="00BC2505"/>
    <w:rsid w:val="00BC490F"/>
    <w:rsid w:val="00BF4E17"/>
    <w:rsid w:val="00C10109"/>
    <w:rsid w:val="00C1029F"/>
    <w:rsid w:val="00C114C6"/>
    <w:rsid w:val="00C30A6D"/>
    <w:rsid w:val="00C325C7"/>
    <w:rsid w:val="00C36C20"/>
    <w:rsid w:val="00C375C8"/>
    <w:rsid w:val="00C41498"/>
    <w:rsid w:val="00C42D7B"/>
    <w:rsid w:val="00C505FF"/>
    <w:rsid w:val="00C53550"/>
    <w:rsid w:val="00C54F1B"/>
    <w:rsid w:val="00C576BA"/>
    <w:rsid w:val="00C64A7B"/>
    <w:rsid w:val="00C67A78"/>
    <w:rsid w:val="00C67BC6"/>
    <w:rsid w:val="00C7413B"/>
    <w:rsid w:val="00C82E22"/>
    <w:rsid w:val="00C97040"/>
    <w:rsid w:val="00CA14CD"/>
    <w:rsid w:val="00CA1529"/>
    <w:rsid w:val="00CB09AA"/>
    <w:rsid w:val="00CB3669"/>
    <w:rsid w:val="00CC41EE"/>
    <w:rsid w:val="00CC4C6A"/>
    <w:rsid w:val="00CD2B93"/>
    <w:rsid w:val="00CD6C63"/>
    <w:rsid w:val="00CF030F"/>
    <w:rsid w:val="00CF1352"/>
    <w:rsid w:val="00CF54E4"/>
    <w:rsid w:val="00CF5CB7"/>
    <w:rsid w:val="00CF6C9E"/>
    <w:rsid w:val="00CF7AB4"/>
    <w:rsid w:val="00D024A8"/>
    <w:rsid w:val="00D10815"/>
    <w:rsid w:val="00D173FB"/>
    <w:rsid w:val="00D20D1B"/>
    <w:rsid w:val="00D22FE5"/>
    <w:rsid w:val="00D30148"/>
    <w:rsid w:val="00D32982"/>
    <w:rsid w:val="00D3460B"/>
    <w:rsid w:val="00D348BD"/>
    <w:rsid w:val="00D37C74"/>
    <w:rsid w:val="00D41CBF"/>
    <w:rsid w:val="00D44049"/>
    <w:rsid w:val="00D440B8"/>
    <w:rsid w:val="00D47A55"/>
    <w:rsid w:val="00D520AB"/>
    <w:rsid w:val="00D539CE"/>
    <w:rsid w:val="00D55BCA"/>
    <w:rsid w:val="00D646BB"/>
    <w:rsid w:val="00D6621B"/>
    <w:rsid w:val="00D6629E"/>
    <w:rsid w:val="00D67763"/>
    <w:rsid w:val="00D7257E"/>
    <w:rsid w:val="00D72A6B"/>
    <w:rsid w:val="00D73755"/>
    <w:rsid w:val="00D756A1"/>
    <w:rsid w:val="00D76006"/>
    <w:rsid w:val="00D763A1"/>
    <w:rsid w:val="00D76BEB"/>
    <w:rsid w:val="00D77CBA"/>
    <w:rsid w:val="00D80D26"/>
    <w:rsid w:val="00D811D5"/>
    <w:rsid w:val="00D81A2D"/>
    <w:rsid w:val="00D834B8"/>
    <w:rsid w:val="00D83C66"/>
    <w:rsid w:val="00D9735E"/>
    <w:rsid w:val="00D97B18"/>
    <w:rsid w:val="00DA02D9"/>
    <w:rsid w:val="00DA4260"/>
    <w:rsid w:val="00DB3FA6"/>
    <w:rsid w:val="00DC6A9E"/>
    <w:rsid w:val="00DD0407"/>
    <w:rsid w:val="00DD4B91"/>
    <w:rsid w:val="00DE0E6F"/>
    <w:rsid w:val="00DE4C4F"/>
    <w:rsid w:val="00DE4CD6"/>
    <w:rsid w:val="00DE6F7E"/>
    <w:rsid w:val="00DF2657"/>
    <w:rsid w:val="00DF5A63"/>
    <w:rsid w:val="00DF6D65"/>
    <w:rsid w:val="00E01990"/>
    <w:rsid w:val="00E03547"/>
    <w:rsid w:val="00E04888"/>
    <w:rsid w:val="00E05A5C"/>
    <w:rsid w:val="00E06162"/>
    <w:rsid w:val="00E106D6"/>
    <w:rsid w:val="00E12C72"/>
    <w:rsid w:val="00E134F2"/>
    <w:rsid w:val="00E14844"/>
    <w:rsid w:val="00E16138"/>
    <w:rsid w:val="00E2134C"/>
    <w:rsid w:val="00E25090"/>
    <w:rsid w:val="00E25720"/>
    <w:rsid w:val="00E26B63"/>
    <w:rsid w:val="00E30316"/>
    <w:rsid w:val="00E35829"/>
    <w:rsid w:val="00E4089C"/>
    <w:rsid w:val="00E423CC"/>
    <w:rsid w:val="00E43ED1"/>
    <w:rsid w:val="00E515D9"/>
    <w:rsid w:val="00E54F54"/>
    <w:rsid w:val="00E60693"/>
    <w:rsid w:val="00E61AF4"/>
    <w:rsid w:val="00E66FFC"/>
    <w:rsid w:val="00E77682"/>
    <w:rsid w:val="00E84080"/>
    <w:rsid w:val="00E94F86"/>
    <w:rsid w:val="00E97189"/>
    <w:rsid w:val="00EA0DFA"/>
    <w:rsid w:val="00EB23A9"/>
    <w:rsid w:val="00ED20AF"/>
    <w:rsid w:val="00ED290A"/>
    <w:rsid w:val="00EF172D"/>
    <w:rsid w:val="00F00648"/>
    <w:rsid w:val="00F00968"/>
    <w:rsid w:val="00F02FAF"/>
    <w:rsid w:val="00F049FB"/>
    <w:rsid w:val="00F05CB2"/>
    <w:rsid w:val="00F11637"/>
    <w:rsid w:val="00F15569"/>
    <w:rsid w:val="00F157FA"/>
    <w:rsid w:val="00F16BBF"/>
    <w:rsid w:val="00F2784F"/>
    <w:rsid w:val="00F31D92"/>
    <w:rsid w:val="00F32C68"/>
    <w:rsid w:val="00F35DF4"/>
    <w:rsid w:val="00F3797A"/>
    <w:rsid w:val="00F4357C"/>
    <w:rsid w:val="00F45798"/>
    <w:rsid w:val="00F470AA"/>
    <w:rsid w:val="00F549B8"/>
    <w:rsid w:val="00F562A1"/>
    <w:rsid w:val="00F632EF"/>
    <w:rsid w:val="00F65310"/>
    <w:rsid w:val="00F654AA"/>
    <w:rsid w:val="00F66CB7"/>
    <w:rsid w:val="00F677DD"/>
    <w:rsid w:val="00F756A0"/>
    <w:rsid w:val="00F77DA5"/>
    <w:rsid w:val="00F81298"/>
    <w:rsid w:val="00F84002"/>
    <w:rsid w:val="00F90AFC"/>
    <w:rsid w:val="00F9111A"/>
    <w:rsid w:val="00F91858"/>
    <w:rsid w:val="00F9237F"/>
    <w:rsid w:val="00F93A41"/>
    <w:rsid w:val="00F93C72"/>
    <w:rsid w:val="00F97281"/>
    <w:rsid w:val="00FB1C01"/>
    <w:rsid w:val="00FC010A"/>
    <w:rsid w:val="00FC7C60"/>
    <w:rsid w:val="00FD0BDE"/>
    <w:rsid w:val="00FD312C"/>
    <w:rsid w:val="00FD629C"/>
    <w:rsid w:val="00FE1BF4"/>
    <w:rsid w:val="00FE4794"/>
    <w:rsid w:val="00FE508C"/>
    <w:rsid w:val="00FF17AC"/>
    <w:rsid w:val="00FF4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5E2B3"/>
  <w15:chartTrackingRefBased/>
  <w15:docId w15:val="{2D2D8C53-1C60-41B4-936A-F44181B13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D42"/>
  </w:style>
  <w:style w:type="paragraph" w:styleId="Heading1">
    <w:name w:val="heading 1"/>
    <w:basedOn w:val="Normal"/>
    <w:next w:val="Normal"/>
    <w:link w:val="Heading1Char"/>
    <w:uiPriority w:val="9"/>
    <w:qFormat/>
    <w:rsid w:val="00B83F39"/>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83F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83F39"/>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B83F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83F39"/>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B83F39"/>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B83F39"/>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B83F39"/>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B83F39"/>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39"/>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83F3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83F39"/>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B83F3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83F39"/>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B83F39"/>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B83F39"/>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B83F39"/>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B83F39"/>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B83F39"/>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B83F39"/>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B83F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83F39"/>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83F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83F39"/>
    <w:rPr>
      <w:i/>
      <w:iCs/>
      <w:color w:val="404040" w:themeColor="text1" w:themeTint="BF"/>
    </w:rPr>
  </w:style>
  <w:style w:type="paragraph" w:styleId="ListParagraph">
    <w:name w:val="List Paragraph"/>
    <w:basedOn w:val="Normal"/>
    <w:uiPriority w:val="34"/>
    <w:qFormat/>
    <w:rsid w:val="004B3CE5"/>
    <w:pPr>
      <w:ind w:left="720"/>
      <w:contextualSpacing/>
    </w:pPr>
  </w:style>
  <w:style w:type="character" w:styleId="IntenseEmphasis">
    <w:name w:val="Intense Emphasis"/>
    <w:basedOn w:val="DefaultParagraphFont"/>
    <w:uiPriority w:val="21"/>
    <w:qFormat/>
    <w:rsid w:val="00B83F39"/>
    <w:rPr>
      <w:b/>
      <w:bCs/>
      <w:i/>
      <w:iCs/>
    </w:rPr>
  </w:style>
  <w:style w:type="paragraph" w:styleId="IntenseQuote">
    <w:name w:val="Intense Quote"/>
    <w:basedOn w:val="Normal"/>
    <w:next w:val="Normal"/>
    <w:link w:val="IntenseQuoteChar"/>
    <w:uiPriority w:val="30"/>
    <w:qFormat/>
    <w:rsid w:val="00B83F39"/>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83F39"/>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83F39"/>
    <w:rPr>
      <w:b/>
      <w:bCs/>
      <w:smallCaps/>
      <w:spacing w:val="5"/>
      <w:u w:val="single"/>
    </w:rPr>
  </w:style>
  <w:style w:type="paragraph" w:styleId="NormalWeb">
    <w:name w:val="Normal (Web)"/>
    <w:basedOn w:val="Normal"/>
    <w:uiPriority w:val="99"/>
    <w:semiHidden/>
    <w:unhideWhenUsed/>
    <w:rsid w:val="00747F89"/>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30148"/>
    <w:rPr>
      <w:color w:val="467886" w:themeColor="hyperlink"/>
      <w:u w:val="single"/>
    </w:rPr>
  </w:style>
  <w:style w:type="character" w:styleId="UnresolvedMention">
    <w:name w:val="Unresolved Mention"/>
    <w:basedOn w:val="DefaultParagraphFont"/>
    <w:uiPriority w:val="99"/>
    <w:semiHidden/>
    <w:unhideWhenUsed/>
    <w:rsid w:val="00D30148"/>
    <w:rPr>
      <w:color w:val="605E5C"/>
      <w:shd w:val="clear" w:color="auto" w:fill="E1DFDD"/>
    </w:rPr>
  </w:style>
  <w:style w:type="paragraph" w:styleId="Header">
    <w:name w:val="header"/>
    <w:basedOn w:val="Normal"/>
    <w:link w:val="HeaderChar"/>
    <w:uiPriority w:val="99"/>
    <w:unhideWhenUsed/>
    <w:rsid w:val="00C37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5C8"/>
  </w:style>
  <w:style w:type="paragraph" w:styleId="Footer">
    <w:name w:val="footer"/>
    <w:basedOn w:val="Normal"/>
    <w:link w:val="FooterChar"/>
    <w:uiPriority w:val="99"/>
    <w:unhideWhenUsed/>
    <w:rsid w:val="00C37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5C8"/>
  </w:style>
  <w:style w:type="paragraph" w:styleId="NoSpacing">
    <w:name w:val="No Spacing"/>
    <w:link w:val="NoSpacingChar"/>
    <w:uiPriority w:val="1"/>
    <w:qFormat/>
    <w:rsid w:val="00B83F39"/>
    <w:pPr>
      <w:spacing w:after="0" w:line="240" w:lineRule="auto"/>
    </w:pPr>
  </w:style>
  <w:style w:type="character" w:customStyle="1" w:styleId="NoSpacingChar">
    <w:name w:val="No Spacing Char"/>
    <w:basedOn w:val="DefaultParagraphFont"/>
    <w:link w:val="NoSpacing"/>
    <w:uiPriority w:val="1"/>
    <w:rsid w:val="003E74AF"/>
  </w:style>
  <w:style w:type="character" w:styleId="Strong">
    <w:name w:val="Strong"/>
    <w:basedOn w:val="DefaultParagraphFont"/>
    <w:uiPriority w:val="22"/>
    <w:qFormat/>
    <w:rsid w:val="00B83F39"/>
    <w:rPr>
      <w:b/>
      <w:bCs/>
    </w:rPr>
  </w:style>
  <w:style w:type="character" w:styleId="Emphasis">
    <w:name w:val="Emphasis"/>
    <w:basedOn w:val="DefaultParagraphFont"/>
    <w:uiPriority w:val="20"/>
    <w:qFormat/>
    <w:rsid w:val="00B83F39"/>
    <w:rPr>
      <w:i/>
      <w:iCs/>
    </w:rPr>
  </w:style>
  <w:style w:type="paragraph" w:styleId="Caption">
    <w:name w:val="caption"/>
    <w:basedOn w:val="Normal"/>
    <w:next w:val="Normal"/>
    <w:uiPriority w:val="35"/>
    <w:semiHidden/>
    <w:unhideWhenUsed/>
    <w:qFormat/>
    <w:rsid w:val="00B83F39"/>
    <w:pPr>
      <w:spacing w:line="240" w:lineRule="auto"/>
    </w:pPr>
    <w:rPr>
      <w:b/>
      <w:bCs/>
      <w:smallCaps/>
      <w:color w:val="595959" w:themeColor="text1" w:themeTint="A6"/>
      <w:spacing w:val="6"/>
    </w:rPr>
  </w:style>
  <w:style w:type="character" w:styleId="SubtleEmphasis">
    <w:name w:val="Subtle Emphasis"/>
    <w:basedOn w:val="DefaultParagraphFont"/>
    <w:uiPriority w:val="19"/>
    <w:qFormat/>
    <w:rsid w:val="00B83F39"/>
    <w:rPr>
      <w:i/>
      <w:iCs/>
      <w:color w:val="404040" w:themeColor="text1" w:themeTint="BF"/>
    </w:rPr>
  </w:style>
  <w:style w:type="character" w:styleId="SubtleReference">
    <w:name w:val="Subtle Reference"/>
    <w:basedOn w:val="DefaultParagraphFont"/>
    <w:uiPriority w:val="31"/>
    <w:qFormat/>
    <w:rsid w:val="00B83F39"/>
    <w:rPr>
      <w:smallCaps/>
      <w:color w:val="404040" w:themeColor="text1" w:themeTint="BF"/>
      <w:u w:val="single" w:color="7F7F7F" w:themeColor="text1" w:themeTint="80"/>
    </w:rPr>
  </w:style>
  <w:style w:type="character" w:styleId="BookTitle">
    <w:name w:val="Book Title"/>
    <w:basedOn w:val="DefaultParagraphFont"/>
    <w:uiPriority w:val="33"/>
    <w:qFormat/>
    <w:rsid w:val="00B83F39"/>
    <w:rPr>
      <w:b/>
      <w:bCs/>
      <w:smallCaps/>
    </w:rPr>
  </w:style>
  <w:style w:type="paragraph" w:styleId="TOCHeading">
    <w:name w:val="TOC Heading"/>
    <w:basedOn w:val="Heading1"/>
    <w:next w:val="Normal"/>
    <w:uiPriority w:val="39"/>
    <w:semiHidden/>
    <w:unhideWhenUsed/>
    <w:qFormat/>
    <w:rsid w:val="00B83F39"/>
    <w:pPr>
      <w:outlineLvl w:val="9"/>
    </w:pPr>
  </w:style>
  <w:style w:type="table" w:styleId="TableGrid">
    <w:name w:val="Table Grid"/>
    <w:basedOn w:val="TableNormal"/>
    <w:uiPriority w:val="39"/>
    <w:rsid w:val="00885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00C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jpeg"/><Relationship Id="rId26" Type="http://schemas.openxmlformats.org/officeDocument/2006/relationships/image" Target="media/image18.png"/><Relationship Id="rId39" Type="http://schemas.openxmlformats.org/officeDocument/2006/relationships/hyperlink" Target="https://www.hee.nhs.uk/our-work/pharmacy"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england.nhs.uk" TargetMode="External"/><Relationship Id="rId47" Type="http://schemas.openxmlformats.org/officeDocument/2006/relationships/hyperlink" Target="https://www.gov.uk/government/organisations/uk-health-security-agency"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svg"/><Relationship Id="rId11" Type="http://schemas.openxmlformats.org/officeDocument/2006/relationships/image" Target="media/image5.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cqc.org.uk/about-us/services-we-regulate" TargetMode="External"/><Relationship Id="rId40" Type="http://schemas.openxmlformats.org/officeDocument/2006/relationships/hyperlink" Target="https://www.nice.org.uk/guidance/ng86" TargetMode="External"/><Relationship Id="rId45" Type="http://schemas.openxmlformats.org/officeDocument/2006/relationships/hyperlink" Target="https://www.scie.org.uk/housing/role-of-housing/promising-practice/models/care-home/" TargetMode="External"/><Relationship Id="rId5" Type="http://schemas.openxmlformats.org/officeDocument/2006/relationships/webSettings" Target="webSettings.xml"/><Relationship Id="rId15" Type="http://schemas.openxmlformats.org/officeDocument/2006/relationships/hyperlink" Target="https://en.wikipedia.org/wiki/Pharmacy" TargetMode="External"/><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hyperlink" Target="https://www.who.int" TargetMode="External"/><Relationship Id="rId10" Type="http://schemas.openxmlformats.org/officeDocument/2006/relationships/image" Target="media/image4.png"/><Relationship Id="rId19" Type="http://schemas.openxmlformats.org/officeDocument/2006/relationships/image" Target="media/image12.jpeg"/><Relationship Id="rId31" Type="http://schemas.openxmlformats.org/officeDocument/2006/relationships/image" Target="media/image23.svg"/><Relationship Id="rId44"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rpharms.com" TargetMode="External"/><Relationship Id="rId48" Type="http://schemas.openxmlformats.org/officeDocument/2006/relationships/hyperlink" Target="https://www.gov.wales/community-pharmacy-services"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image" Target="media/image17.svg"/><Relationship Id="rId33" Type="http://schemas.openxmlformats.org/officeDocument/2006/relationships/image" Target="media/image25.svg"/><Relationship Id="rId38" Type="http://schemas.openxmlformats.org/officeDocument/2006/relationships/hyperlink" Target="https://www.pharmacyregulation.org" TargetMode="External"/><Relationship Id="rId46" Type="http://schemas.openxmlformats.org/officeDocument/2006/relationships/hyperlink" Target="https://www.kingsfund.org.uk/insight-and-analysis/long-reads/social-care-360" TargetMode="External"/><Relationship Id="rId20" Type="http://schemas.openxmlformats.org/officeDocument/2006/relationships/hyperlink" Target="https://www.mynextmove.org/profile/summary/29-2052.00?print=1" TargetMode="External"/><Relationship Id="rId41" Type="http://schemas.openxmlformats.org/officeDocument/2006/relationships/hyperlink" Target="https://www.england.nhs.uk/primary-care/pharmacy/"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986F2-5F90-4034-8199-DB9203AE8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7</Pages>
  <Words>1624</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Siakha Bi</dc:creator>
  <cp:keywords/>
  <dc:description/>
  <cp:lastModifiedBy>Siakha Bi</cp:lastModifiedBy>
  <cp:revision>116</cp:revision>
  <dcterms:created xsi:type="dcterms:W3CDTF">2026-06-19T08:43:00Z</dcterms:created>
  <dcterms:modified xsi:type="dcterms:W3CDTF">2026-06-21T02:00:00Z</dcterms:modified>
</cp:coreProperties>
</file>