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A336B" w14:textId="6B478327" w:rsidR="00A85A0F" w:rsidRDefault="00A85A0F" w:rsidP="00A85A0F">
      <w:pPr>
        <w:jc w:val="center"/>
      </w:pPr>
    </w:p>
    <w:p w14:paraId="225C4C6D" w14:textId="77777777" w:rsidR="007F7B4A" w:rsidRDefault="007F7B4A" w:rsidP="00A85A0F">
      <w:pPr>
        <w:jc w:val="center"/>
      </w:pPr>
    </w:p>
    <w:p w14:paraId="1BA180BC" w14:textId="1DD4640C" w:rsidR="007F7B4A" w:rsidRPr="00E51DF2" w:rsidRDefault="007F7B4A" w:rsidP="00630AFE">
      <w:pPr>
        <w:pStyle w:val="Title"/>
        <w:rPr>
          <w:rFonts w:ascii="Arial" w:hAnsi="Arial" w:cs="Arial"/>
          <w:sz w:val="52"/>
          <w:szCs w:val="52"/>
        </w:rPr>
      </w:pPr>
      <w:r w:rsidRPr="00E51DF2">
        <w:rPr>
          <w:rFonts w:ascii="Arial" w:hAnsi="Arial" w:cs="Arial"/>
          <w:sz w:val="52"/>
          <w:szCs w:val="52"/>
        </w:rPr>
        <w:t>LCBB6001</w:t>
      </w:r>
    </w:p>
    <w:p w14:paraId="00594744" w14:textId="77777777" w:rsidR="001269A3" w:rsidRPr="00E51DF2" w:rsidRDefault="00A85A0F" w:rsidP="00C2408C">
      <w:pPr>
        <w:pStyle w:val="Title"/>
        <w:rPr>
          <w:rFonts w:ascii="Arial" w:hAnsi="Arial" w:cs="Arial"/>
          <w:sz w:val="52"/>
          <w:szCs w:val="52"/>
        </w:rPr>
      </w:pPr>
      <w:r w:rsidRPr="00E51DF2">
        <w:rPr>
          <w:rFonts w:ascii="Arial" w:hAnsi="Arial" w:cs="Arial"/>
          <w:sz w:val="52"/>
          <w:szCs w:val="52"/>
        </w:rPr>
        <w:t>International Business Communications</w:t>
      </w:r>
    </w:p>
    <w:p w14:paraId="415792B5" w14:textId="0CE42BE0" w:rsidR="00E51DF2" w:rsidRPr="00E51DF2" w:rsidRDefault="001269A3" w:rsidP="00C2408C">
      <w:pPr>
        <w:pStyle w:val="Title"/>
        <w:rPr>
          <w:rFonts w:ascii="Arial" w:hAnsi="Arial" w:cs="Arial"/>
          <w:sz w:val="52"/>
          <w:szCs w:val="52"/>
        </w:rPr>
      </w:pPr>
      <w:r w:rsidRPr="00E51DF2">
        <w:rPr>
          <w:rFonts w:ascii="Arial" w:hAnsi="Arial" w:cs="Arial"/>
          <w:sz w:val="52"/>
          <w:szCs w:val="52"/>
        </w:rPr>
        <w:t>Asse</w:t>
      </w:r>
      <w:r w:rsidR="00E51DF2" w:rsidRPr="00E51DF2">
        <w:rPr>
          <w:rFonts w:ascii="Arial" w:hAnsi="Arial" w:cs="Arial"/>
          <w:sz w:val="52"/>
          <w:szCs w:val="52"/>
        </w:rPr>
        <w:t>s</w:t>
      </w:r>
      <w:r w:rsidR="0001350A">
        <w:rPr>
          <w:rFonts w:ascii="Arial" w:hAnsi="Arial" w:cs="Arial"/>
          <w:sz w:val="52"/>
          <w:szCs w:val="52"/>
        </w:rPr>
        <w:t>s</w:t>
      </w:r>
      <w:r w:rsidR="00E51DF2" w:rsidRPr="00E51DF2">
        <w:rPr>
          <w:rFonts w:ascii="Arial" w:hAnsi="Arial" w:cs="Arial"/>
          <w:sz w:val="52"/>
          <w:szCs w:val="52"/>
        </w:rPr>
        <w:t xml:space="preserve">ment 1 </w:t>
      </w:r>
    </w:p>
    <w:p w14:paraId="4B446337" w14:textId="77777777" w:rsidR="00E51DF2" w:rsidRDefault="00E51DF2" w:rsidP="00C2408C">
      <w:pPr>
        <w:pStyle w:val="Title"/>
      </w:pPr>
    </w:p>
    <w:p w14:paraId="08AEC172" w14:textId="77777777" w:rsidR="00E51DF2" w:rsidRDefault="00E51DF2" w:rsidP="00C2408C">
      <w:pPr>
        <w:pStyle w:val="Title"/>
      </w:pPr>
    </w:p>
    <w:p w14:paraId="334C858E" w14:textId="77777777" w:rsidR="00E51DF2" w:rsidRDefault="00E51DF2" w:rsidP="00C2408C">
      <w:pPr>
        <w:pStyle w:val="Title"/>
      </w:pPr>
    </w:p>
    <w:p w14:paraId="07809358" w14:textId="77777777" w:rsidR="00E51DF2" w:rsidRDefault="00E51DF2" w:rsidP="00C2408C">
      <w:pPr>
        <w:pStyle w:val="Title"/>
      </w:pPr>
    </w:p>
    <w:p w14:paraId="6BA9A20B" w14:textId="77777777" w:rsidR="00E51DF2" w:rsidRDefault="00E51DF2" w:rsidP="00E51DF2"/>
    <w:p w14:paraId="3E5C3BB5" w14:textId="77777777" w:rsidR="00E51DF2" w:rsidRDefault="00E51DF2" w:rsidP="00E51DF2"/>
    <w:p w14:paraId="78C3D5F8" w14:textId="77777777" w:rsidR="00E51DF2" w:rsidRDefault="00E51DF2" w:rsidP="00E51DF2"/>
    <w:p w14:paraId="3CB0D577" w14:textId="77777777" w:rsidR="00E51DF2" w:rsidRPr="002D182B" w:rsidRDefault="00E51DF2" w:rsidP="00E51DF2">
      <w:pPr>
        <w:rPr>
          <w:sz w:val="28"/>
          <w:szCs w:val="28"/>
        </w:rPr>
      </w:pPr>
    </w:p>
    <w:p w14:paraId="1F06FA73" w14:textId="77777777" w:rsidR="00E51DF2" w:rsidRPr="002D182B" w:rsidRDefault="00E51DF2" w:rsidP="00C2408C">
      <w:pPr>
        <w:pStyle w:val="Title"/>
        <w:rPr>
          <w:rFonts w:ascii="Arial" w:hAnsi="Arial" w:cs="Arial"/>
          <w:sz w:val="28"/>
          <w:szCs w:val="28"/>
        </w:rPr>
      </w:pPr>
      <w:r w:rsidRPr="002D182B">
        <w:rPr>
          <w:rFonts w:ascii="Arial" w:hAnsi="Arial" w:cs="Arial"/>
          <w:sz w:val="28"/>
          <w:szCs w:val="28"/>
        </w:rPr>
        <w:t>Karolina Kwiecien</w:t>
      </w:r>
    </w:p>
    <w:p w14:paraId="20129A30" w14:textId="77777777" w:rsidR="002D182B" w:rsidRPr="002D182B" w:rsidRDefault="00E51DF2" w:rsidP="00C2408C">
      <w:pPr>
        <w:pStyle w:val="Title"/>
        <w:rPr>
          <w:rFonts w:ascii="Arial" w:hAnsi="Arial" w:cs="Arial"/>
          <w:sz w:val="28"/>
          <w:szCs w:val="28"/>
        </w:rPr>
      </w:pPr>
      <w:r w:rsidRPr="002D182B">
        <w:rPr>
          <w:rFonts w:ascii="Arial" w:hAnsi="Arial" w:cs="Arial"/>
          <w:sz w:val="28"/>
          <w:szCs w:val="28"/>
        </w:rPr>
        <w:t>2113036</w:t>
      </w:r>
    </w:p>
    <w:p w14:paraId="38B93C36" w14:textId="77777777" w:rsidR="002D182B" w:rsidRPr="002D182B" w:rsidRDefault="002D182B" w:rsidP="00C2408C">
      <w:pPr>
        <w:pStyle w:val="Title"/>
        <w:rPr>
          <w:rFonts w:ascii="Arial" w:hAnsi="Arial" w:cs="Arial"/>
          <w:sz w:val="28"/>
          <w:szCs w:val="28"/>
        </w:rPr>
      </w:pPr>
    </w:p>
    <w:p w14:paraId="02B35F39" w14:textId="4C6706C4" w:rsidR="00C2408C" w:rsidRDefault="002D182B" w:rsidP="00C2408C">
      <w:pPr>
        <w:pStyle w:val="Title"/>
      </w:pPr>
      <w:r w:rsidRPr="002D182B">
        <w:rPr>
          <w:rFonts w:ascii="Arial" w:hAnsi="Arial" w:cs="Arial"/>
          <w:sz w:val="28"/>
          <w:szCs w:val="28"/>
        </w:rPr>
        <w:t>22/12/2023</w:t>
      </w:r>
      <w:r w:rsidR="00C2408C">
        <w:br w:type="page"/>
      </w:r>
    </w:p>
    <w:p w14:paraId="54396327" w14:textId="60EAE55F" w:rsidR="00C2408C" w:rsidRDefault="00C2408C"/>
    <w:sdt>
      <w:sdtPr>
        <w:rPr>
          <w:rFonts w:ascii="Arial" w:eastAsiaTheme="minorHAnsi" w:hAnsi="Arial" w:cs="Arial"/>
          <w:noProof/>
          <w:color w:val="auto"/>
          <w:sz w:val="24"/>
          <w:szCs w:val="24"/>
          <w:lang w:val="en-GB"/>
        </w:rPr>
        <w:id w:val="470791671"/>
        <w:docPartObj>
          <w:docPartGallery w:val="Table of Contents"/>
          <w:docPartUnique/>
        </w:docPartObj>
      </w:sdtPr>
      <w:sdtEndPr>
        <w:rPr>
          <w:b/>
          <w:bCs/>
        </w:rPr>
      </w:sdtEndPr>
      <w:sdtContent>
        <w:p w14:paraId="3138035E" w14:textId="77777777" w:rsidR="00E51DF2" w:rsidRPr="00E51DF2" w:rsidRDefault="00E51DF2" w:rsidP="00E51DF2">
          <w:pPr>
            <w:pStyle w:val="TOCHeading"/>
            <w:rPr>
              <w:rFonts w:ascii="Arial" w:hAnsi="Arial" w:cs="Arial"/>
              <w:sz w:val="24"/>
              <w:szCs w:val="24"/>
            </w:rPr>
          </w:pPr>
          <w:r w:rsidRPr="00E51DF2">
            <w:rPr>
              <w:rFonts w:ascii="Arial" w:hAnsi="Arial" w:cs="Arial"/>
              <w:sz w:val="24"/>
              <w:szCs w:val="24"/>
            </w:rPr>
            <w:t>Table of Contents</w:t>
          </w:r>
        </w:p>
        <w:p w14:paraId="4CE6063D" w14:textId="65441C52" w:rsidR="00E51DF2" w:rsidRPr="00E51DF2" w:rsidRDefault="00E51DF2" w:rsidP="00E51DF2">
          <w:pPr>
            <w:pStyle w:val="TOC1"/>
            <w:tabs>
              <w:tab w:val="right" w:leader="dot" w:pos="9016"/>
            </w:tabs>
            <w:rPr>
              <w:rFonts w:ascii="Arial" w:eastAsiaTheme="minorEastAsia" w:hAnsi="Arial" w:cs="Arial"/>
              <w:szCs w:val="24"/>
              <w:lang w:eastAsia="en-GB"/>
            </w:rPr>
          </w:pPr>
          <w:r w:rsidRPr="00E51DF2">
            <w:rPr>
              <w:rFonts w:ascii="Arial" w:hAnsi="Arial" w:cs="Arial"/>
              <w:szCs w:val="24"/>
            </w:rPr>
            <w:fldChar w:fldCharType="begin"/>
          </w:r>
          <w:r w:rsidRPr="00E51DF2">
            <w:rPr>
              <w:rFonts w:ascii="Arial" w:hAnsi="Arial" w:cs="Arial"/>
              <w:szCs w:val="24"/>
            </w:rPr>
            <w:instrText xml:space="preserve"> TOC \o "1-3" \h \z \u </w:instrText>
          </w:r>
          <w:r w:rsidRPr="00E51DF2">
            <w:rPr>
              <w:rFonts w:ascii="Arial" w:hAnsi="Arial" w:cs="Arial"/>
              <w:szCs w:val="24"/>
            </w:rPr>
            <w:fldChar w:fldCharType="separate"/>
          </w:r>
          <w:hyperlink w:anchor="_Toc151767527" w:history="1">
            <w:r w:rsidRPr="00E51DF2">
              <w:rPr>
                <w:rStyle w:val="Hyperlink"/>
                <w:rFonts w:ascii="Arial" w:hAnsi="Arial" w:cs="Arial"/>
                <w:szCs w:val="24"/>
              </w:rPr>
              <w:t>Introduction</w:t>
            </w:r>
            <w:r w:rsidRPr="00E51DF2">
              <w:rPr>
                <w:rFonts w:ascii="Arial" w:hAnsi="Arial" w:cs="Arial"/>
                <w:webHidden/>
                <w:szCs w:val="24"/>
              </w:rPr>
              <w:tab/>
            </w:r>
            <w:r w:rsidRPr="00E51DF2">
              <w:rPr>
                <w:rFonts w:ascii="Arial" w:hAnsi="Arial" w:cs="Arial"/>
                <w:webHidden/>
                <w:szCs w:val="24"/>
              </w:rPr>
              <w:fldChar w:fldCharType="begin"/>
            </w:r>
            <w:r w:rsidRPr="00E51DF2">
              <w:rPr>
                <w:rFonts w:ascii="Arial" w:hAnsi="Arial" w:cs="Arial"/>
                <w:webHidden/>
                <w:szCs w:val="24"/>
              </w:rPr>
              <w:instrText xml:space="preserve"> PAGEREF _Toc151767527 \h </w:instrText>
            </w:r>
            <w:r w:rsidRPr="00E51DF2">
              <w:rPr>
                <w:rFonts w:ascii="Arial" w:hAnsi="Arial" w:cs="Arial"/>
                <w:webHidden/>
                <w:szCs w:val="24"/>
              </w:rPr>
            </w:r>
            <w:r w:rsidRPr="00E51DF2">
              <w:rPr>
                <w:rFonts w:ascii="Arial" w:hAnsi="Arial" w:cs="Arial"/>
                <w:webHidden/>
                <w:szCs w:val="24"/>
              </w:rPr>
              <w:fldChar w:fldCharType="separate"/>
            </w:r>
            <w:r w:rsidR="00275E31">
              <w:rPr>
                <w:rFonts w:ascii="Arial" w:hAnsi="Arial" w:cs="Arial"/>
                <w:webHidden/>
                <w:szCs w:val="24"/>
              </w:rPr>
              <w:t>1</w:t>
            </w:r>
            <w:r w:rsidRPr="00E51DF2">
              <w:rPr>
                <w:rFonts w:ascii="Arial" w:hAnsi="Arial" w:cs="Arial"/>
                <w:webHidden/>
                <w:szCs w:val="24"/>
              </w:rPr>
              <w:fldChar w:fldCharType="end"/>
            </w:r>
          </w:hyperlink>
        </w:p>
        <w:p w14:paraId="2F8A2AE0" w14:textId="6459AA42"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28" w:history="1">
            <w:r w:rsidR="00E51DF2" w:rsidRPr="00E51DF2">
              <w:rPr>
                <w:rStyle w:val="Hyperlink"/>
                <w:rFonts w:ascii="Arial" w:hAnsi="Arial" w:cs="Arial"/>
                <w:szCs w:val="24"/>
              </w:rPr>
              <w:t>Overview of AVIVA plc</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_Toc151767528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1</w:t>
            </w:r>
            <w:r w:rsidR="00E51DF2" w:rsidRPr="00E51DF2">
              <w:rPr>
                <w:rFonts w:ascii="Arial" w:hAnsi="Arial" w:cs="Arial"/>
                <w:webHidden/>
                <w:szCs w:val="24"/>
              </w:rPr>
              <w:fldChar w:fldCharType="end"/>
            </w:r>
          </w:hyperlink>
        </w:p>
        <w:p w14:paraId="629BAF9C" w14:textId="3359CAD9"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29" w:history="1">
            <w:r w:rsidR="00E51DF2" w:rsidRPr="00E51DF2">
              <w:rPr>
                <w:rStyle w:val="Hyperlink"/>
                <w:rFonts w:ascii="Arial" w:hAnsi="Arial" w:cs="Arial"/>
                <w:szCs w:val="24"/>
              </w:rPr>
              <w:t>Overview of the country</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_Toc151767529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2</w:t>
            </w:r>
            <w:r w:rsidR="00E51DF2" w:rsidRPr="00E51DF2">
              <w:rPr>
                <w:rFonts w:ascii="Arial" w:hAnsi="Arial" w:cs="Arial"/>
                <w:webHidden/>
                <w:szCs w:val="24"/>
              </w:rPr>
              <w:fldChar w:fldCharType="end"/>
            </w:r>
          </w:hyperlink>
        </w:p>
        <w:p w14:paraId="09ACE484" w14:textId="0EAB4441"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30" w:history="1">
            <w:r w:rsidR="00E51DF2" w:rsidRPr="00E51DF2">
              <w:rPr>
                <w:rStyle w:val="Hyperlink"/>
                <w:rFonts w:ascii="Arial" w:hAnsi="Arial" w:cs="Arial"/>
                <w:szCs w:val="24"/>
              </w:rPr>
              <w:t>Evaluation between Hungary and Germany</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_Toc151767530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3</w:t>
            </w:r>
            <w:r w:rsidR="00E51DF2" w:rsidRPr="00E51DF2">
              <w:rPr>
                <w:rFonts w:ascii="Arial" w:hAnsi="Arial" w:cs="Arial"/>
                <w:webHidden/>
                <w:szCs w:val="24"/>
              </w:rPr>
              <w:fldChar w:fldCharType="end"/>
            </w:r>
          </w:hyperlink>
        </w:p>
        <w:p w14:paraId="48C7648F" w14:textId="0835FC98"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31" w:history="1">
            <w:r w:rsidR="00E51DF2" w:rsidRPr="00E51DF2">
              <w:rPr>
                <w:rStyle w:val="Hyperlink"/>
                <w:rFonts w:ascii="Arial" w:hAnsi="Arial" w:cs="Arial"/>
                <w:szCs w:val="24"/>
              </w:rPr>
              <w:t>Hofstede cultural dimensions as a comparison between the UK and Hungary</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_Toc151767531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4</w:t>
            </w:r>
            <w:r w:rsidR="00E51DF2" w:rsidRPr="00E51DF2">
              <w:rPr>
                <w:rFonts w:ascii="Arial" w:hAnsi="Arial" w:cs="Arial"/>
                <w:webHidden/>
                <w:szCs w:val="24"/>
              </w:rPr>
              <w:fldChar w:fldCharType="end"/>
            </w:r>
          </w:hyperlink>
        </w:p>
        <w:p w14:paraId="24699C2A" w14:textId="4555F943"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32" w:history="1">
            <w:r w:rsidR="00E51DF2" w:rsidRPr="00E51DF2">
              <w:rPr>
                <w:rStyle w:val="Hyperlink"/>
                <w:rFonts w:ascii="Arial" w:hAnsi="Arial" w:cs="Arial"/>
                <w:szCs w:val="24"/>
              </w:rPr>
              <w:t>Recommendations</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_Toc151767532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7</w:t>
            </w:r>
            <w:r w:rsidR="00E51DF2" w:rsidRPr="00E51DF2">
              <w:rPr>
                <w:rFonts w:ascii="Arial" w:hAnsi="Arial" w:cs="Arial"/>
                <w:webHidden/>
                <w:szCs w:val="24"/>
              </w:rPr>
              <w:fldChar w:fldCharType="end"/>
            </w:r>
          </w:hyperlink>
        </w:p>
        <w:p w14:paraId="0298C569" w14:textId="75CC8C51"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33" w:history="1">
            <w:r w:rsidR="00E51DF2" w:rsidRPr="00E51DF2">
              <w:rPr>
                <w:rStyle w:val="Hyperlink"/>
                <w:rFonts w:ascii="Arial" w:hAnsi="Arial" w:cs="Arial"/>
                <w:szCs w:val="24"/>
              </w:rPr>
              <w:t>Conclusion</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_Toc151767533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8</w:t>
            </w:r>
            <w:r w:rsidR="00E51DF2" w:rsidRPr="00E51DF2">
              <w:rPr>
                <w:rFonts w:ascii="Arial" w:hAnsi="Arial" w:cs="Arial"/>
                <w:webHidden/>
                <w:szCs w:val="24"/>
              </w:rPr>
              <w:fldChar w:fldCharType="end"/>
            </w:r>
          </w:hyperlink>
        </w:p>
        <w:p w14:paraId="39DA11EE" w14:textId="1BF69BF6"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34" w:history="1">
            <w:r w:rsidR="00E51DF2" w:rsidRPr="00E51DF2">
              <w:rPr>
                <w:rStyle w:val="Hyperlink"/>
                <w:rFonts w:ascii="Arial" w:hAnsi="Arial" w:cs="Arial"/>
                <w:szCs w:val="24"/>
              </w:rPr>
              <w:t>References</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_Toc151767534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9</w:t>
            </w:r>
            <w:r w:rsidR="00E51DF2" w:rsidRPr="00E51DF2">
              <w:rPr>
                <w:rFonts w:ascii="Arial" w:hAnsi="Arial" w:cs="Arial"/>
                <w:webHidden/>
                <w:szCs w:val="24"/>
              </w:rPr>
              <w:fldChar w:fldCharType="end"/>
            </w:r>
          </w:hyperlink>
        </w:p>
        <w:p w14:paraId="7DEEA78F" w14:textId="20DEDBB0" w:rsidR="00E51DF2" w:rsidRPr="00E51DF2" w:rsidRDefault="00000000" w:rsidP="00E51DF2">
          <w:pPr>
            <w:pStyle w:val="TOC1"/>
            <w:tabs>
              <w:tab w:val="right" w:leader="dot" w:pos="9016"/>
            </w:tabs>
            <w:rPr>
              <w:rFonts w:ascii="Arial" w:eastAsiaTheme="minorEastAsia" w:hAnsi="Arial" w:cs="Arial"/>
              <w:szCs w:val="24"/>
              <w:lang w:eastAsia="en-GB"/>
            </w:rPr>
          </w:pPr>
          <w:hyperlink w:anchor="_Toc151767535" w:history="1">
            <w:r w:rsidR="00E51DF2" w:rsidRPr="00E51DF2">
              <w:rPr>
                <w:rStyle w:val="Hyperlink"/>
                <w:rFonts w:ascii="Arial" w:hAnsi="Arial" w:cs="Arial"/>
                <w:szCs w:val="24"/>
              </w:rPr>
              <w:t>Appendics</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_Toc151767535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11</w:t>
            </w:r>
            <w:r w:rsidR="00E51DF2" w:rsidRPr="00E51DF2">
              <w:rPr>
                <w:rFonts w:ascii="Arial" w:hAnsi="Arial" w:cs="Arial"/>
                <w:webHidden/>
                <w:szCs w:val="24"/>
              </w:rPr>
              <w:fldChar w:fldCharType="end"/>
            </w:r>
          </w:hyperlink>
        </w:p>
        <w:p w14:paraId="479F1076" w14:textId="1A54FC98" w:rsidR="00E51DF2" w:rsidRPr="00E51DF2" w:rsidRDefault="00000000" w:rsidP="00E51DF2">
          <w:pPr>
            <w:pStyle w:val="TOC2"/>
            <w:tabs>
              <w:tab w:val="right" w:leader="dot" w:pos="9016"/>
            </w:tabs>
            <w:rPr>
              <w:rFonts w:ascii="Arial" w:eastAsiaTheme="minorEastAsia" w:hAnsi="Arial" w:cs="Arial"/>
              <w:szCs w:val="24"/>
              <w:lang w:eastAsia="en-GB"/>
            </w:rPr>
          </w:pPr>
          <w:hyperlink w:anchor="_Toc151767536" w:history="1">
            <w:r w:rsidR="00E51DF2" w:rsidRPr="00E51DF2">
              <w:rPr>
                <w:rStyle w:val="Hyperlink"/>
                <w:rFonts w:ascii="Arial" w:hAnsi="Arial" w:cs="Arial"/>
                <w:szCs w:val="24"/>
              </w:rPr>
              <w:t>Hofsteade cultural difference between UK and Hungary</w:t>
            </w:r>
            <w:r w:rsidR="00E51DF2" w:rsidRPr="00E51DF2">
              <w:rPr>
                <w:rFonts w:ascii="Arial" w:hAnsi="Arial" w:cs="Arial"/>
                <w:webHidden/>
                <w:szCs w:val="24"/>
              </w:rPr>
              <w:tab/>
            </w:r>
            <w:r w:rsidR="00E51DF2" w:rsidRPr="00E51DF2">
              <w:rPr>
                <w:rFonts w:ascii="Arial" w:hAnsi="Arial" w:cs="Arial"/>
                <w:webHidden/>
                <w:szCs w:val="24"/>
              </w:rPr>
              <w:fldChar w:fldCharType="begin"/>
            </w:r>
            <w:r w:rsidR="00E51DF2" w:rsidRPr="00E51DF2">
              <w:rPr>
                <w:rFonts w:ascii="Arial" w:hAnsi="Arial" w:cs="Arial"/>
                <w:webHidden/>
                <w:szCs w:val="24"/>
              </w:rPr>
              <w:instrText xml:space="preserve"> PAGEREF _Toc151767536 \h </w:instrText>
            </w:r>
            <w:r w:rsidR="00E51DF2" w:rsidRPr="00E51DF2">
              <w:rPr>
                <w:rFonts w:ascii="Arial" w:hAnsi="Arial" w:cs="Arial"/>
                <w:webHidden/>
                <w:szCs w:val="24"/>
              </w:rPr>
            </w:r>
            <w:r w:rsidR="00E51DF2" w:rsidRPr="00E51DF2">
              <w:rPr>
                <w:rFonts w:ascii="Arial" w:hAnsi="Arial" w:cs="Arial"/>
                <w:webHidden/>
                <w:szCs w:val="24"/>
              </w:rPr>
              <w:fldChar w:fldCharType="separate"/>
            </w:r>
            <w:r w:rsidR="00275E31">
              <w:rPr>
                <w:rFonts w:ascii="Arial" w:hAnsi="Arial" w:cs="Arial"/>
                <w:webHidden/>
                <w:szCs w:val="24"/>
              </w:rPr>
              <w:t>11</w:t>
            </w:r>
            <w:r w:rsidR="00E51DF2" w:rsidRPr="00E51DF2">
              <w:rPr>
                <w:rFonts w:ascii="Arial" w:hAnsi="Arial" w:cs="Arial"/>
                <w:webHidden/>
                <w:szCs w:val="24"/>
              </w:rPr>
              <w:fldChar w:fldCharType="end"/>
            </w:r>
          </w:hyperlink>
        </w:p>
        <w:p w14:paraId="3C474DEB" w14:textId="77777777" w:rsidR="00E51DF2" w:rsidRPr="00E51DF2" w:rsidRDefault="00E51DF2" w:rsidP="00E51DF2">
          <w:pPr>
            <w:rPr>
              <w:rFonts w:ascii="Arial" w:hAnsi="Arial" w:cs="Arial"/>
              <w:b/>
              <w:bCs/>
              <w:szCs w:val="24"/>
            </w:rPr>
          </w:pPr>
          <w:r w:rsidRPr="00E51DF2">
            <w:rPr>
              <w:rFonts w:ascii="Arial" w:hAnsi="Arial" w:cs="Arial"/>
              <w:b/>
              <w:bCs/>
              <w:szCs w:val="24"/>
            </w:rPr>
            <w:fldChar w:fldCharType="end"/>
          </w:r>
        </w:p>
      </w:sdtContent>
    </w:sdt>
    <w:p w14:paraId="389DC0FC" w14:textId="77777777" w:rsidR="00C2408C" w:rsidRDefault="00C2408C" w:rsidP="00427E6A">
      <w:pPr>
        <w:sectPr w:rsidR="00C2408C">
          <w:footerReference w:type="default" r:id="rId8"/>
          <w:pgSz w:w="11906" w:h="16838"/>
          <w:pgMar w:top="1440" w:right="1440" w:bottom="1440" w:left="1440" w:header="720" w:footer="720" w:gutter="0"/>
          <w:cols w:space="720"/>
          <w:docGrid w:linePitch="360"/>
        </w:sectPr>
      </w:pPr>
    </w:p>
    <w:p w14:paraId="17015A04" w14:textId="77777777" w:rsidR="004D6FE3" w:rsidRPr="00B53EC3" w:rsidRDefault="00A85A0F" w:rsidP="00FE4F2B">
      <w:pPr>
        <w:pStyle w:val="Subtitle"/>
        <w:rPr>
          <w:rFonts w:ascii="Arial" w:hAnsi="Arial" w:cs="Arial"/>
          <w:sz w:val="24"/>
          <w:szCs w:val="24"/>
        </w:rPr>
      </w:pPr>
      <w:r w:rsidRPr="00B53EC3">
        <w:rPr>
          <w:rFonts w:ascii="Arial" w:hAnsi="Arial" w:cs="Arial"/>
          <w:sz w:val="24"/>
          <w:szCs w:val="24"/>
        </w:rPr>
        <w:lastRenderedPageBreak/>
        <w:t>An inclusive essay on business communication</w:t>
      </w:r>
    </w:p>
    <w:p w14:paraId="29E71675" w14:textId="77777777" w:rsidR="004D6FE3" w:rsidRPr="00B53EC3" w:rsidRDefault="004D6FE3" w:rsidP="00FE4F2B">
      <w:pPr>
        <w:pStyle w:val="Heading1"/>
        <w:rPr>
          <w:rFonts w:ascii="Arial" w:hAnsi="Arial" w:cs="Arial"/>
          <w:sz w:val="24"/>
          <w:szCs w:val="24"/>
        </w:rPr>
      </w:pPr>
      <w:bookmarkStart w:id="0" w:name="_Toc151767527"/>
      <w:r w:rsidRPr="00B53EC3">
        <w:rPr>
          <w:rFonts w:ascii="Arial" w:hAnsi="Arial" w:cs="Arial"/>
          <w:sz w:val="24"/>
          <w:szCs w:val="24"/>
        </w:rPr>
        <w:t>Introduction</w:t>
      </w:r>
      <w:bookmarkEnd w:id="0"/>
    </w:p>
    <w:p w14:paraId="6A17780E" w14:textId="68971D3D" w:rsidR="008B5397" w:rsidRPr="00B53EC3" w:rsidRDefault="004E2692" w:rsidP="00427E6A">
      <w:pPr>
        <w:rPr>
          <w:rFonts w:ascii="Arial" w:hAnsi="Arial" w:cs="Arial"/>
          <w:szCs w:val="24"/>
        </w:rPr>
      </w:pPr>
      <w:r w:rsidRPr="00B53EC3">
        <w:rPr>
          <w:rFonts w:ascii="Arial" w:hAnsi="Arial" w:cs="Arial"/>
          <w:szCs w:val="24"/>
        </w:rPr>
        <w:t>Business</w:t>
      </w:r>
      <w:r w:rsidR="00427E6A" w:rsidRPr="00B53EC3">
        <w:rPr>
          <w:rFonts w:ascii="Arial" w:hAnsi="Arial" w:cs="Arial"/>
          <w:szCs w:val="24"/>
        </w:rPr>
        <w:t xml:space="preserve"> communications are influenced by social, cultural, and economic factors that shape interactions and exchanges within this context. Culturally, the British prioritize indirectness, politeness, and understatement in their communication style. </w:t>
      </w:r>
      <w:r w:rsidR="006413A3" w:rsidRPr="00B53EC3">
        <w:rPr>
          <w:rFonts w:ascii="Arial" w:hAnsi="Arial" w:cs="Arial"/>
          <w:szCs w:val="24"/>
        </w:rPr>
        <w:t xml:space="preserve">Organisational factors, such as the hierarchy, which values seniority and authority, may also have an impact on corporate communications in the United Kingdom. As a result, it's critical that </w:t>
      </w:r>
      <w:r w:rsidR="00730B70" w:rsidRPr="00B53EC3">
        <w:rPr>
          <w:rFonts w:ascii="Arial" w:hAnsi="Arial" w:cs="Arial"/>
          <w:szCs w:val="24"/>
        </w:rPr>
        <w:t>one</w:t>
      </w:r>
      <w:r w:rsidR="006413A3" w:rsidRPr="00B53EC3">
        <w:rPr>
          <w:rFonts w:ascii="Arial" w:hAnsi="Arial" w:cs="Arial"/>
          <w:szCs w:val="24"/>
        </w:rPr>
        <w:t xml:space="preserve"> understand the individuals are engaging with well and that, when needed, you utilise formal language and suitable titles. Economic factors have a significant impact on business commun</w:t>
      </w:r>
      <w:r w:rsidR="00042EEF" w:rsidRPr="00B53EC3">
        <w:rPr>
          <w:rFonts w:ascii="Arial" w:hAnsi="Arial" w:cs="Arial"/>
          <w:szCs w:val="24"/>
        </w:rPr>
        <w:t>ications in the United Kingdom.</w:t>
      </w:r>
      <w:r w:rsidR="00427E6A" w:rsidRPr="00B53EC3">
        <w:rPr>
          <w:rFonts w:ascii="Arial" w:hAnsi="Arial" w:cs="Arial"/>
          <w:szCs w:val="24"/>
        </w:rPr>
        <w:t xml:space="preserve">In order to communicate effectively and establish excellent professional connections, it is crucial to have a comprehensive awareness of the background of British business communications. Having knowledge of social, cultural, and economic aspects that might impact communication and adjusting one's communication style appropriately is very advantageous. The selected firm is </w:t>
      </w:r>
      <w:r w:rsidR="00042EEF" w:rsidRPr="00B53EC3">
        <w:rPr>
          <w:rFonts w:ascii="Arial" w:hAnsi="Arial" w:cs="Arial"/>
          <w:szCs w:val="24"/>
        </w:rPr>
        <w:t xml:space="preserve">Aviva Plc </w:t>
      </w:r>
      <w:r w:rsidR="005F6FD6" w:rsidRPr="00B53EC3">
        <w:rPr>
          <w:rFonts w:ascii="Arial" w:hAnsi="Arial" w:cs="Arial"/>
          <w:szCs w:val="24"/>
        </w:rPr>
        <w:t>Plc</w:t>
      </w:r>
      <w:r w:rsidR="00427E6A" w:rsidRPr="00B53EC3">
        <w:rPr>
          <w:rFonts w:ascii="Arial" w:hAnsi="Arial" w:cs="Arial"/>
          <w:szCs w:val="24"/>
        </w:rPr>
        <w:t xml:space="preserve">. As the appointed worldwide management consultant, I will now analyze the potential of Hungary, an EU-based nation. The primary obstacle to manufacturing in Hungary is its regulatory environment. Conducting business in this location is becoming ever more challenging. In the World Bank's most recent Ease of Doing Business report, the nation's position declined from 48th to 53rd out of 190 economies. The focus of the debate is on the alignment between </w:t>
      </w:r>
      <w:r w:rsidR="00042EEF" w:rsidRPr="00B53EC3">
        <w:rPr>
          <w:rFonts w:ascii="Arial" w:hAnsi="Arial" w:cs="Arial"/>
          <w:szCs w:val="24"/>
        </w:rPr>
        <w:t xml:space="preserve">Aviva </w:t>
      </w:r>
      <w:r w:rsidR="005F6FD6" w:rsidRPr="00B53EC3">
        <w:rPr>
          <w:rFonts w:ascii="Arial" w:hAnsi="Arial" w:cs="Arial"/>
          <w:szCs w:val="24"/>
        </w:rPr>
        <w:t xml:space="preserve"> Plc </w:t>
      </w:r>
      <w:r w:rsidR="00427E6A" w:rsidRPr="00B53EC3">
        <w:rPr>
          <w:rFonts w:ascii="Arial" w:hAnsi="Arial" w:cs="Arial"/>
          <w:szCs w:val="24"/>
        </w:rPr>
        <w:t>'s offering and the specific country, Hungary.</w:t>
      </w:r>
    </w:p>
    <w:p w14:paraId="62584D68" w14:textId="77777777" w:rsidR="004D6FE3" w:rsidRPr="00B53EC3" w:rsidRDefault="004D6FE3" w:rsidP="00FE4F2B">
      <w:pPr>
        <w:pStyle w:val="Heading1"/>
        <w:rPr>
          <w:rFonts w:ascii="Arial" w:hAnsi="Arial" w:cs="Arial"/>
          <w:sz w:val="24"/>
          <w:szCs w:val="24"/>
        </w:rPr>
      </w:pPr>
      <w:bookmarkStart w:id="1" w:name="_Toc151767528"/>
      <w:r w:rsidRPr="00B53EC3">
        <w:rPr>
          <w:rFonts w:ascii="Arial" w:hAnsi="Arial" w:cs="Arial"/>
          <w:sz w:val="24"/>
          <w:szCs w:val="24"/>
        </w:rPr>
        <w:t xml:space="preserve">Overview of </w:t>
      </w:r>
      <w:r w:rsidR="00042EEF" w:rsidRPr="00B53EC3">
        <w:rPr>
          <w:rFonts w:ascii="Arial" w:hAnsi="Arial" w:cs="Arial"/>
          <w:sz w:val="24"/>
          <w:szCs w:val="24"/>
        </w:rPr>
        <w:t>AVIVA plc</w:t>
      </w:r>
      <w:bookmarkEnd w:id="1"/>
      <w:r w:rsidRPr="00B53EC3">
        <w:rPr>
          <w:rFonts w:ascii="Arial" w:hAnsi="Arial" w:cs="Arial"/>
          <w:sz w:val="24"/>
          <w:szCs w:val="24"/>
        </w:rPr>
        <w:t xml:space="preserve"> </w:t>
      </w:r>
    </w:p>
    <w:p w14:paraId="1F7155AB" w14:textId="25F4AD9D" w:rsidR="0031735D" w:rsidRPr="00275E31" w:rsidRDefault="00D2554F" w:rsidP="00D2554F">
      <w:pPr>
        <w:rPr>
          <w:rFonts w:ascii="Arial" w:hAnsi="Arial" w:cs="Arial"/>
          <w:szCs w:val="24"/>
          <w:shd w:val="clear" w:color="auto" w:fill="FFFFFF"/>
        </w:rPr>
      </w:pPr>
      <w:r w:rsidRPr="00C41600">
        <w:rPr>
          <w:rFonts w:ascii="Arial" w:hAnsi="Arial" w:cs="Arial"/>
          <w:szCs w:val="24"/>
          <w:shd w:val="clear" w:color="auto" w:fill="FFFFFF"/>
        </w:rPr>
        <w:t xml:space="preserve">Aviva plc, a British international insurance corporation, with its headquarters situated in London, England. The company boasts a client base of about 18 million individuals across its primary regions, including Ireland, the UK, and Canada. Aviva has the position of the biggest general insurance and a prominent life and pensions provider inside the United Kingdom. Additionally, the company offers insurance products including employers' liability, medical expenditures, liability and property coverage, motor vehicles, and professional indemnity liabilities. Furthermore, the organisation oversees several retail investment vehicles, such as investment funds, unit trusts, open-ended investment companies (OEICs), and individual savings </w:t>
      </w:r>
      <w:r w:rsidRPr="00C41600">
        <w:rPr>
          <w:rFonts w:ascii="Arial" w:hAnsi="Arial" w:cs="Arial"/>
          <w:szCs w:val="24"/>
          <w:shd w:val="clear" w:color="auto" w:fill="FFFFFF"/>
        </w:rPr>
        <w:lastRenderedPageBreak/>
        <w:t>accounts (ISAs). The aforementioned goods and services are provided to a wide range of entities, including public sector organisations, small and medium-sized enterprises, individuals, investment professionals, pension funds, private investors, and third-party financial institutions. The company's main operational focus is within the regions of Canada, Europe, and Asia. The corporate headquarters of Aviva is located in London, United Kingdom (Oduro et al., 2022).</w:t>
      </w:r>
    </w:p>
    <w:p w14:paraId="076614D4" w14:textId="77777777" w:rsidR="004D6FE3" w:rsidRPr="00B53EC3" w:rsidRDefault="004D6FE3" w:rsidP="00FE4F2B">
      <w:pPr>
        <w:pStyle w:val="Heading1"/>
        <w:rPr>
          <w:rFonts w:ascii="Arial" w:hAnsi="Arial" w:cs="Arial"/>
          <w:sz w:val="24"/>
          <w:szCs w:val="24"/>
        </w:rPr>
      </w:pPr>
      <w:bookmarkStart w:id="2" w:name="_Toc151767529"/>
      <w:r w:rsidRPr="00B53EC3">
        <w:rPr>
          <w:rFonts w:ascii="Arial" w:hAnsi="Arial" w:cs="Arial"/>
          <w:sz w:val="24"/>
          <w:szCs w:val="24"/>
        </w:rPr>
        <w:t>Overview of the country</w:t>
      </w:r>
      <w:bookmarkEnd w:id="2"/>
    </w:p>
    <w:p w14:paraId="661A4A28" w14:textId="5226215B" w:rsidR="0078234D" w:rsidRPr="00B53EC3" w:rsidRDefault="00427E6A" w:rsidP="00275E31">
      <w:pPr>
        <w:rPr>
          <w:rFonts w:ascii="Arial" w:hAnsi="Arial" w:cs="Arial"/>
          <w:szCs w:val="24"/>
        </w:rPr>
      </w:pPr>
      <w:r w:rsidRPr="00B53EC3">
        <w:rPr>
          <w:rFonts w:ascii="Arial" w:hAnsi="Arial" w:cs="Arial"/>
          <w:szCs w:val="24"/>
        </w:rPr>
        <w:t xml:space="preserve">Hungary is a landlocked nation located in the Carpathian Basin. Hungary is divided into three regions by its two longest rivers, the Danube and Tisza. These regions include Transdanubia, located to the west of the Danube, the plain between the Danube and Tisza rivers, and the Trans-Tisza area, located to the east of the Tisza. Hungary's political system is a pluralistic parliamentary democracy that sprang from the former Soviet bloc Communist states. Following the transition process in 1989 and 1990, Hungary evolved into a more liberal society and has since established itself as a stable democracy. Hungary's contentious policies, including the media law and alterations to the constitution regarding moral and ethical principles (such as its opposition to homosexuality and abortion), have elicited international censure from other nations. These policies may also exacerbate the divide between left-wing and right-wing political factions within the country.In recent years, Hungary's economic climate has seen significant improvement, marked by the presence of trade freedom, company freedom, property rights, and investment freedom. </w:t>
      </w:r>
      <w:r w:rsidR="006413A3" w:rsidRPr="00B53EC3">
        <w:rPr>
          <w:rFonts w:ascii="Arial" w:hAnsi="Arial" w:cs="Arial"/>
          <w:szCs w:val="24"/>
        </w:rPr>
        <w:t xml:space="preserve">In 2022, mining, manufacturing, and utilities accounted for a combined 24.7% of gross value added (GVA). </w:t>
      </w:r>
      <w:r w:rsidRPr="00B53EC3">
        <w:rPr>
          <w:rFonts w:ascii="Arial" w:hAnsi="Arial" w:cs="Arial"/>
          <w:szCs w:val="24"/>
        </w:rPr>
        <w:t>This was followed by financial intermediation, real estate, and commercial activities, which contributed 23.2% to the GVA. Other services made up 19.5% of the GVA. The three industries are projected to see growth rates of 9.7%, 9.9%, and 9.5% in 2023, measured in nominal terms. In 2021, Central Hungary, which includes the sub-areas of Budapest and Pest, together with Lowland and north Hungary, accounted for around 74.2% of Hungarian GDP in 2020. Additionally, these regions made up 69.9% of the country's population.The BUX Index fluctuated last year. On January 24, 2023, the Index was 46,856.2, down from 51,325.3 in 2022. In June 2022, the EU pledged EUR5.4 billion ($5.5 billion) to improve Hungary'</w:t>
      </w:r>
      <w:r w:rsidR="005F6FD6" w:rsidRPr="00B53EC3">
        <w:rPr>
          <w:rFonts w:ascii="Arial" w:hAnsi="Arial" w:cs="Arial"/>
          <w:szCs w:val="24"/>
        </w:rPr>
        <w:t>s transportation infrastructure</w:t>
      </w:r>
      <w:r w:rsidRPr="00B53EC3">
        <w:rPr>
          <w:rFonts w:ascii="Arial" w:hAnsi="Arial" w:cs="Arial"/>
          <w:szCs w:val="24"/>
        </w:rPr>
        <w:t>(Imbrogiano, 2022). </w:t>
      </w:r>
      <w:r w:rsidR="0078234D" w:rsidRPr="00B53EC3">
        <w:rPr>
          <w:rFonts w:ascii="Arial" w:hAnsi="Arial" w:cs="Arial"/>
          <w:szCs w:val="24"/>
        </w:rPr>
        <w:br w:type="page"/>
      </w:r>
    </w:p>
    <w:p w14:paraId="2D0F334A" w14:textId="77777777" w:rsidR="004D6FE3" w:rsidRPr="00B53EC3" w:rsidRDefault="004D6FE3" w:rsidP="00FE4F2B">
      <w:pPr>
        <w:pStyle w:val="Heading1"/>
        <w:rPr>
          <w:rFonts w:ascii="Arial" w:hAnsi="Arial" w:cs="Arial"/>
          <w:sz w:val="24"/>
          <w:szCs w:val="24"/>
        </w:rPr>
      </w:pPr>
      <w:bookmarkStart w:id="3" w:name="_Toc151767530"/>
      <w:r w:rsidRPr="00B53EC3">
        <w:rPr>
          <w:rFonts w:ascii="Arial" w:hAnsi="Arial" w:cs="Arial"/>
          <w:sz w:val="24"/>
          <w:szCs w:val="24"/>
        </w:rPr>
        <w:lastRenderedPageBreak/>
        <w:t>Evaluation betw</w:t>
      </w:r>
      <w:r w:rsidR="00F278B2" w:rsidRPr="00B53EC3">
        <w:rPr>
          <w:rFonts w:ascii="Arial" w:hAnsi="Arial" w:cs="Arial"/>
          <w:sz w:val="24"/>
          <w:szCs w:val="24"/>
        </w:rPr>
        <w:t>een Hungary and Germany</w:t>
      </w:r>
      <w:bookmarkEnd w:id="3"/>
    </w:p>
    <w:p w14:paraId="2CDC7EA0" w14:textId="5357AD8A" w:rsidR="003E679F" w:rsidRPr="00275E31" w:rsidRDefault="00FE4F2B" w:rsidP="00FE4F2B">
      <w:pPr>
        <w:rPr>
          <w:rFonts w:ascii="Arial" w:hAnsi="Arial" w:cs="Arial"/>
          <w:szCs w:val="24"/>
        </w:rPr>
      </w:pPr>
      <w:r w:rsidRPr="00C41600">
        <w:rPr>
          <w:rFonts w:ascii="Arial" w:hAnsi="Arial" w:cs="Arial"/>
          <w:szCs w:val="24"/>
        </w:rPr>
        <w:t>According to Hofstede's cultural aspects, Hungarian culture is distinguished by its unique cuisine, poetry, folk traditions, theatre, music, religious practises, and traditional embroidered clothes. Hungarian folklore traditions include a variety of cultural expressions such as narratives, musical compositions, choreographed movements, ornate ceramics, carved objects, and intricate needlework. German culture is often associated with being a nation of intellectuals, poets, and, in modern times, entrepreneurs</w:t>
      </w:r>
      <w:r w:rsidR="00042EEF" w:rsidRPr="00C41600">
        <w:rPr>
          <w:rFonts w:ascii="Arial" w:hAnsi="Arial" w:cs="Arial"/>
          <w:szCs w:val="24"/>
        </w:rPr>
        <w:t>(Carmichael, 2022)</w:t>
      </w:r>
      <w:r w:rsidRPr="00C41600">
        <w:rPr>
          <w:rFonts w:ascii="Arial" w:hAnsi="Arial" w:cs="Arial"/>
          <w:szCs w:val="24"/>
        </w:rPr>
        <w:t xml:space="preserve">. The German culture and its people place great emphasis on rationality and logical thinking. Germany exhibits significant cultural and traditional similarities with its neighbouring nations, particularly Austria and Switzerland, which also have Germanic-speaking populations. They exhibit significant dissimilarities. Indeed, German and Hungarian belong to distinct language families; German is classified as an Indo-European language, whilst Hungarian is classified as Uralic. Put simply, they are not connected and, as a result, have significantly distinct grammatical structures and vocabularies. Despite not being an Indo-European language, Hungarian incorporates several terms from Slavic, Turkic, and German languages into its lexicon. In the context of the workplace and careers, over 73 percent of women in Germany are now engaged in employment, either on a full-time or part-time basis. This represents a growth of almost 16 percent since 1991. This is also the highest number since 1991, indicating significant advancements in women's participation in the labour market. The work culture in Hungary is primarily characterised by a focus on professionalism, high standards of quality, and a strong emphasis on customer respect. The current programme adheres to the international labour regulations of a 40-hour workweek, however it may be extended at the workers' request for more pay. The fiscal system in Germany is well known for its complexity and challenges in terms of navigation. Businesses are required to handle nine tax payments annually, which use a total of 207 hours of their time. Dealing with social security contributions alone takes around 134 hours, while corporate income tax and VAT payments may also impose significant time constraints. In Q223, the Hungarian economy continued to experience a recession for the fourth consecutive quarter. As a result, we have revised our prediction for the full year real GDP growth from -1.2% to -1.3%. In 2024, we anticipate that the growth rate will be 1.9%, which is lower than the average growth rate from 2015 to 2019, which was 4.1%. Individuals often communicate with </w:t>
      </w:r>
      <w:r w:rsidRPr="00C41600">
        <w:rPr>
          <w:rFonts w:ascii="Arial" w:hAnsi="Arial" w:cs="Arial"/>
          <w:szCs w:val="24"/>
        </w:rPr>
        <w:lastRenderedPageBreak/>
        <w:t>sincerity, clarity, and explicitness in order to directly address the main issue. The delivery of criticism by Germans is often characterised by a precise word choice, which allows their intentions and meaning to be clearly and readily understood, while yet maintaining politeness and avoiding offence. Hungarians often maintain prolonged and direct eye contact. Establishing direct visual contact is often seen as an indication of genuineness, whilst deliberately avoiding eye contact is frequently interpreted as a signal of deceitfulness. Gesturing: When Hungarians want to indicate anything, they often use a rapid finger flick, swiftly retracting it towards themselves (Dulek, 2022).</w:t>
      </w:r>
    </w:p>
    <w:p w14:paraId="266FCD1F" w14:textId="77777777" w:rsidR="00F278B2" w:rsidRPr="00B53EC3" w:rsidRDefault="00F278B2" w:rsidP="00C2408C">
      <w:pPr>
        <w:pStyle w:val="Heading1"/>
        <w:rPr>
          <w:rFonts w:ascii="Arial" w:hAnsi="Arial" w:cs="Arial"/>
          <w:sz w:val="24"/>
          <w:szCs w:val="24"/>
        </w:rPr>
      </w:pPr>
      <w:bookmarkStart w:id="4" w:name="_Toc151767531"/>
      <w:r w:rsidRPr="00B53EC3">
        <w:rPr>
          <w:rFonts w:ascii="Arial" w:hAnsi="Arial" w:cs="Arial"/>
          <w:sz w:val="24"/>
          <w:szCs w:val="24"/>
        </w:rPr>
        <w:t>Hofstede cultural dimensions as a comparison between the UK and Hungary</w:t>
      </w:r>
      <w:bookmarkEnd w:id="4"/>
    </w:p>
    <w:p w14:paraId="2A1CF841" w14:textId="77777777" w:rsidR="00427E6A" w:rsidRPr="00B53EC3" w:rsidRDefault="00427E6A" w:rsidP="00427E6A">
      <w:pPr>
        <w:rPr>
          <w:rFonts w:ascii="Arial" w:hAnsi="Arial" w:cs="Arial"/>
          <w:szCs w:val="24"/>
        </w:rPr>
      </w:pPr>
      <w:r w:rsidRPr="00B53EC3">
        <w:rPr>
          <w:rFonts w:ascii="Arial" w:hAnsi="Arial" w:cs="Arial"/>
          <w:szCs w:val="24"/>
        </w:rPr>
        <w:t>There are significant cultural disparities between the United Kingdom and Hungary. To examine these variances, this discussion will use the Hofstede cultural dimension. Hofstede's original set of six primary dimensions comprises masculinity-femininity, power distance, individualism-collectivism, uncertainty avoidance, and short versus long-term orientation. Based on the outcome (refer to the graph in the appendix), Hungary exhibits a low score of 46 on this dimension, indicating the following characteristics of the Hungarian style: coaching leadership, independence, hierarchy for practicality purposes only, accessible superiors, equal rights, and management that enables and empowers. Authority is distributed and managers rely on the expertise of their team members. Employees anticipate being included in the decision-making process (Böddi &amp; Serfőző, 2019). Communication is characterized by its straightforwardness and active involvement of all parties. Hungary is classified as an Individualist society, with a score of 71. This indicates a strong inclination for a social structure that is not tightly interconnected. Hungary's Motivation towards Achievement and Success score is 88, indicating that it is classified as a Decisive society. Hungary's score on this dimension is 82, indicating a strong inclination towards risk avoidance and uncertainty avoidance. Hungary exhibits a rather typical behavior compared to other countries, as shown by its score of 45 on this dimension (Ferito, 2023). </w:t>
      </w:r>
      <w:r w:rsidR="006413A3" w:rsidRPr="00B53EC3">
        <w:rPr>
          <w:rFonts w:ascii="Arial" w:hAnsi="Arial" w:cs="Arial"/>
          <w:szCs w:val="24"/>
        </w:rPr>
        <w:t xml:space="preserve">British nationals with a PDI score of 35 or more are at the bottom of the list. Research has shown that the middle class in Britain had a lower PD index than the working class. One of the underlying contradictions in British society is highlighted by the PDI score, which makes it clear that the old British class structure is incongruous with the PDI score. </w:t>
      </w:r>
      <w:r w:rsidRPr="00B53EC3">
        <w:rPr>
          <w:rFonts w:ascii="Arial" w:hAnsi="Arial" w:cs="Arial"/>
          <w:szCs w:val="24"/>
        </w:rPr>
        <w:t xml:space="preserve">According to Taras and Steel (2022), the UK is </w:t>
      </w:r>
      <w:r w:rsidRPr="00B53EC3">
        <w:rPr>
          <w:rFonts w:ascii="Arial" w:hAnsi="Arial" w:cs="Arial"/>
          <w:szCs w:val="24"/>
        </w:rPr>
        <w:lastRenderedPageBreak/>
        <w:t>classified as an Individualist society with a score of 76. Foreigners sometimes struggle to understand the seeming contradiction between the British culture's emphasis on humility and understatement. At the age of 35, the United Kingdom has a low level of Uncertainty Avoidance, indicating that as a collective, they are OK with facing the unknown each day. They are willing to adapt and modify their plans based on new knowledge that arises. Britain has a pragmatic culture, as shown by its long term orientation score of 60 (Kiwan, 2022). An indulgence score of 69 suggests that British culture falls into the category of being described as indulgent. </w:t>
      </w:r>
    </w:p>
    <w:p w14:paraId="346C8EDC" w14:textId="77777777" w:rsidR="00427E6A" w:rsidRPr="00B53EC3" w:rsidRDefault="00427E6A" w:rsidP="00427E6A">
      <w:pPr>
        <w:rPr>
          <w:rFonts w:ascii="Arial" w:hAnsi="Arial" w:cs="Arial"/>
          <w:szCs w:val="24"/>
        </w:rPr>
      </w:pPr>
      <w:r w:rsidRPr="00B53EC3">
        <w:rPr>
          <w:rFonts w:ascii="Arial" w:hAnsi="Arial" w:cs="Arial"/>
          <w:szCs w:val="24"/>
        </w:rPr>
        <w:t xml:space="preserve">Research has shown differences in corporate communication across two European Union countries, namely Hungary and Germany. Hungarians use circulars, memoranda, and written documentation in their commercial transactions. They exhibit a lack of proficiency in responding to written correspondence or returning unanswered phone calls. Therefore, within a commercial setting, it is more advantageous to allocate resources towards consistent and direct engagement. Typically, when business partners see one another, they often engage in a handshake gesture (Kehm, 2013). For most commercial transactions and situations, the mentioned methods will apply. However, the guidelines are standards for good behavior, and one must also adopt local norms, habits, and traditions while doing business in Germany. </w:t>
      </w:r>
      <w:r w:rsidR="00042EEF" w:rsidRPr="00B53EC3">
        <w:rPr>
          <w:rFonts w:ascii="Arial" w:hAnsi="Arial" w:cs="Arial"/>
          <w:szCs w:val="24"/>
        </w:rPr>
        <w:t xml:space="preserve">Aviva </w:t>
      </w:r>
      <w:r w:rsidR="005F6FD6" w:rsidRPr="00B53EC3">
        <w:rPr>
          <w:rFonts w:ascii="Arial" w:hAnsi="Arial" w:cs="Arial"/>
          <w:szCs w:val="24"/>
        </w:rPr>
        <w:t>Plc</w:t>
      </w:r>
      <w:r w:rsidR="006D6FB3" w:rsidRPr="00B53EC3">
        <w:rPr>
          <w:rFonts w:ascii="Arial" w:hAnsi="Arial" w:cs="Arial"/>
          <w:szCs w:val="24"/>
        </w:rPr>
        <w:t xml:space="preserve"> </w:t>
      </w:r>
      <w:r w:rsidRPr="00B53EC3">
        <w:rPr>
          <w:rFonts w:ascii="Arial" w:hAnsi="Arial" w:cs="Arial"/>
          <w:szCs w:val="24"/>
        </w:rPr>
        <w:t>may have communication issues in Hungary. These include confusion, lack of understanding, lack of unanimity, lack of trust, and fear. When implementing a firm communication plan, these potential obstacles must be identified and addressed. The greatest obstacle for commerce, as noted below (Berlin, 2023), is the considerable disparity between two distinct cultures. </w:t>
      </w:r>
    </w:p>
    <w:p w14:paraId="43B15F12" w14:textId="77777777" w:rsidR="00427E6A" w:rsidRPr="00B53EC3" w:rsidRDefault="00427E6A" w:rsidP="00427E6A">
      <w:pPr>
        <w:rPr>
          <w:rFonts w:ascii="Arial" w:hAnsi="Arial" w:cs="Arial"/>
          <w:szCs w:val="24"/>
        </w:rPr>
      </w:pPr>
      <w:r w:rsidRPr="00B53EC3">
        <w:rPr>
          <w:rFonts w:ascii="Arial" w:hAnsi="Arial" w:cs="Arial"/>
          <w:szCs w:val="24"/>
        </w:rPr>
        <w:t xml:space="preserve">The fundamental origin of culture, including concepts of tradition and ideals in unison. The following generation preserves and enhances such principles. Thus, a culture may be defined as the collective patterns of behavior, ideas, values, and symbols embraced by a particular group of individuals. These cultural elements are often ingrained in the group's mindset and are transmitted from one generation to another via communication and imitation. The culture of any nation encompasses an underlying framework that dictates behavioral standards in various contexts, including communication. Prior to embarking on a new worldwide market, it is important to discern the cultural disparities between different countries in the realm of business. The majority of distinctions are intangible, therefore emphasizing the </w:t>
      </w:r>
      <w:r w:rsidRPr="00B53EC3">
        <w:rPr>
          <w:rFonts w:ascii="Arial" w:hAnsi="Arial" w:cs="Arial"/>
          <w:szCs w:val="24"/>
        </w:rPr>
        <w:lastRenderedPageBreak/>
        <w:t>need of understanding national culture in the context of global commerce (Kubina et al., 2022). </w:t>
      </w:r>
    </w:p>
    <w:p w14:paraId="06990484" w14:textId="77777777" w:rsidR="00427E6A" w:rsidRPr="00B53EC3" w:rsidRDefault="00427E6A" w:rsidP="00427E6A">
      <w:pPr>
        <w:rPr>
          <w:rFonts w:ascii="Arial" w:hAnsi="Arial" w:cs="Arial"/>
          <w:szCs w:val="24"/>
        </w:rPr>
      </w:pPr>
      <w:r w:rsidRPr="00B53EC3">
        <w:rPr>
          <w:rFonts w:ascii="Arial" w:hAnsi="Arial" w:cs="Arial"/>
          <w:szCs w:val="24"/>
        </w:rPr>
        <w:t>The disparity in country cultures and the misinterpretation of partners' intentions are the primary issues that undermine the achievement of success in international commerce. Each nation has its unique cultural norms and expressions, which may not be objectionable to you but might nonetheless offend others. An additional disadvantage in international business is the obstacle of language barrier. The need of translators in international commerce dealin</w:t>
      </w:r>
      <w:r w:rsidR="00BE4362" w:rsidRPr="00B53EC3">
        <w:rPr>
          <w:rFonts w:ascii="Arial" w:hAnsi="Arial" w:cs="Arial"/>
          <w:szCs w:val="24"/>
        </w:rPr>
        <w:t>gs arises from this very reason</w:t>
      </w:r>
      <w:r w:rsidRPr="00B53EC3">
        <w:rPr>
          <w:rFonts w:ascii="Arial" w:hAnsi="Arial" w:cs="Arial"/>
          <w:szCs w:val="24"/>
        </w:rPr>
        <w:t>(Mudaly &amp; Singh, 2022). </w:t>
      </w:r>
    </w:p>
    <w:p w14:paraId="374F00AA" w14:textId="77777777" w:rsidR="00427E6A" w:rsidRPr="00B53EC3" w:rsidRDefault="00427E6A" w:rsidP="00427E6A">
      <w:pPr>
        <w:rPr>
          <w:rFonts w:ascii="Arial" w:hAnsi="Arial" w:cs="Arial"/>
          <w:szCs w:val="24"/>
        </w:rPr>
      </w:pPr>
      <w:r w:rsidRPr="00B53EC3">
        <w:rPr>
          <w:rFonts w:ascii="Arial" w:hAnsi="Arial" w:cs="Arial"/>
          <w:szCs w:val="24"/>
        </w:rPr>
        <w:t xml:space="preserve">In the present era of global interconnectivity, businesses are expanding their operations on an international level, with teams dispersed across various countries and cultures. This section focuses on providing suitable recommendations for </w:t>
      </w:r>
      <w:r w:rsidR="00042EEF" w:rsidRPr="00B53EC3">
        <w:rPr>
          <w:rFonts w:ascii="Arial" w:hAnsi="Arial" w:cs="Arial"/>
          <w:szCs w:val="24"/>
        </w:rPr>
        <w:t>Aviva</w:t>
      </w:r>
      <w:r w:rsidR="005F6FD6" w:rsidRPr="00B53EC3">
        <w:rPr>
          <w:rFonts w:ascii="Arial" w:hAnsi="Arial" w:cs="Arial"/>
          <w:szCs w:val="24"/>
        </w:rPr>
        <w:t xml:space="preserve"> Plc </w:t>
      </w:r>
      <w:r w:rsidRPr="00B53EC3">
        <w:rPr>
          <w:rFonts w:ascii="Arial" w:hAnsi="Arial" w:cs="Arial"/>
          <w:szCs w:val="24"/>
        </w:rPr>
        <w:t>'s expansion and strategies to overcome communication challenges, thereby ensuring the organization's success in creating a conducive environment for all individuals to thrive. </w:t>
      </w:r>
    </w:p>
    <w:p w14:paraId="6CD942E3" w14:textId="77777777" w:rsidR="00427E6A" w:rsidRPr="00B53EC3" w:rsidRDefault="00427E6A" w:rsidP="00427E6A">
      <w:pPr>
        <w:rPr>
          <w:rFonts w:ascii="Arial" w:hAnsi="Arial" w:cs="Arial"/>
          <w:szCs w:val="24"/>
        </w:rPr>
      </w:pPr>
      <w:r w:rsidRPr="00B53EC3">
        <w:rPr>
          <w:rFonts w:ascii="Arial" w:hAnsi="Arial" w:cs="Arial"/>
          <w:szCs w:val="24"/>
        </w:rPr>
        <w:t>The variety of cultures and languages poses a significant challenge in communicating effectively among a global workforce. Every culture has unique communication rules, non-verbal signals, and linguistic intricacies. Interactions between persons from diverse backgrounds may often result in misunderstandings, which can hinder effective communication and perhaps lead to conflict. To address this issue, firms should emphasize providing cultural competency training to their staff. The primary objective of this training should be to foster compassion, understanding, and receptiveness towards</w:t>
      </w:r>
      <w:r w:rsidR="00BE4362" w:rsidRPr="00B53EC3">
        <w:rPr>
          <w:rFonts w:ascii="Arial" w:hAnsi="Arial" w:cs="Arial"/>
          <w:szCs w:val="24"/>
        </w:rPr>
        <w:t xml:space="preserve"> other cultural viewpoints</w:t>
      </w:r>
      <w:r w:rsidRPr="00B53EC3">
        <w:rPr>
          <w:rFonts w:ascii="Arial" w:hAnsi="Arial" w:cs="Arial"/>
          <w:szCs w:val="24"/>
        </w:rPr>
        <w:t>(Mudaly &amp; Singh, 2022). </w:t>
      </w:r>
    </w:p>
    <w:p w14:paraId="65E7E317" w14:textId="77777777" w:rsidR="00427E6A" w:rsidRPr="00B53EC3" w:rsidRDefault="00427E6A" w:rsidP="00427E6A">
      <w:pPr>
        <w:rPr>
          <w:rFonts w:ascii="Arial" w:hAnsi="Arial" w:cs="Arial"/>
          <w:szCs w:val="24"/>
        </w:rPr>
      </w:pPr>
      <w:r w:rsidRPr="00B53EC3">
        <w:rPr>
          <w:rFonts w:ascii="Arial" w:hAnsi="Arial" w:cs="Arial"/>
          <w:szCs w:val="24"/>
        </w:rPr>
        <w:t xml:space="preserve">The presence of language barriers is the most apparent obstacle to effective communication in a global workforce. Not all workers possess a high level of proficiency in a shared language, which might result in misinterpretations and diminished cooperation. Furthermore, linguistic disparities may impede efficient written and spoken communication, hence impacting the overall efficiency of teams. To tackle language barriers, firms might provide language training initiatives for personnel engaged in global team collaborations. Implementing language training or employing interpreters and translators may greatly enhance </w:t>
      </w:r>
      <w:r w:rsidR="0065213A" w:rsidRPr="00B53EC3">
        <w:rPr>
          <w:rFonts w:ascii="Arial" w:hAnsi="Arial" w:cs="Arial"/>
          <w:szCs w:val="24"/>
        </w:rPr>
        <w:t>the efficiency of communication</w:t>
      </w:r>
      <w:r w:rsidRPr="00B53EC3">
        <w:rPr>
          <w:rFonts w:ascii="Arial" w:hAnsi="Arial" w:cs="Arial"/>
          <w:szCs w:val="24"/>
        </w:rPr>
        <w:t>(Cherny, 2017). </w:t>
      </w:r>
    </w:p>
    <w:p w14:paraId="0BFFE777" w14:textId="77777777" w:rsidR="00427E6A" w:rsidRPr="00B53EC3" w:rsidRDefault="00427E6A" w:rsidP="00427E6A">
      <w:pPr>
        <w:rPr>
          <w:rFonts w:ascii="Arial" w:hAnsi="Arial" w:cs="Arial"/>
          <w:szCs w:val="24"/>
        </w:rPr>
      </w:pPr>
      <w:r w:rsidRPr="00B53EC3">
        <w:rPr>
          <w:rFonts w:ascii="Arial" w:hAnsi="Arial" w:cs="Arial"/>
          <w:szCs w:val="24"/>
        </w:rPr>
        <w:lastRenderedPageBreak/>
        <w:t xml:space="preserve">Technology is crucial in connecting global workforces by overcoming communication barriers in today's digital era. </w:t>
      </w:r>
      <w:r w:rsidR="00042EEF" w:rsidRPr="00B53EC3">
        <w:rPr>
          <w:rFonts w:ascii="Arial" w:hAnsi="Arial" w:cs="Arial"/>
          <w:szCs w:val="24"/>
        </w:rPr>
        <w:t>Aviva</w:t>
      </w:r>
      <w:r w:rsidR="00BE4362" w:rsidRPr="00B53EC3">
        <w:rPr>
          <w:rFonts w:ascii="Arial" w:hAnsi="Arial" w:cs="Arial"/>
          <w:szCs w:val="24"/>
        </w:rPr>
        <w:t xml:space="preserve"> Plc </w:t>
      </w:r>
      <w:r w:rsidR="006413A3" w:rsidRPr="00B53EC3">
        <w:rPr>
          <w:rFonts w:ascii="Arial" w:hAnsi="Arial" w:cs="Arial"/>
          <w:szCs w:val="24"/>
        </w:rPr>
        <w:t>has to make investments in a strong infrastructure for communication technologies in order to support efficient employee communication and guarantee that staff members are using these res</w:t>
      </w:r>
      <w:r w:rsidR="00BE4362" w:rsidRPr="00B53EC3">
        <w:rPr>
          <w:rFonts w:ascii="Arial" w:hAnsi="Arial" w:cs="Arial"/>
          <w:szCs w:val="24"/>
        </w:rPr>
        <w:t>ources to their full potential</w:t>
      </w:r>
      <w:r w:rsidR="006413A3" w:rsidRPr="00B53EC3">
        <w:rPr>
          <w:rFonts w:ascii="Arial" w:hAnsi="Arial" w:cs="Arial"/>
          <w:szCs w:val="24"/>
        </w:rPr>
        <w:t>(Nobes, 2016).</w:t>
      </w:r>
    </w:p>
    <w:p w14:paraId="735F683D" w14:textId="77777777" w:rsidR="00427E6A" w:rsidRPr="00B53EC3" w:rsidRDefault="00427E6A" w:rsidP="00427E6A">
      <w:pPr>
        <w:rPr>
          <w:rFonts w:ascii="Arial" w:hAnsi="Arial" w:cs="Arial"/>
          <w:szCs w:val="24"/>
        </w:rPr>
      </w:pPr>
      <w:r w:rsidRPr="00B53EC3">
        <w:rPr>
          <w:rFonts w:ascii="Arial" w:hAnsi="Arial" w:cs="Arial"/>
          <w:szCs w:val="24"/>
        </w:rPr>
        <w:t>Nevertheless, the existence of cultural disparities and discrepancies in time zones might provide a difficulty in guaranteeing that every member of the team feels acknowledged and appreciated. When collaborating with an international workforce, it is crucial to be cognizant of cross-cultural communication protocols. Cultural norms and expectations differ between societies in terms of hierarchy, communication techniques, and decision-making proc</w:t>
      </w:r>
      <w:r w:rsidR="00BE4362" w:rsidRPr="00B53EC3">
        <w:rPr>
          <w:rFonts w:ascii="Arial" w:hAnsi="Arial" w:cs="Arial"/>
          <w:szCs w:val="24"/>
        </w:rPr>
        <w:t>esses</w:t>
      </w:r>
      <w:r w:rsidRPr="00B53EC3">
        <w:rPr>
          <w:rFonts w:ascii="Arial" w:hAnsi="Arial" w:cs="Arial"/>
          <w:szCs w:val="24"/>
        </w:rPr>
        <w:t>(Nobes, 2016). </w:t>
      </w:r>
    </w:p>
    <w:p w14:paraId="2E2EEC37" w14:textId="77777777" w:rsidR="00427E6A" w:rsidRPr="00B53EC3" w:rsidRDefault="00042EEF" w:rsidP="00427E6A">
      <w:pPr>
        <w:rPr>
          <w:rFonts w:ascii="Arial" w:hAnsi="Arial" w:cs="Arial"/>
          <w:szCs w:val="24"/>
        </w:rPr>
      </w:pPr>
      <w:r w:rsidRPr="00B53EC3">
        <w:rPr>
          <w:rFonts w:ascii="Arial" w:hAnsi="Arial" w:cs="Arial"/>
          <w:szCs w:val="24"/>
        </w:rPr>
        <w:t>Aviva</w:t>
      </w:r>
      <w:r w:rsidR="00BE4362" w:rsidRPr="00B53EC3">
        <w:rPr>
          <w:rFonts w:ascii="Arial" w:hAnsi="Arial" w:cs="Arial"/>
          <w:szCs w:val="24"/>
        </w:rPr>
        <w:t xml:space="preserve"> Plc </w:t>
      </w:r>
      <w:r w:rsidR="00427E6A" w:rsidRPr="00B53EC3">
        <w:rPr>
          <w:rFonts w:ascii="Arial" w:hAnsi="Arial" w:cs="Arial"/>
          <w:szCs w:val="24"/>
        </w:rPr>
        <w:t>may provide staff access to materials such as cross-cultural communication guidelines or cultural intelligence training to improve their comprehension o</w:t>
      </w:r>
      <w:r w:rsidR="0065213A" w:rsidRPr="00B53EC3">
        <w:rPr>
          <w:rFonts w:ascii="Arial" w:hAnsi="Arial" w:cs="Arial"/>
          <w:szCs w:val="24"/>
        </w:rPr>
        <w:t>f different cultural subtleties</w:t>
      </w:r>
      <w:r w:rsidR="00427E6A" w:rsidRPr="00B53EC3">
        <w:rPr>
          <w:rFonts w:ascii="Arial" w:hAnsi="Arial" w:cs="Arial"/>
          <w:szCs w:val="24"/>
        </w:rPr>
        <w:t>(Nobes, 2016). </w:t>
      </w:r>
    </w:p>
    <w:p w14:paraId="5928BDCA" w14:textId="77777777" w:rsidR="00427E6A" w:rsidRPr="00B53EC3" w:rsidRDefault="00042EEF" w:rsidP="00427E6A">
      <w:pPr>
        <w:rPr>
          <w:rFonts w:ascii="Arial" w:hAnsi="Arial" w:cs="Arial"/>
          <w:szCs w:val="24"/>
        </w:rPr>
      </w:pPr>
      <w:r w:rsidRPr="00B53EC3">
        <w:rPr>
          <w:rFonts w:ascii="Arial" w:hAnsi="Arial" w:cs="Arial"/>
          <w:szCs w:val="24"/>
        </w:rPr>
        <w:t>Aviva</w:t>
      </w:r>
      <w:r w:rsidR="00BE4362" w:rsidRPr="00B53EC3">
        <w:rPr>
          <w:rFonts w:ascii="Arial" w:hAnsi="Arial" w:cs="Arial"/>
          <w:szCs w:val="24"/>
        </w:rPr>
        <w:t xml:space="preserve"> Plc</w:t>
      </w:r>
      <w:r w:rsidR="00730B70" w:rsidRPr="00B53EC3">
        <w:rPr>
          <w:rFonts w:ascii="Arial" w:hAnsi="Arial" w:cs="Arial"/>
          <w:szCs w:val="24"/>
        </w:rPr>
        <w:t xml:space="preserve"> </w:t>
      </w:r>
      <w:r w:rsidR="00427E6A" w:rsidRPr="00B53EC3">
        <w:rPr>
          <w:rFonts w:ascii="Arial" w:hAnsi="Arial" w:cs="Arial"/>
          <w:szCs w:val="24"/>
        </w:rPr>
        <w:t>can implement flexible work arrangements that allow employees to work overlapping hours to address time zone issues in Hungary with</w:t>
      </w:r>
      <w:r w:rsidR="00BE4362" w:rsidRPr="00B53EC3">
        <w:rPr>
          <w:rFonts w:ascii="Arial" w:hAnsi="Arial" w:cs="Arial"/>
          <w:szCs w:val="24"/>
        </w:rPr>
        <w:t>out overburdening any one group</w:t>
      </w:r>
      <w:r w:rsidR="00427E6A" w:rsidRPr="00B53EC3">
        <w:rPr>
          <w:rFonts w:ascii="Arial" w:hAnsi="Arial" w:cs="Arial"/>
          <w:szCs w:val="24"/>
        </w:rPr>
        <w:t>(Nobes, 2016). </w:t>
      </w:r>
    </w:p>
    <w:p w14:paraId="0B05D6FC" w14:textId="77777777" w:rsidR="004D6FE3" w:rsidRPr="00B53EC3" w:rsidRDefault="0065213A" w:rsidP="00C2408C">
      <w:pPr>
        <w:pStyle w:val="Heading1"/>
        <w:rPr>
          <w:rFonts w:ascii="Arial" w:hAnsi="Arial" w:cs="Arial"/>
          <w:sz w:val="24"/>
          <w:szCs w:val="24"/>
        </w:rPr>
      </w:pPr>
      <w:bookmarkStart w:id="5" w:name="_Toc151767532"/>
      <w:r w:rsidRPr="00B53EC3">
        <w:rPr>
          <w:rFonts w:ascii="Arial" w:hAnsi="Arial" w:cs="Arial"/>
          <w:sz w:val="24"/>
          <w:szCs w:val="24"/>
        </w:rPr>
        <w:t>Recommendations</w:t>
      </w:r>
      <w:bookmarkEnd w:id="5"/>
    </w:p>
    <w:p w14:paraId="7A154AE6" w14:textId="77777777" w:rsidR="00FE4F2B" w:rsidRPr="00C41600" w:rsidRDefault="005D6423" w:rsidP="00FE4F2B">
      <w:pPr>
        <w:rPr>
          <w:rFonts w:ascii="Arial" w:hAnsi="Arial" w:cs="Arial"/>
          <w:szCs w:val="24"/>
        </w:rPr>
      </w:pPr>
      <w:r w:rsidRPr="00C41600">
        <w:rPr>
          <w:rFonts w:ascii="Arial" w:hAnsi="Arial" w:cs="Arial"/>
          <w:szCs w:val="24"/>
        </w:rPr>
        <w:t>After doing the analysis it has been decided that,the chosen country is Hungary</w:t>
      </w:r>
      <w:r w:rsidR="00082201" w:rsidRPr="00C41600">
        <w:rPr>
          <w:rFonts w:ascii="Arial" w:hAnsi="Arial" w:cs="Arial"/>
          <w:szCs w:val="24"/>
        </w:rPr>
        <w:t xml:space="preserve"> for the expansion in Aviva Plc</w:t>
      </w:r>
      <w:r w:rsidRPr="00C41600">
        <w:rPr>
          <w:rFonts w:ascii="Arial" w:hAnsi="Arial" w:cs="Arial"/>
          <w:szCs w:val="24"/>
        </w:rPr>
        <w:t>.</w:t>
      </w:r>
      <w:r w:rsidRPr="00C41600">
        <w:rPr>
          <w:rFonts w:ascii="Arial" w:hAnsi="Arial" w:cs="Arial"/>
          <w:szCs w:val="24"/>
          <w:shd w:val="clear" w:color="auto" w:fill="FFFFFF"/>
        </w:rPr>
        <w:t xml:space="preserve"> </w:t>
      </w:r>
      <w:r w:rsidR="00FE4F2B" w:rsidRPr="00C41600">
        <w:rPr>
          <w:rFonts w:ascii="Arial" w:hAnsi="Arial" w:cs="Arial"/>
          <w:szCs w:val="24"/>
        </w:rPr>
        <w:t xml:space="preserve">As a rising economy in central Europe and an EU member, Hungary offers international enterprises enormous investment potential. Hungary has the lowest EU company tax rate, making it attractive for investment.If </w:t>
      </w:r>
      <w:r w:rsidR="00042EEF" w:rsidRPr="00C41600">
        <w:rPr>
          <w:rFonts w:ascii="Arial" w:hAnsi="Arial" w:cs="Arial"/>
          <w:szCs w:val="24"/>
        </w:rPr>
        <w:t>Aviva</w:t>
      </w:r>
      <w:r w:rsidR="00FE4F2B" w:rsidRPr="00C41600">
        <w:rPr>
          <w:rFonts w:ascii="Arial" w:hAnsi="Arial" w:cs="Arial"/>
          <w:szCs w:val="24"/>
        </w:rPr>
        <w:t xml:space="preserve"> expands to Hungary, business communication will be difficult.How to overcome the obstacle is discussed below:</w:t>
      </w:r>
    </w:p>
    <w:p w14:paraId="1DE75317" w14:textId="77777777" w:rsidR="00FE4F2B" w:rsidRPr="00C41600" w:rsidRDefault="00FE4F2B" w:rsidP="00275E31">
      <w:pPr>
        <w:rPr>
          <w:rFonts w:ascii="Arial" w:hAnsi="Arial" w:cs="Arial"/>
          <w:szCs w:val="24"/>
        </w:rPr>
      </w:pPr>
      <w:r w:rsidRPr="00C41600">
        <w:rPr>
          <w:rFonts w:ascii="Arial" w:hAnsi="Arial" w:cs="Arial"/>
          <w:b/>
          <w:szCs w:val="24"/>
        </w:rPr>
        <w:t>Hire multilingual, multinational staff</w:t>
      </w:r>
      <w:r w:rsidRPr="00C41600">
        <w:rPr>
          <w:rFonts w:ascii="Arial" w:hAnsi="Arial" w:cs="Arial"/>
          <w:szCs w:val="24"/>
        </w:rPr>
        <w:t xml:space="preserve">: English is used for internal company communications to simplify. </w:t>
      </w:r>
    </w:p>
    <w:p w14:paraId="4E6B64CF" w14:textId="77777777" w:rsidR="00FE4F2B" w:rsidRPr="00C41600" w:rsidRDefault="00FE4F2B" w:rsidP="00275E31">
      <w:pPr>
        <w:rPr>
          <w:rFonts w:ascii="Arial" w:hAnsi="Arial" w:cs="Arial"/>
          <w:szCs w:val="24"/>
        </w:rPr>
      </w:pPr>
      <w:r w:rsidRPr="00C41600">
        <w:rPr>
          <w:rFonts w:ascii="Arial" w:hAnsi="Arial" w:cs="Arial"/>
          <w:b/>
          <w:szCs w:val="24"/>
        </w:rPr>
        <w:t>Make multilingual websites</w:t>
      </w:r>
      <w:r w:rsidRPr="00C41600">
        <w:rPr>
          <w:rFonts w:ascii="Arial" w:hAnsi="Arial" w:cs="Arial"/>
          <w:szCs w:val="24"/>
        </w:rPr>
        <w:t xml:space="preserve">: Instead than relying on Google translate, </w:t>
      </w:r>
      <w:r w:rsidR="00042EEF" w:rsidRPr="00C41600">
        <w:rPr>
          <w:rFonts w:ascii="Arial" w:hAnsi="Arial" w:cs="Arial"/>
          <w:szCs w:val="24"/>
        </w:rPr>
        <w:t xml:space="preserve">Aviva Plc </w:t>
      </w:r>
      <w:r w:rsidRPr="00C41600">
        <w:rPr>
          <w:rFonts w:ascii="Arial" w:hAnsi="Arial" w:cs="Arial"/>
          <w:szCs w:val="24"/>
        </w:rPr>
        <w:t xml:space="preserve">should translate the site into local languages. </w:t>
      </w:r>
    </w:p>
    <w:p w14:paraId="09072FAC" w14:textId="77777777" w:rsidR="00FE4F2B" w:rsidRPr="00C41600" w:rsidRDefault="00FE4F2B" w:rsidP="00275E31">
      <w:pPr>
        <w:rPr>
          <w:rFonts w:ascii="Arial" w:hAnsi="Arial" w:cs="Arial"/>
          <w:szCs w:val="24"/>
        </w:rPr>
      </w:pPr>
      <w:r w:rsidRPr="00C41600">
        <w:rPr>
          <w:rFonts w:ascii="Arial" w:hAnsi="Arial" w:cs="Arial"/>
          <w:b/>
          <w:szCs w:val="24"/>
        </w:rPr>
        <w:t>Promote frequent meetings</w:t>
      </w:r>
      <w:r w:rsidRPr="00C41600">
        <w:rPr>
          <w:rFonts w:ascii="Arial" w:hAnsi="Arial" w:cs="Arial"/>
          <w:szCs w:val="24"/>
        </w:rPr>
        <w:t xml:space="preserve">: For effective operation, international teams should meet often in real time to share (Carmichael, 2022). </w:t>
      </w:r>
    </w:p>
    <w:p w14:paraId="73BC7E1F" w14:textId="77777777" w:rsidR="00FE4F2B" w:rsidRPr="00C41600" w:rsidRDefault="00FE4F2B" w:rsidP="00275E31">
      <w:pPr>
        <w:rPr>
          <w:rFonts w:ascii="Arial" w:hAnsi="Arial" w:cs="Arial"/>
          <w:szCs w:val="24"/>
        </w:rPr>
      </w:pPr>
      <w:r w:rsidRPr="00C41600">
        <w:rPr>
          <w:rFonts w:ascii="Arial" w:hAnsi="Arial" w:cs="Arial"/>
          <w:b/>
          <w:szCs w:val="24"/>
        </w:rPr>
        <w:lastRenderedPageBreak/>
        <w:t>Create an efficient data flow</w:t>
      </w:r>
      <w:r w:rsidRPr="00C41600">
        <w:rPr>
          <w:rFonts w:ascii="Arial" w:hAnsi="Arial" w:cs="Arial"/>
          <w:szCs w:val="24"/>
        </w:rPr>
        <w:t xml:space="preserve">: It's crucial to establish best practises for sharing information with whoever since these systems may grow chaotic. </w:t>
      </w:r>
    </w:p>
    <w:p w14:paraId="793EBEA1" w14:textId="386FD036" w:rsidR="005E620A" w:rsidRPr="00275E31" w:rsidRDefault="00FE4F2B" w:rsidP="00275E31">
      <w:pPr>
        <w:rPr>
          <w:rFonts w:ascii="Arial" w:eastAsia="Times New Roman" w:hAnsi="Arial" w:cs="Arial"/>
          <w:noProof w:val="0"/>
          <w:spacing w:val="-6"/>
          <w:szCs w:val="24"/>
          <w:lang w:val="en-US"/>
        </w:rPr>
      </w:pPr>
      <w:r w:rsidRPr="00C41600">
        <w:rPr>
          <w:rFonts w:ascii="Arial" w:hAnsi="Arial" w:cs="Arial"/>
          <w:b/>
          <w:szCs w:val="24"/>
        </w:rPr>
        <w:t>Customer service in local language</w:t>
      </w:r>
      <w:r w:rsidRPr="00C41600">
        <w:rPr>
          <w:rFonts w:ascii="Arial" w:hAnsi="Arial" w:cs="Arial"/>
          <w:szCs w:val="24"/>
        </w:rPr>
        <w:t>: Speaking the same language builds trust and intimacy. Thus, reliable local language customer assistance via phone, email, and chat is crucial (Vagnini, 2021).</w:t>
      </w:r>
      <w:r w:rsidR="005D6423" w:rsidRPr="00C41600">
        <w:rPr>
          <w:rFonts w:ascii="Arial" w:eastAsia="Times New Roman" w:hAnsi="Arial" w:cs="Arial"/>
          <w:noProof w:val="0"/>
          <w:szCs w:val="24"/>
          <w:lang w:val="en-US"/>
        </w:rPr>
        <w:t xml:space="preserve"> </w:t>
      </w:r>
      <w:bookmarkStart w:id="6" w:name="_Toc151767533"/>
    </w:p>
    <w:p w14:paraId="1804F1AC" w14:textId="3E69BB2F" w:rsidR="004D6FE3" w:rsidRPr="00B53EC3" w:rsidRDefault="004D6FE3" w:rsidP="00C2408C">
      <w:pPr>
        <w:pStyle w:val="Heading1"/>
        <w:rPr>
          <w:rFonts w:ascii="Arial" w:hAnsi="Arial" w:cs="Arial"/>
          <w:sz w:val="24"/>
          <w:szCs w:val="24"/>
        </w:rPr>
      </w:pPr>
      <w:r w:rsidRPr="00B53EC3">
        <w:rPr>
          <w:rFonts w:ascii="Arial" w:hAnsi="Arial" w:cs="Arial"/>
          <w:sz w:val="24"/>
          <w:szCs w:val="24"/>
        </w:rPr>
        <w:t>Conclusion</w:t>
      </w:r>
      <w:bookmarkEnd w:id="6"/>
    </w:p>
    <w:p w14:paraId="10B82443" w14:textId="77777777" w:rsidR="00C61899" w:rsidRPr="00B53EC3" w:rsidRDefault="00427E6A">
      <w:pPr>
        <w:rPr>
          <w:rFonts w:ascii="Arial" w:hAnsi="Arial" w:cs="Arial"/>
          <w:szCs w:val="24"/>
        </w:rPr>
      </w:pPr>
      <w:r w:rsidRPr="00B53EC3">
        <w:rPr>
          <w:rFonts w:ascii="Arial" w:hAnsi="Arial" w:cs="Arial"/>
          <w:szCs w:val="24"/>
        </w:rPr>
        <w:t xml:space="preserve">International business communication is like regular business communication, except it happens across cultures. Effective communication keeps everyone happy and successful. Clear communication reduces conflict by preventing misunderstanding or manipulation. This may be difficult owing to cultural norms and expectations varying per country. Hungarians communicate passionately, according to research. They usually support their claims with stories, anecdotes, and comedy. Individuals may also elevate their vocal volume during conversations due to the common occurrence of people speaking simultaneously. </w:t>
      </w:r>
      <w:r w:rsidR="00042EEF" w:rsidRPr="00B53EC3">
        <w:rPr>
          <w:rFonts w:ascii="Arial" w:hAnsi="Arial" w:cs="Arial"/>
          <w:szCs w:val="24"/>
        </w:rPr>
        <w:t xml:space="preserve">Aviva </w:t>
      </w:r>
      <w:r w:rsidR="00BE4362" w:rsidRPr="00B53EC3">
        <w:rPr>
          <w:rFonts w:ascii="Arial" w:hAnsi="Arial" w:cs="Arial"/>
          <w:szCs w:val="24"/>
        </w:rPr>
        <w:t xml:space="preserve"> Plc</w:t>
      </w:r>
      <w:r w:rsidRPr="00B53EC3">
        <w:rPr>
          <w:rFonts w:ascii="Arial" w:hAnsi="Arial" w:cs="Arial"/>
          <w:szCs w:val="24"/>
        </w:rPr>
        <w:t xml:space="preserve">, being a British corporation, is currently strategizing to expand its operations in Hungary, which will inevitably present significant communication obstacles. By conducting thorough surveys and making appropriate investments, </w:t>
      </w:r>
      <w:r w:rsidR="00042EEF" w:rsidRPr="00B53EC3">
        <w:rPr>
          <w:rFonts w:ascii="Arial" w:hAnsi="Arial" w:cs="Arial"/>
          <w:szCs w:val="24"/>
        </w:rPr>
        <w:t>Aviva Plc</w:t>
      </w:r>
      <w:r w:rsidR="00BE4362" w:rsidRPr="00B53EC3">
        <w:rPr>
          <w:rFonts w:ascii="Arial" w:hAnsi="Arial" w:cs="Arial"/>
          <w:szCs w:val="24"/>
        </w:rPr>
        <w:t xml:space="preserve"> </w:t>
      </w:r>
      <w:r w:rsidRPr="00B53EC3">
        <w:rPr>
          <w:rFonts w:ascii="Arial" w:hAnsi="Arial" w:cs="Arial"/>
          <w:szCs w:val="24"/>
        </w:rPr>
        <w:t>will be able to effectively surmount these barriers. </w:t>
      </w:r>
    </w:p>
    <w:p w14:paraId="065860E8" w14:textId="77777777" w:rsidR="008163D4" w:rsidRPr="00B53EC3" w:rsidRDefault="008163D4">
      <w:pPr>
        <w:spacing w:line="259" w:lineRule="auto"/>
        <w:jc w:val="left"/>
        <w:rPr>
          <w:rFonts w:ascii="Arial" w:eastAsiaTheme="majorEastAsia" w:hAnsi="Arial" w:cs="Arial"/>
          <w:b/>
          <w:color w:val="2F5496" w:themeColor="accent1" w:themeShade="BF"/>
          <w:szCs w:val="24"/>
        </w:rPr>
      </w:pPr>
      <w:bookmarkStart w:id="7" w:name="_Toc151767534"/>
      <w:r w:rsidRPr="00B53EC3">
        <w:rPr>
          <w:rFonts w:ascii="Arial" w:hAnsi="Arial" w:cs="Arial"/>
          <w:szCs w:val="24"/>
        </w:rPr>
        <w:br w:type="page"/>
      </w:r>
    </w:p>
    <w:p w14:paraId="0353CA7A" w14:textId="54817AFF" w:rsidR="00A85A0F" w:rsidRPr="00B53EC3" w:rsidRDefault="00A85A0F" w:rsidP="00C2408C">
      <w:pPr>
        <w:pStyle w:val="Heading1"/>
        <w:rPr>
          <w:rFonts w:ascii="Arial" w:hAnsi="Arial" w:cs="Arial"/>
          <w:sz w:val="24"/>
          <w:szCs w:val="24"/>
        </w:rPr>
      </w:pPr>
      <w:r w:rsidRPr="00B53EC3">
        <w:rPr>
          <w:rFonts w:ascii="Arial" w:hAnsi="Arial" w:cs="Arial"/>
          <w:sz w:val="24"/>
          <w:szCs w:val="24"/>
        </w:rPr>
        <w:lastRenderedPageBreak/>
        <w:t>References</w:t>
      </w:r>
      <w:bookmarkEnd w:id="7"/>
    </w:p>
    <w:p w14:paraId="408B5D46" w14:textId="77777777" w:rsidR="00A85A0F" w:rsidRPr="00B53EC3" w:rsidRDefault="00A85A0F" w:rsidP="00A85A0F">
      <w:pPr>
        <w:rPr>
          <w:rFonts w:ascii="Arial" w:hAnsi="Arial" w:cs="Arial"/>
          <w:szCs w:val="24"/>
        </w:rPr>
      </w:pPr>
      <w:r w:rsidRPr="00B53EC3">
        <w:rPr>
          <w:rFonts w:ascii="Arial" w:hAnsi="Arial" w:cs="Arial"/>
          <w:szCs w:val="24"/>
        </w:rPr>
        <w:t xml:space="preserve">Berlin, B. (2023) ‘EU Country Cancer Profile: Germany 2023’, EU Country Cancer Profiles [Preprint]. doi:10.1787/fcc8586e-en. </w:t>
      </w:r>
    </w:p>
    <w:p w14:paraId="3D860DB0" w14:textId="77777777" w:rsidR="00A85A0F" w:rsidRPr="00B53EC3" w:rsidRDefault="00A85A0F" w:rsidP="00A85A0F">
      <w:pPr>
        <w:rPr>
          <w:rFonts w:ascii="Arial" w:hAnsi="Arial" w:cs="Arial"/>
          <w:szCs w:val="24"/>
        </w:rPr>
      </w:pPr>
      <w:r w:rsidRPr="00B53EC3">
        <w:rPr>
          <w:rFonts w:ascii="Arial" w:hAnsi="Arial" w:cs="Arial"/>
          <w:szCs w:val="24"/>
        </w:rPr>
        <w:t xml:space="preserve">Böddi, Z. and Serfőző, M. (2019) ‘Brief introduction of preschools and preschool teacher training in Hungary’, Gyermeknevelés Tudományos Folyóirat, 7(2–3), pp. 187–194. doi:10.31074/201923187194. </w:t>
      </w:r>
    </w:p>
    <w:p w14:paraId="5AC7FFD0" w14:textId="77777777" w:rsidR="00C2408C" w:rsidRPr="00B53EC3" w:rsidRDefault="00C2408C" w:rsidP="00A85A0F">
      <w:pPr>
        <w:rPr>
          <w:rFonts w:ascii="Arial" w:hAnsi="Arial" w:cs="Arial"/>
          <w:szCs w:val="24"/>
        </w:rPr>
      </w:pPr>
      <w:r w:rsidRPr="00B53EC3">
        <w:rPr>
          <w:rFonts w:ascii="Arial" w:hAnsi="Arial" w:cs="Arial"/>
          <w:szCs w:val="24"/>
        </w:rPr>
        <w:t>Carmichael, K. (2022) ‘Conceptualizing business communication’, Journal of Business Communication, 33(3), pp. 327–329. doi:10.1177/002194369603300306.</w:t>
      </w:r>
    </w:p>
    <w:p w14:paraId="45ADB776" w14:textId="77777777" w:rsidR="00A85A0F" w:rsidRPr="00B53EC3" w:rsidRDefault="00A85A0F" w:rsidP="00A85A0F">
      <w:pPr>
        <w:rPr>
          <w:rFonts w:ascii="Arial" w:hAnsi="Arial" w:cs="Arial"/>
          <w:szCs w:val="24"/>
        </w:rPr>
      </w:pPr>
      <w:r w:rsidRPr="00B53EC3">
        <w:rPr>
          <w:rFonts w:ascii="Arial" w:hAnsi="Arial" w:cs="Arial"/>
          <w:szCs w:val="24"/>
        </w:rPr>
        <w:t xml:space="preserve">Cherny, R.W. (2017) ‘“perhaps the most gifted of the local muralists,” 1931–1935’, University of Illinois Press [Preprint]. doi:10.5406/illinois/9780252040788.003.0006. </w:t>
      </w:r>
    </w:p>
    <w:p w14:paraId="34640F19" w14:textId="77777777" w:rsidR="00A85A0F" w:rsidRPr="00B53EC3" w:rsidRDefault="00A85A0F" w:rsidP="00A85A0F">
      <w:pPr>
        <w:rPr>
          <w:rFonts w:ascii="Arial" w:hAnsi="Arial" w:cs="Arial"/>
          <w:szCs w:val="24"/>
        </w:rPr>
      </w:pPr>
      <w:r w:rsidRPr="00B53EC3">
        <w:rPr>
          <w:rFonts w:ascii="Arial" w:hAnsi="Arial" w:cs="Arial"/>
          <w:szCs w:val="24"/>
        </w:rPr>
        <w:t xml:space="preserve">Dignen, B. (2013) Effective International Business Communication, Google Books. Available at: https://books.google.com/books/about/Effective_International_Business_Communi.html?id=Yo9IXwAACAAJ (Accessed: 23 October 2023). </w:t>
      </w:r>
    </w:p>
    <w:p w14:paraId="7DA3F4C4" w14:textId="77777777" w:rsidR="00C2408C" w:rsidRPr="00B53EC3" w:rsidRDefault="00C2408C" w:rsidP="00A85A0F">
      <w:pPr>
        <w:rPr>
          <w:rFonts w:ascii="Arial" w:hAnsi="Arial" w:cs="Arial"/>
          <w:szCs w:val="24"/>
        </w:rPr>
      </w:pPr>
      <w:r w:rsidRPr="00B53EC3">
        <w:rPr>
          <w:rFonts w:ascii="Arial" w:hAnsi="Arial" w:cs="Arial"/>
          <w:szCs w:val="24"/>
        </w:rPr>
        <w:t xml:space="preserve">Dulek, R.E. (2022) ‘Models of development: Business Schools and Business Communication’, Journal of Business Communication, 30(3), pp. 315–331. doi:10.1177/002194369303000305. </w:t>
      </w:r>
    </w:p>
    <w:p w14:paraId="15F1F65F" w14:textId="77777777" w:rsidR="00A85A0F" w:rsidRPr="00B53EC3" w:rsidRDefault="00A85A0F" w:rsidP="00A85A0F">
      <w:pPr>
        <w:rPr>
          <w:rFonts w:ascii="Arial" w:hAnsi="Arial" w:cs="Arial"/>
          <w:szCs w:val="24"/>
        </w:rPr>
      </w:pPr>
      <w:r w:rsidRPr="00B53EC3">
        <w:rPr>
          <w:rFonts w:ascii="Arial" w:hAnsi="Arial" w:cs="Arial"/>
          <w:szCs w:val="24"/>
        </w:rPr>
        <w:t xml:space="preserve">Ferito, S. (2023) Hungary Country Profile [Preprint]. doi:10.1787/888933593589. </w:t>
      </w:r>
    </w:p>
    <w:p w14:paraId="7E855507" w14:textId="77777777" w:rsidR="00A85A0F" w:rsidRPr="00B53EC3" w:rsidRDefault="00A85A0F" w:rsidP="00A85A0F">
      <w:pPr>
        <w:rPr>
          <w:rFonts w:ascii="Arial" w:hAnsi="Arial" w:cs="Arial"/>
          <w:szCs w:val="24"/>
        </w:rPr>
      </w:pPr>
      <w:r w:rsidRPr="00B53EC3">
        <w:rPr>
          <w:rFonts w:ascii="Arial" w:hAnsi="Arial" w:cs="Arial"/>
          <w:szCs w:val="24"/>
        </w:rPr>
        <w:t xml:space="preserve">Imbrogiano, J.-P. (2022) ‘Five different ways in which sustainability performance occurs in business organizations’, Understanding Sustainability Performance in Business Organizations, pp. 84–145. doi:10.4324/9781003322023-5. </w:t>
      </w:r>
    </w:p>
    <w:p w14:paraId="5C1BE86D" w14:textId="77777777" w:rsidR="00A85A0F" w:rsidRPr="00B53EC3" w:rsidRDefault="00A85A0F" w:rsidP="00A85A0F">
      <w:pPr>
        <w:rPr>
          <w:rFonts w:ascii="Arial" w:hAnsi="Arial" w:cs="Arial"/>
          <w:szCs w:val="24"/>
        </w:rPr>
      </w:pPr>
      <w:r w:rsidRPr="00B53EC3">
        <w:rPr>
          <w:rFonts w:ascii="Arial" w:hAnsi="Arial" w:cs="Arial"/>
          <w:szCs w:val="24"/>
        </w:rPr>
        <w:t xml:space="preserve">Kehm, B.M. (2013) ‘The impact of rankings on the European Higher Education Landscape’, Global University Rankings, pp. 20–35. doi:10.1057/9781137296870_2. </w:t>
      </w:r>
    </w:p>
    <w:p w14:paraId="35B0733E" w14:textId="77777777" w:rsidR="00A85A0F" w:rsidRPr="00B53EC3" w:rsidRDefault="00A85A0F" w:rsidP="00A85A0F">
      <w:pPr>
        <w:rPr>
          <w:rFonts w:ascii="Arial" w:hAnsi="Arial" w:cs="Arial"/>
          <w:szCs w:val="24"/>
        </w:rPr>
      </w:pPr>
      <w:r w:rsidRPr="00B53EC3">
        <w:rPr>
          <w:rFonts w:ascii="Arial" w:hAnsi="Arial" w:cs="Arial"/>
          <w:szCs w:val="24"/>
        </w:rPr>
        <w:t xml:space="preserve">Kiwan, N. (2022) ‘Individualist trajectories’, Identities, discourses and experiences [Preprint]. doi:10.7765/9781526130372.00013. </w:t>
      </w:r>
    </w:p>
    <w:p w14:paraId="4D41DC9A" w14:textId="77777777" w:rsidR="00A85A0F" w:rsidRPr="00B53EC3" w:rsidRDefault="00A85A0F" w:rsidP="00A85A0F">
      <w:pPr>
        <w:rPr>
          <w:rFonts w:ascii="Arial" w:hAnsi="Arial" w:cs="Arial"/>
          <w:szCs w:val="24"/>
        </w:rPr>
      </w:pPr>
      <w:r w:rsidRPr="00B53EC3">
        <w:rPr>
          <w:rFonts w:ascii="Arial" w:hAnsi="Arial" w:cs="Arial"/>
          <w:szCs w:val="24"/>
        </w:rPr>
        <w:t xml:space="preserve">Kubina, P., Abramov, O. and Lücking, A. (2022) ‘19. barrier-free communication’, Handbook of Technical Communication, pp. 645–706. doi:10.1515/9783110224948.645. </w:t>
      </w:r>
    </w:p>
    <w:p w14:paraId="72B8D9EE" w14:textId="77777777" w:rsidR="00A85A0F" w:rsidRPr="00B53EC3" w:rsidRDefault="00A85A0F" w:rsidP="00A85A0F">
      <w:pPr>
        <w:rPr>
          <w:rFonts w:ascii="Arial" w:hAnsi="Arial" w:cs="Arial"/>
          <w:szCs w:val="24"/>
        </w:rPr>
      </w:pPr>
      <w:r w:rsidRPr="00B53EC3">
        <w:rPr>
          <w:rFonts w:ascii="Arial" w:hAnsi="Arial" w:cs="Arial"/>
          <w:szCs w:val="24"/>
        </w:rPr>
        <w:t xml:space="preserve">Mudaly, V. and Singh, K. (2022) ‘the international business is the language barrier’, PONTE International Scientific Researchs Journal, 74(9). doi:10.21506/j.ponte.2018.9.4. </w:t>
      </w:r>
    </w:p>
    <w:p w14:paraId="388D856F" w14:textId="77777777" w:rsidR="00A85A0F" w:rsidRPr="00B53EC3" w:rsidRDefault="00A85A0F" w:rsidP="00A85A0F">
      <w:pPr>
        <w:rPr>
          <w:rFonts w:ascii="Arial" w:hAnsi="Arial" w:cs="Arial"/>
          <w:szCs w:val="24"/>
        </w:rPr>
      </w:pPr>
      <w:r w:rsidRPr="00B53EC3">
        <w:rPr>
          <w:rFonts w:ascii="Arial" w:hAnsi="Arial" w:cs="Arial"/>
          <w:szCs w:val="24"/>
        </w:rPr>
        <w:lastRenderedPageBreak/>
        <w:t xml:space="preserve">Nobes, A. (2016) ‘Open access plays a vital role in developing-country research communication’, Editorial Office News, 9(2), pp. 25–30. doi:10.18243/eon/2016.9.2.8. </w:t>
      </w:r>
    </w:p>
    <w:p w14:paraId="2844C479" w14:textId="77777777" w:rsidR="00082201" w:rsidRPr="00B53EC3" w:rsidRDefault="00082201" w:rsidP="00A85A0F">
      <w:pPr>
        <w:rPr>
          <w:rFonts w:ascii="Arial" w:hAnsi="Arial" w:cs="Arial"/>
          <w:szCs w:val="24"/>
        </w:rPr>
      </w:pPr>
      <w:r w:rsidRPr="00B53EC3">
        <w:rPr>
          <w:rFonts w:ascii="Arial" w:hAnsi="Arial" w:cs="Arial"/>
          <w:szCs w:val="24"/>
        </w:rPr>
        <w:t>Oduro, B. et al. (2022) ‘Pledge towards workforce diversity and organisational wellbeing: A case study of aviva plc’, Futures Thinking and Organizational Policy, pp. 287–303. doi:10.1007/978-3-319-94923-9_14.</w:t>
      </w:r>
    </w:p>
    <w:p w14:paraId="713224EE" w14:textId="77777777" w:rsidR="00A85A0F" w:rsidRPr="00B53EC3" w:rsidRDefault="00A85A0F" w:rsidP="00A85A0F">
      <w:pPr>
        <w:rPr>
          <w:rFonts w:ascii="Arial" w:hAnsi="Arial" w:cs="Arial"/>
          <w:szCs w:val="24"/>
        </w:rPr>
      </w:pPr>
      <w:r w:rsidRPr="00B53EC3">
        <w:rPr>
          <w:rFonts w:ascii="Arial" w:hAnsi="Arial" w:cs="Arial"/>
          <w:szCs w:val="24"/>
        </w:rPr>
        <w:t>Taras, V. and Steel, P. (2022) ‘Beyond hofstede: Challenging the ten commandments of cross-cultural research’, Beyond Hofstede, pp. 40–60. doi:10.1057/9780230240834_3.</w:t>
      </w:r>
    </w:p>
    <w:p w14:paraId="2BBFA989" w14:textId="77777777" w:rsidR="00D634D1" w:rsidRPr="00B53EC3" w:rsidRDefault="00C2408C" w:rsidP="00C2408C">
      <w:pPr>
        <w:rPr>
          <w:rFonts w:ascii="Arial" w:hAnsi="Arial" w:cs="Arial"/>
          <w:szCs w:val="24"/>
        </w:rPr>
      </w:pPr>
      <w:r w:rsidRPr="00B53EC3">
        <w:rPr>
          <w:rFonts w:ascii="Arial" w:hAnsi="Arial" w:cs="Arial"/>
          <w:szCs w:val="24"/>
        </w:rPr>
        <w:t>Vagnini, A. (2021) ‘The hungarian anti-jewish laws and relations between Hungary and Germany’, Complicated Complicity, pp. 69–80. doi:10.1515/9783110671186-004.</w:t>
      </w:r>
    </w:p>
    <w:p w14:paraId="7A536121" w14:textId="77777777" w:rsidR="007C7B94" w:rsidRDefault="007C7B94">
      <w:pPr>
        <w:spacing w:after="160" w:line="259" w:lineRule="auto"/>
        <w:jc w:val="left"/>
        <w:rPr>
          <w:rFonts w:eastAsiaTheme="majorEastAsia" w:cstheme="majorBidi"/>
          <w:b/>
          <w:color w:val="2F5496" w:themeColor="accent1" w:themeShade="BF"/>
          <w:sz w:val="30"/>
          <w:szCs w:val="32"/>
        </w:rPr>
      </w:pPr>
      <w:bookmarkStart w:id="8" w:name="_Toc151767535"/>
      <w:r>
        <w:br w:type="page"/>
      </w:r>
    </w:p>
    <w:p w14:paraId="72D7B5F9" w14:textId="6485C13E" w:rsidR="00A85A0F" w:rsidRPr="00B53EC3" w:rsidRDefault="00A85A0F" w:rsidP="00A85A0F">
      <w:pPr>
        <w:pStyle w:val="Heading1"/>
        <w:rPr>
          <w:rFonts w:ascii="Arial" w:hAnsi="Arial" w:cs="Arial"/>
          <w:sz w:val="24"/>
          <w:szCs w:val="24"/>
        </w:rPr>
      </w:pPr>
      <w:r w:rsidRPr="00B53EC3">
        <w:rPr>
          <w:rFonts w:ascii="Arial" w:hAnsi="Arial" w:cs="Arial"/>
          <w:sz w:val="24"/>
          <w:szCs w:val="24"/>
        </w:rPr>
        <w:lastRenderedPageBreak/>
        <w:t>Appendics</w:t>
      </w:r>
      <w:bookmarkEnd w:id="8"/>
    </w:p>
    <w:p w14:paraId="586CFD0E" w14:textId="77777777" w:rsidR="00A85A0F" w:rsidRPr="00B53EC3" w:rsidRDefault="00A85A0F" w:rsidP="00A85A0F">
      <w:pPr>
        <w:pStyle w:val="Heading2"/>
        <w:rPr>
          <w:rFonts w:ascii="Arial" w:hAnsi="Arial" w:cs="Arial"/>
          <w:sz w:val="24"/>
          <w:szCs w:val="24"/>
        </w:rPr>
      </w:pPr>
      <w:bookmarkStart w:id="9" w:name="_Toc151767536"/>
      <w:r w:rsidRPr="00B53EC3">
        <w:rPr>
          <w:rFonts w:ascii="Arial" w:hAnsi="Arial" w:cs="Arial"/>
          <w:sz w:val="24"/>
          <w:szCs w:val="24"/>
        </w:rPr>
        <w:t xml:space="preserve">Hofsteade cultural difference between UK and </w:t>
      </w:r>
      <w:r w:rsidR="00730B70" w:rsidRPr="00B53EC3">
        <w:rPr>
          <w:rFonts w:ascii="Arial" w:hAnsi="Arial" w:cs="Arial"/>
          <w:sz w:val="24"/>
          <w:szCs w:val="24"/>
        </w:rPr>
        <w:t>Hungary</w:t>
      </w:r>
      <w:bookmarkEnd w:id="9"/>
    </w:p>
    <w:p w14:paraId="6834D5A1" w14:textId="77777777" w:rsidR="00A85A0F" w:rsidRPr="00A85A0F" w:rsidRDefault="00A85A0F" w:rsidP="00A85A0F">
      <w:r w:rsidRPr="00D553FD">
        <w:rPr>
          <w:szCs w:val="24"/>
          <w:lang w:val="en-US"/>
        </w:rPr>
        <w:drawing>
          <wp:anchor distT="0" distB="0" distL="114300" distR="114300" simplePos="0" relativeHeight="251658240" behindDoc="1" locked="0" layoutInCell="1" allowOverlap="1" wp14:anchorId="0E55A75A" wp14:editId="0F818831">
            <wp:simplePos x="0" y="0"/>
            <wp:positionH relativeFrom="margin">
              <wp:posOffset>0</wp:posOffset>
            </wp:positionH>
            <wp:positionV relativeFrom="paragraph">
              <wp:posOffset>324485</wp:posOffset>
            </wp:positionV>
            <wp:extent cx="4749165" cy="2409825"/>
            <wp:effectExtent l="0" t="0" r="0" b="9525"/>
            <wp:wrapTight wrapText="bothSides">
              <wp:wrapPolygon edited="0">
                <wp:start x="0" y="0"/>
                <wp:lineTo x="0" y="21515"/>
                <wp:lineTo x="21487" y="21515"/>
                <wp:lineTo x="2148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49165" cy="2409825"/>
                    </a:xfrm>
                    <a:prstGeom prst="rect">
                      <a:avLst/>
                    </a:prstGeom>
                  </pic:spPr>
                </pic:pic>
              </a:graphicData>
            </a:graphic>
            <wp14:sizeRelH relativeFrom="page">
              <wp14:pctWidth>0</wp14:pctWidth>
            </wp14:sizeRelH>
            <wp14:sizeRelV relativeFrom="page">
              <wp14:pctHeight>0</wp14:pctHeight>
            </wp14:sizeRelV>
          </wp:anchor>
        </w:drawing>
      </w:r>
    </w:p>
    <w:sectPr w:rsidR="00A85A0F" w:rsidRPr="00A85A0F" w:rsidSect="00A85A0F">
      <w:footerReference w:type="default" r:id="rId1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1CF13" w14:textId="77777777" w:rsidR="0026174C" w:rsidRDefault="0026174C" w:rsidP="00A85A0F">
      <w:pPr>
        <w:spacing w:after="0" w:line="240" w:lineRule="auto"/>
      </w:pPr>
      <w:r>
        <w:separator/>
      </w:r>
    </w:p>
  </w:endnote>
  <w:endnote w:type="continuationSeparator" w:id="0">
    <w:p w14:paraId="26FB1A29" w14:textId="77777777" w:rsidR="0026174C" w:rsidRDefault="0026174C" w:rsidP="00A85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5D9F8" w14:textId="77777777" w:rsidR="00A85A0F" w:rsidRDefault="00A85A0F">
    <w:pPr>
      <w:pStyle w:val="Footer"/>
      <w:jc w:val="center"/>
    </w:pPr>
  </w:p>
  <w:p w14:paraId="33E7E9A5" w14:textId="77777777" w:rsidR="00A85A0F" w:rsidRDefault="00A85A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5382234"/>
      <w:docPartObj>
        <w:docPartGallery w:val="Page Numbers (Bottom of Page)"/>
        <w:docPartUnique/>
      </w:docPartObj>
    </w:sdtPr>
    <w:sdtEndPr>
      <w:rPr>
        <w:noProof/>
      </w:rPr>
    </w:sdtEndPr>
    <w:sdtContent>
      <w:p w14:paraId="56AD9125" w14:textId="77777777" w:rsidR="00A85A0F" w:rsidRDefault="00A85A0F">
        <w:pPr>
          <w:pStyle w:val="Footer"/>
          <w:jc w:val="center"/>
        </w:pPr>
        <w:r>
          <w:rPr>
            <w:noProof w:val="0"/>
          </w:rPr>
          <w:fldChar w:fldCharType="begin"/>
        </w:r>
        <w:r>
          <w:instrText xml:space="preserve"> PAGE   \* MERGEFORMAT </w:instrText>
        </w:r>
        <w:r>
          <w:rPr>
            <w:noProof w:val="0"/>
          </w:rPr>
          <w:fldChar w:fldCharType="separate"/>
        </w:r>
        <w:r w:rsidR="00945043">
          <w:t>3</w:t>
        </w:r>
        <w:r>
          <w:fldChar w:fldCharType="end"/>
        </w:r>
      </w:p>
    </w:sdtContent>
  </w:sdt>
  <w:p w14:paraId="5BA60D7C" w14:textId="77777777" w:rsidR="00A85A0F" w:rsidRDefault="00A85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D041E" w14:textId="77777777" w:rsidR="0026174C" w:rsidRDefault="0026174C" w:rsidP="00A85A0F">
      <w:pPr>
        <w:spacing w:after="0" w:line="240" w:lineRule="auto"/>
      </w:pPr>
      <w:r>
        <w:separator/>
      </w:r>
    </w:p>
  </w:footnote>
  <w:footnote w:type="continuationSeparator" w:id="0">
    <w:p w14:paraId="40EC0E9D" w14:textId="77777777" w:rsidR="0026174C" w:rsidRDefault="0026174C" w:rsidP="00A85A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9105E3"/>
    <w:multiLevelType w:val="hybridMultilevel"/>
    <w:tmpl w:val="2D28A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9497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27E6A"/>
    <w:rsid w:val="00007D33"/>
    <w:rsid w:val="0001350A"/>
    <w:rsid w:val="00042EEF"/>
    <w:rsid w:val="00082201"/>
    <w:rsid w:val="000B361D"/>
    <w:rsid w:val="001269A3"/>
    <w:rsid w:val="00156FAE"/>
    <w:rsid w:val="001D6B7E"/>
    <w:rsid w:val="002614F4"/>
    <w:rsid w:val="0026174C"/>
    <w:rsid w:val="00275E31"/>
    <w:rsid w:val="002769EA"/>
    <w:rsid w:val="002A268A"/>
    <w:rsid w:val="002D182B"/>
    <w:rsid w:val="002F79CA"/>
    <w:rsid w:val="0031735D"/>
    <w:rsid w:val="0037229B"/>
    <w:rsid w:val="0038615B"/>
    <w:rsid w:val="003E679F"/>
    <w:rsid w:val="00411164"/>
    <w:rsid w:val="00427E6A"/>
    <w:rsid w:val="00493AC8"/>
    <w:rsid w:val="004D6FE3"/>
    <w:rsid w:val="004E2692"/>
    <w:rsid w:val="005345A0"/>
    <w:rsid w:val="005455F1"/>
    <w:rsid w:val="005D6423"/>
    <w:rsid w:val="005E5149"/>
    <w:rsid w:val="005E620A"/>
    <w:rsid w:val="005F6FD6"/>
    <w:rsid w:val="006025D9"/>
    <w:rsid w:val="00630AFE"/>
    <w:rsid w:val="006413A3"/>
    <w:rsid w:val="00641D39"/>
    <w:rsid w:val="00647AFD"/>
    <w:rsid w:val="0065213A"/>
    <w:rsid w:val="00663C95"/>
    <w:rsid w:val="006718F5"/>
    <w:rsid w:val="00681D42"/>
    <w:rsid w:val="006D6FB3"/>
    <w:rsid w:val="00730B70"/>
    <w:rsid w:val="0078234D"/>
    <w:rsid w:val="007C7B94"/>
    <w:rsid w:val="007E142C"/>
    <w:rsid w:val="007F413E"/>
    <w:rsid w:val="007F7B4A"/>
    <w:rsid w:val="008163D4"/>
    <w:rsid w:val="00822200"/>
    <w:rsid w:val="008B5397"/>
    <w:rsid w:val="00945043"/>
    <w:rsid w:val="009A787D"/>
    <w:rsid w:val="009B7608"/>
    <w:rsid w:val="00A40547"/>
    <w:rsid w:val="00A62E1B"/>
    <w:rsid w:val="00A85A0F"/>
    <w:rsid w:val="00A86F39"/>
    <w:rsid w:val="00AC3F69"/>
    <w:rsid w:val="00B25A5B"/>
    <w:rsid w:val="00B53EC3"/>
    <w:rsid w:val="00BA4152"/>
    <w:rsid w:val="00BE4362"/>
    <w:rsid w:val="00C2408C"/>
    <w:rsid w:val="00C41600"/>
    <w:rsid w:val="00C61899"/>
    <w:rsid w:val="00CC1D03"/>
    <w:rsid w:val="00CC3D8D"/>
    <w:rsid w:val="00CD3AF5"/>
    <w:rsid w:val="00D2554F"/>
    <w:rsid w:val="00D634D1"/>
    <w:rsid w:val="00D94E32"/>
    <w:rsid w:val="00DF1A5E"/>
    <w:rsid w:val="00E42B50"/>
    <w:rsid w:val="00E51DF2"/>
    <w:rsid w:val="00EB3251"/>
    <w:rsid w:val="00EF0ACF"/>
    <w:rsid w:val="00F278B2"/>
    <w:rsid w:val="00F541C0"/>
    <w:rsid w:val="00F86D4F"/>
    <w:rsid w:val="00FE4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E5BDD"/>
  <w15:docId w15:val="{07A16A10-8F74-4159-8982-FFE38BFCD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15B"/>
    <w:pPr>
      <w:spacing w:after="100" w:line="360" w:lineRule="auto"/>
      <w:jc w:val="both"/>
    </w:pPr>
    <w:rPr>
      <w:rFonts w:ascii="Times New Roman" w:hAnsi="Times New Roman"/>
      <w:noProof/>
      <w:sz w:val="24"/>
    </w:rPr>
  </w:style>
  <w:style w:type="paragraph" w:styleId="Heading1">
    <w:name w:val="heading 1"/>
    <w:basedOn w:val="Normal"/>
    <w:next w:val="Normal"/>
    <w:link w:val="Heading1Char"/>
    <w:uiPriority w:val="9"/>
    <w:qFormat/>
    <w:rsid w:val="0038615B"/>
    <w:pPr>
      <w:keepNext/>
      <w:keepLines/>
      <w:spacing w:before="24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38615B"/>
    <w:pPr>
      <w:keepNext/>
      <w:keepLines/>
      <w:spacing w:before="40" w:after="0"/>
      <w:outlineLvl w:val="1"/>
    </w:pPr>
    <w:rPr>
      <w:rFonts w:eastAsiaTheme="majorEastAsia" w:cstheme="majorBidi"/>
      <w:b/>
      <w:color w:val="00B0F0"/>
      <w:sz w:val="26"/>
      <w:szCs w:val="26"/>
    </w:rPr>
  </w:style>
  <w:style w:type="paragraph" w:styleId="Heading3">
    <w:name w:val="heading 3"/>
    <w:basedOn w:val="Normal"/>
    <w:next w:val="Normal"/>
    <w:link w:val="Heading3Char"/>
    <w:uiPriority w:val="9"/>
    <w:unhideWhenUsed/>
    <w:qFormat/>
    <w:rsid w:val="005E5149"/>
    <w:pPr>
      <w:keepNext/>
      <w:keepLines/>
      <w:spacing w:before="40" w:after="0"/>
      <w:outlineLvl w:val="2"/>
    </w:pPr>
    <w:rPr>
      <w:rFonts w:eastAsiaTheme="majorEastAsia" w:cstheme="majorBidi"/>
      <w:b/>
      <w:noProof w:val="0"/>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7B4A"/>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F7B4A"/>
    <w:rPr>
      <w:rFonts w:ascii="Times New Roman" w:eastAsiaTheme="majorEastAsia" w:hAnsi="Times New Roman" w:cstheme="majorBidi"/>
      <w:b/>
      <w:noProof/>
      <w:spacing w:val="-10"/>
      <w:kern w:val="28"/>
      <w:sz w:val="40"/>
      <w:szCs w:val="56"/>
    </w:rPr>
  </w:style>
  <w:style w:type="character" w:customStyle="1" w:styleId="Heading1Char">
    <w:name w:val="Heading 1 Char"/>
    <w:basedOn w:val="DefaultParagraphFont"/>
    <w:link w:val="Heading1"/>
    <w:uiPriority w:val="9"/>
    <w:rsid w:val="0038615B"/>
    <w:rPr>
      <w:rFonts w:ascii="Times New Roman" w:eastAsiaTheme="majorEastAsia" w:hAnsi="Times New Roman" w:cstheme="majorBidi"/>
      <w:b/>
      <w:noProof/>
      <w:color w:val="2F5496" w:themeColor="accent1" w:themeShade="BF"/>
      <w:sz w:val="30"/>
      <w:szCs w:val="32"/>
    </w:rPr>
  </w:style>
  <w:style w:type="character" w:customStyle="1" w:styleId="Heading2Char">
    <w:name w:val="Heading 2 Char"/>
    <w:basedOn w:val="DefaultParagraphFont"/>
    <w:link w:val="Heading2"/>
    <w:uiPriority w:val="9"/>
    <w:rsid w:val="0038615B"/>
    <w:rPr>
      <w:rFonts w:ascii="Times New Roman" w:eastAsiaTheme="majorEastAsia" w:hAnsi="Times New Roman" w:cstheme="majorBidi"/>
      <w:b/>
      <w:noProof/>
      <w:color w:val="00B0F0"/>
      <w:sz w:val="26"/>
      <w:szCs w:val="26"/>
    </w:rPr>
  </w:style>
  <w:style w:type="paragraph" w:styleId="Subtitle">
    <w:name w:val="Subtitle"/>
    <w:basedOn w:val="Normal"/>
    <w:next w:val="Normal"/>
    <w:link w:val="SubtitleChar"/>
    <w:uiPriority w:val="11"/>
    <w:qFormat/>
    <w:rsid w:val="00CC3D8D"/>
    <w:pPr>
      <w:numPr>
        <w:ilvl w:val="1"/>
      </w:numPr>
      <w:jc w:val="center"/>
    </w:pPr>
    <w:rPr>
      <w:rFonts w:eastAsiaTheme="minorEastAsia"/>
      <w:b/>
      <w:color w:val="002060"/>
      <w:spacing w:val="15"/>
      <w:sz w:val="28"/>
    </w:rPr>
  </w:style>
  <w:style w:type="character" w:customStyle="1" w:styleId="SubtitleChar">
    <w:name w:val="Subtitle Char"/>
    <w:basedOn w:val="DefaultParagraphFont"/>
    <w:link w:val="Subtitle"/>
    <w:uiPriority w:val="11"/>
    <w:rsid w:val="00CC3D8D"/>
    <w:rPr>
      <w:rFonts w:ascii="Arial" w:eastAsiaTheme="minorEastAsia" w:hAnsi="Arial"/>
      <w:b/>
      <w:color w:val="002060"/>
      <w:spacing w:val="15"/>
      <w:sz w:val="28"/>
    </w:rPr>
  </w:style>
  <w:style w:type="character" w:customStyle="1" w:styleId="Heading3Char">
    <w:name w:val="Heading 3 Char"/>
    <w:basedOn w:val="DefaultParagraphFont"/>
    <w:link w:val="Heading3"/>
    <w:uiPriority w:val="9"/>
    <w:rsid w:val="005E5149"/>
    <w:rPr>
      <w:rFonts w:ascii="Arial" w:eastAsiaTheme="majorEastAsia" w:hAnsi="Arial" w:cstheme="majorBidi"/>
      <w:b/>
      <w:color w:val="1F3763" w:themeColor="accent1" w:themeShade="7F"/>
      <w:sz w:val="24"/>
      <w:szCs w:val="24"/>
    </w:rPr>
  </w:style>
  <w:style w:type="paragraph" w:styleId="Header">
    <w:name w:val="header"/>
    <w:basedOn w:val="Normal"/>
    <w:link w:val="HeaderChar"/>
    <w:uiPriority w:val="99"/>
    <w:unhideWhenUsed/>
    <w:rsid w:val="00A85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A0F"/>
    <w:rPr>
      <w:rFonts w:ascii="Arial" w:hAnsi="Arial"/>
      <w:noProof/>
      <w:sz w:val="24"/>
    </w:rPr>
  </w:style>
  <w:style w:type="paragraph" w:styleId="Footer">
    <w:name w:val="footer"/>
    <w:basedOn w:val="Normal"/>
    <w:link w:val="FooterChar"/>
    <w:uiPriority w:val="99"/>
    <w:unhideWhenUsed/>
    <w:rsid w:val="00A85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A0F"/>
    <w:rPr>
      <w:rFonts w:ascii="Arial" w:hAnsi="Arial"/>
      <w:noProof/>
      <w:sz w:val="24"/>
    </w:rPr>
  </w:style>
  <w:style w:type="paragraph" w:styleId="BalloonText">
    <w:name w:val="Balloon Text"/>
    <w:basedOn w:val="Normal"/>
    <w:link w:val="BalloonTextChar"/>
    <w:uiPriority w:val="99"/>
    <w:semiHidden/>
    <w:unhideWhenUsed/>
    <w:rsid w:val="00730B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0B70"/>
    <w:rPr>
      <w:rFonts w:ascii="Tahoma" w:hAnsi="Tahoma" w:cs="Tahoma"/>
      <w:noProof/>
      <w:sz w:val="16"/>
      <w:szCs w:val="16"/>
    </w:rPr>
  </w:style>
  <w:style w:type="paragraph" w:styleId="ListParagraph">
    <w:name w:val="List Paragraph"/>
    <w:basedOn w:val="Normal"/>
    <w:uiPriority w:val="34"/>
    <w:qFormat/>
    <w:rsid w:val="005F6FD6"/>
    <w:pPr>
      <w:ind w:left="720"/>
      <w:contextualSpacing/>
    </w:pPr>
  </w:style>
  <w:style w:type="paragraph" w:styleId="TOCHeading">
    <w:name w:val="TOC Heading"/>
    <w:basedOn w:val="Heading1"/>
    <w:next w:val="Normal"/>
    <w:uiPriority w:val="39"/>
    <w:unhideWhenUsed/>
    <w:qFormat/>
    <w:rsid w:val="00C2408C"/>
    <w:pPr>
      <w:spacing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C2408C"/>
  </w:style>
  <w:style w:type="paragraph" w:styleId="TOC2">
    <w:name w:val="toc 2"/>
    <w:basedOn w:val="Normal"/>
    <w:next w:val="Normal"/>
    <w:autoRedefine/>
    <w:uiPriority w:val="39"/>
    <w:unhideWhenUsed/>
    <w:rsid w:val="00C2408C"/>
    <w:pPr>
      <w:ind w:left="240"/>
    </w:pPr>
  </w:style>
  <w:style w:type="character" w:styleId="Hyperlink">
    <w:name w:val="Hyperlink"/>
    <w:basedOn w:val="DefaultParagraphFont"/>
    <w:uiPriority w:val="99"/>
    <w:unhideWhenUsed/>
    <w:rsid w:val="00C240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237052">
      <w:bodyDiv w:val="1"/>
      <w:marLeft w:val="0"/>
      <w:marRight w:val="0"/>
      <w:marTop w:val="0"/>
      <w:marBottom w:val="0"/>
      <w:divBdr>
        <w:top w:val="none" w:sz="0" w:space="0" w:color="auto"/>
        <w:left w:val="none" w:sz="0" w:space="0" w:color="auto"/>
        <w:bottom w:val="none" w:sz="0" w:space="0" w:color="auto"/>
        <w:right w:val="none" w:sz="0" w:space="0" w:color="auto"/>
      </w:divBdr>
    </w:div>
    <w:div w:id="2083943642">
      <w:bodyDiv w:val="1"/>
      <w:marLeft w:val="0"/>
      <w:marRight w:val="0"/>
      <w:marTop w:val="0"/>
      <w:marBottom w:val="0"/>
      <w:divBdr>
        <w:top w:val="none" w:sz="0" w:space="0" w:color="auto"/>
        <w:left w:val="none" w:sz="0" w:space="0" w:color="auto"/>
        <w:bottom w:val="none" w:sz="0" w:space="0" w:color="auto"/>
        <w:right w:val="none" w:sz="0" w:space="0" w:color="auto"/>
      </w:divBdr>
      <w:divsChild>
        <w:div w:id="1804038232">
          <w:marLeft w:val="2400"/>
          <w:marRight w:val="24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0CB260-EB43-4330-A07E-CFC1AC824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3345</Words>
  <Characters>19068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karolina kwiecien</cp:lastModifiedBy>
  <cp:revision>37</cp:revision>
  <dcterms:created xsi:type="dcterms:W3CDTF">2023-11-24T19:06:00Z</dcterms:created>
  <dcterms:modified xsi:type="dcterms:W3CDTF">2023-12-12T14:15:00Z</dcterms:modified>
</cp:coreProperties>
</file>