
<file path=[Content_Types].xml><?xml version="1.0" encoding="utf-8"?>
<Types xmlns="http://schemas.openxmlformats.org/package/2006/content-types">
  <Default Extension="tmp" ContentType="image/png"/>
  <Default Extension="png" ContentType="image/png"/>
  <Default Extension="emf" ContentType="image/x-emf"/>
  <Default Extension="jpeg" ContentType="image/jpeg"/>
  <Default Extension="wmf" ContentType="image/x-wmf"/>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565AEC" w14:textId="765FA381" w:rsidR="004D2D42" w:rsidRDefault="004D2D42">
      <w:pPr>
        <w:rPr>
          <w:rFonts w:cstheme="minorHAnsi"/>
          <w:b/>
          <w:u w:val="single"/>
        </w:rPr>
      </w:pPr>
      <w:r>
        <w:rPr>
          <w:rFonts w:cstheme="minorHAnsi"/>
          <w:b/>
          <w:noProof/>
          <w:u w:val="single"/>
          <w:lang w:eastAsia="en-GB"/>
        </w:rPr>
        <w:drawing>
          <wp:anchor distT="0" distB="0" distL="114300" distR="114300" simplePos="0" relativeHeight="251664896" behindDoc="0" locked="0" layoutInCell="1" allowOverlap="1" wp14:anchorId="302E54BB" wp14:editId="7CBB34F9">
            <wp:simplePos x="0" y="0"/>
            <wp:positionH relativeFrom="margin">
              <wp:align>center</wp:align>
            </wp:positionH>
            <wp:positionV relativeFrom="paragraph">
              <wp:posOffset>280</wp:posOffset>
            </wp:positionV>
            <wp:extent cx="6653741" cy="79844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B8D235.tmp"/>
                    <pic:cNvPicPr/>
                  </pic:nvPicPr>
                  <pic:blipFill>
                    <a:blip r:embed="rId8">
                      <a:extLst>
                        <a:ext uri="{28A0092B-C50C-407E-A947-70E740481C1C}">
                          <a14:useLocalDpi xmlns:a14="http://schemas.microsoft.com/office/drawing/2010/main" val="0"/>
                        </a:ext>
                      </a:extLst>
                    </a:blip>
                    <a:stretch>
                      <a:fillRect/>
                    </a:stretch>
                  </pic:blipFill>
                  <pic:spPr>
                    <a:xfrm>
                      <a:off x="0" y="0"/>
                      <a:ext cx="6653741" cy="7984490"/>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u w:val="single"/>
        </w:rPr>
        <w:br w:type="page"/>
      </w:r>
    </w:p>
    <w:p w14:paraId="10FFED54" w14:textId="58D82027" w:rsidR="00DD3A5A" w:rsidRPr="00616BA7" w:rsidRDefault="00DD3A5A" w:rsidP="00DD3A5A">
      <w:pPr>
        <w:rPr>
          <w:rFonts w:cstheme="minorHAnsi"/>
          <w:b/>
          <w:u w:val="single"/>
        </w:rPr>
      </w:pPr>
      <w:r w:rsidRPr="00616BA7">
        <w:rPr>
          <w:rFonts w:cstheme="minorHAnsi"/>
          <w:b/>
          <w:u w:val="single"/>
        </w:rPr>
        <w:lastRenderedPageBreak/>
        <w:t xml:space="preserve">Curriculum Development and Enhancement (Level 7):  </w:t>
      </w:r>
      <w:bookmarkStart w:id="0" w:name="_Hlk514021024"/>
      <w:r w:rsidRPr="00616BA7">
        <w:rPr>
          <w:rFonts w:cstheme="minorHAnsi"/>
          <w:b/>
          <w:u w:val="single"/>
        </w:rPr>
        <w:t>Exploration of the impact of a carefully designed scheme of work on pupils’ use of misconceptions in Probability and associated assessment for learning.</w:t>
      </w:r>
    </w:p>
    <w:bookmarkEnd w:id="0"/>
    <w:p w14:paraId="454060D2" w14:textId="77777777" w:rsidR="00DD3A5A" w:rsidRPr="00616BA7" w:rsidRDefault="00DD3A5A" w:rsidP="00DD3A5A">
      <w:pPr>
        <w:rPr>
          <w:rFonts w:cstheme="minorHAnsi"/>
          <w:highlight w:val="yellow"/>
          <w:u w:val="single"/>
        </w:rPr>
      </w:pPr>
    </w:p>
    <w:p w14:paraId="51CF1FB2" w14:textId="77777777" w:rsidR="00DD3A5A" w:rsidRPr="00616BA7" w:rsidRDefault="00DD3A5A" w:rsidP="00DD3A5A">
      <w:pPr>
        <w:rPr>
          <w:rFonts w:cstheme="minorHAnsi"/>
          <w:b/>
          <w:u w:val="single"/>
        </w:rPr>
      </w:pPr>
      <w:r w:rsidRPr="00616BA7">
        <w:rPr>
          <w:rFonts w:cstheme="minorHAnsi"/>
          <w:b/>
          <w:u w:val="single"/>
        </w:rPr>
        <w:t>Introduction</w:t>
      </w:r>
    </w:p>
    <w:p w14:paraId="11FFCD7A" w14:textId="77777777" w:rsidR="00DD3A5A" w:rsidRPr="00616BA7" w:rsidRDefault="00DD3A5A" w:rsidP="00DD3A5A">
      <w:pPr>
        <w:rPr>
          <w:rFonts w:cstheme="minorHAnsi"/>
          <w:color w:val="FF0000"/>
        </w:rPr>
      </w:pPr>
      <w:r w:rsidRPr="00616BA7">
        <w:rPr>
          <w:rFonts w:cstheme="minorHAnsi"/>
        </w:rPr>
        <w:t>As part of my PGCE course in Secondary School Mathematics, I am currently working at Bishop of Llandaff Church of Wales High School (BOLHS) in Cardiff. This is a comprehensive school for 11 – 18-year-old pupils and serves the Christian and non - Christian communities in Cardiff. The school has a catchment area consisting of Vale of Glamorgan, Rhondda Cynon Taff and Bridgend (Bishop of Llandaff High School, 2018). Currently, 1,228 pupils attend BOLHS. The school is preforming well above average with 84.8% of pupils attaining 5 A*- C GCSE grades including English/Welsh and Mathematics. At A-Level, 97.3% of pupils obtain at least two A-Levels. The school could be described as having very good attendance with an average of 96.2%. The percentage of free school meals is 8.4% which is lower than the national average indicating that the school has an affluent catchment area (School Guide, 2018).</w:t>
      </w:r>
      <w:r w:rsidRPr="00616BA7">
        <w:rPr>
          <w:rFonts w:cstheme="minorHAnsi"/>
          <w:color w:val="FF0000"/>
        </w:rPr>
        <w:t xml:space="preserve"> </w:t>
      </w:r>
      <w:r w:rsidRPr="00616BA7">
        <w:rPr>
          <w:rFonts w:cstheme="minorHAnsi"/>
        </w:rPr>
        <w:t>The school recently underwent an Estyn inspection in March. BOLHS achieved excellence across all categories (Estyn, 2018).</w:t>
      </w:r>
    </w:p>
    <w:p w14:paraId="1D7A84AF" w14:textId="77777777" w:rsidR="00DD3A5A" w:rsidRPr="00616BA7" w:rsidRDefault="00DD3A5A" w:rsidP="00DD3A5A">
      <w:pPr>
        <w:rPr>
          <w:rFonts w:cstheme="minorHAnsi"/>
        </w:rPr>
      </w:pPr>
    </w:p>
    <w:p w14:paraId="0040EC5E" w14:textId="77777777" w:rsidR="00DD3A5A" w:rsidRPr="00616BA7" w:rsidRDefault="00DD3A5A" w:rsidP="00DD3A5A">
      <w:pPr>
        <w:rPr>
          <w:rFonts w:cstheme="minorHAnsi"/>
        </w:rPr>
      </w:pPr>
      <w:r w:rsidRPr="00616BA7">
        <w:rPr>
          <w:rFonts w:cstheme="minorHAnsi"/>
        </w:rPr>
        <w:t xml:space="preserve">I will be completing my action research project with a year 7 class. There are 32 learners in the class and it consists of students with range of Mathematical abilities. Most pupils are targeted at a level 5 at the end of key stage three, with six pupils targeted at a level six. The class contains one pupil with free school meals, seven pupils with special educational needs, four pupils with English as a second language and one more able and talented pupil. </w:t>
      </w:r>
    </w:p>
    <w:p w14:paraId="55B88DDE" w14:textId="77777777" w:rsidR="00DD3A5A" w:rsidRPr="00616BA7" w:rsidRDefault="00DD3A5A" w:rsidP="00DD3A5A">
      <w:pPr>
        <w:rPr>
          <w:rFonts w:cstheme="minorHAnsi"/>
          <w:b/>
        </w:rPr>
      </w:pPr>
    </w:p>
    <w:p w14:paraId="24274E93" w14:textId="081B4317" w:rsidR="00DD3A5A" w:rsidRPr="00616BA7" w:rsidRDefault="00DD3A5A" w:rsidP="00DD3A5A">
      <w:pPr>
        <w:rPr>
          <w:rFonts w:cstheme="minorHAnsi"/>
        </w:rPr>
      </w:pPr>
      <w:r w:rsidRPr="00616BA7">
        <w:rPr>
          <w:rFonts w:cstheme="minorHAnsi"/>
        </w:rPr>
        <w:t xml:space="preserve">My action research focuses on misconceptions in Mathematics within the topic of probability. I will be exploring the impact of a carefully designed scheme of work on pupils’ use of misconceptions in Probability and associated assessment for learning. I have chosen this area of research as misconceptions are highly common when teaching Mathematics. The skill of being able to identify misconceptions and eradicate them are good practice for an aspiring mathematics teacher. As a PGCE class, we engaged in </w:t>
      </w:r>
      <w:r w:rsidR="00616BA7" w:rsidRPr="00616BA7">
        <w:rPr>
          <w:rFonts w:cstheme="minorHAnsi"/>
        </w:rPr>
        <w:t>several</w:t>
      </w:r>
      <w:r w:rsidRPr="00616BA7">
        <w:rPr>
          <w:rFonts w:cstheme="minorHAnsi"/>
        </w:rPr>
        <w:t xml:space="preserve"> misconception seminars that looked at common misconceptions in </w:t>
      </w:r>
      <w:r w:rsidR="00616BA7" w:rsidRPr="00616BA7">
        <w:rPr>
          <w:rFonts w:cstheme="minorHAnsi"/>
        </w:rPr>
        <w:t>several</w:t>
      </w:r>
      <w:r w:rsidRPr="00616BA7">
        <w:rPr>
          <w:rFonts w:cstheme="minorHAnsi"/>
        </w:rPr>
        <w:t xml:space="preserve"> mathematical topics including probability. I have decided to focus on the topic of Probability as this is the next topic in the pupil’s scheme of work. I have decided to limit to one mathematical area as there would be too many common misconceptions to write about if I looked at more than one. </w:t>
      </w:r>
    </w:p>
    <w:p w14:paraId="12FE25DC" w14:textId="77777777" w:rsidR="00DD3A5A" w:rsidRPr="00616BA7" w:rsidRDefault="00DD3A5A" w:rsidP="00DD3A5A">
      <w:pPr>
        <w:rPr>
          <w:rFonts w:cstheme="minorHAnsi"/>
        </w:rPr>
      </w:pPr>
    </w:p>
    <w:p w14:paraId="3AFF3533" w14:textId="77777777" w:rsidR="00DD3A5A" w:rsidRPr="00616BA7" w:rsidRDefault="00DD3A5A" w:rsidP="00DD3A5A">
      <w:pPr>
        <w:rPr>
          <w:rFonts w:cstheme="minorHAnsi"/>
          <w:highlight w:val="yellow"/>
        </w:rPr>
      </w:pPr>
    </w:p>
    <w:p w14:paraId="6BA8BBEB" w14:textId="77777777" w:rsidR="00DD3A5A" w:rsidRPr="00616BA7" w:rsidRDefault="00DD3A5A" w:rsidP="00DD3A5A">
      <w:pPr>
        <w:rPr>
          <w:rFonts w:cstheme="minorHAnsi"/>
          <w:highlight w:val="yellow"/>
        </w:rPr>
      </w:pPr>
      <w:r w:rsidRPr="00616BA7">
        <w:rPr>
          <w:rFonts w:cstheme="minorHAnsi"/>
          <w:highlight w:val="yellow"/>
        </w:rPr>
        <w:br w:type="page"/>
      </w:r>
    </w:p>
    <w:p w14:paraId="433E10C5" w14:textId="77777777" w:rsidR="00DD3A5A" w:rsidRPr="00616BA7" w:rsidRDefault="00DD3A5A" w:rsidP="00DD3A5A">
      <w:pPr>
        <w:rPr>
          <w:rFonts w:cstheme="minorHAnsi"/>
          <w:b/>
          <w:u w:val="single"/>
        </w:rPr>
      </w:pPr>
      <w:r w:rsidRPr="00616BA7">
        <w:rPr>
          <w:rFonts w:cstheme="minorHAnsi"/>
          <w:b/>
          <w:u w:val="single"/>
        </w:rPr>
        <w:lastRenderedPageBreak/>
        <w:t>Section One: Literature Review</w:t>
      </w:r>
    </w:p>
    <w:p w14:paraId="3F162CB5" w14:textId="42C41F2A" w:rsidR="00DD3A5A" w:rsidRPr="00616BA7" w:rsidRDefault="00DD3A5A" w:rsidP="00DD3A5A">
      <w:pPr>
        <w:rPr>
          <w:rFonts w:cstheme="minorHAnsi"/>
        </w:rPr>
      </w:pPr>
      <w:r w:rsidRPr="00616BA7">
        <w:rPr>
          <w:rFonts w:cstheme="minorHAnsi"/>
        </w:rPr>
        <w:t xml:space="preserve">In the following section, I will provide a review of research and professional literature relating to the assignment question. The section has been separated into appropriate subsections </w:t>
      </w:r>
      <w:r w:rsidR="00616BA7" w:rsidRPr="00616BA7">
        <w:rPr>
          <w:rFonts w:cstheme="minorHAnsi"/>
        </w:rPr>
        <w:t>to</w:t>
      </w:r>
      <w:r w:rsidRPr="00616BA7">
        <w:rPr>
          <w:rFonts w:cstheme="minorHAnsi"/>
        </w:rPr>
        <w:t xml:space="preserve"> structure my findings. </w:t>
      </w:r>
    </w:p>
    <w:p w14:paraId="50BDFF1C" w14:textId="77777777" w:rsidR="00DD3A5A" w:rsidRPr="00616BA7" w:rsidRDefault="00DD3A5A" w:rsidP="00DD3A5A">
      <w:pPr>
        <w:rPr>
          <w:rFonts w:cstheme="minorHAnsi"/>
        </w:rPr>
      </w:pPr>
    </w:p>
    <w:p w14:paraId="23F0A978" w14:textId="77777777" w:rsidR="00DD3A5A" w:rsidRPr="00616BA7" w:rsidRDefault="00DD3A5A" w:rsidP="00DD3A5A">
      <w:pPr>
        <w:rPr>
          <w:rFonts w:cstheme="minorHAnsi"/>
          <w:u w:val="single"/>
        </w:rPr>
      </w:pPr>
      <w:r w:rsidRPr="00616BA7">
        <w:rPr>
          <w:rFonts w:cstheme="minorHAnsi"/>
          <w:u w:val="single"/>
        </w:rPr>
        <w:t xml:space="preserve">What is a Misconception? </w:t>
      </w:r>
    </w:p>
    <w:p w14:paraId="62A22154" w14:textId="77777777" w:rsidR="00DD3A5A" w:rsidRPr="00616BA7" w:rsidRDefault="00DD3A5A" w:rsidP="00DD3A5A">
      <w:pPr>
        <w:rPr>
          <w:rFonts w:cstheme="minorHAnsi"/>
        </w:rPr>
      </w:pPr>
      <w:r w:rsidRPr="00616BA7">
        <w:rPr>
          <w:rFonts w:cstheme="minorHAnsi"/>
        </w:rPr>
        <w:t>The definition of the word misconception varies between context and where you are searching for the definition. The Cambridge dictionary describes a misconception as an incorrect idea due to failed understanding (Cambridge Dictionary, 2018). The Oxford dictionary suggests that it is a wrong view or opinion because of faulty thinking or understanding (Oxford Dictionary, 2018). Both definitions follow a similar pattern, “something” that is wrong because of incorrect understanding. On the other hand, one could argue that the definition provided by Oxford doesn’t differentiate between making a mistake or a fault in conceptual understanding. Faulty thinking could be described as lull in concentration and not fully thinking about the idea which could lead to a mistake. It is apparent that both definitions are not clear cut and too generalised for the context of this assignment (Swan, 2001. Chambers &amp; Timlin, 2013).</w:t>
      </w:r>
    </w:p>
    <w:p w14:paraId="00E59153" w14:textId="77777777" w:rsidR="00DD3A5A" w:rsidRPr="00616BA7" w:rsidRDefault="00DD3A5A" w:rsidP="00DD3A5A">
      <w:pPr>
        <w:rPr>
          <w:rFonts w:cstheme="minorHAnsi"/>
        </w:rPr>
      </w:pPr>
    </w:p>
    <w:p w14:paraId="0204CFA8" w14:textId="77777777" w:rsidR="00DD3A5A" w:rsidRPr="00616BA7" w:rsidRDefault="00DD3A5A" w:rsidP="00DD3A5A">
      <w:pPr>
        <w:rPr>
          <w:rFonts w:cstheme="minorHAnsi"/>
        </w:rPr>
      </w:pPr>
      <w:r w:rsidRPr="00616BA7">
        <w:rPr>
          <w:rFonts w:cstheme="minorHAnsi"/>
        </w:rPr>
        <w:t xml:space="preserve">Many educational academics of mathematics have given a definition of a misconception within the context of mathematics.  In the 1990s, there was a growth in interest of the nature of pupil’s errors in mathematics and there were attempts made to create an algorithm for such mistakes and look for underlying “misconceptions” (Swan, 2001). A report conducted by Hart (1980) called </w:t>
      </w:r>
      <w:r w:rsidRPr="00616BA7">
        <w:rPr>
          <w:rFonts w:cstheme="minorHAnsi"/>
          <w:bCs/>
        </w:rPr>
        <w:t>Secondary School Children's Understanding of Mathematics: A Report of the Mathematics Component of the Concepts in Secondary Mathematics and Science Programme looked at the notion of misconceptions around this time.</w:t>
      </w:r>
      <w:r w:rsidRPr="00616BA7">
        <w:rPr>
          <w:rFonts w:cstheme="minorHAnsi"/>
          <w:b/>
          <w:bCs/>
        </w:rPr>
        <w:t xml:space="preserve"> </w:t>
      </w:r>
      <w:r w:rsidRPr="00616BA7">
        <w:rPr>
          <w:rFonts w:cstheme="minorHAnsi"/>
        </w:rPr>
        <w:t xml:space="preserve">The report explored developmental psychology with a specific emphasis on the issues of results to the teaching of mathematics in secondary schools. Hart’s basic idea was that if the teacher initially identifies the child’s present understanding of a certain topic, it is then possible to choose experiences that encourage the pupil to progress to a higher level of understanding. (Hart, 1980, 1981, 1984). </w:t>
      </w:r>
    </w:p>
    <w:p w14:paraId="0D9F23D9" w14:textId="77777777" w:rsidR="00DD3A5A" w:rsidRPr="00616BA7" w:rsidRDefault="00DD3A5A" w:rsidP="00DD3A5A">
      <w:pPr>
        <w:rPr>
          <w:rFonts w:cstheme="minorHAnsi"/>
        </w:rPr>
      </w:pPr>
    </w:p>
    <w:p w14:paraId="7ACF2940" w14:textId="3CF33207" w:rsidR="00DD3A5A" w:rsidRPr="00616BA7" w:rsidRDefault="00DD3A5A" w:rsidP="00DD3A5A">
      <w:pPr>
        <w:rPr>
          <w:rFonts w:cstheme="minorHAnsi"/>
        </w:rPr>
      </w:pPr>
      <w:r w:rsidRPr="00616BA7">
        <w:rPr>
          <w:rFonts w:cstheme="minorHAnsi"/>
        </w:rPr>
        <w:t xml:space="preserve">It is difficult to progress further with the notion of Misconception without analysing what is meant by the term understanding. Swan (2001) discusses the metaphor “understanding the concept” in great depth. He discusses that the main role of the teacher is to help pupils interpret mathematical representations and understand the meanings of concepts and relationships. The teacher shouldn’t just explain a new word or symbol but encourage the pupil to create a conceptual framework. A concept isn’t just a singular perception or even the idea if a mathematical object (Sapir, 1970). This structure implies that a concept is organic, it needs to be grown from scratch. An issue with this idea, is that understanding is a spectrum and there is no way of reaching full understanding (Swan, 2001). Educational Theorists don’t tend to like the term as it implies closure rather than something to be developed. One could say that understanding has been reached when there is some sense of achievement of order and peace, the basis of the idea has been understood and digested (Pimm, 1995, Seirpinska, 1994). Upon reflection of this report and the above ideas of understanding, it appears that the term “misconception” could be viewed negatively as it infers that there is a right or wrong way to think (Swan, 2001). He further discusses that a misconception is not wrong thinking but a conceptual construct in development or a </w:t>
      </w:r>
      <w:r w:rsidRPr="00616BA7">
        <w:rPr>
          <w:rFonts w:cstheme="minorHAnsi"/>
        </w:rPr>
        <w:lastRenderedPageBreak/>
        <w:t xml:space="preserve">generalisation a pupil has made. It is suggested that could be a natural stage of conceptual development. Chambers and Timlin (2013) follow a similar suit and argue that misconceptions are very different from mistakes as anyone can make a mistake even if the underlying concept is fully understood. Mistakes can instead be the result of carelessness or tiredness. Misconceptions are described as systematic errors which continuously produce wrong answers. Pupils who hold a misconception can explain their reasoning, so it is difficult to eradicate the wrong answers just by saying they are incorrect. It is discussed that pupils gain such misconceptions by overgeneralising results they observed in their earlier education.  </w:t>
      </w:r>
    </w:p>
    <w:p w14:paraId="786E7F42" w14:textId="77777777" w:rsidR="00DD3A5A" w:rsidRPr="00616BA7" w:rsidRDefault="00DD3A5A" w:rsidP="00DD3A5A">
      <w:pPr>
        <w:rPr>
          <w:rFonts w:cstheme="minorHAnsi"/>
        </w:rPr>
      </w:pPr>
    </w:p>
    <w:p w14:paraId="42150B13" w14:textId="6E996823" w:rsidR="00DD3A5A" w:rsidRPr="00616BA7" w:rsidRDefault="00DD3A5A" w:rsidP="00DD3A5A">
      <w:pPr>
        <w:rPr>
          <w:rFonts w:cstheme="minorHAnsi"/>
        </w:rPr>
      </w:pPr>
      <w:r w:rsidRPr="00616BA7">
        <w:rPr>
          <w:rFonts w:cstheme="minorHAnsi"/>
        </w:rPr>
        <w:t xml:space="preserve">The above literature shows that there are various ways to define the term misconception but they all centre </w:t>
      </w:r>
      <w:r w:rsidR="00065EB9" w:rsidRPr="00616BA7">
        <w:rPr>
          <w:rFonts w:cstheme="minorHAnsi"/>
        </w:rPr>
        <w:t>on</w:t>
      </w:r>
      <w:r w:rsidRPr="00616BA7">
        <w:rPr>
          <w:rFonts w:cstheme="minorHAnsi"/>
        </w:rPr>
        <w:t xml:space="preserve"> the fact that a misconception is very different from a mistake. Prior to starting any action research, I will need to establish common misconceptions within my chosen topic. The next subsection of the assignment will look at common misconceptions in probability. </w:t>
      </w:r>
    </w:p>
    <w:p w14:paraId="3C56BABC" w14:textId="77777777" w:rsidR="00DD3A5A" w:rsidRPr="00616BA7" w:rsidRDefault="00DD3A5A" w:rsidP="00DD3A5A">
      <w:pPr>
        <w:rPr>
          <w:rFonts w:cstheme="minorHAnsi"/>
          <w:highlight w:val="green"/>
        </w:rPr>
      </w:pPr>
    </w:p>
    <w:p w14:paraId="6646882D" w14:textId="77777777" w:rsidR="00DD3A5A" w:rsidRPr="00616BA7" w:rsidRDefault="00DD3A5A" w:rsidP="00DD3A5A">
      <w:pPr>
        <w:rPr>
          <w:rFonts w:cstheme="minorHAnsi"/>
          <w:color w:val="000000" w:themeColor="text1"/>
          <w:u w:val="single"/>
        </w:rPr>
      </w:pPr>
      <w:r w:rsidRPr="00616BA7">
        <w:rPr>
          <w:rFonts w:cstheme="minorHAnsi"/>
          <w:color w:val="000000" w:themeColor="text1"/>
          <w:u w:val="single"/>
        </w:rPr>
        <w:t>What are the common misconceptions within Probability?</w:t>
      </w:r>
    </w:p>
    <w:p w14:paraId="3AE303EF" w14:textId="77777777" w:rsidR="00DD3A5A" w:rsidRPr="00616BA7" w:rsidRDefault="00DD3A5A" w:rsidP="00DD3A5A">
      <w:pPr>
        <w:rPr>
          <w:rFonts w:cstheme="minorHAnsi"/>
          <w:color w:val="000000" w:themeColor="text1"/>
        </w:rPr>
      </w:pPr>
      <w:r w:rsidRPr="00616BA7">
        <w:rPr>
          <w:rFonts w:cstheme="minorHAnsi"/>
          <w:color w:val="000000" w:themeColor="text1"/>
        </w:rPr>
        <w:t>There are several common misconceptions in probability and multiple studies have been conducted globally to identify such misunderstandings. The next sections will explore the results of studies conducted to identify common misconceptions with the topic of probability. For clarity, I have decided to group the studies together which identified a common misconception.</w:t>
      </w:r>
    </w:p>
    <w:p w14:paraId="321ABCA5" w14:textId="77777777" w:rsidR="00DD3A5A" w:rsidRPr="00616BA7" w:rsidRDefault="00DD3A5A" w:rsidP="00DD3A5A">
      <w:pPr>
        <w:rPr>
          <w:rFonts w:cstheme="minorHAnsi"/>
          <w:color w:val="000000" w:themeColor="text1"/>
          <w:u w:val="single"/>
        </w:rPr>
      </w:pPr>
    </w:p>
    <w:p w14:paraId="46C3D118" w14:textId="77777777" w:rsidR="00DD3A5A" w:rsidRPr="00616BA7" w:rsidRDefault="00DD3A5A" w:rsidP="00DD3A5A">
      <w:pPr>
        <w:rPr>
          <w:rFonts w:cstheme="minorHAnsi"/>
          <w:i/>
          <w:color w:val="000000" w:themeColor="text1"/>
          <w:u w:val="single"/>
        </w:rPr>
      </w:pPr>
      <w:r w:rsidRPr="00616BA7">
        <w:rPr>
          <w:rFonts w:cstheme="minorHAnsi"/>
          <w:i/>
          <w:color w:val="000000" w:themeColor="text1"/>
          <w:u w:val="single"/>
        </w:rPr>
        <w:t>Misconception One: “Gamblers Fallacy”</w:t>
      </w:r>
    </w:p>
    <w:p w14:paraId="613966AD" w14:textId="1823C97C" w:rsidR="00DD3A5A" w:rsidRDefault="00DD3A5A" w:rsidP="00DD3A5A">
      <w:pPr>
        <w:rPr>
          <w:rFonts w:cstheme="minorHAnsi"/>
          <w:color w:val="333333"/>
          <w:spacing w:val="2"/>
          <w:shd w:val="clear" w:color="auto" w:fill="FCFCFC"/>
        </w:rPr>
      </w:pPr>
      <w:r w:rsidRPr="00616BA7">
        <w:rPr>
          <w:rFonts w:cstheme="minorHAnsi"/>
          <w:color w:val="000000" w:themeColor="text1"/>
        </w:rPr>
        <w:t xml:space="preserve">Shaughnessy </w:t>
      </w:r>
      <w:r w:rsidRPr="00616BA7">
        <w:rPr>
          <w:rFonts w:eastAsia="Times New Roman" w:cstheme="minorHAnsi"/>
          <w:color w:val="333333"/>
          <w:lang w:eastAsia="en-GB"/>
        </w:rPr>
        <w:t>(1977) conducted a study called</w:t>
      </w:r>
      <w:r w:rsidRPr="00616BA7">
        <w:rPr>
          <w:rFonts w:eastAsia="Times New Roman" w:cstheme="minorHAnsi"/>
          <w:color w:val="333333"/>
          <w:spacing w:val="2"/>
          <w:kern w:val="36"/>
          <w:lang w:val="en" w:eastAsia="en-GB"/>
        </w:rPr>
        <w:t xml:space="preserve"> “</w:t>
      </w:r>
      <w:r w:rsidRPr="00616BA7">
        <w:rPr>
          <w:rFonts w:eastAsia="Times New Roman" w:cstheme="minorHAnsi"/>
          <w:color w:val="333333"/>
          <w:lang w:val="en" w:eastAsia="en-GB"/>
        </w:rPr>
        <w:t xml:space="preserve">Misconceptions of probability: An experiment with a small-group, activity-based, model building approach to introductory probability at the college level.” The results found that pupils </w:t>
      </w:r>
      <w:r w:rsidRPr="00616BA7">
        <w:rPr>
          <w:rFonts w:cstheme="minorHAnsi"/>
          <w:color w:val="333333"/>
          <w:spacing w:val="2"/>
          <w:shd w:val="clear" w:color="auto" w:fill="FCFCFC"/>
        </w:rPr>
        <w:t>relied upon availability and representativeness to estimate the likelihood of events. This is described as over-simplifying the problem. The results from this study were supported by hypotheses of Kahneman and Tversky who looked at the notion of the “</w:t>
      </w:r>
      <w:r w:rsidRPr="00616BA7">
        <w:rPr>
          <w:rFonts w:cstheme="minorHAnsi"/>
        </w:rPr>
        <w:t xml:space="preserve">representativeness heuristic” and the “availability heuristic”. The representativeness heuristic suggests that people can make decisions about the likelihood of an event based upon the previous outcomes or upon how similar the event is to existing sample space that has been generated (Kahneman &amp; Tversky, </w:t>
      </w:r>
      <w:r w:rsidRPr="00616BA7">
        <w:rPr>
          <w:rFonts w:cstheme="minorHAnsi"/>
          <w:color w:val="333333"/>
          <w:spacing w:val="2"/>
          <w:shd w:val="clear" w:color="auto" w:fill="FCFCFC"/>
        </w:rPr>
        <w:t xml:space="preserve">1971). Shaughnessy discusses that this misconception is known as this as “Gamblers fallacy.” </w:t>
      </w:r>
    </w:p>
    <w:p w14:paraId="2FF562BB" w14:textId="77777777" w:rsidR="00642730" w:rsidRPr="00616BA7" w:rsidRDefault="00642730" w:rsidP="00DD3A5A">
      <w:pPr>
        <w:rPr>
          <w:rFonts w:cstheme="minorHAnsi"/>
          <w:color w:val="333333"/>
          <w:spacing w:val="2"/>
          <w:shd w:val="clear" w:color="auto" w:fill="FCFCFC"/>
        </w:rPr>
      </w:pPr>
    </w:p>
    <w:p w14:paraId="0A3F72C5" w14:textId="77777777" w:rsidR="00DD3A5A" w:rsidRPr="00616BA7" w:rsidRDefault="00DD3A5A" w:rsidP="00DD3A5A">
      <w:pPr>
        <w:rPr>
          <w:rFonts w:cstheme="minorHAnsi"/>
          <w:i/>
          <w:u w:val="single"/>
          <w:lang w:eastAsia="en-GB"/>
        </w:rPr>
      </w:pPr>
      <w:r w:rsidRPr="00616BA7">
        <w:rPr>
          <w:rFonts w:cstheme="minorHAnsi"/>
          <w:i/>
          <w:u w:val="single"/>
          <w:lang w:eastAsia="en-GB"/>
        </w:rPr>
        <w:t xml:space="preserve">Misconception Two: “Equiprobability” </w:t>
      </w:r>
    </w:p>
    <w:p w14:paraId="3F2294A8" w14:textId="77777777" w:rsidR="00DD3A5A" w:rsidRPr="00616BA7" w:rsidRDefault="00DD3A5A" w:rsidP="00DD3A5A">
      <w:pPr>
        <w:rPr>
          <w:rFonts w:eastAsia="Times New Roman" w:cstheme="minorHAnsi"/>
          <w:lang w:eastAsia="en-GB"/>
        </w:rPr>
      </w:pPr>
      <w:r w:rsidRPr="00616BA7">
        <w:rPr>
          <w:rFonts w:eastAsia="Times New Roman" w:cstheme="minorHAnsi"/>
          <w:lang w:eastAsia="en-GB"/>
        </w:rPr>
        <w:t xml:space="preserve">A study conducted by Cañizares, M.J. &amp; Batanero, C. (1998) looked at the concept of a fair game. The study looked at 10 to 14-year old pupils and identified their misconceptions with fair games. They found that a high percentage of pupils considered their game to be fair, but many failed to do so by the correct reasoning. The students thought that a fair game is the same as an equiprobable outcome. They suggest that the difficulty is not judging if a game is fair but establishing if there is equiprobability. </w:t>
      </w:r>
      <w:r w:rsidRPr="00616BA7">
        <w:rPr>
          <w:rFonts w:cstheme="minorHAnsi"/>
          <w:lang w:eastAsia="en-GB"/>
        </w:rPr>
        <w:t xml:space="preserve">A further study conducted by Jun (2002) in china investigated the misconceptions of 600 Chinese students and looked at focused teaching intervention to overcome such misconceptions. The study found one of the following probabilistic misconceptions: </w:t>
      </w:r>
      <w:r w:rsidRPr="00616BA7">
        <w:rPr>
          <w:rFonts w:cstheme="minorHAnsi"/>
        </w:rPr>
        <w:t>equiprobability.</w:t>
      </w:r>
      <w:r w:rsidRPr="00616BA7">
        <w:rPr>
          <w:rFonts w:cstheme="minorHAnsi"/>
          <w:lang w:eastAsia="en-GB"/>
        </w:rPr>
        <w:t xml:space="preserve"> Equiprobability is the belief that all outcomes are equally likely. This is supported by a study conducted by Bennett and Anway </w:t>
      </w:r>
      <w:r w:rsidRPr="00616BA7">
        <w:rPr>
          <w:rFonts w:cstheme="minorHAnsi"/>
          <w:lang w:eastAsia="en-GB"/>
        </w:rPr>
        <w:lastRenderedPageBreak/>
        <w:t>(2004) called Common Misperceptions in Probability among Students in an Elementary Statistics Class</w:t>
      </w:r>
      <w:r w:rsidRPr="00616BA7">
        <w:rPr>
          <w:rFonts w:cstheme="minorHAnsi"/>
        </w:rPr>
        <w:t xml:space="preserve">. This report described equiprobability misconception as a bias and students who held this bias thought when two dice are rolled, all the sums possible are equally likely. </w:t>
      </w:r>
    </w:p>
    <w:p w14:paraId="2CADC780" w14:textId="77777777" w:rsidR="00DD3A5A" w:rsidRPr="00616BA7" w:rsidRDefault="00DD3A5A" w:rsidP="00DD3A5A">
      <w:pPr>
        <w:textAlignment w:val="baseline"/>
        <w:rPr>
          <w:rFonts w:cstheme="minorHAnsi"/>
        </w:rPr>
      </w:pPr>
    </w:p>
    <w:p w14:paraId="21CB4481" w14:textId="77777777" w:rsidR="00DD3A5A" w:rsidRPr="00616BA7" w:rsidRDefault="00DD3A5A" w:rsidP="00DD3A5A">
      <w:pPr>
        <w:textAlignment w:val="baseline"/>
        <w:rPr>
          <w:rFonts w:cstheme="minorHAnsi"/>
          <w:i/>
          <w:u w:val="single"/>
        </w:rPr>
      </w:pPr>
      <w:r w:rsidRPr="00616BA7">
        <w:rPr>
          <w:rFonts w:cstheme="minorHAnsi"/>
          <w:i/>
          <w:u w:val="single"/>
        </w:rPr>
        <w:t>Misconception Three: Lucky/ Unlucky Numbers</w:t>
      </w:r>
    </w:p>
    <w:p w14:paraId="0E0FDBE3" w14:textId="77777777" w:rsidR="00DD3A5A" w:rsidRPr="00616BA7" w:rsidRDefault="00DD3A5A" w:rsidP="00DD3A5A">
      <w:pPr>
        <w:textAlignment w:val="baseline"/>
        <w:rPr>
          <w:rFonts w:eastAsia="Times New Roman" w:cstheme="minorHAnsi"/>
          <w:bCs/>
          <w:color w:val="333333"/>
          <w:lang w:eastAsia="en-GB"/>
        </w:rPr>
      </w:pPr>
      <w:r w:rsidRPr="00616BA7">
        <w:rPr>
          <w:rFonts w:cstheme="minorHAnsi"/>
        </w:rPr>
        <w:t xml:space="preserve">Another common misconception in probability is the notion of unlucky and lucky numbers. Pupils think that the number 13 is unlucky for example, or you are more likely to roll a 1,2,3,4,5 on a dice and not a six, as six is of more value so harder to achieve. This is supported by the research conducted by Williams, J. and Amir, S. (1999). Their research explored the </w:t>
      </w:r>
      <w:r w:rsidRPr="00616BA7">
        <w:rPr>
          <w:rFonts w:eastAsia="Times New Roman" w:cstheme="minorHAnsi"/>
          <w:bCs/>
          <w:color w:val="333333"/>
          <w:lang w:eastAsia="en-GB"/>
        </w:rPr>
        <w:t xml:space="preserve">11-12-Year-Old Children's Informal Knowledge and Its Influence on their Formal Probabilistic Reasoning.  The study concluded that a pupils probabilistic reasoning was heavily influenced by religious beliefs or superstition. </w:t>
      </w:r>
    </w:p>
    <w:p w14:paraId="117350D6" w14:textId="77777777" w:rsidR="00DD3A5A" w:rsidRPr="00616BA7" w:rsidRDefault="00DD3A5A" w:rsidP="00DD3A5A">
      <w:pPr>
        <w:textAlignment w:val="baseline"/>
        <w:rPr>
          <w:rFonts w:eastAsia="Times New Roman" w:cstheme="minorHAnsi"/>
          <w:bCs/>
          <w:color w:val="333333"/>
          <w:lang w:eastAsia="en-GB"/>
        </w:rPr>
      </w:pPr>
    </w:p>
    <w:p w14:paraId="0FF0CC28" w14:textId="77777777" w:rsidR="00DD3A5A" w:rsidRPr="00616BA7" w:rsidRDefault="00DD3A5A" w:rsidP="00DD3A5A">
      <w:pPr>
        <w:rPr>
          <w:rFonts w:eastAsia="Times New Roman" w:cstheme="minorHAnsi"/>
          <w:i/>
          <w:u w:val="single"/>
          <w:lang w:eastAsia="en-GB"/>
        </w:rPr>
      </w:pPr>
      <w:r w:rsidRPr="00616BA7">
        <w:rPr>
          <w:rFonts w:eastAsia="Times New Roman" w:cstheme="minorHAnsi"/>
          <w:i/>
          <w:u w:val="single"/>
          <w:lang w:eastAsia="en-GB"/>
        </w:rPr>
        <w:t>Misconception Four: “Anything is possible”</w:t>
      </w:r>
    </w:p>
    <w:p w14:paraId="23D4C6AB" w14:textId="77777777" w:rsidR="00DD3A5A" w:rsidRPr="00616BA7" w:rsidRDefault="00DD3A5A" w:rsidP="00DD3A5A">
      <w:pPr>
        <w:rPr>
          <w:rFonts w:eastAsia="Times New Roman" w:cstheme="minorHAnsi"/>
          <w:lang w:eastAsia="en-GB"/>
        </w:rPr>
      </w:pPr>
      <w:r w:rsidRPr="00616BA7">
        <w:rPr>
          <w:rFonts w:eastAsia="Times New Roman" w:cstheme="minorHAnsi"/>
          <w:lang w:eastAsia="en-GB"/>
        </w:rPr>
        <w:t xml:space="preserve">A study conducted in Pisa, Italy by Fischbein, Sainati Nello, and Sciolis Marino (1991) examined factors affecting probabilistic judgements in children and adolescents. The </w:t>
      </w:r>
    </w:p>
    <w:p w14:paraId="34D64113" w14:textId="77777777" w:rsidR="00DD3A5A" w:rsidRPr="00616BA7" w:rsidRDefault="00DD3A5A" w:rsidP="00DD3A5A">
      <w:pPr>
        <w:rPr>
          <w:rFonts w:eastAsia="Times New Roman" w:cstheme="minorHAnsi"/>
          <w:bCs/>
          <w:color w:val="333333"/>
          <w:lang w:eastAsia="en-GB"/>
        </w:rPr>
      </w:pPr>
      <w:r w:rsidRPr="00616BA7">
        <w:rPr>
          <w:rFonts w:eastAsia="Times New Roman" w:cstheme="minorHAnsi"/>
          <w:lang w:eastAsia="en-GB"/>
        </w:rPr>
        <w:t xml:space="preserve">subjects were 618 pupils enrolled in six schools within the region Pisa. The main purpose of the investigation was to gain understanding of some of the probabilistic obstacles. They concluded that a large percentage of children had difficulty with the comprehension of the term “certain events” compared to “possible events.” </w:t>
      </w:r>
    </w:p>
    <w:p w14:paraId="1A8B3D29" w14:textId="77777777" w:rsidR="00DD3A5A" w:rsidRPr="00616BA7" w:rsidRDefault="00DD3A5A" w:rsidP="00DD3A5A">
      <w:pPr>
        <w:textAlignment w:val="baseline"/>
        <w:rPr>
          <w:rFonts w:eastAsia="Times New Roman" w:cstheme="minorHAnsi"/>
          <w:b/>
          <w:bCs/>
          <w:color w:val="333333"/>
          <w:lang w:eastAsia="en-GB"/>
        </w:rPr>
      </w:pPr>
    </w:p>
    <w:p w14:paraId="6AB61DC4" w14:textId="77777777" w:rsidR="00DD3A5A" w:rsidRPr="00616BA7" w:rsidRDefault="00DD3A5A" w:rsidP="00DD3A5A">
      <w:pPr>
        <w:rPr>
          <w:rFonts w:eastAsia="Times New Roman" w:cstheme="minorHAnsi"/>
          <w:i/>
          <w:u w:val="single"/>
          <w:lang w:eastAsia="en-GB"/>
        </w:rPr>
      </w:pPr>
      <w:r w:rsidRPr="00616BA7">
        <w:rPr>
          <w:rFonts w:eastAsia="Times New Roman" w:cstheme="minorHAnsi"/>
          <w:i/>
          <w:u w:val="single"/>
          <w:lang w:eastAsia="en-GB"/>
        </w:rPr>
        <w:t>Misconception Five: Spinners</w:t>
      </w:r>
    </w:p>
    <w:p w14:paraId="67A0DA2B" w14:textId="77777777" w:rsidR="00DD3A5A" w:rsidRPr="00616BA7" w:rsidRDefault="00DD3A5A" w:rsidP="00DD3A5A">
      <w:pPr>
        <w:rPr>
          <w:rFonts w:eastAsia="Times New Roman" w:cstheme="minorHAnsi"/>
          <w:lang w:eastAsia="en-GB"/>
        </w:rPr>
      </w:pPr>
      <w:r w:rsidRPr="00616BA7">
        <w:rPr>
          <w:rFonts w:eastAsia="Times New Roman" w:cstheme="minorHAnsi"/>
          <w:lang w:eastAsia="en-GB"/>
        </w:rPr>
        <w:t xml:space="preserve">Most pupils can answer a question involving spinners with sections of equal angle. As the angle of each section is equal, pupils can apply their existing knowledge of probability and physically count the number of possible outcomes and compare this to the total number of outcomes. This means pupils gain the misconception that the probability is determined by the number of sections. This allows pupils who hold this misconception to incorrectly answer a question with a spinner with sections of different angles. Questions involving spinners with varying angles of sections can be hindered if a pupil has gained misconceptions with writing fractions incorrectly. If pupils are shown a diagram of a shape with three shaded parts and 5 unshaded parts, they may write 3 out of 5 instead of identifying that its 3 shaded out of 8 total parts. (Pratt Nicolson, 2005, Maths Navigator, 2018). </w:t>
      </w:r>
    </w:p>
    <w:p w14:paraId="20DE8807" w14:textId="77777777" w:rsidR="00DD3A5A" w:rsidRPr="00616BA7" w:rsidRDefault="00DD3A5A" w:rsidP="00DD3A5A">
      <w:pPr>
        <w:rPr>
          <w:rFonts w:eastAsia="Times New Roman" w:cstheme="minorHAnsi"/>
          <w:lang w:eastAsia="en-GB"/>
        </w:rPr>
      </w:pPr>
    </w:p>
    <w:p w14:paraId="1415374F" w14:textId="77777777" w:rsidR="00DD3A5A" w:rsidRPr="00616BA7" w:rsidRDefault="00DD3A5A" w:rsidP="00DD3A5A">
      <w:pPr>
        <w:rPr>
          <w:rFonts w:eastAsia="Times New Roman" w:cstheme="minorHAnsi"/>
          <w:lang w:eastAsia="en-GB"/>
        </w:rPr>
      </w:pPr>
      <w:r w:rsidRPr="00616BA7">
        <w:rPr>
          <w:rFonts w:eastAsia="Times New Roman" w:cstheme="minorHAnsi"/>
          <w:lang w:eastAsia="en-GB"/>
        </w:rPr>
        <w:t>Since I have identified the common misconceptions within probability. I will now need to research strategies used to combat such misconceptions within mathematics. This will allow me to tailor my scheme of work and my teaching so that I can target identified misconceptions.</w:t>
      </w:r>
    </w:p>
    <w:p w14:paraId="0CF77F1C" w14:textId="77777777" w:rsidR="00DD3A5A" w:rsidRPr="00616BA7" w:rsidRDefault="00DD3A5A" w:rsidP="00DD3A5A">
      <w:pPr>
        <w:rPr>
          <w:rFonts w:cstheme="minorHAnsi"/>
          <w:highlight w:val="green"/>
        </w:rPr>
      </w:pPr>
    </w:p>
    <w:p w14:paraId="0DD40B80" w14:textId="77777777" w:rsidR="00DD3A5A" w:rsidRPr="00616BA7" w:rsidRDefault="00DD3A5A" w:rsidP="00DD3A5A">
      <w:pPr>
        <w:rPr>
          <w:rFonts w:cstheme="minorHAnsi"/>
          <w:u w:val="single"/>
        </w:rPr>
      </w:pPr>
      <w:r w:rsidRPr="00616BA7">
        <w:rPr>
          <w:rFonts w:cstheme="minorHAnsi"/>
          <w:u w:val="single"/>
        </w:rPr>
        <w:t xml:space="preserve">What strategies can be used to eradicate a misconception in Mathematics? </w:t>
      </w:r>
    </w:p>
    <w:p w14:paraId="1AC9D511" w14:textId="77777777" w:rsidR="00DD3A5A" w:rsidRPr="00616BA7" w:rsidRDefault="00DD3A5A" w:rsidP="00DD3A5A">
      <w:pPr>
        <w:rPr>
          <w:rFonts w:cstheme="minorHAnsi"/>
        </w:rPr>
      </w:pPr>
      <w:r w:rsidRPr="00616BA7">
        <w:rPr>
          <w:rFonts w:cstheme="minorHAnsi"/>
        </w:rPr>
        <w:t xml:space="preserve">From research, there are many described methods to eradicate a misconception in Mathematics. It appears that just telling a pupil they are wrong will not break the misconception. The pupil will deeply believe their version of understanding therefore a teacher or authoritative figure telling them that they are wrong will not change their mind-set (Chambers and Timlin, 2013). </w:t>
      </w:r>
    </w:p>
    <w:p w14:paraId="4BFF9D0E" w14:textId="77777777" w:rsidR="00DD3A5A" w:rsidRPr="00616BA7" w:rsidRDefault="00DD3A5A" w:rsidP="00DD3A5A">
      <w:pPr>
        <w:rPr>
          <w:rFonts w:cstheme="minorHAnsi"/>
        </w:rPr>
      </w:pPr>
      <w:r w:rsidRPr="00616BA7">
        <w:rPr>
          <w:rFonts w:cstheme="minorHAnsi"/>
        </w:rPr>
        <w:t xml:space="preserve">The following sections will look at available literature on different teaching strategies to eradicate a misconception. </w:t>
      </w:r>
    </w:p>
    <w:p w14:paraId="2838FE8D" w14:textId="77777777" w:rsidR="00DD3A5A" w:rsidRPr="00616BA7" w:rsidRDefault="00DD3A5A" w:rsidP="00DD3A5A">
      <w:pPr>
        <w:rPr>
          <w:rFonts w:cstheme="minorHAnsi"/>
        </w:rPr>
      </w:pPr>
    </w:p>
    <w:p w14:paraId="2D8A203F" w14:textId="77777777" w:rsidR="00DD3A5A" w:rsidRPr="00616BA7" w:rsidRDefault="00DD3A5A" w:rsidP="00DD3A5A">
      <w:pPr>
        <w:rPr>
          <w:rFonts w:cstheme="minorHAnsi"/>
          <w:i/>
          <w:u w:val="single"/>
        </w:rPr>
      </w:pPr>
      <w:r w:rsidRPr="00616BA7">
        <w:rPr>
          <w:rFonts w:cstheme="minorHAnsi"/>
          <w:i/>
          <w:u w:val="single"/>
        </w:rPr>
        <w:t xml:space="preserve">Cognitive Conflict: </w:t>
      </w:r>
    </w:p>
    <w:p w14:paraId="2703CD22" w14:textId="77777777" w:rsidR="00DD3A5A" w:rsidRPr="00616BA7" w:rsidRDefault="00DD3A5A" w:rsidP="00DD3A5A">
      <w:pPr>
        <w:rPr>
          <w:rFonts w:cstheme="minorHAnsi"/>
        </w:rPr>
      </w:pPr>
      <w:r w:rsidRPr="00616BA7">
        <w:rPr>
          <w:rFonts w:cstheme="minorHAnsi"/>
        </w:rPr>
        <w:t xml:space="preserve">One method to remove the misconception is cognitive conflict. This is the method of creating uncertainty in the minds of learners who have generated a misconception. Zaslavsky (2005) describes three different kinds of uncertainty: competing claims, questionable conclusions and outcomes that are difficult to verify. Chambers and Timlin (2013) suggest that this could be a dangerous tactic in a classroom where pupils want the security and confidence to know they are right and therefore they suggest this approach should be taken with care. This approach has been shown to be affective in helping pupils to remove a misconception. For example, Bel, Costello &amp; Kuchemann (1984) used cognitive conflict to compare learning of a range of decimal concepts. One group were taught by the “positive only” strategy which emphasised the use of correct methods and focused of anticipated areas of difficulty. The other group were taught using conflict methods which pushed pupils to expose their misconceptions. This allowed the teacher to identify the misconception and use discussion to eradicate it. The testing illustrated that conflict teaching led to more pupils attaining a correct conceptual understanding of the method. Swan (2001) called this approach diagnostic teaching. Its centred on establishing a pupils initial understanding prior to any new teaching. This allows the teacher to assess the pupils existing conceptual frameworks. Making these concepts explicit allows the removal of existing misconceptions. Reflection after a task allows pupils to share methods and provoke the conflict take place by discussion. This gives the pupils the opportunity to confront any inconsistencies. Teachers need to conclude with a discussion to formulate new concepts and methods. After this stage, there needs to be an opportunity for the pupils to consolidate their new learning. This work was developed by Askew and William (1995). They found that more effective learning took place when conflict was created and resolved using discussion (Askew &amp; William, 1995, </w:t>
      </w:r>
      <w:r w:rsidRPr="00616BA7">
        <w:rPr>
          <w:rFonts w:cstheme="minorHAnsi"/>
          <w:shd w:val="clear" w:color="auto" w:fill="FFFFFF"/>
        </w:rPr>
        <w:t>Reynolds</w:t>
      </w:r>
      <w:r w:rsidRPr="00616BA7">
        <w:rPr>
          <w:rFonts w:cstheme="minorHAnsi"/>
          <w:color w:val="006621"/>
          <w:shd w:val="clear" w:color="auto" w:fill="FFFFFF"/>
        </w:rPr>
        <w:t xml:space="preserve"> </w:t>
      </w:r>
      <w:r w:rsidRPr="00616BA7">
        <w:rPr>
          <w:rFonts w:cstheme="minorHAnsi"/>
          <w:shd w:val="clear" w:color="auto" w:fill="FFFFFF"/>
        </w:rPr>
        <w:t>&amp;</w:t>
      </w:r>
      <w:r w:rsidRPr="00616BA7">
        <w:rPr>
          <w:rFonts w:cstheme="minorHAnsi"/>
          <w:color w:val="006621"/>
          <w:shd w:val="clear" w:color="auto" w:fill="FFFFFF"/>
        </w:rPr>
        <w:t> </w:t>
      </w:r>
      <w:r w:rsidRPr="00616BA7">
        <w:rPr>
          <w:rFonts w:cstheme="minorHAnsi"/>
          <w:shd w:val="clear" w:color="auto" w:fill="FFFFFF"/>
        </w:rPr>
        <w:t>Muijs</w:t>
      </w:r>
      <w:r w:rsidRPr="00616BA7">
        <w:rPr>
          <w:rFonts w:cstheme="minorHAnsi"/>
        </w:rPr>
        <w:t xml:space="preserve">, 1999). This is promoting relational understanding of the topic which can be a positive when eradicating misconceptions and deepening conceptual understanding (Skemp, 1876.  Sierpinska, 1990). Furthermore, according to the National Strategy guidance (DfES, 2002. </w:t>
      </w:r>
      <w:r w:rsidRPr="00616BA7">
        <w:rPr>
          <w:rFonts w:cstheme="minorHAnsi"/>
          <w:color w:val="000000"/>
        </w:rPr>
        <w:t>Dumma C. Mapolelo, Mojeed K. Akinsola, 2015</w:t>
      </w:r>
      <w:r w:rsidRPr="00616BA7">
        <w:rPr>
          <w:rFonts w:cstheme="minorHAnsi"/>
        </w:rPr>
        <w:t xml:space="preserve">) there are two concrete ways in which teachers can act on misconceptions in the classroom. Teachers can discuss the misconception prior to the misconception taking place and alert pupils to not make that misconception by showing pupils why that thought process is wrong and modelling the correct method. </w:t>
      </w:r>
    </w:p>
    <w:p w14:paraId="57E14653" w14:textId="77777777" w:rsidR="00DD3A5A" w:rsidRPr="00616BA7" w:rsidRDefault="00DD3A5A" w:rsidP="00DD3A5A">
      <w:pPr>
        <w:rPr>
          <w:rFonts w:cstheme="minorHAnsi"/>
        </w:rPr>
      </w:pPr>
    </w:p>
    <w:p w14:paraId="7853C819" w14:textId="77777777" w:rsidR="00DD3A5A" w:rsidRPr="00616BA7" w:rsidRDefault="00DD3A5A" w:rsidP="00DD3A5A">
      <w:pPr>
        <w:rPr>
          <w:rFonts w:cstheme="minorHAnsi"/>
          <w:i/>
        </w:rPr>
      </w:pPr>
      <w:r w:rsidRPr="00616BA7">
        <w:rPr>
          <w:rFonts w:cstheme="minorHAnsi"/>
          <w:i/>
          <w:u w:val="single"/>
        </w:rPr>
        <w:t xml:space="preserve">Metacognition: </w:t>
      </w:r>
    </w:p>
    <w:p w14:paraId="41306124" w14:textId="535DA6E8" w:rsidR="00DD3A5A" w:rsidRPr="00616BA7" w:rsidRDefault="00616BA7" w:rsidP="00DD3A5A">
      <w:pPr>
        <w:rPr>
          <w:rFonts w:cstheme="minorHAnsi"/>
        </w:rPr>
      </w:pPr>
      <w:r w:rsidRPr="00616BA7">
        <w:rPr>
          <w:rFonts w:cstheme="minorHAnsi"/>
        </w:rPr>
        <w:t>Like</w:t>
      </w:r>
      <w:r w:rsidR="00DD3A5A" w:rsidRPr="00616BA7">
        <w:rPr>
          <w:rFonts w:cstheme="minorHAnsi"/>
        </w:rPr>
        <w:t xml:space="preserve"> the idea of cognitive conflict is the concept of metacognition. This is the learner’s ability to monitor and evaluate their own learning by thinking about their thought process. Research has shown that mathematicians encounter problems when there is conflict between their prior understanding and new knowledge (Flavell, 1979. Chambers and Timlin, 2013. Merenluoto &amp; lehtinen, 2004, Carr, 2010). When a learner cannot resolve the conflict, they will return to prior learning that is simpler. Teachers who encourage metacognition with their pupils as a method of giving learners the tools to evaluate and monitor their own understanding (</w:t>
      </w:r>
      <w:r w:rsidR="00DD3A5A" w:rsidRPr="00616BA7">
        <w:rPr>
          <w:rFonts w:cstheme="minorHAnsi"/>
          <w:color w:val="333333"/>
          <w:spacing w:val="4"/>
          <w:shd w:val="clear" w:color="auto" w:fill="FCFCFC"/>
        </w:rPr>
        <w:t>Schneider &amp; Artelt, 2010.</w:t>
      </w:r>
      <w:r w:rsidR="00DD3A5A" w:rsidRPr="00616BA7">
        <w:rPr>
          <w:rFonts w:cstheme="minorHAnsi"/>
        </w:rPr>
        <w:t xml:space="preserve"> Chambers and Timlin, 2013). It is suggested that learners of varying abilities gain from metacognitive instructional procedures. It is believed that large gains in conceptual understanding an unattainable without some degree of metacognition (Schneider &amp; Artelt, 2010). The influence of metacognitive theory is more prevalent in teaching today. One such strategy for achieving this is group work. Pupils </w:t>
      </w:r>
      <w:r w:rsidR="00DD3A5A" w:rsidRPr="00616BA7">
        <w:rPr>
          <w:rFonts w:cstheme="minorHAnsi"/>
        </w:rPr>
        <w:lastRenderedPageBreak/>
        <w:t xml:space="preserve">construct their ideas and articulate them. The opportunity is given for them to share the idea with other groups so that they are challenged and built upon. A teacher can achieve this level of conversation by generating a problem that will cause disagreement (Chambers &amp;Timlin, 2013).  </w:t>
      </w:r>
    </w:p>
    <w:p w14:paraId="780B77DE" w14:textId="77777777" w:rsidR="00DD3A5A" w:rsidRPr="00616BA7" w:rsidRDefault="00DD3A5A" w:rsidP="00DD3A5A">
      <w:pPr>
        <w:rPr>
          <w:rFonts w:cstheme="minorHAnsi"/>
          <w:u w:val="single"/>
        </w:rPr>
      </w:pPr>
    </w:p>
    <w:p w14:paraId="6B027F06" w14:textId="77777777" w:rsidR="00DD3A5A" w:rsidRPr="00616BA7" w:rsidRDefault="00DD3A5A" w:rsidP="00DD3A5A">
      <w:pPr>
        <w:rPr>
          <w:rFonts w:cstheme="minorHAnsi"/>
          <w:i/>
          <w:u w:val="single"/>
        </w:rPr>
      </w:pPr>
      <w:r w:rsidRPr="00616BA7">
        <w:rPr>
          <w:rFonts w:cstheme="minorHAnsi"/>
          <w:i/>
          <w:u w:val="single"/>
        </w:rPr>
        <w:t>The role of discussion in learning:</w:t>
      </w:r>
    </w:p>
    <w:p w14:paraId="59D0014A" w14:textId="77777777" w:rsidR="00DD3A5A" w:rsidRPr="00616BA7" w:rsidRDefault="00DD3A5A" w:rsidP="00DD3A5A">
      <w:pPr>
        <w:rPr>
          <w:rFonts w:cstheme="minorHAnsi"/>
        </w:rPr>
      </w:pPr>
      <w:r w:rsidRPr="00616BA7">
        <w:rPr>
          <w:rFonts w:cstheme="minorHAnsi"/>
        </w:rPr>
        <w:t xml:space="preserve">The role of discussion in learning can help to eradicate a misconception in multiple ways. The role of discussion was highlighted in the previous sections with cognitive conflict and metacognition, however there are other strategies besides this that involve discussion. Teachers use the strategy of allowing the misconception to take place and using it as a talking point. There are advantages and disadvantages to such a strategy. Swan (2001) indicates that developing this strategy and carefully designing activities to create misconceptions can be beneficial to the student. These activities involve posing questions which allow the pupils to disagree and encourages discussion allowing social constructivism to occur. Social constructivism is a learning theory proposed by Piaget (1975). Piaget (1975) believes pupils need time to interact with their environment so that they can construct new concepts by assimilation, the absorption of new ideas, and accommodation, the modification of such ideas. Designing activities as Swan (2001) suggests that allow discussion and investigation to occur gives the opportunity for pupils to discover their own learning. The teacher can then reflect on these discoveries, highlighting any misconceptions when they arise. One issue with this strategy is that pupils can get confused between the correct and incorrect method. This fear was described by Swan (2001) who suggested that teachers were afraid of illustrating a common misconception on the board for fear that the mistake could spread as if it were contagious. Swan (2001) believes “prevention is better than cure.” This is supported by the DfEE (1998) which requires that all potential teachers must be trained to recognise and prevent common pupil misconceptions prior to them appearing.  Vygotsky (1987) criticised this approach and didn’t like Piaget’s concept of promoting continual conflict among pupils. He preferred the notion of novice learners learning from expert (teacher or lead learner), through discussion. This would allow the novice student the “zone of proximal development (ZPD).” Vygotsky believed the most effective learning happened between unequal’s. This type of approach is seen to be controversial among academics (Tudge &amp; Rogoff, 1999). Such academics discuss the idea that Piaget ideas were centred around movements in cognitive perspective whereas Vygotsky focussed on the development of thinking skills.  </w:t>
      </w:r>
    </w:p>
    <w:p w14:paraId="1BCE5451" w14:textId="77777777" w:rsidR="00DD3A5A" w:rsidRPr="00616BA7" w:rsidRDefault="00DD3A5A" w:rsidP="00DD3A5A">
      <w:pPr>
        <w:rPr>
          <w:rFonts w:cstheme="minorHAnsi"/>
        </w:rPr>
      </w:pPr>
    </w:p>
    <w:p w14:paraId="5585787F" w14:textId="77777777" w:rsidR="00DD3A5A" w:rsidRPr="00616BA7" w:rsidRDefault="00DD3A5A" w:rsidP="00DD3A5A">
      <w:pPr>
        <w:rPr>
          <w:rFonts w:cstheme="minorHAnsi"/>
        </w:rPr>
      </w:pPr>
      <w:r w:rsidRPr="00616BA7">
        <w:rPr>
          <w:rFonts w:cstheme="minorHAnsi"/>
        </w:rPr>
        <w:t xml:space="preserve">In summary, strategies to combat misconceptions are centred around discussion which encourages the pupil to gain conceptual understanding by evaluating and reflecting on their current learning instead of just accepting it. </w:t>
      </w:r>
    </w:p>
    <w:p w14:paraId="7C6C8E81" w14:textId="77777777" w:rsidR="00DD3A5A" w:rsidRPr="00616BA7" w:rsidRDefault="00DD3A5A" w:rsidP="00DD3A5A">
      <w:pPr>
        <w:rPr>
          <w:rFonts w:cstheme="minorHAnsi"/>
        </w:rPr>
      </w:pPr>
    </w:p>
    <w:p w14:paraId="6BA3DA0E" w14:textId="77777777" w:rsidR="00DD3A5A" w:rsidRPr="00616BA7" w:rsidRDefault="00DD3A5A" w:rsidP="00DD3A5A">
      <w:pPr>
        <w:rPr>
          <w:rFonts w:cstheme="minorHAnsi"/>
          <w:u w:val="single"/>
        </w:rPr>
      </w:pPr>
      <w:r w:rsidRPr="00616BA7">
        <w:rPr>
          <w:rFonts w:cstheme="minorHAnsi"/>
          <w:u w:val="single"/>
        </w:rPr>
        <w:t xml:space="preserve">How will the review of research and literature influence my teaching? </w:t>
      </w:r>
    </w:p>
    <w:p w14:paraId="07F13A35" w14:textId="77777777" w:rsidR="00DD3A5A" w:rsidRPr="00616BA7" w:rsidRDefault="00DD3A5A" w:rsidP="00DD3A5A">
      <w:pPr>
        <w:rPr>
          <w:rFonts w:cstheme="minorHAnsi"/>
        </w:rPr>
      </w:pPr>
      <w:r w:rsidRPr="00616BA7">
        <w:rPr>
          <w:rFonts w:cstheme="minorHAnsi"/>
        </w:rPr>
        <w:t xml:space="preserve">Since establishing a definition for the term misconception within the context of Mathematics and broadly at a wider context, I know feel comfortable and secure in my knowledge to identify such a misunderstanding whilst teaching. The identification of common misconceptions within my chosen topic: Probability, allows me to tailor my teaching using the strategies discussed to target such misconceptions. I aim to produce a carefully designed scheme of work which will include such strategies discussed: Cognitive Conflict, Metacognition, Discussion and focus on eradicating such common misconceptions. </w:t>
      </w:r>
      <w:r w:rsidRPr="00616BA7">
        <w:rPr>
          <w:rFonts w:cstheme="minorHAnsi"/>
        </w:rPr>
        <w:lastRenderedPageBreak/>
        <w:t xml:space="preserve">Prior to teaching, I will need to use a research method to highlight key misconceptions among my year 7 pupils so that I can structure my teaching to target the misconceptions they specifically have. It will also give the class the opportunity to highlight any other less common misconceptions. </w:t>
      </w:r>
    </w:p>
    <w:p w14:paraId="4C52C51E" w14:textId="77777777" w:rsidR="00DD3A5A" w:rsidRPr="00616BA7" w:rsidRDefault="00DD3A5A" w:rsidP="00DD3A5A">
      <w:pPr>
        <w:rPr>
          <w:rFonts w:cstheme="minorHAnsi"/>
        </w:rPr>
      </w:pPr>
    </w:p>
    <w:p w14:paraId="1E60DCC7" w14:textId="77777777" w:rsidR="00DD3A5A" w:rsidRPr="00616BA7" w:rsidRDefault="00DD3A5A" w:rsidP="00DD3A5A">
      <w:pPr>
        <w:rPr>
          <w:rFonts w:cstheme="minorHAnsi"/>
        </w:rPr>
      </w:pPr>
    </w:p>
    <w:p w14:paraId="05027FB6" w14:textId="77777777" w:rsidR="00DD3A5A" w:rsidRPr="00616BA7" w:rsidRDefault="00DD3A5A" w:rsidP="00DD3A5A">
      <w:pPr>
        <w:rPr>
          <w:rFonts w:cstheme="minorHAnsi"/>
          <w:highlight w:val="yellow"/>
        </w:rPr>
      </w:pPr>
      <w:r w:rsidRPr="00616BA7">
        <w:rPr>
          <w:rFonts w:cstheme="minorHAnsi"/>
          <w:highlight w:val="yellow"/>
        </w:rPr>
        <w:br w:type="page"/>
      </w:r>
    </w:p>
    <w:p w14:paraId="4BEA0C2F" w14:textId="77777777" w:rsidR="00DD3A5A" w:rsidRPr="00616BA7" w:rsidRDefault="00DD3A5A" w:rsidP="00DD3A5A">
      <w:pPr>
        <w:rPr>
          <w:rFonts w:cstheme="minorHAnsi"/>
          <w:b/>
          <w:u w:val="single"/>
        </w:rPr>
      </w:pPr>
      <w:r w:rsidRPr="00616BA7">
        <w:rPr>
          <w:rFonts w:cstheme="minorHAnsi"/>
          <w:b/>
          <w:u w:val="single"/>
        </w:rPr>
        <w:lastRenderedPageBreak/>
        <w:t>Section Two: School Policy and Practice</w:t>
      </w:r>
    </w:p>
    <w:p w14:paraId="6CE24136" w14:textId="77777777" w:rsidR="00DD3A5A" w:rsidRPr="00616BA7" w:rsidRDefault="00DD3A5A" w:rsidP="00DD3A5A">
      <w:pPr>
        <w:rPr>
          <w:rFonts w:cstheme="minorHAnsi"/>
          <w:u w:val="single"/>
        </w:rPr>
      </w:pPr>
      <w:r w:rsidRPr="00616BA7">
        <w:rPr>
          <w:rFonts w:cstheme="minorHAnsi"/>
        </w:rPr>
        <w:t>I will now examine the departmental guidance for teaching Probability and current required practices whilst teaching the topic.</w:t>
      </w:r>
      <w:r w:rsidRPr="00616BA7">
        <w:rPr>
          <w:rFonts w:cstheme="minorHAnsi"/>
          <w:u w:val="single"/>
        </w:rPr>
        <w:t xml:space="preserve"> </w:t>
      </w:r>
      <w:r w:rsidRPr="00616BA7">
        <w:rPr>
          <w:rFonts w:cstheme="minorHAnsi"/>
        </w:rPr>
        <w:t>This document will be compared to my current reading to see how it may or may not link to research and literature. At BOLHS, teachers use the scheme of work shown in figure one to organise and structure their lessons when teaching probability. I will be referring to this figure throughout this section.</w:t>
      </w:r>
    </w:p>
    <w:p w14:paraId="3EECA22A" w14:textId="77777777" w:rsidR="00DD3A5A" w:rsidRPr="00616BA7" w:rsidRDefault="00DD3A5A" w:rsidP="00DD3A5A">
      <w:pPr>
        <w:rPr>
          <w:rFonts w:cstheme="minorHAnsi"/>
          <w:highlight w:val="yellow"/>
        </w:rPr>
      </w:pPr>
      <w:r w:rsidRPr="00616BA7">
        <w:rPr>
          <w:rFonts w:cstheme="minorHAnsi"/>
          <w:noProof/>
          <w:lang w:eastAsia="en-GB"/>
        </w:rPr>
        <mc:AlternateContent>
          <mc:Choice Requires="wps">
            <w:drawing>
              <wp:anchor distT="0" distB="0" distL="114300" distR="114300" simplePos="0" relativeHeight="251654656" behindDoc="0" locked="0" layoutInCell="1" allowOverlap="1" wp14:anchorId="28F95A1B" wp14:editId="01027363">
                <wp:simplePos x="0" y="0"/>
                <wp:positionH relativeFrom="column">
                  <wp:posOffset>174504</wp:posOffset>
                </wp:positionH>
                <wp:positionV relativeFrom="paragraph">
                  <wp:posOffset>3874576</wp:posOffset>
                </wp:positionV>
                <wp:extent cx="57277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3B5EC2E" w14:textId="77777777" w:rsidR="00562885" w:rsidRPr="005823BC" w:rsidRDefault="00562885" w:rsidP="00DD3A5A">
                            <w:pPr>
                              <w:pStyle w:val="Caption"/>
                              <w:rPr>
                                <w:noProof/>
                                <w:sz w:val="24"/>
                                <w:szCs w:val="24"/>
                              </w:rPr>
                            </w:pPr>
                            <w:r>
                              <w:t xml:space="preserve">Figure </w:t>
                            </w:r>
                            <w:fldSimple w:instr=" SEQ Figure \* ARABIC ">
                              <w:r w:rsidR="00EC5872">
                                <w:rPr>
                                  <w:noProof/>
                                </w:rPr>
                                <w:t>1</w:t>
                              </w:r>
                            </w:fldSimple>
                            <w:r>
                              <w:t xml:space="preserve"> - BOLHS Scheme of Work for Year 7: Probability.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F95A1B" id="_x0000_t202" coordsize="21600,21600" o:spt="202" path="m,l,21600r21600,l21600,xe">
                <v:stroke joinstyle="miter"/>
                <v:path gradientshapeok="t" o:connecttype="rect"/>
              </v:shapetype>
              <v:shape id="Text Box 1" o:spid="_x0000_s1026" type="#_x0000_t202" style="position:absolute;margin-left:13.75pt;margin-top:305.1pt;width:451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fF+KQIAAF0EAAAOAAAAZHJzL2Uyb0RvYy54bWysVE1vGjEQvVfqf7B8LwtUSaoVS0SJqCqh&#10;JBJUORuvl7Vke9yxYZf++o73g7RpT1UvZnbm+dlv3pjFfWsNOysMGlzBZ5MpZ8pJKLU7FvzbfvPh&#10;E2chClcKA04V/KICv1++f7dofK7mUIMpFTIicSFvfMHrGH2eZUHWyoowAa8cFStAKyJ94jErUTTE&#10;bk02n05vswaw9AhShUDZh77Ilx1/VSkZn6oqqMhMwelusVuxWw9pzZYLkR9R+FrL4RriH25hhXZ0&#10;6JXqQUTBTqj/oLJaIgSo4kSCzaCqtFSdBlIzm75Rs6uFV50Wak7w1zaF/0crH8/PyHRJ3nHmhCWL&#10;9qqN7DO0bJa60/iQE2jnCRZbSifkkA+UTKLbCm36JTmM6tTny7W3iUxS8uZufnc3pZKk2u3Hm8SR&#10;vW71GOIXBZaloOBIxnX9FOdtiD10hKSTAhhdbrQx6SMV1gbZWZDJTa2jGsh/QxmXsA7Srp4wZbKk&#10;r9eRotge2kHcAcoLaUboZyZ4udF00FaE+CyQhoS00ODHJ1oqA03BYYg4qwF//C2f8OQdVTlraOgK&#10;Hr6fBCrOzFdHrqYJHQMcg8MYuJNdA0kkp+g2XUgbMJoxrBDsC72HVTqFSsJJOqvgcQzXsR99ek9S&#10;rVYdiObQi7h1Oy8T9djQffsi0A92RHLxEcZxFPkbV3ps54tfnSK1uLMsNbTv4tBnmuHO9OG9pUfy&#10;63eHev1XWP4EAAD//wMAUEsDBBQABgAIAAAAIQD5p6Ny4QAAAAoBAAAPAAAAZHJzL2Rvd25yZXYu&#10;eG1sTI+xTsMwEIZ3JN7BOiQW1DpNS6AhTlVVMNClIu3C5sbXOBCfI9tpw9tjWGC8/z79912xGk3H&#10;zuh8a0nAbJoAQ6qtaqkRcNi/TB6B+SBJyc4SCvhCD6vy+qqQubIXesNzFRoWS8jnUoAOoc8597VG&#10;I/3U9khxd7LOyBBH13Dl5CWWm46nSZJxI1uKF7TscaOx/qwGI2C3eN/pu+H0vF0v5u71MGyyj6YS&#10;4vZmXD8BCziGPxh+9KM6lNHpaAdSnnUC0of7SArIZkkKLALLdBmT428yB14W/P8L5TcAAAD//wMA&#10;UEsBAi0AFAAGAAgAAAAhALaDOJL+AAAA4QEAABMAAAAAAAAAAAAAAAAAAAAAAFtDb250ZW50X1R5&#10;cGVzXS54bWxQSwECLQAUAAYACAAAACEAOP0h/9YAAACUAQAACwAAAAAAAAAAAAAAAAAvAQAAX3Jl&#10;bHMvLnJlbHNQSwECLQAUAAYACAAAACEAOMXxfikCAABdBAAADgAAAAAAAAAAAAAAAAAuAgAAZHJz&#10;L2Uyb0RvYy54bWxQSwECLQAUAAYACAAAACEA+aejcuEAAAAKAQAADwAAAAAAAAAAAAAAAACDBAAA&#10;ZHJzL2Rvd25yZXYueG1sUEsFBgAAAAAEAAQA8wAAAJEFAAAAAA==&#10;" stroked="f">
                <v:textbox style="mso-fit-shape-to-text:t" inset="0,0,0,0">
                  <w:txbxContent>
                    <w:p w14:paraId="73B5EC2E" w14:textId="77777777" w:rsidR="00562885" w:rsidRPr="005823BC" w:rsidRDefault="00562885" w:rsidP="00DD3A5A">
                      <w:pPr>
                        <w:pStyle w:val="Caption"/>
                        <w:rPr>
                          <w:noProof/>
                          <w:sz w:val="24"/>
                          <w:szCs w:val="24"/>
                        </w:rPr>
                      </w:pPr>
                      <w:r>
                        <w:t xml:space="preserve">Figure </w:t>
                      </w:r>
                      <w:r w:rsidR="004D2D42">
                        <w:fldChar w:fldCharType="begin"/>
                      </w:r>
                      <w:r w:rsidR="004D2D42">
                        <w:instrText xml:space="preserve"> SEQ Figure \* ARABIC </w:instrText>
                      </w:r>
                      <w:r w:rsidR="004D2D42">
                        <w:fldChar w:fldCharType="separate"/>
                      </w:r>
                      <w:r w:rsidR="00EC5872">
                        <w:rPr>
                          <w:noProof/>
                        </w:rPr>
                        <w:t>1</w:t>
                      </w:r>
                      <w:r w:rsidR="004D2D42">
                        <w:rPr>
                          <w:noProof/>
                        </w:rPr>
                        <w:fldChar w:fldCharType="end"/>
                      </w:r>
                      <w:r>
                        <w:t xml:space="preserve"> - BOLHS Scheme of Work for Year 7: Probability.</w:t>
                      </w:r>
                    </w:p>
                  </w:txbxContent>
                </v:textbox>
                <w10:wrap type="square"/>
              </v:shape>
            </w:pict>
          </mc:Fallback>
        </mc:AlternateContent>
      </w:r>
      <w:r w:rsidRPr="00616BA7">
        <w:rPr>
          <w:rFonts w:cstheme="minorHAnsi"/>
          <w:noProof/>
          <w:lang w:eastAsia="en-GB"/>
        </w:rPr>
        <w:drawing>
          <wp:anchor distT="0" distB="0" distL="114300" distR="114300" simplePos="0" relativeHeight="251652608" behindDoc="0" locked="0" layoutInCell="1" allowOverlap="1" wp14:anchorId="56114B92" wp14:editId="708CF921">
            <wp:simplePos x="0" y="0"/>
            <wp:positionH relativeFrom="margin">
              <wp:posOffset>0</wp:posOffset>
            </wp:positionH>
            <wp:positionV relativeFrom="paragraph">
              <wp:posOffset>207329</wp:posOffset>
            </wp:positionV>
            <wp:extent cx="5727700" cy="367665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EC5A19.tmp"/>
                    <pic:cNvPicPr/>
                  </pic:nvPicPr>
                  <pic:blipFill>
                    <a:blip r:embed="rId9">
                      <a:extLst>
                        <a:ext uri="{28A0092B-C50C-407E-A947-70E740481C1C}">
                          <a14:useLocalDpi xmlns:a14="http://schemas.microsoft.com/office/drawing/2010/main" val="0"/>
                        </a:ext>
                      </a:extLst>
                    </a:blip>
                    <a:stretch>
                      <a:fillRect/>
                    </a:stretch>
                  </pic:blipFill>
                  <pic:spPr>
                    <a:xfrm>
                      <a:off x="0" y="0"/>
                      <a:ext cx="5727700" cy="3676650"/>
                    </a:xfrm>
                    <a:prstGeom prst="rect">
                      <a:avLst/>
                    </a:prstGeom>
                  </pic:spPr>
                </pic:pic>
              </a:graphicData>
            </a:graphic>
            <wp14:sizeRelH relativeFrom="page">
              <wp14:pctWidth>0</wp14:pctWidth>
            </wp14:sizeRelH>
            <wp14:sizeRelV relativeFrom="page">
              <wp14:pctHeight>0</wp14:pctHeight>
            </wp14:sizeRelV>
          </wp:anchor>
        </w:drawing>
      </w:r>
    </w:p>
    <w:p w14:paraId="1715EE51" w14:textId="77777777" w:rsidR="00DD3A5A" w:rsidRPr="00616BA7" w:rsidRDefault="00DD3A5A" w:rsidP="00DD3A5A">
      <w:pPr>
        <w:rPr>
          <w:rFonts w:cstheme="minorHAnsi"/>
          <w:highlight w:val="yellow"/>
        </w:rPr>
      </w:pPr>
    </w:p>
    <w:p w14:paraId="3F6450B9" w14:textId="77777777" w:rsidR="00DD3A5A" w:rsidRPr="00616BA7" w:rsidRDefault="00DD3A5A" w:rsidP="00DD3A5A">
      <w:pPr>
        <w:rPr>
          <w:rFonts w:cstheme="minorHAnsi"/>
        </w:rPr>
      </w:pPr>
      <w:r w:rsidRPr="00616BA7">
        <w:rPr>
          <w:rFonts w:cstheme="minorHAnsi"/>
        </w:rPr>
        <w:t xml:space="preserve">The scheme of work focuses on conceptual understanding shown using All, Most and Some Objectives.  This links directly with my reading which discusses the importance of developing conceptual understanding among pupils. Conceptual understanding allows pupils to understand the maths behind the method and the “All, Most, Some Objectives” indicate that pupils build upon prior knowledge and develop their understanding. This links directly to Swan’s Diagnostic teaching approach. (Swan, 2001. Chambers &amp; Timlin, 2013). This ensures that all learners progress and are challenged, ensuring all pupils reach the zone of proximal development (Vygotsky, 1987). </w:t>
      </w:r>
    </w:p>
    <w:p w14:paraId="0679A4FF" w14:textId="77777777" w:rsidR="00DD3A5A" w:rsidRPr="00616BA7" w:rsidRDefault="00DD3A5A" w:rsidP="00DD3A5A">
      <w:pPr>
        <w:rPr>
          <w:rFonts w:cstheme="minorHAnsi"/>
        </w:rPr>
      </w:pPr>
    </w:p>
    <w:p w14:paraId="03BB91AC" w14:textId="77777777" w:rsidR="00DD3A5A" w:rsidRPr="00616BA7" w:rsidRDefault="00DD3A5A" w:rsidP="00DD3A5A">
      <w:pPr>
        <w:rPr>
          <w:rFonts w:cstheme="minorHAnsi"/>
        </w:rPr>
      </w:pPr>
      <w:r w:rsidRPr="00616BA7">
        <w:rPr>
          <w:rFonts w:cstheme="minorHAnsi"/>
        </w:rPr>
        <w:t>The “All, Most, some objects” also provide clear differentiation. This doesn’t directly link to my readings however there is a small link. Differentiation is important so that all pupils reach the objective for the lesson. By differentiating each task, I can ensure that the strategies I have discussed will be effective to each pupil. Differentiation is key for all pupils to thrive within each lesson, so scaffolding in the way I vocalise questions and create the resources to target misconceptions will be provided so that students can have the opportunity to strive against such a strategy (Tanner &amp; Jones, 2000. Chambers &amp; Timlin, 2013)</w:t>
      </w:r>
    </w:p>
    <w:p w14:paraId="4DD02E74" w14:textId="77777777" w:rsidR="00DD3A5A" w:rsidRPr="00616BA7" w:rsidRDefault="00DD3A5A" w:rsidP="00DD3A5A">
      <w:pPr>
        <w:rPr>
          <w:rFonts w:cstheme="minorHAnsi"/>
        </w:rPr>
      </w:pPr>
    </w:p>
    <w:p w14:paraId="4692F01B" w14:textId="77777777" w:rsidR="00DD3A5A" w:rsidRPr="00616BA7" w:rsidRDefault="00DD3A5A" w:rsidP="00DD3A5A">
      <w:pPr>
        <w:rPr>
          <w:rFonts w:cstheme="minorHAnsi"/>
        </w:rPr>
      </w:pPr>
      <w:r w:rsidRPr="00616BA7">
        <w:rPr>
          <w:rFonts w:cstheme="minorHAnsi"/>
        </w:rPr>
        <w:lastRenderedPageBreak/>
        <w:t xml:space="preserve">The assessment opportunities in the form of peer and self-assessment gives the opportunity for peoples to reflect on their thinking allowing for metacognition to take place. This directly links to my readings on metacognition which as discussed it the evaluation of one’s own thought processes (Black &amp; William, 1998). The assessment also provides the opportunity for cognitive conflict to take place as pupils can highlight their misconceptions allowing the teacher or lead learner to intercede. Peer – assessment allows Piaget social constructivism learning behaviour to take place and allows the pupils to consolidate their ideas through discussion (Swan ,2001). The class discussion element of the scheme of work also allow for metacognition and social constructivism to occur. Lead learners can help current low attainer’s to reach their zone of proximal development as discussed in review of my reading (Vygotsky, 1987). </w:t>
      </w:r>
    </w:p>
    <w:p w14:paraId="0E121F18" w14:textId="77777777" w:rsidR="00DD3A5A" w:rsidRPr="00616BA7" w:rsidRDefault="00DD3A5A" w:rsidP="00DD3A5A">
      <w:pPr>
        <w:rPr>
          <w:rFonts w:cstheme="minorHAnsi"/>
        </w:rPr>
      </w:pPr>
    </w:p>
    <w:p w14:paraId="683F82AE" w14:textId="0284C94B" w:rsidR="00DD3A5A" w:rsidRPr="00616BA7" w:rsidRDefault="00DD3A5A" w:rsidP="00DD3A5A">
      <w:pPr>
        <w:rPr>
          <w:rFonts w:cstheme="minorHAnsi"/>
        </w:rPr>
      </w:pPr>
      <w:r w:rsidRPr="00616BA7">
        <w:rPr>
          <w:rFonts w:cstheme="minorHAnsi"/>
        </w:rPr>
        <w:t xml:space="preserve">Another section in the scheme of work also directly links with my readings on Metacognition. The section discusses the use of activities as a strategy to promote this thinking </w:t>
      </w:r>
      <w:r w:rsidR="00616BA7" w:rsidRPr="00616BA7">
        <w:rPr>
          <w:rFonts w:cstheme="minorHAnsi"/>
        </w:rPr>
        <w:t>to</w:t>
      </w:r>
      <w:r w:rsidRPr="00616BA7">
        <w:rPr>
          <w:rFonts w:cstheme="minorHAnsi"/>
        </w:rPr>
        <w:t xml:space="preserve"> gain conceptual understanding and to target misconceptions. The use of questioning as a strategy to ensure conceptual understanding is also discussed in this section. This was discussed in the literature review under social constructivism and cognitive conflict (Swan, 2001). The questioning within the classroom follows Blooms Taxonomy to push and challenge the learners. The questioning allows the teacher to assess the progress of the individual pupil and develop their conceptual understanding (Anderson &amp; Krathwohl, 2001). </w:t>
      </w:r>
    </w:p>
    <w:p w14:paraId="6785386E" w14:textId="77777777" w:rsidR="00DD3A5A" w:rsidRPr="00616BA7" w:rsidRDefault="00DD3A5A" w:rsidP="00DD3A5A">
      <w:pPr>
        <w:rPr>
          <w:rFonts w:cstheme="minorHAnsi"/>
        </w:rPr>
      </w:pPr>
    </w:p>
    <w:p w14:paraId="7CD2D163" w14:textId="6410C2F8" w:rsidR="00DD3A5A" w:rsidRPr="00616BA7" w:rsidRDefault="00DD3A5A" w:rsidP="00DD3A5A">
      <w:pPr>
        <w:rPr>
          <w:rFonts w:cstheme="minorHAnsi"/>
        </w:rPr>
      </w:pPr>
      <w:r w:rsidRPr="00616BA7">
        <w:rPr>
          <w:rFonts w:cstheme="minorHAnsi"/>
        </w:rPr>
        <w:t xml:space="preserve">All lessons follow a similar format at BOLHS. The lesson must begin with a starting activity which revised prior knowledge. Then, the objectives are displayed and discussed with the class. There is a five to </w:t>
      </w:r>
      <w:r w:rsidR="00616BA7" w:rsidRPr="00616BA7">
        <w:rPr>
          <w:rFonts w:cstheme="minorHAnsi"/>
        </w:rPr>
        <w:t>ten-minute</w:t>
      </w:r>
      <w:r w:rsidRPr="00616BA7">
        <w:rPr>
          <w:rFonts w:cstheme="minorHAnsi"/>
        </w:rPr>
        <w:t xml:space="preserve"> exposition where pupils discover new knowledge and discuss what excellence looks like in the </w:t>
      </w:r>
      <w:r w:rsidR="00616BA7" w:rsidRPr="00616BA7">
        <w:rPr>
          <w:rFonts w:cstheme="minorHAnsi"/>
        </w:rPr>
        <w:t>form</w:t>
      </w:r>
      <w:r w:rsidRPr="00616BA7">
        <w:rPr>
          <w:rFonts w:cstheme="minorHAnsi"/>
        </w:rPr>
        <w:t xml:space="preserve"> of an example. Pupils must use this knowledge and example to complete a practice task. The practice task is then reflected on and evaluated against the excellent example. Pupils must self – differentiate and choose an extension task that reflects their ability. A plenary activity consists of one small task to reflect on the lesson learning. This learning is then compared with the lesson objectives (Tanner &amp; Jones, 2000. Chambers &amp; Timlin, 2013).</w:t>
      </w:r>
    </w:p>
    <w:p w14:paraId="3EB7C5B7" w14:textId="77777777" w:rsidR="00DD3A5A" w:rsidRPr="00616BA7" w:rsidRDefault="00DD3A5A" w:rsidP="00DD3A5A">
      <w:pPr>
        <w:rPr>
          <w:rFonts w:cstheme="minorHAnsi"/>
        </w:rPr>
      </w:pPr>
    </w:p>
    <w:p w14:paraId="2B28D5F9" w14:textId="3A367A1E" w:rsidR="00DD3A5A" w:rsidRPr="00616BA7" w:rsidRDefault="00616BA7" w:rsidP="00DD3A5A">
      <w:pPr>
        <w:rPr>
          <w:rFonts w:cstheme="minorHAnsi"/>
          <w:highlight w:val="yellow"/>
        </w:rPr>
      </w:pPr>
      <w:r w:rsidRPr="00616BA7">
        <w:rPr>
          <w:rFonts w:cstheme="minorHAnsi"/>
        </w:rPr>
        <w:t>Overall</w:t>
      </w:r>
      <w:r w:rsidR="00DD3A5A" w:rsidRPr="00616BA7">
        <w:rPr>
          <w:rFonts w:cstheme="minorHAnsi"/>
        </w:rPr>
        <w:t xml:space="preserve">, the scheme of work provided by BOLHS Mathematics departments illustrates strong links to that of my reading. This is encouraging for when I plan my lessons using elements from this structure. </w:t>
      </w:r>
    </w:p>
    <w:p w14:paraId="58A578CA" w14:textId="77777777" w:rsidR="00DD3A5A" w:rsidRPr="00616BA7" w:rsidRDefault="00DD3A5A" w:rsidP="00DD3A5A">
      <w:pPr>
        <w:rPr>
          <w:rFonts w:cstheme="minorHAnsi"/>
        </w:rPr>
      </w:pPr>
    </w:p>
    <w:p w14:paraId="5F17B439" w14:textId="77777777" w:rsidR="00DD3A5A" w:rsidRPr="00616BA7" w:rsidRDefault="00DD3A5A" w:rsidP="00DD3A5A">
      <w:pPr>
        <w:rPr>
          <w:rFonts w:cstheme="minorHAnsi"/>
        </w:rPr>
      </w:pPr>
    </w:p>
    <w:p w14:paraId="2B69DC8E" w14:textId="77777777" w:rsidR="00DD3A5A" w:rsidRPr="00616BA7" w:rsidRDefault="00DD3A5A" w:rsidP="00DD3A5A">
      <w:pPr>
        <w:rPr>
          <w:rFonts w:cstheme="minorHAnsi"/>
          <w:highlight w:val="yellow"/>
        </w:rPr>
      </w:pPr>
    </w:p>
    <w:p w14:paraId="173EF201" w14:textId="77777777" w:rsidR="00DD3A5A" w:rsidRPr="00616BA7" w:rsidRDefault="00DD3A5A" w:rsidP="00DD3A5A">
      <w:pPr>
        <w:rPr>
          <w:rFonts w:cstheme="minorHAnsi"/>
          <w:highlight w:val="yellow"/>
        </w:rPr>
      </w:pPr>
      <w:r w:rsidRPr="00616BA7">
        <w:rPr>
          <w:rFonts w:cstheme="minorHAnsi"/>
          <w:highlight w:val="yellow"/>
        </w:rPr>
        <w:br w:type="page"/>
      </w:r>
    </w:p>
    <w:p w14:paraId="64D6CF9A" w14:textId="77777777" w:rsidR="00DD3A5A" w:rsidRPr="00616BA7" w:rsidRDefault="00DD3A5A" w:rsidP="00DD3A5A">
      <w:pPr>
        <w:rPr>
          <w:rFonts w:cstheme="minorHAnsi"/>
          <w:b/>
          <w:u w:val="single"/>
        </w:rPr>
      </w:pPr>
      <w:r w:rsidRPr="00616BA7">
        <w:rPr>
          <w:rFonts w:cstheme="minorHAnsi"/>
          <w:b/>
          <w:u w:val="single"/>
        </w:rPr>
        <w:lastRenderedPageBreak/>
        <w:t>Section Three: Methodology &amp; Ethics</w:t>
      </w:r>
    </w:p>
    <w:p w14:paraId="1FE72C7A" w14:textId="4598BF75" w:rsidR="00DD3A5A" w:rsidRPr="00616BA7" w:rsidRDefault="00676C28" w:rsidP="00DD3A5A">
      <w:pPr>
        <w:rPr>
          <w:rFonts w:cstheme="minorHAnsi"/>
        </w:rPr>
      </w:pPr>
      <w:r w:rsidRPr="00616BA7">
        <w:rPr>
          <w:rFonts w:cstheme="minorHAnsi"/>
        </w:rPr>
        <w:t>Considering</w:t>
      </w:r>
      <w:r w:rsidR="00DD3A5A" w:rsidRPr="00616BA7">
        <w:rPr>
          <w:rFonts w:cstheme="minorHAnsi"/>
        </w:rPr>
        <w:t xml:space="preserve"> my evaluation of reading and school policy and practice, there are several methods that I can employ </w:t>
      </w:r>
      <w:r w:rsidRPr="00616BA7">
        <w:rPr>
          <w:rFonts w:cstheme="minorHAnsi"/>
        </w:rPr>
        <w:t>to</w:t>
      </w:r>
      <w:r w:rsidR="00DD3A5A" w:rsidRPr="00616BA7">
        <w:rPr>
          <w:rFonts w:cstheme="minorHAnsi"/>
        </w:rPr>
        <w:t xml:space="preserve"> conduct my action research. Some methods include questionnaires, interviews, test results, pupils work and lesson observations</w:t>
      </w:r>
      <w:r w:rsidRPr="00616BA7">
        <w:rPr>
          <w:rFonts w:cstheme="minorHAnsi"/>
        </w:rPr>
        <w:t xml:space="preserve"> (</w:t>
      </w:r>
      <w:r w:rsidR="00520E2D" w:rsidRPr="00616BA7">
        <w:rPr>
          <w:rFonts w:cstheme="minorHAnsi"/>
        </w:rPr>
        <w:t>Cohen, Manion &amp; Morrison, 2011)</w:t>
      </w:r>
      <w:r w:rsidRPr="00616BA7">
        <w:rPr>
          <w:rFonts w:cstheme="minorHAnsi"/>
        </w:rPr>
        <w:t xml:space="preserve">. </w:t>
      </w:r>
      <w:r w:rsidR="00DD3A5A" w:rsidRPr="00616BA7">
        <w:rPr>
          <w:rFonts w:cstheme="minorHAnsi"/>
        </w:rPr>
        <w:t xml:space="preserve">Upon receiving guidance from the university, the main method that I have chosen to explore my research question is the use of Pre and Post Testing. This will be in a questionnaire format consisting of 10 questions which will be designed to identify a </w:t>
      </w:r>
      <w:r w:rsidRPr="00616BA7">
        <w:rPr>
          <w:rFonts w:cstheme="minorHAnsi"/>
        </w:rPr>
        <w:t>common</w:t>
      </w:r>
      <w:r w:rsidR="00DD3A5A" w:rsidRPr="00616BA7">
        <w:rPr>
          <w:rFonts w:cstheme="minorHAnsi"/>
        </w:rPr>
        <w:t xml:space="preserve"> misconception found in my readings. I will also use lesson observation feedback from my mentor and evaluate pupils work as further methods. I will now look at research methodology literature to enhance my understanding of these different techniques so that I can use it as an effective tool for my action research. </w:t>
      </w:r>
    </w:p>
    <w:p w14:paraId="02A1FC85" w14:textId="77777777" w:rsidR="00DD3A5A" w:rsidRPr="00616BA7" w:rsidRDefault="00DD3A5A" w:rsidP="00DD3A5A">
      <w:pPr>
        <w:rPr>
          <w:rFonts w:cstheme="minorHAnsi"/>
          <w:u w:val="single"/>
        </w:rPr>
      </w:pPr>
    </w:p>
    <w:p w14:paraId="1B6136A3" w14:textId="77777777" w:rsidR="00DD3A5A" w:rsidRPr="00616BA7" w:rsidRDefault="00DD3A5A" w:rsidP="00DD3A5A">
      <w:pPr>
        <w:rPr>
          <w:rFonts w:cstheme="minorHAnsi"/>
          <w:i/>
          <w:u w:val="single"/>
        </w:rPr>
      </w:pPr>
      <w:r w:rsidRPr="00616BA7">
        <w:rPr>
          <w:rFonts w:cstheme="minorHAnsi"/>
          <w:i/>
          <w:u w:val="single"/>
        </w:rPr>
        <w:t xml:space="preserve">Pre and Post – Testing: </w:t>
      </w:r>
    </w:p>
    <w:p w14:paraId="7B79C728" w14:textId="74A8F9FD" w:rsidR="00DD3A5A" w:rsidRPr="00616BA7" w:rsidRDefault="00DD3A5A" w:rsidP="00DD3A5A">
      <w:pPr>
        <w:rPr>
          <w:rFonts w:cstheme="minorHAnsi"/>
        </w:rPr>
      </w:pPr>
      <w:r w:rsidRPr="00616BA7">
        <w:rPr>
          <w:rFonts w:cstheme="minorHAnsi"/>
        </w:rPr>
        <w:t xml:space="preserve">Pre- testing and post-testing is used in a variety of contexts in advertising, medically and in education. It is a method to acquire data on two separate occasions to analyse whether an intervention or technique has made a difference. Overall, there are two types of Pre-and Post- test designs. The first type of Pre and Post-Test is when a subject is measured on two separate occasions and the researcher wishes to establish if there is a change between the first and second measurement. This type of study is would be described as uncontrolled as there in no control group to compare the data with, so it is impossible to establish whether the intervention made a difference or there was unreliability with the measuring instrument. The second type of test follows a similar nature to the first type, however in this test, a control group is included to remove the unreliability of the measuring equipment. A benefit of this type testing is the fact that it provides a baseline assessment, allowing comparisons to be made after the intervention has taken place. On the other hand, an issue could be the need for a control group if I were to use the second style of Pre and Post -Test. This needs time and the difficulty is finding a control group that is </w:t>
      </w:r>
      <w:r w:rsidR="00FC28F4" w:rsidRPr="00616BA7">
        <w:rPr>
          <w:rFonts w:cstheme="minorHAnsi"/>
        </w:rPr>
        <w:t>like</w:t>
      </w:r>
      <w:r w:rsidRPr="00616BA7">
        <w:rPr>
          <w:rFonts w:cstheme="minorHAnsi"/>
        </w:rPr>
        <w:t xml:space="preserve"> my current year 7 class. Since I only teach one year 7 class, I do not have access to such a control group. A further benefit of this research method is that the Pre and Post- test will be in a questionnaire format. Questionnaires are widely used tool for collecting survey information. The data is usually numerical</w:t>
      </w:r>
      <w:r w:rsidR="00FC28F4" w:rsidRPr="00616BA7">
        <w:rPr>
          <w:rFonts w:cstheme="minorHAnsi"/>
        </w:rPr>
        <w:t xml:space="preserve"> </w:t>
      </w:r>
      <w:r w:rsidRPr="00616BA7">
        <w:rPr>
          <w:rFonts w:cstheme="minorHAnsi"/>
        </w:rPr>
        <w:t xml:space="preserve">and easy to extrapolate from the a well written questionnaire and can be easily compared to the data found before if the Pre – Test questionnaire is the same. The format can also be administered without the researcher being present which is a further benefit to the action research. The benefits are balanced with negatives. A lot of time needs to be taken to develop such a questionnaire. In this context, the questionnaire that is going to be used for the pre and post- tests needs to identify common misconceptions and therefore research was completed </w:t>
      </w:r>
      <w:r w:rsidR="00616BA7" w:rsidRPr="00616BA7">
        <w:rPr>
          <w:rFonts w:cstheme="minorHAnsi"/>
        </w:rPr>
        <w:t>to</w:t>
      </w:r>
      <w:r w:rsidRPr="00616BA7">
        <w:rPr>
          <w:rFonts w:cstheme="minorHAnsi"/>
        </w:rPr>
        <w:t xml:space="preserve"> know what types of questions could achieve this identification. A further negative that is that the questionnaire lacks flexibility. The questionnaire will be developed from my current research, this means if I come across any different misconceptions within my teaching or from other professionals, I will not be able to test for them in the Post - Test because I cannot change this as I need to ensure that I have comparable data at the end of my action research. There are also several ethical issues with this type of research methodology, a questionnaire could be described as an invasion into a person’s life. The Researcher needs to use care when designing a questionnaire so that they are sensitive, and it doesn’t threaten the subject in any way. Subjects cannot be forced into completed the questionnaire and the data collected must be </w:t>
      </w:r>
      <w:r w:rsidRPr="00616BA7">
        <w:rPr>
          <w:rFonts w:cstheme="minorHAnsi"/>
        </w:rPr>
        <w:lastRenderedPageBreak/>
        <w:t>kept confidential and not used for any other purpose than that for which its intended (Cohen, Manion &amp; Morrison, 2011. Coe, Waring, Hedges, Arthur, 2017. Somekh, 2006).</w:t>
      </w:r>
    </w:p>
    <w:p w14:paraId="09DA465E" w14:textId="77777777" w:rsidR="00DD3A5A" w:rsidRPr="00616BA7" w:rsidRDefault="00DD3A5A" w:rsidP="00DD3A5A">
      <w:pPr>
        <w:rPr>
          <w:rFonts w:cstheme="minorHAnsi"/>
          <w:highlight w:val="red"/>
        </w:rPr>
      </w:pPr>
    </w:p>
    <w:p w14:paraId="15CA28F1" w14:textId="0BCC27F1" w:rsidR="00DD3A5A" w:rsidRPr="00616BA7" w:rsidRDefault="00DD3A5A" w:rsidP="00DD3A5A">
      <w:pPr>
        <w:rPr>
          <w:rFonts w:cstheme="minorHAnsi"/>
        </w:rPr>
      </w:pPr>
      <w:r w:rsidRPr="00616BA7">
        <w:rPr>
          <w:rFonts w:cstheme="minorHAnsi"/>
        </w:rPr>
        <w:t xml:space="preserve">I have chosen these research tools to examine my question because they are the most applicable to the school policy on delivering the topic of probability and adhere to the guidance provided from the university. The action research has a small window of opportunity to be completed and the Pre and Post Test is the only option to fit this time frame. The test will contain 10 questions specifically designed to highlight a misconception discussed in the first section of this action research assignment (a copy of this will be included in the appendix).  There are several benefits to the research methodology which were discussed thoroughly in the above review. The ethical limitations which were highlighted above and the ethical considerations when storing data have been discussed in a separately submitted ethics form. In accordance to the ethics considerations, all pupils have signed an agreement which agrees to their data to be used for this action research assignment. This has been attached in the appendix. The Pre and Post Test will be the same in nature and contain the exact same questions, so that the data is comparable and any gains from the intervention can be analysed. The pre-test will be delivered prior to the first lesson of the scheme of work. This will be marked before the scheme of work starting, however feedback or marks will not be given to the pupils as the exact same test will be used. </w:t>
      </w:r>
      <w:r w:rsidR="00AA28AE">
        <w:rPr>
          <w:rFonts w:cstheme="minorHAnsi"/>
        </w:rPr>
        <w:t xml:space="preserve">Pupils will be assigned a number to ensure that they stay anonymous during the study. If the pupil would like to withdraw from the study the may by revealing their number. </w:t>
      </w:r>
    </w:p>
    <w:p w14:paraId="07916026" w14:textId="77777777" w:rsidR="00DD3A5A" w:rsidRPr="00616BA7" w:rsidRDefault="00DD3A5A" w:rsidP="00DD3A5A">
      <w:pPr>
        <w:rPr>
          <w:rFonts w:cstheme="minorHAnsi"/>
        </w:rPr>
      </w:pPr>
    </w:p>
    <w:p w14:paraId="6F2246ED" w14:textId="5C4C245E" w:rsidR="00DD3A5A" w:rsidRPr="00616BA7" w:rsidRDefault="00DD3A5A" w:rsidP="00DD3A5A">
      <w:pPr>
        <w:rPr>
          <w:rFonts w:cstheme="minorHAnsi"/>
        </w:rPr>
      </w:pPr>
      <w:r w:rsidRPr="00616BA7">
        <w:rPr>
          <w:rFonts w:cstheme="minorHAnsi"/>
        </w:rPr>
        <w:t xml:space="preserve">The test consists of a mixture of multiple choice and written questions. The first question of the test (Question One) is designed to highlight the misconception of spinners and writing probabilities as a fraction. This misconception was discussed in my prior reading and I have decided to explore this </w:t>
      </w:r>
      <w:r w:rsidR="00FC28F4" w:rsidRPr="00616BA7">
        <w:rPr>
          <w:rFonts w:cstheme="minorHAnsi"/>
        </w:rPr>
        <w:t>misconception</w:t>
      </w:r>
      <w:r w:rsidRPr="00616BA7">
        <w:rPr>
          <w:rFonts w:cstheme="minorHAnsi"/>
        </w:rPr>
        <w:t xml:space="preserve"> with my year 7 class. The second question (Question Two) focusses on the misconception called gamblers fallacy. The idea that the previous events predict the future outcome. The question looks at flipping an unbiased fair coin. The question is split into two parts. The first part highlights the misconception and the second part allows the pupils to explain their reasoning so that I can firstly see if they have any conceptual understanding rather than it being a guess and it also establishes a reason for that </w:t>
      </w:r>
      <w:r w:rsidR="00FC28F4" w:rsidRPr="00616BA7">
        <w:rPr>
          <w:rFonts w:cstheme="minorHAnsi"/>
        </w:rPr>
        <w:t>misconception</w:t>
      </w:r>
      <w:r w:rsidRPr="00616BA7">
        <w:rPr>
          <w:rFonts w:cstheme="minorHAnsi"/>
        </w:rPr>
        <w:t xml:space="preserve">. Question three looks at the idea of lucky numbers/unlucky numbers and establishes whether that has an impact on </w:t>
      </w:r>
      <w:r w:rsidR="00FC28F4" w:rsidRPr="00616BA7">
        <w:rPr>
          <w:rFonts w:cstheme="minorHAnsi"/>
        </w:rPr>
        <w:t>pupil’s</w:t>
      </w:r>
      <w:r w:rsidRPr="00616BA7">
        <w:rPr>
          <w:rFonts w:cstheme="minorHAnsi"/>
        </w:rPr>
        <w:t xml:space="preserve"> ideas of probability of success when playing snakes and ladders. There are two parts to this question so that the pupils </w:t>
      </w:r>
      <w:r w:rsidR="00FC28F4" w:rsidRPr="00616BA7">
        <w:rPr>
          <w:rFonts w:cstheme="minorHAnsi"/>
        </w:rPr>
        <w:t>can</w:t>
      </w:r>
      <w:r w:rsidRPr="00616BA7">
        <w:rPr>
          <w:rFonts w:cstheme="minorHAnsi"/>
        </w:rPr>
        <w:t xml:space="preserve"> explain their reasoning. Question Four focuses on the pupil’s ability to express a probability as a fraction and the notion of impossibility. Question Five is designed to identify the misconception of Equiprobability. Question Six explores the idea of impossibility further and identifies if pupils have gained any misconceptions around the idea of impossibility. </w:t>
      </w:r>
    </w:p>
    <w:p w14:paraId="1107E9FC" w14:textId="77777777" w:rsidR="00DD3A5A" w:rsidRPr="00616BA7" w:rsidRDefault="00DD3A5A" w:rsidP="00DD3A5A">
      <w:pPr>
        <w:rPr>
          <w:rFonts w:cstheme="minorHAnsi"/>
        </w:rPr>
      </w:pPr>
    </w:p>
    <w:p w14:paraId="77A833FF" w14:textId="77777777" w:rsidR="00DD3A5A" w:rsidRPr="00616BA7" w:rsidRDefault="00DD3A5A" w:rsidP="00DD3A5A">
      <w:pPr>
        <w:rPr>
          <w:rFonts w:cstheme="minorHAnsi"/>
          <w:highlight w:val="red"/>
        </w:rPr>
      </w:pPr>
    </w:p>
    <w:p w14:paraId="64330088" w14:textId="77777777" w:rsidR="00520E2D" w:rsidRPr="00616BA7" w:rsidRDefault="00520E2D">
      <w:pPr>
        <w:rPr>
          <w:rFonts w:cstheme="minorHAnsi"/>
          <w:b/>
          <w:u w:val="single"/>
        </w:rPr>
      </w:pPr>
      <w:r w:rsidRPr="00616BA7">
        <w:rPr>
          <w:rFonts w:cstheme="minorHAnsi"/>
          <w:b/>
          <w:u w:val="single"/>
        </w:rPr>
        <w:br w:type="page"/>
      </w:r>
    </w:p>
    <w:p w14:paraId="0ADFBA79" w14:textId="3F98C4B4" w:rsidR="00DD3A5A" w:rsidRPr="00616BA7" w:rsidRDefault="00616BA7" w:rsidP="00DD3A5A">
      <w:pPr>
        <w:rPr>
          <w:rFonts w:cstheme="minorHAnsi"/>
          <w:highlight w:val="yellow"/>
        </w:rPr>
      </w:pPr>
      <w:r>
        <w:rPr>
          <w:rFonts w:cstheme="minorHAnsi"/>
          <w:b/>
          <w:u w:val="single"/>
        </w:rPr>
        <w:lastRenderedPageBreak/>
        <w:t xml:space="preserve">Section Four - </w:t>
      </w:r>
      <w:r w:rsidR="00DD3A5A" w:rsidRPr="00616BA7">
        <w:rPr>
          <w:rFonts w:cstheme="minorHAnsi"/>
          <w:b/>
          <w:u w:val="single"/>
        </w:rPr>
        <w:t xml:space="preserve">Evaluation: </w:t>
      </w:r>
    </w:p>
    <w:p w14:paraId="440158BF" w14:textId="77777777" w:rsidR="00DD3A5A" w:rsidRPr="00616BA7" w:rsidRDefault="00DD3A5A" w:rsidP="00DD3A5A">
      <w:pPr>
        <w:rPr>
          <w:rFonts w:cstheme="minorHAnsi"/>
        </w:rPr>
      </w:pPr>
      <w:r w:rsidRPr="00616BA7">
        <w:rPr>
          <w:rFonts w:cstheme="minorHAnsi"/>
        </w:rPr>
        <w:t xml:space="preserve">I will now explore my sequence of lessons making links between my practice and the reading which underpins it. I will evaluate each task, resource and approach with reference to reading. After evaluating each lesson, I will examine my results and evaluate the effectiveness of the teaching strategies I employed to target misconceptions. </w:t>
      </w:r>
    </w:p>
    <w:p w14:paraId="02B67859" w14:textId="77777777" w:rsidR="00DD3A5A" w:rsidRPr="00616BA7" w:rsidRDefault="00DD3A5A" w:rsidP="00DD3A5A">
      <w:pPr>
        <w:rPr>
          <w:rFonts w:cstheme="minorHAnsi"/>
        </w:rPr>
      </w:pPr>
    </w:p>
    <w:p w14:paraId="2D33A375" w14:textId="0EDC2296" w:rsidR="00DD3A5A" w:rsidRPr="00616BA7" w:rsidRDefault="00DD3A5A" w:rsidP="00DD3A5A">
      <w:pPr>
        <w:rPr>
          <w:rFonts w:cstheme="minorHAnsi"/>
        </w:rPr>
      </w:pPr>
      <w:r w:rsidRPr="00616BA7">
        <w:rPr>
          <w:rFonts w:cstheme="minorHAnsi"/>
        </w:rPr>
        <w:t>All the lessons, I prepare follow a similar structure. This structure is required by the school. I begin the lesson which a starter activity which recaps prior knowledge and revises key skills needed for the lesson</w:t>
      </w:r>
      <w:r w:rsidR="007D7A8C" w:rsidRPr="00616BA7">
        <w:rPr>
          <w:rFonts w:cstheme="minorHAnsi"/>
        </w:rPr>
        <w:t xml:space="preserve"> (Chambers &amp; Timlin, 2013)</w:t>
      </w:r>
      <w:r w:rsidRPr="00616BA7">
        <w:rPr>
          <w:rFonts w:cstheme="minorHAnsi"/>
        </w:rPr>
        <w:t>. The ALL, MOST, SOME lesson objectives are displayed either during the starter activity or straight after so that pupils can self-evaluate their own progress against these objectives</w:t>
      </w:r>
      <w:r w:rsidR="00950F2F" w:rsidRPr="00616BA7">
        <w:rPr>
          <w:rFonts w:cstheme="minorHAnsi"/>
        </w:rPr>
        <w:t xml:space="preserve"> (Haggarty</w:t>
      </w:r>
      <w:r w:rsidR="00721A27" w:rsidRPr="00616BA7">
        <w:rPr>
          <w:rFonts w:cstheme="minorHAnsi"/>
        </w:rPr>
        <w:t>, 2002).</w:t>
      </w:r>
      <w:r w:rsidRPr="00616BA7">
        <w:rPr>
          <w:rFonts w:cstheme="minorHAnsi"/>
        </w:rPr>
        <w:t xml:space="preserve"> These objectives are colour coded so that pupils can self - differentiate during the lesson</w:t>
      </w:r>
      <w:r w:rsidR="008C613B" w:rsidRPr="00616BA7">
        <w:rPr>
          <w:rFonts w:cstheme="minorHAnsi"/>
        </w:rPr>
        <w:t xml:space="preserve"> (Chambers &amp; Timlin, 2013).</w:t>
      </w:r>
      <w:r w:rsidRPr="00616BA7">
        <w:rPr>
          <w:rFonts w:cstheme="minorHAnsi"/>
        </w:rPr>
        <w:t xml:space="preserve"> Key terminology is usually displayed on the slide at this point so that pupils can learn the subject specific terminology. Subsequently, the new knowledge is then developed during the exposition where key terms are defined, and new knowledge is explored through questioning and examples</w:t>
      </w:r>
      <w:r w:rsidR="008C613B" w:rsidRPr="00616BA7">
        <w:rPr>
          <w:rFonts w:cstheme="minorHAnsi"/>
        </w:rPr>
        <w:t xml:space="preserve"> (Chambers &amp; Timlin, 2013</w:t>
      </w:r>
      <w:r w:rsidR="00D6417B" w:rsidRPr="00616BA7">
        <w:rPr>
          <w:rFonts w:cstheme="minorHAnsi"/>
        </w:rPr>
        <w:t>, Tanner &amp; Jones, 2000</w:t>
      </w:r>
      <w:r w:rsidR="007D7A8C" w:rsidRPr="00616BA7">
        <w:rPr>
          <w:rFonts w:cstheme="minorHAnsi"/>
        </w:rPr>
        <w:t>.</w:t>
      </w:r>
      <w:r w:rsidR="00D6417B" w:rsidRPr="00616BA7">
        <w:rPr>
          <w:rFonts w:cstheme="minorHAnsi"/>
        </w:rPr>
        <w:t xml:space="preserve"> Haggarty, 2002)</w:t>
      </w:r>
      <w:r w:rsidRPr="00616BA7">
        <w:rPr>
          <w:rFonts w:cstheme="minorHAnsi"/>
        </w:rPr>
        <w:t xml:space="preserve">. Pupils then get the opportunity to practice this knowledge with a task or worksheet. This knowledge it then consolidated in the starter activity the following lesson. </w:t>
      </w:r>
    </w:p>
    <w:p w14:paraId="31129108" w14:textId="77777777" w:rsidR="00DD3A5A" w:rsidRPr="00616BA7" w:rsidRDefault="00DD3A5A" w:rsidP="00DD3A5A">
      <w:pPr>
        <w:rPr>
          <w:rFonts w:cstheme="minorHAnsi"/>
          <w:u w:val="single"/>
        </w:rPr>
      </w:pPr>
    </w:p>
    <w:p w14:paraId="30529C00" w14:textId="77777777" w:rsidR="00DD3A5A" w:rsidRPr="00616BA7" w:rsidRDefault="00DD3A5A" w:rsidP="00DD3A5A">
      <w:pPr>
        <w:rPr>
          <w:rFonts w:cstheme="minorHAnsi"/>
          <w:u w:val="single"/>
        </w:rPr>
      </w:pPr>
      <w:r w:rsidRPr="00616BA7">
        <w:rPr>
          <w:rFonts w:cstheme="minorHAnsi"/>
          <w:u w:val="single"/>
        </w:rPr>
        <w:t>Lesson one - Probability Scales:</w:t>
      </w:r>
    </w:p>
    <w:p w14:paraId="6C377966" w14:textId="26DE9A8C" w:rsidR="00DD3A5A" w:rsidRPr="00616BA7" w:rsidRDefault="00DD3A5A" w:rsidP="00DD3A5A">
      <w:pPr>
        <w:rPr>
          <w:rFonts w:cstheme="minorHAnsi"/>
        </w:rPr>
      </w:pPr>
      <w:r w:rsidRPr="00616BA7">
        <w:rPr>
          <w:rFonts w:cstheme="minorHAnsi"/>
        </w:rPr>
        <w:t>Adhering to the school’s scheme of work, the first lesson looked at the concept of probability and introduced the likelihood scale to the pupils. My first activity of the lesson was for pupils to complete a think, pair, share activity which required them to define the term probability and the extension required them to think about how we measure the probability of an event happening. The starting activity allowed the pupils to develop their knowledge through discussion which is supported by Piaget’s learning behaviour of social constructivism</w:t>
      </w:r>
      <w:r w:rsidR="00266BFF" w:rsidRPr="00616BA7">
        <w:rPr>
          <w:rFonts w:cstheme="minorHAnsi"/>
        </w:rPr>
        <w:t xml:space="preserve"> (Piaget, 1975.</w:t>
      </w:r>
      <w:r w:rsidR="006B1299" w:rsidRPr="00616BA7">
        <w:rPr>
          <w:rFonts w:cstheme="minorHAnsi"/>
        </w:rPr>
        <w:t xml:space="preserve"> </w:t>
      </w:r>
      <w:r w:rsidR="00266BFF" w:rsidRPr="00616BA7">
        <w:rPr>
          <w:rFonts w:cstheme="minorHAnsi"/>
        </w:rPr>
        <w:t>Swan, 2001, Tanner &amp; Jones, 200</w:t>
      </w:r>
      <w:r w:rsidR="006B1299" w:rsidRPr="00616BA7">
        <w:rPr>
          <w:rFonts w:cstheme="minorHAnsi"/>
        </w:rPr>
        <w:t>0</w:t>
      </w:r>
      <w:r w:rsidR="00266BFF" w:rsidRPr="00616BA7">
        <w:rPr>
          <w:rFonts w:cstheme="minorHAnsi"/>
        </w:rPr>
        <w:t>)</w:t>
      </w:r>
      <w:r w:rsidR="006B1299" w:rsidRPr="00616BA7">
        <w:rPr>
          <w:rFonts w:cstheme="minorHAnsi"/>
        </w:rPr>
        <w:t>.</w:t>
      </w:r>
      <w:r w:rsidRPr="00616BA7">
        <w:rPr>
          <w:rFonts w:cstheme="minorHAnsi"/>
        </w:rPr>
        <w:t xml:space="preserve"> The ideas were mapped on the whiteboard which acted as a live learning board throughout the lesson. The live learning board is an effective tool to encourage pupil’s confidence and display the classes ideas. On reflection, all ideas are mapped onto the board some of which were incorrect. This means that some pupils could have picked up a misconception, this fear was discussed by Swan</w:t>
      </w:r>
      <w:r w:rsidR="006B1299" w:rsidRPr="00616BA7">
        <w:rPr>
          <w:rFonts w:cstheme="minorHAnsi"/>
        </w:rPr>
        <w:t xml:space="preserve"> (2001)</w:t>
      </w:r>
      <w:r w:rsidRPr="00616BA7">
        <w:rPr>
          <w:rFonts w:cstheme="minorHAnsi"/>
        </w:rPr>
        <w:t xml:space="preserve"> in my prior reading</w:t>
      </w:r>
      <w:r w:rsidR="002C70B0" w:rsidRPr="00616BA7">
        <w:rPr>
          <w:rFonts w:cstheme="minorHAnsi"/>
        </w:rPr>
        <w:t xml:space="preserve">. </w:t>
      </w:r>
      <w:r w:rsidRPr="00616BA7">
        <w:rPr>
          <w:rFonts w:cstheme="minorHAnsi"/>
        </w:rPr>
        <w:t xml:space="preserve">The concept of the likelihood scale was then discussed with the pupils and examples of events and their place on the likelihood scale where explored with the pupils. The use of examples allowed pupils to put their learning into context. Pupils then practiced their learning by discussing the place of other events with their partners. The live learning board was also updated and challenged with the pupil’s new knowledge. This activity worked </w:t>
      </w:r>
      <w:r w:rsidR="00616BA7" w:rsidRPr="00616BA7">
        <w:rPr>
          <w:rFonts w:cstheme="minorHAnsi"/>
        </w:rPr>
        <w:t>well</w:t>
      </w:r>
      <w:r w:rsidRPr="00616BA7">
        <w:rPr>
          <w:rFonts w:cstheme="minorHAnsi"/>
        </w:rPr>
        <w:t xml:space="preserve"> as it allowed pupils to evaluate their own learning</w:t>
      </w:r>
      <w:r w:rsidR="002C70B0" w:rsidRPr="00616BA7">
        <w:rPr>
          <w:rFonts w:cstheme="minorHAnsi"/>
        </w:rPr>
        <w:t>, this allows metacognition to arise (</w:t>
      </w:r>
      <w:r w:rsidR="00801EF3" w:rsidRPr="00616BA7">
        <w:rPr>
          <w:rFonts w:cstheme="minorHAnsi"/>
        </w:rPr>
        <w:t xml:space="preserve">Swan, 2001, Chambers &amp; Timlin, 2013). </w:t>
      </w:r>
      <w:r w:rsidRPr="00616BA7">
        <w:rPr>
          <w:rFonts w:cstheme="minorHAnsi"/>
        </w:rPr>
        <w:t xml:space="preserve">The pupils then chose and completed a worksheet of similar questions to practice and consolidate their learning. These worksheets were differentiated according to the lesson objectives colouring system so that pupils can self- differentiate and choose the most appropriate activity by evaluating their progress against the lesson objectives. This is scaffolded for the current low attainers </w:t>
      </w:r>
      <w:r w:rsidR="00C8434B" w:rsidRPr="00616BA7">
        <w:rPr>
          <w:rFonts w:cstheme="minorHAnsi"/>
        </w:rPr>
        <w:t>using</w:t>
      </w:r>
      <w:r w:rsidRPr="00616BA7">
        <w:rPr>
          <w:rFonts w:cstheme="minorHAnsi"/>
        </w:rPr>
        <w:t xml:space="preserve"> discussion</w:t>
      </w:r>
      <w:r w:rsidR="00C8434B" w:rsidRPr="00616BA7">
        <w:rPr>
          <w:rFonts w:cstheme="minorHAnsi"/>
        </w:rPr>
        <w:t xml:space="preserve"> (Chambers &amp; Timlin, 2013). </w:t>
      </w:r>
      <w:r w:rsidRPr="00616BA7">
        <w:rPr>
          <w:rFonts w:cstheme="minorHAnsi"/>
        </w:rPr>
        <w:t>The final activity of the lesson was a plenary activity which looked at an exam style question on likelihood scales which encouraged pupils to think about expressing probabilities numerically. The pupils progress was also evaluated against the lesson objectives. The plenary activity allows pupils</w:t>
      </w:r>
      <w:r w:rsidR="00C8434B" w:rsidRPr="00616BA7">
        <w:rPr>
          <w:rFonts w:cstheme="minorHAnsi"/>
        </w:rPr>
        <w:t xml:space="preserve"> and the teacher</w:t>
      </w:r>
      <w:r w:rsidRPr="00616BA7">
        <w:rPr>
          <w:rFonts w:cstheme="minorHAnsi"/>
        </w:rPr>
        <w:t xml:space="preserve"> to recognise their progress against the learning objectives. Upon reflection, the approach I </w:t>
      </w:r>
      <w:r w:rsidRPr="00616BA7">
        <w:rPr>
          <w:rFonts w:cstheme="minorHAnsi"/>
        </w:rPr>
        <w:lastRenderedPageBreak/>
        <w:t>took this lesson achieved the lesson objective, however during my exposition</w:t>
      </w:r>
      <w:r w:rsidR="00C8434B" w:rsidRPr="00616BA7">
        <w:rPr>
          <w:rFonts w:cstheme="minorHAnsi"/>
        </w:rPr>
        <w:t xml:space="preserve"> when</w:t>
      </w:r>
      <w:r w:rsidRPr="00616BA7">
        <w:rPr>
          <w:rFonts w:cstheme="minorHAnsi"/>
        </w:rPr>
        <w:t xml:space="preserve"> </w:t>
      </w:r>
      <w:r w:rsidR="00C8434B" w:rsidRPr="00616BA7">
        <w:rPr>
          <w:rFonts w:cstheme="minorHAnsi"/>
        </w:rPr>
        <w:t>discussing</w:t>
      </w:r>
      <w:r w:rsidRPr="00616BA7">
        <w:rPr>
          <w:rFonts w:cstheme="minorHAnsi"/>
        </w:rPr>
        <w:t xml:space="preserve"> examples and their place on the likelihood scale, I failed to highlight a key misconception that a pupil made to the class, the chance of sun or rain in the day is 0.5.  This meant I didn’t use one of the strateg</w:t>
      </w:r>
      <w:r w:rsidR="00C8434B" w:rsidRPr="00616BA7">
        <w:rPr>
          <w:rFonts w:cstheme="minorHAnsi"/>
        </w:rPr>
        <w:t xml:space="preserve">y of cognitive conflict </w:t>
      </w:r>
      <w:r w:rsidRPr="00616BA7">
        <w:rPr>
          <w:rFonts w:cstheme="minorHAnsi"/>
        </w:rPr>
        <w:t>discussed in my research as effectively as I could have done</w:t>
      </w:r>
      <w:r w:rsidR="004D408F" w:rsidRPr="00616BA7">
        <w:rPr>
          <w:rFonts w:cstheme="minorHAnsi"/>
        </w:rPr>
        <w:t xml:space="preserve"> (Swan, 2001). </w:t>
      </w:r>
    </w:p>
    <w:p w14:paraId="2739303F" w14:textId="77777777" w:rsidR="00DD3A5A" w:rsidRPr="00616BA7" w:rsidRDefault="00DD3A5A" w:rsidP="00DD3A5A">
      <w:pPr>
        <w:rPr>
          <w:rFonts w:cstheme="minorHAnsi"/>
        </w:rPr>
      </w:pPr>
    </w:p>
    <w:p w14:paraId="57FCB3D5" w14:textId="77777777" w:rsidR="00DD3A5A" w:rsidRPr="00616BA7" w:rsidRDefault="00DD3A5A" w:rsidP="00DD3A5A">
      <w:pPr>
        <w:rPr>
          <w:rFonts w:cstheme="minorHAnsi"/>
          <w:u w:val="single"/>
        </w:rPr>
      </w:pPr>
      <w:r w:rsidRPr="00616BA7">
        <w:rPr>
          <w:rFonts w:cstheme="minorHAnsi"/>
          <w:u w:val="single"/>
        </w:rPr>
        <w:t xml:space="preserve">Lesson Two: Expressing as a fraction </w:t>
      </w:r>
    </w:p>
    <w:p w14:paraId="148BCF25" w14:textId="6AB8A4A5" w:rsidR="00DD3A5A" w:rsidRPr="00616BA7" w:rsidRDefault="00DD3A5A" w:rsidP="00DD3A5A">
      <w:pPr>
        <w:rPr>
          <w:rFonts w:cstheme="minorHAnsi"/>
        </w:rPr>
      </w:pPr>
      <w:r w:rsidRPr="00616BA7">
        <w:rPr>
          <w:rFonts w:cstheme="minorHAnsi"/>
        </w:rPr>
        <w:t>The second lesson focussed on writing probabilities numerically. The starting activity revised the likelihood activity and illustrated its similarity to the probability scale. The nature of the activity allowed current low attaining pupils to revise and consolidate their knowledge of the previous lesson but also challenged the current high attaining pupils as it required them to map numerical probabilities on to the probability scale. The activity was successful in consolidating the knowledge of the pupils and successful at developing it</w:t>
      </w:r>
      <w:r w:rsidR="0091019D" w:rsidRPr="00616BA7">
        <w:rPr>
          <w:rFonts w:cstheme="minorHAnsi"/>
        </w:rPr>
        <w:t xml:space="preserve"> (Chambers &amp; Timlin, 2013. Swan, 2001. Tanner &amp; Jones, 2000). </w:t>
      </w:r>
      <w:r w:rsidRPr="00616BA7">
        <w:rPr>
          <w:rFonts w:cstheme="minorHAnsi"/>
        </w:rPr>
        <w:t xml:space="preserve"> The exposition discussed the knowledge gained from the starting activity which was that probabilities lie on a scale between zero and one and that probabilities can be written numerically as a fraction, decimal and a percentage. The knowledge of the pupils was then developed by looking at an example of flipping a coin where the pupil’s prior knowledge meant that they knew the answer. This allowed me to use blooms taxonomy to challenge the pupils understanding effectively </w:t>
      </w:r>
      <w:r w:rsidR="00763757" w:rsidRPr="00616BA7">
        <w:rPr>
          <w:rFonts w:cstheme="minorHAnsi"/>
        </w:rPr>
        <w:t>using</w:t>
      </w:r>
      <w:r w:rsidRPr="00616BA7">
        <w:rPr>
          <w:rFonts w:cstheme="minorHAnsi"/>
        </w:rPr>
        <w:t xml:space="preserve"> questioning</w:t>
      </w:r>
      <w:r w:rsidR="00763757" w:rsidRPr="00616BA7">
        <w:rPr>
          <w:rFonts w:cstheme="minorHAnsi"/>
        </w:rPr>
        <w:t xml:space="preserve"> (Anderson &amp; Krathwohl, 2001)</w:t>
      </w:r>
      <w:r w:rsidRPr="00616BA7">
        <w:rPr>
          <w:rFonts w:cstheme="minorHAnsi"/>
        </w:rPr>
        <w:t>. This worked well as the class where able to develop their conceptual understanding of the topic which built on prior knowledge</w:t>
      </w:r>
      <w:r w:rsidR="00763757" w:rsidRPr="00616BA7">
        <w:rPr>
          <w:rFonts w:cstheme="minorHAnsi"/>
        </w:rPr>
        <w:t xml:space="preserve"> (Haggarty</w:t>
      </w:r>
      <w:r w:rsidR="000E632A" w:rsidRPr="00616BA7">
        <w:rPr>
          <w:rFonts w:cstheme="minorHAnsi"/>
        </w:rPr>
        <w:t>, 2002</w:t>
      </w:r>
      <w:r w:rsidR="008D07F9" w:rsidRPr="00616BA7">
        <w:rPr>
          <w:rFonts w:cstheme="minorHAnsi"/>
        </w:rPr>
        <w:t>. Skemp, 1976).</w:t>
      </w:r>
      <w:r w:rsidR="00763757" w:rsidRPr="00616BA7">
        <w:rPr>
          <w:rFonts w:cstheme="minorHAnsi"/>
        </w:rPr>
        <w:t xml:space="preserve"> </w:t>
      </w:r>
      <w:r w:rsidRPr="00616BA7">
        <w:rPr>
          <w:rFonts w:cstheme="minorHAnsi"/>
        </w:rPr>
        <w:t xml:space="preserve"> The pupils could then write the probability of such an event as a fraction using the scale as a scaffold</w:t>
      </w:r>
      <w:r w:rsidR="0043271E" w:rsidRPr="00616BA7">
        <w:rPr>
          <w:rFonts w:cstheme="minorHAnsi"/>
        </w:rPr>
        <w:t xml:space="preserve"> (Franke, Kazemi</w:t>
      </w:r>
      <w:r w:rsidR="006217D5" w:rsidRPr="00616BA7">
        <w:rPr>
          <w:rFonts w:cstheme="minorHAnsi"/>
        </w:rPr>
        <w:t xml:space="preserve"> &amp;</w:t>
      </w:r>
      <w:r w:rsidR="0043271E" w:rsidRPr="00616BA7">
        <w:rPr>
          <w:rFonts w:cstheme="minorHAnsi"/>
        </w:rPr>
        <w:t xml:space="preserve"> </w:t>
      </w:r>
      <w:r w:rsidR="006217D5" w:rsidRPr="00616BA7">
        <w:rPr>
          <w:rFonts w:cstheme="minorHAnsi"/>
        </w:rPr>
        <w:t xml:space="preserve">Battey, 2007). </w:t>
      </w:r>
      <w:r w:rsidRPr="00616BA7">
        <w:rPr>
          <w:rFonts w:cstheme="minorHAnsi"/>
        </w:rPr>
        <w:t>I showed the class a formula which allows them to calculate the probability without the need of drawing a scale. This activity allowed the pupils to develop relational understanding rather than instrumental. This shows close links to my readings w</w:t>
      </w:r>
      <w:r w:rsidR="00F935CD" w:rsidRPr="00616BA7">
        <w:rPr>
          <w:rFonts w:cstheme="minorHAnsi"/>
        </w:rPr>
        <w:t>hich</w:t>
      </w:r>
      <w:r w:rsidRPr="00616BA7">
        <w:rPr>
          <w:rFonts w:cstheme="minorHAnsi"/>
        </w:rPr>
        <w:t xml:space="preserve"> discussed the effectiveness of conceptual understanding to remove and prevent misconceptions</w:t>
      </w:r>
      <w:r w:rsidR="00F935CD" w:rsidRPr="00616BA7">
        <w:rPr>
          <w:rFonts w:cstheme="minorHAnsi"/>
        </w:rPr>
        <w:t xml:space="preserve"> (Swan, 2001). </w:t>
      </w:r>
      <w:r w:rsidRPr="00616BA7">
        <w:rPr>
          <w:rFonts w:cstheme="minorHAnsi"/>
        </w:rPr>
        <w:t>The pupils then used the objectives to evaluate their learning and self- differentiate to choose a worksheet that was most appropriate to their current learning. The plenary activity was a question which looked at spinners and how to express the probability of an event using spinner. I used questioning based on blooms taxonomy as an effective technique to encourage metacognition to take place</w:t>
      </w:r>
      <w:r w:rsidR="00F935CD" w:rsidRPr="00616BA7">
        <w:rPr>
          <w:rFonts w:cstheme="minorHAnsi"/>
        </w:rPr>
        <w:t xml:space="preserve"> </w:t>
      </w:r>
      <w:r w:rsidR="00F52320" w:rsidRPr="00616BA7">
        <w:rPr>
          <w:rFonts w:cstheme="minorHAnsi"/>
        </w:rPr>
        <w:t xml:space="preserve">(Schneider &amp; Artelt, 2010). </w:t>
      </w:r>
      <w:r w:rsidR="00734A84" w:rsidRPr="00616BA7">
        <w:rPr>
          <w:rFonts w:cstheme="minorHAnsi"/>
        </w:rPr>
        <w:t xml:space="preserve"> Using the results from the pre-test, I highlighted the spinner </w:t>
      </w:r>
      <w:r w:rsidRPr="00616BA7">
        <w:rPr>
          <w:rFonts w:cstheme="minorHAnsi"/>
        </w:rPr>
        <w:t>misconception</w:t>
      </w:r>
      <w:r w:rsidR="00734A84" w:rsidRPr="00616BA7">
        <w:rPr>
          <w:rFonts w:cstheme="minorHAnsi"/>
        </w:rPr>
        <w:t xml:space="preserve"> and used</w:t>
      </w:r>
      <w:r w:rsidRPr="00616BA7">
        <w:rPr>
          <w:rFonts w:cstheme="minorHAnsi"/>
        </w:rPr>
        <w:t xml:space="preserve"> cognitive conflict </w:t>
      </w:r>
      <w:r w:rsidR="00734A84" w:rsidRPr="00616BA7">
        <w:rPr>
          <w:rFonts w:cstheme="minorHAnsi"/>
        </w:rPr>
        <w:t>to combat the misconception.</w:t>
      </w:r>
      <w:r w:rsidRPr="00616BA7">
        <w:rPr>
          <w:rFonts w:cstheme="minorHAnsi"/>
        </w:rPr>
        <w:t xml:space="preserve"> I used my lead learners to explain to me why the thinking of learner holding the misconception was incorrect</w:t>
      </w:r>
      <w:r w:rsidR="00734A84" w:rsidRPr="00616BA7">
        <w:rPr>
          <w:rFonts w:cstheme="minorHAnsi"/>
        </w:rPr>
        <w:t xml:space="preserve"> (Chambers &amp; Timlin, 2013. Swan</w:t>
      </w:r>
      <w:r w:rsidR="004D408F" w:rsidRPr="00616BA7">
        <w:rPr>
          <w:rFonts w:cstheme="minorHAnsi"/>
        </w:rPr>
        <w:t xml:space="preserve">, 2001. Askew &amp; William, 1995, </w:t>
      </w:r>
      <w:r w:rsidR="004D408F" w:rsidRPr="00616BA7">
        <w:rPr>
          <w:rFonts w:cstheme="minorHAnsi"/>
          <w:shd w:val="clear" w:color="auto" w:fill="FFFFFF"/>
        </w:rPr>
        <w:t>Reynolds</w:t>
      </w:r>
      <w:r w:rsidR="004D408F" w:rsidRPr="00616BA7">
        <w:rPr>
          <w:rFonts w:cstheme="minorHAnsi"/>
          <w:color w:val="006621"/>
          <w:shd w:val="clear" w:color="auto" w:fill="FFFFFF"/>
        </w:rPr>
        <w:t xml:space="preserve"> </w:t>
      </w:r>
      <w:r w:rsidR="004D408F" w:rsidRPr="00616BA7">
        <w:rPr>
          <w:rFonts w:cstheme="minorHAnsi"/>
          <w:shd w:val="clear" w:color="auto" w:fill="FFFFFF"/>
        </w:rPr>
        <w:t>&amp;</w:t>
      </w:r>
      <w:r w:rsidR="004D408F" w:rsidRPr="00616BA7">
        <w:rPr>
          <w:rFonts w:cstheme="minorHAnsi"/>
          <w:color w:val="006621"/>
          <w:shd w:val="clear" w:color="auto" w:fill="FFFFFF"/>
        </w:rPr>
        <w:t> </w:t>
      </w:r>
      <w:r w:rsidR="004D408F" w:rsidRPr="00616BA7">
        <w:rPr>
          <w:rFonts w:cstheme="minorHAnsi"/>
          <w:shd w:val="clear" w:color="auto" w:fill="FFFFFF"/>
        </w:rPr>
        <w:t>Muijs</w:t>
      </w:r>
      <w:r w:rsidR="004D408F" w:rsidRPr="00616BA7">
        <w:rPr>
          <w:rFonts w:cstheme="minorHAnsi"/>
        </w:rPr>
        <w:t>, 1999)</w:t>
      </w:r>
    </w:p>
    <w:p w14:paraId="52966CF9" w14:textId="77777777" w:rsidR="00DD3A5A" w:rsidRPr="00616BA7" w:rsidRDefault="00DD3A5A" w:rsidP="00DD3A5A">
      <w:pPr>
        <w:rPr>
          <w:rFonts w:cstheme="minorHAnsi"/>
          <w:u w:val="single"/>
        </w:rPr>
      </w:pPr>
    </w:p>
    <w:p w14:paraId="6FDF5E93" w14:textId="77777777" w:rsidR="00DD3A5A" w:rsidRPr="00616BA7" w:rsidRDefault="00DD3A5A" w:rsidP="00DD3A5A">
      <w:pPr>
        <w:rPr>
          <w:rFonts w:cstheme="minorHAnsi"/>
          <w:u w:val="single"/>
        </w:rPr>
      </w:pPr>
      <w:r w:rsidRPr="00616BA7">
        <w:rPr>
          <w:rFonts w:cstheme="minorHAnsi"/>
          <w:u w:val="single"/>
        </w:rPr>
        <w:t>Lesson Three: Listing Outcomes</w:t>
      </w:r>
    </w:p>
    <w:p w14:paraId="673C309A" w14:textId="469BEA85" w:rsidR="00DD3A5A" w:rsidRPr="00616BA7" w:rsidRDefault="00DD3A5A" w:rsidP="00DD3A5A">
      <w:pPr>
        <w:rPr>
          <w:rFonts w:cstheme="minorHAnsi"/>
        </w:rPr>
      </w:pPr>
      <w:r w:rsidRPr="00616BA7">
        <w:rPr>
          <w:rFonts w:cstheme="minorHAnsi"/>
        </w:rPr>
        <w:t>This lesson looked at the concept of listing outcomes to find the probability of more than one event occurring. The starting activity required pupils to revise the knowledge of the previous lesson of expressing probabilities as fractions. This was an effective consolidation task for the pupils as it revised the knowledge they needed for this lesson</w:t>
      </w:r>
      <w:r w:rsidR="00F42EFF" w:rsidRPr="00616BA7">
        <w:rPr>
          <w:rFonts w:cstheme="minorHAnsi"/>
        </w:rPr>
        <w:t xml:space="preserve">. (Chambers &amp; Timlin, 2013). </w:t>
      </w:r>
      <w:r w:rsidRPr="00616BA7">
        <w:rPr>
          <w:rFonts w:cstheme="minorHAnsi"/>
        </w:rPr>
        <w:t>The starting activity also challenged the knowledge of the high attaining pupils as it required them to build on this knowledge and think about listing outcomes and mutually exclusivity prior to the teaching of the topic</w:t>
      </w:r>
      <w:r w:rsidR="00F42EFF" w:rsidRPr="00616BA7">
        <w:rPr>
          <w:rFonts w:cstheme="minorHAnsi"/>
        </w:rPr>
        <w:t xml:space="preserve"> (</w:t>
      </w:r>
      <w:r w:rsidR="009D2B87" w:rsidRPr="00616BA7">
        <w:rPr>
          <w:rFonts w:cstheme="minorHAnsi"/>
        </w:rPr>
        <w:t>Haggarty, 2002).</w:t>
      </w:r>
      <w:r w:rsidRPr="00616BA7">
        <w:rPr>
          <w:rFonts w:cstheme="minorHAnsi"/>
        </w:rPr>
        <w:t xml:space="preserve"> The exposition looked at a familiar example of flipping two fair coin. I used questioning to encourage pupils to list the outcomes and see the outcomes where they would be successful with obtaining </w:t>
      </w:r>
      <w:r w:rsidRPr="00616BA7">
        <w:rPr>
          <w:rFonts w:cstheme="minorHAnsi"/>
        </w:rPr>
        <w:lastRenderedPageBreak/>
        <w:t>two heads</w:t>
      </w:r>
      <w:r w:rsidR="009D2B87" w:rsidRPr="00616BA7">
        <w:rPr>
          <w:rFonts w:cstheme="minorHAnsi"/>
        </w:rPr>
        <w:t xml:space="preserve"> (Anderson &amp; Krathwohl</w:t>
      </w:r>
      <w:r w:rsidR="00A41F09" w:rsidRPr="00616BA7">
        <w:rPr>
          <w:rFonts w:cstheme="minorHAnsi"/>
        </w:rPr>
        <w:t>, 2001)</w:t>
      </w:r>
      <w:r w:rsidRPr="00616BA7">
        <w:rPr>
          <w:rFonts w:cstheme="minorHAnsi"/>
        </w:rPr>
        <w:t>. The example provided the opportunity to discuss two methods with the pupils of finding the probabilities of combined events. Upon reflection and discussion with my mentor, I can see that I failed to teach this element relationally and didn’t discuss my reasoning behind my second method of multiplying the probabilities</w:t>
      </w:r>
      <w:r w:rsidR="00A41F09" w:rsidRPr="00616BA7">
        <w:rPr>
          <w:rFonts w:cstheme="minorHAnsi"/>
        </w:rPr>
        <w:t xml:space="preserve"> (Skemp, </w:t>
      </w:r>
      <w:r w:rsidR="007C4E17" w:rsidRPr="00616BA7">
        <w:rPr>
          <w:rFonts w:cstheme="minorHAnsi"/>
        </w:rPr>
        <w:t>1</w:t>
      </w:r>
      <w:r w:rsidR="00A41F09" w:rsidRPr="00616BA7">
        <w:rPr>
          <w:rFonts w:cstheme="minorHAnsi"/>
        </w:rPr>
        <w:t>976)</w:t>
      </w:r>
      <w:r w:rsidR="00D30A6C" w:rsidRPr="00616BA7">
        <w:rPr>
          <w:rFonts w:cstheme="minorHAnsi"/>
        </w:rPr>
        <w:t xml:space="preserve">. </w:t>
      </w:r>
      <w:r w:rsidRPr="00616BA7">
        <w:rPr>
          <w:rFonts w:cstheme="minorHAnsi"/>
        </w:rPr>
        <w:t xml:space="preserve"> I had the opportunity to discuss independent events and the “and rule” with the pupils. The use of the second method also steered pupils away from my lesson objective which was to list outcomes to find the probability of the outcome. The differentiated worksheets were constructed well and built on the knowledge of the exposition and the super challenge worksheet also pushed the current high attainer’s and MAT pupils</w:t>
      </w:r>
      <w:r w:rsidR="00D30A6C" w:rsidRPr="00616BA7">
        <w:rPr>
          <w:rFonts w:cstheme="minorHAnsi"/>
        </w:rPr>
        <w:t xml:space="preserve"> (Tanner &amp; Jones, 2000. Chambers &amp; Timlin, 2013). </w:t>
      </w:r>
      <w:r w:rsidRPr="00616BA7">
        <w:rPr>
          <w:rFonts w:cstheme="minorHAnsi"/>
        </w:rPr>
        <w:t>Upon reflection this task would have been more successful had my explanations in the exposition had been focused on developing relational understanding</w:t>
      </w:r>
      <w:r w:rsidR="00D30A6C" w:rsidRPr="00616BA7">
        <w:rPr>
          <w:rFonts w:cstheme="minorHAnsi"/>
        </w:rPr>
        <w:t xml:space="preserve"> (Skemp, 1</w:t>
      </w:r>
      <w:r w:rsidR="007C4E17" w:rsidRPr="00616BA7">
        <w:rPr>
          <w:rFonts w:cstheme="minorHAnsi"/>
        </w:rPr>
        <w:t>976)</w:t>
      </w:r>
      <w:r w:rsidRPr="00616BA7">
        <w:rPr>
          <w:rFonts w:cstheme="minorHAnsi"/>
        </w:rPr>
        <w:t>. The lessons activities over ran which meant that pupils did not have the opportunity to reflect on their own thinking and learning, this meant that there was a failure of metacognition to take place</w:t>
      </w:r>
      <w:r w:rsidR="007C4E17" w:rsidRPr="00616BA7">
        <w:rPr>
          <w:rFonts w:cstheme="minorHAnsi"/>
        </w:rPr>
        <w:t xml:space="preserve"> (Swan, 2001. Askew &amp; William, 1995, </w:t>
      </w:r>
      <w:r w:rsidR="007C4E17" w:rsidRPr="00616BA7">
        <w:rPr>
          <w:rFonts w:cstheme="minorHAnsi"/>
          <w:shd w:val="clear" w:color="auto" w:fill="FFFFFF"/>
        </w:rPr>
        <w:t>Reynolds</w:t>
      </w:r>
      <w:r w:rsidR="007C4E17" w:rsidRPr="00616BA7">
        <w:rPr>
          <w:rFonts w:cstheme="minorHAnsi"/>
          <w:color w:val="006621"/>
          <w:shd w:val="clear" w:color="auto" w:fill="FFFFFF"/>
        </w:rPr>
        <w:t xml:space="preserve"> </w:t>
      </w:r>
      <w:r w:rsidR="007C4E17" w:rsidRPr="00616BA7">
        <w:rPr>
          <w:rFonts w:cstheme="minorHAnsi"/>
          <w:shd w:val="clear" w:color="auto" w:fill="FFFFFF"/>
        </w:rPr>
        <w:t>&amp;</w:t>
      </w:r>
      <w:r w:rsidR="007C4E17" w:rsidRPr="00616BA7">
        <w:rPr>
          <w:rFonts w:cstheme="minorHAnsi"/>
          <w:color w:val="006621"/>
          <w:shd w:val="clear" w:color="auto" w:fill="FFFFFF"/>
        </w:rPr>
        <w:t> </w:t>
      </w:r>
      <w:r w:rsidR="007C4E17" w:rsidRPr="00616BA7">
        <w:rPr>
          <w:rFonts w:cstheme="minorHAnsi"/>
          <w:shd w:val="clear" w:color="auto" w:fill="FFFFFF"/>
        </w:rPr>
        <w:t>Muijs</w:t>
      </w:r>
      <w:r w:rsidR="007C4E17" w:rsidRPr="00616BA7">
        <w:rPr>
          <w:rFonts w:cstheme="minorHAnsi"/>
        </w:rPr>
        <w:t>, 1999)</w:t>
      </w:r>
    </w:p>
    <w:p w14:paraId="0B215FE3" w14:textId="77777777" w:rsidR="00DD3A5A" w:rsidRPr="00616BA7" w:rsidRDefault="00DD3A5A" w:rsidP="00DD3A5A">
      <w:pPr>
        <w:rPr>
          <w:rFonts w:cstheme="minorHAnsi"/>
        </w:rPr>
      </w:pPr>
    </w:p>
    <w:p w14:paraId="1A683613" w14:textId="77777777" w:rsidR="00DD3A5A" w:rsidRPr="00616BA7" w:rsidRDefault="00DD3A5A" w:rsidP="00DD3A5A">
      <w:pPr>
        <w:rPr>
          <w:rFonts w:cstheme="minorHAnsi"/>
          <w:u w:val="single"/>
        </w:rPr>
      </w:pPr>
      <w:r w:rsidRPr="00616BA7">
        <w:rPr>
          <w:rFonts w:cstheme="minorHAnsi"/>
          <w:u w:val="single"/>
        </w:rPr>
        <w:t>Lesson Four: Estimating Successes</w:t>
      </w:r>
    </w:p>
    <w:p w14:paraId="2C9DE1B0" w14:textId="3FE7E7F1" w:rsidR="006208A1" w:rsidRPr="00616BA7" w:rsidRDefault="00DD3A5A" w:rsidP="006208A1">
      <w:pPr>
        <w:rPr>
          <w:rFonts w:cstheme="minorHAnsi"/>
        </w:rPr>
      </w:pPr>
      <w:r w:rsidRPr="00616BA7">
        <w:rPr>
          <w:rFonts w:cstheme="minorHAnsi"/>
        </w:rPr>
        <w:t>This lesson focussed on the concept of estimating the number of successes of an outcome. The starting activity was a GCSE style question which required pupils to reflect on their current knowledge of probability. Most pupils over complicated the activity and did</w:t>
      </w:r>
      <w:r w:rsidR="007C4E17" w:rsidRPr="00616BA7">
        <w:rPr>
          <w:rFonts w:cstheme="minorHAnsi"/>
        </w:rPr>
        <w:t xml:space="preserve"> no</w:t>
      </w:r>
      <w:r w:rsidRPr="00616BA7">
        <w:rPr>
          <w:rFonts w:cstheme="minorHAnsi"/>
        </w:rPr>
        <w:t xml:space="preserve">t read the question correctly. This meant that most pupils didn’t achieve the objective of the activity. In the future, I will highlight key words and use scaffolding so that all pupils can access the activity. The exposition first looked at a familiar example of flipping a coin so that pupils could build on their knowledge and gain relational understanding. Questioning was used to develop this understanding. This example then allowed the whole class to develop a formula for how to calculate the estimated success of an outcome. The pupils then had the opportunity to test their knowledge in a similar example. This allowed pupils to consolidate their learning from the exposition and map their understanding against the learning objectives prior to self-differentiating. </w:t>
      </w:r>
      <w:r w:rsidR="007C4E17" w:rsidRPr="00616BA7">
        <w:rPr>
          <w:rFonts w:cstheme="minorHAnsi"/>
        </w:rPr>
        <w:t>Overall</w:t>
      </w:r>
      <w:r w:rsidRPr="00616BA7">
        <w:rPr>
          <w:rFonts w:cstheme="minorHAnsi"/>
        </w:rPr>
        <w:t>, the differentiated worksheet tasks lacked an appropriate level of challenge for the high attaining pupils. Upon reflection with my mentor prior to the lesson the resources didn’t consolidate the learning from the exposition and didn’t challenge the learning of the pupils. The plenary activity was designed to specifically target misconceptions through metacognition and cognitive conflict. Pupils had to reflect and challenge their own learning and say how the “pupil” had made the mistake. The pupils had to discuss their reasoning and challenge the ideas of others and develop the understanding of their peers with their own reasoning. This was a successful strategy in combatting any misconceptions gained from the pupils and consolidated their current learning of the topic</w:t>
      </w:r>
      <w:r w:rsidR="006208A1" w:rsidRPr="00616BA7">
        <w:rPr>
          <w:rFonts w:cstheme="minorHAnsi"/>
        </w:rPr>
        <w:t xml:space="preserve"> (Chambers &amp; Timlin, 2013. Swan, 2001. Askew &amp; William, 1995, </w:t>
      </w:r>
      <w:r w:rsidR="006208A1" w:rsidRPr="00616BA7">
        <w:rPr>
          <w:rFonts w:cstheme="minorHAnsi"/>
          <w:shd w:val="clear" w:color="auto" w:fill="FFFFFF"/>
        </w:rPr>
        <w:t>Reynolds</w:t>
      </w:r>
      <w:r w:rsidR="006208A1" w:rsidRPr="00616BA7">
        <w:rPr>
          <w:rFonts w:cstheme="minorHAnsi"/>
          <w:color w:val="006621"/>
          <w:shd w:val="clear" w:color="auto" w:fill="FFFFFF"/>
        </w:rPr>
        <w:t xml:space="preserve"> </w:t>
      </w:r>
      <w:r w:rsidR="006208A1" w:rsidRPr="00616BA7">
        <w:rPr>
          <w:rFonts w:cstheme="minorHAnsi"/>
          <w:shd w:val="clear" w:color="auto" w:fill="FFFFFF"/>
        </w:rPr>
        <w:t>&amp;</w:t>
      </w:r>
      <w:r w:rsidR="006208A1" w:rsidRPr="00616BA7">
        <w:rPr>
          <w:rFonts w:cstheme="minorHAnsi"/>
          <w:color w:val="006621"/>
          <w:shd w:val="clear" w:color="auto" w:fill="FFFFFF"/>
        </w:rPr>
        <w:t> </w:t>
      </w:r>
      <w:r w:rsidR="006208A1" w:rsidRPr="00616BA7">
        <w:rPr>
          <w:rFonts w:cstheme="minorHAnsi"/>
          <w:shd w:val="clear" w:color="auto" w:fill="FFFFFF"/>
        </w:rPr>
        <w:t>Muijs</w:t>
      </w:r>
      <w:r w:rsidR="006208A1" w:rsidRPr="00616BA7">
        <w:rPr>
          <w:rFonts w:cstheme="minorHAnsi"/>
        </w:rPr>
        <w:t>, 1999)</w:t>
      </w:r>
    </w:p>
    <w:p w14:paraId="2AEF29A1" w14:textId="0AB71499" w:rsidR="00DD3A5A" w:rsidRPr="00616BA7" w:rsidRDefault="00DD3A5A" w:rsidP="00DD3A5A">
      <w:pPr>
        <w:rPr>
          <w:rFonts w:cstheme="minorHAnsi"/>
        </w:rPr>
      </w:pPr>
    </w:p>
    <w:p w14:paraId="341CDE34" w14:textId="77777777" w:rsidR="00DD3A5A" w:rsidRPr="00616BA7" w:rsidRDefault="00DD3A5A" w:rsidP="00DD3A5A">
      <w:pPr>
        <w:rPr>
          <w:rFonts w:cstheme="minorHAnsi"/>
        </w:rPr>
      </w:pPr>
    </w:p>
    <w:p w14:paraId="52854D20" w14:textId="77777777" w:rsidR="00DD3A5A" w:rsidRPr="00616BA7" w:rsidRDefault="00DD3A5A" w:rsidP="00DD3A5A">
      <w:pPr>
        <w:rPr>
          <w:rFonts w:cstheme="minorHAnsi"/>
          <w:u w:val="single"/>
        </w:rPr>
      </w:pPr>
      <w:r w:rsidRPr="00616BA7">
        <w:rPr>
          <w:rFonts w:cstheme="minorHAnsi"/>
          <w:u w:val="single"/>
        </w:rPr>
        <w:t>Lesson Five: Sample Spaces</w:t>
      </w:r>
    </w:p>
    <w:p w14:paraId="39FA589C" w14:textId="462AF8F1" w:rsidR="00E33DD1" w:rsidRDefault="00DD3A5A" w:rsidP="00DD3A5A">
      <w:pPr>
        <w:rPr>
          <w:rFonts w:cstheme="minorHAnsi"/>
        </w:rPr>
      </w:pPr>
      <w:r w:rsidRPr="00616BA7">
        <w:rPr>
          <w:rFonts w:cstheme="minorHAnsi"/>
        </w:rPr>
        <w:t>The use of a sample space diagram was developed from the pupil’s prior knowledge of listing outcomes. I had planned to use the example of flipping two coins as a foundation for developing the notion of a sample space diagram. This had the intention of developing the pupil’s prior knowledge and promoting relational understanding of the topic</w:t>
      </w:r>
      <w:r w:rsidR="006208A1" w:rsidRPr="00616BA7">
        <w:rPr>
          <w:rFonts w:cstheme="minorHAnsi"/>
        </w:rPr>
        <w:t xml:space="preserve"> (Haggarty, 2002).</w:t>
      </w:r>
      <w:r w:rsidRPr="00616BA7">
        <w:rPr>
          <w:rFonts w:cstheme="minorHAnsi"/>
        </w:rPr>
        <w:t xml:space="preserve"> The activity then required the pupils to complete their own sample space diagram in </w:t>
      </w:r>
      <w:r w:rsidRPr="00616BA7">
        <w:rPr>
          <w:rFonts w:cstheme="minorHAnsi"/>
        </w:rPr>
        <w:lastRenderedPageBreak/>
        <w:t>stages. This meant that I could monitor their progress at each step and intervene when necessary to prevent any misconceptions taking place</w:t>
      </w:r>
      <w:r w:rsidR="002B7E9E" w:rsidRPr="00616BA7">
        <w:rPr>
          <w:rFonts w:cstheme="minorHAnsi"/>
        </w:rPr>
        <w:t xml:space="preserve">. </w:t>
      </w:r>
      <w:r w:rsidRPr="00616BA7">
        <w:rPr>
          <w:rFonts w:cstheme="minorHAnsi"/>
        </w:rPr>
        <w:t>The plan was to show the pupils how to interpret the diagram and find the probabilities of combined events. The pupils then had a worksheet to complete on drawing and interpreting sample space diagrams. The worksheet tasks were differentiated according to the lesson objectives so that the pupils could choose the questions most appropriate to progress their learning. The plenary activity which reflected on the sample space for rolling two dice consolidated the learning for the lesson and this was going to be used as a measure against the learning objectives. The plenary activity was where I had planned to use cognitive conflict and metacognition as a tool to target a common misconception.</w:t>
      </w:r>
      <w:r w:rsidR="004E2F6B">
        <w:rPr>
          <w:rFonts w:cstheme="minorHAnsi"/>
        </w:rPr>
        <w:t xml:space="preserve"> </w:t>
      </w:r>
      <w:r w:rsidR="004E2F6B" w:rsidRPr="00616BA7">
        <w:rPr>
          <w:rFonts w:cstheme="minorHAnsi"/>
        </w:rPr>
        <w:t>(</w:t>
      </w:r>
      <w:r w:rsidR="004E2F6B">
        <w:rPr>
          <w:rFonts w:cstheme="minorHAnsi"/>
        </w:rPr>
        <w:t xml:space="preserve">Tanner &amp; Jones, 2000. </w:t>
      </w:r>
      <w:r w:rsidR="004E2F6B" w:rsidRPr="00616BA7">
        <w:rPr>
          <w:rFonts w:cstheme="minorHAnsi"/>
        </w:rPr>
        <w:t xml:space="preserve">Chambers &amp; Timlin, 2013. Swan, 2001. Askew &amp; William, 1995, </w:t>
      </w:r>
      <w:r w:rsidR="004E2F6B" w:rsidRPr="00616BA7">
        <w:rPr>
          <w:rFonts w:cstheme="minorHAnsi"/>
          <w:shd w:val="clear" w:color="auto" w:fill="FFFFFF"/>
        </w:rPr>
        <w:t>Reynolds</w:t>
      </w:r>
      <w:r w:rsidR="004E2F6B" w:rsidRPr="00616BA7">
        <w:rPr>
          <w:rFonts w:cstheme="minorHAnsi"/>
          <w:color w:val="006621"/>
          <w:shd w:val="clear" w:color="auto" w:fill="FFFFFF"/>
        </w:rPr>
        <w:t xml:space="preserve"> </w:t>
      </w:r>
      <w:r w:rsidR="004E2F6B" w:rsidRPr="00616BA7">
        <w:rPr>
          <w:rFonts w:cstheme="minorHAnsi"/>
          <w:shd w:val="clear" w:color="auto" w:fill="FFFFFF"/>
        </w:rPr>
        <w:t>&amp;</w:t>
      </w:r>
      <w:r w:rsidR="004E2F6B" w:rsidRPr="00616BA7">
        <w:rPr>
          <w:rFonts w:cstheme="minorHAnsi"/>
          <w:color w:val="006621"/>
          <w:shd w:val="clear" w:color="auto" w:fill="FFFFFF"/>
        </w:rPr>
        <w:t> </w:t>
      </w:r>
      <w:r w:rsidR="004E2F6B" w:rsidRPr="00616BA7">
        <w:rPr>
          <w:rFonts w:cstheme="minorHAnsi"/>
          <w:shd w:val="clear" w:color="auto" w:fill="FFFFFF"/>
        </w:rPr>
        <w:t>Muijs</w:t>
      </w:r>
      <w:r w:rsidR="004E2F6B" w:rsidRPr="00616BA7">
        <w:rPr>
          <w:rFonts w:cstheme="minorHAnsi"/>
        </w:rPr>
        <w:t>, 1999)</w:t>
      </w:r>
      <w:r w:rsidR="004E2F6B">
        <w:rPr>
          <w:rFonts w:cstheme="minorHAnsi"/>
        </w:rPr>
        <w:t xml:space="preserve"> </w:t>
      </w:r>
      <w:r w:rsidRPr="00616BA7">
        <w:rPr>
          <w:rFonts w:cstheme="minorHAnsi"/>
        </w:rPr>
        <w:t>Unfortunately, I was absent for this lesson which meant that the intervention I had planned could not take place as the teacher who covered the lesson decided to do something different to what I had planned.</w:t>
      </w:r>
      <w:r w:rsidR="004E2F6B">
        <w:rPr>
          <w:rFonts w:cstheme="minorHAnsi"/>
        </w:rPr>
        <w:t xml:space="preserve"> </w:t>
      </w:r>
    </w:p>
    <w:p w14:paraId="799D1F59" w14:textId="77777777" w:rsidR="00EC5872" w:rsidRPr="00616BA7" w:rsidRDefault="00EC5872" w:rsidP="00DD3A5A">
      <w:pPr>
        <w:rPr>
          <w:rFonts w:cstheme="minorHAnsi"/>
        </w:rPr>
      </w:pPr>
    </w:p>
    <w:p w14:paraId="5AD4CFBD" w14:textId="77777777" w:rsidR="00DD3A5A" w:rsidRPr="00616BA7" w:rsidRDefault="00DD3A5A" w:rsidP="00DD3A5A">
      <w:pPr>
        <w:rPr>
          <w:rFonts w:cstheme="minorHAnsi"/>
          <w:u w:val="single"/>
        </w:rPr>
      </w:pPr>
      <w:r w:rsidRPr="00616BA7">
        <w:rPr>
          <w:rFonts w:cstheme="minorHAnsi"/>
          <w:u w:val="single"/>
        </w:rPr>
        <w:t>Results:</w:t>
      </w:r>
    </w:p>
    <w:p w14:paraId="31327A2D" w14:textId="77777777" w:rsidR="00DD3A5A" w:rsidRPr="00616BA7" w:rsidRDefault="00DD3A5A" w:rsidP="00DD3A5A">
      <w:pPr>
        <w:rPr>
          <w:rFonts w:cstheme="minorHAnsi"/>
        </w:rPr>
      </w:pPr>
      <w:r w:rsidRPr="00616BA7">
        <w:rPr>
          <w:rFonts w:cstheme="minorHAnsi"/>
        </w:rPr>
        <w:t>I will now explore the results from the pre and post-test. The following figure displays the average mark for both tests per question:</w:t>
      </w:r>
    </w:p>
    <w:p w14:paraId="00AFF058" w14:textId="77777777" w:rsidR="00EC5872" w:rsidRDefault="00DD3A5A" w:rsidP="00EC5872">
      <w:pPr>
        <w:keepNext/>
      </w:pPr>
      <w:r w:rsidRPr="00616BA7">
        <w:rPr>
          <w:rFonts w:cstheme="minorHAnsi"/>
          <w:noProof/>
          <w:lang w:eastAsia="en-GB"/>
        </w:rPr>
        <w:drawing>
          <wp:inline distT="0" distB="0" distL="0" distR="0" wp14:anchorId="6B3E4B2A" wp14:editId="4FD684EA">
            <wp:extent cx="5727700" cy="3449955"/>
            <wp:effectExtent l="0" t="0" r="6350" b="17145"/>
            <wp:docPr id="3" name="Chart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46E556D-82C1-4F62-A2E1-DDCA8FA7D6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85D521" w14:textId="1FB4B9EF" w:rsidR="00DD3A5A" w:rsidRPr="00616BA7" w:rsidRDefault="00EC5872" w:rsidP="00EC5872">
      <w:pPr>
        <w:pStyle w:val="Caption"/>
        <w:rPr>
          <w:rFonts w:cstheme="minorHAnsi"/>
        </w:rPr>
      </w:pPr>
      <w:r>
        <w:t xml:space="preserve">Figure </w:t>
      </w:r>
      <w:fldSimple w:instr=" SEQ Figure \* ARABIC ">
        <w:r>
          <w:rPr>
            <w:noProof/>
          </w:rPr>
          <w:t>2</w:t>
        </w:r>
      </w:fldSimple>
      <w:r>
        <w:t xml:space="preserve"> A graph to show the average mark per question for the Pre and Post - Test</w:t>
      </w:r>
    </w:p>
    <w:p w14:paraId="414E4973" w14:textId="77777777" w:rsidR="00DD3A5A" w:rsidRPr="00616BA7" w:rsidRDefault="00DD3A5A" w:rsidP="00DD3A5A">
      <w:pPr>
        <w:rPr>
          <w:rFonts w:cstheme="minorHAnsi"/>
        </w:rPr>
      </w:pPr>
    </w:p>
    <w:p w14:paraId="7364A15B" w14:textId="77777777" w:rsidR="00DD3A5A" w:rsidRPr="00616BA7" w:rsidRDefault="00DD3A5A" w:rsidP="00DD3A5A">
      <w:pPr>
        <w:rPr>
          <w:rFonts w:cstheme="minorHAnsi"/>
        </w:rPr>
      </w:pPr>
      <w:r w:rsidRPr="00616BA7">
        <w:rPr>
          <w:rFonts w:cstheme="minorHAnsi"/>
        </w:rPr>
        <w:t xml:space="preserve">The results from the pre-test illustrated the wide range of ability within the classroom. The highest mark was 9/10 and the lowest was 1/10 showing a range of 8 marks. This meant that some current high attainer’s had very few misconceptions whilst others had most of the misconceptions discussed in the literature review. The mean mark for the class was 50% however due to the wide range of marks this doesn’t truly represent the ability of the class. The question that scored the highest on the Pre-test was question one with 66% answering the first part correctly and 75% answering the second part correctly. This implies that the 66% of the class do not hold the misconception surrounding spinners and 75% identified the angle correctly on the spinner and could express the probability based on this. The question </w:t>
      </w:r>
      <w:r w:rsidRPr="00616BA7">
        <w:rPr>
          <w:rFonts w:cstheme="minorHAnsi"/>
        </w:rPr>
        <w:lastRenderedPageBreak/>
        <w:t xml:space="preserve">that scored the lowest was question 5 with a percentage of 13% answering correctly. This infers that either most pupils lacked the conceptual understanding to answer the question correctly or held the misconception that all outcomes were equally likely. This is supported by the fact that 82% of pupils chose this option of equally likely over the correct answer. Another question that had a large percentage of pupils answering incorrectly was question 4a, 69% pupils failed to express the probability correctly and wrote the total outcomes as three ignoring the number of marbles in the bag and just counted the colours. This shows a complete lack of conceptual understanding surrounding probability and a further misconception surrounding fractions. 50% of pupils answered question 4b correctly but few answered this correctly with the wrong understanding which was shown in part a of the question. These pupils observed that there were zero orange and deduced the probability from that. </w:t>
      </w:r>
    </w:p>
    <w:p w14:paraId="768F256E" w14:textId="77777777" w:rsidR="00DD3A5A" w:rsidRPr="00616BA7" w:rsidRDefault="00DD3A5A" w:rsidP="00DD3A5A">
      <w:pPr>
        <w:rPr>
          <w:rFonts w:cstheme="minorHAnsi"/>
          <w:highlight w:val="yellow"/>
        </w:rPr>
      </w:pPr>
    </w:p>
    <w:p w14:paraId="6C9BD316" w14:textId="10C635F7" w:rsidR="00DD3A5A" w:rsidRDefault="00DD3A5A" w:rsidP="00DD3A5A">
      <w:pPr>
        <w:rPr>
          <w:rFonts w:cstheme="minorHAnsi"/>
        </w:rPr>
      </w:pPr>
      <w:r w:rsidRPr="00616BA7">
        <w:rPr>
          <w:rFonts w:cstheme="minorHAnsi"/>
        </w:rPr>
        <w:t>The results from the post -test support the intervention overall. Only two pupils out of 32 pupils had scores that decreased in comparison to the pre-test. Most pupils went up an average of 3 marks, with one learner increasing by 7 marks. The mean mark for the post test was 81%. The lowest mark was 5/10 and the highest mark was 10/10 showing there to be a range of five marks. The question that showed the largest gain was question 4a with 88% of pupils now answering this question correctly in comparison to 31% initially getting this question correct. This shows that these pupils have gained conceptual understanding and can know express probabilities numerically. Another question that made a large increase was question 3. Initially, 41% of pupils answered question 3a correctly, holding the misconception that some numbers were “</w:t>
      </w:r>
      <w:r w:rsidR="00616BA7" w:rsidRPr="00616BA7">
        <w:rPr>
          <w:rFonts w:cstheme="minorHAnsi"/>
        </w:rPr>
        <w:t>luckier</w:t>
      </w:r>
      <w:r w:rsidRPr="00616BA7">
        <w:rPr>
          <w:rFonts w:cstheme="minorHAnsi"/>
        </w:rPr>
        <w:t xml:space="preserve">” than others. After the intervention, 88% of pupils were able to use their knowledge of expressing probabilities numerically to answer the question showing their contextual understanding. A misconception that didn’t gain from the intervention was question 5 which looked at the misconception of equiprobability. Initially, 13% of pupils answered this question correctly. After the intervention this fell to 9%. A potential reason for this is that the intervention planned was not executed due to my absence. </w:t>
      </w:r>
    </w:p>
    <w:p w14:paraId="1F10F2AB" w14:textId="683A3B7F" w:rsidR="00A863C6" w:rsidRDefault="00A863C6" w:rsidP="00DD3A5A">
      <w:pPr>
        <w:rPr>
          <w:rFonts w:cstheme="minorHAnsi"/>
        </w:rPr>
      </w:pPr>
    </w:p>
    <w:p w14:paraId="1D096BE1" w14:textId="0F173DCD" w:rsidR="00A863C6" w:rsidRPr="00616BA7" w:rsidRDefault="00A863C6" w:rsidP="00DD3A5A">
      <w:pPr>
        <w:rPr>
          <w:rFonts w:cstheme="minorHAnsi"/>
        </w:rPr>
      </w:pPr>
      <w:r>
        <w:rPr>
          <w:rFonts w:cstheme="minorHAnsi"/>
        </w:rPr>
        <w:t xml:space="preserve">Further data relating to the Pre and Post Test can be found in the Appendix. </w:t>
      </w:r>
    </w:p>
    <w:p w14:paraId="30FDE303" w14:textId="77777777" w:rsidR="00DD3A5A" w:rsidRPr="00616BA7" w:rsidRDefault="00DD3A5A" w:rsidP="00DD3A5A">
      <w:pPr>
        <w:rPr>
          <w:rFonts w:cstheme="minorHAnsi"/>
        </w:rPr>
      </w:pPr>
    </w:p>
    <w:p w14:paraId="16FAB2D9" w14:textId="77777777" w:rsidR="00DD3A5A" w:rsidRPr="00616BA7" w:rsidRDefault="00DD3A5A" w:rsidP="00DD3A5A">
      <w:pPr>
        <w:rPr>
          <w:rFonts w:cstheme="minorHAnsi"/>
          <w:highlight w:val="yellow"/>
        </w:rPr>
      </w:pPr>
    </w:p>
    <w:p w14:paraId="213AC9AC" w14:textId="1563B044" w:rsidR="00DD3A5A" w:rsidRPr="00616BA7" w:rsidRDefault="00616BA7" w:rsidP="00DD3A5A">
      <w:pPr>
        <w:rPr>
          <w:rFonts w:cstheme="minorHAnsi"/>
          <w:b/>
          <w:u w:val="single"/>
        </w:rPr>
      </w:pPr>
      <w:r w:rsidRPr="00616BA7">
        <w:rPr>
          <w:rFonts w:cstheme="minorHAnsi"/>
          <w:b/>
          <w:u w:val="single"/>
        </w:rPr>
        <w:t xml:space="preserve">Section Five - </w:t>
      </w:r>
      <w:r w:rsidR="00DD3A5A" w:rsidRPr="00616BA7">
        <w:rPr>
          <w:rFonts w:cstheme="minorHAnsi"/>
          <w:b/>
          <w:u w:val="single"/>
        </w:rPr>
        <w:t>Conclusion:</w:t>
      </w:r>
    </w:p>
    <w:p w14:paraId="67579104" w14:textId="77777777" w:rsidR="00DD3A5A" w:rsidRPr="00616BA7" w:rsidRDefault="00DD3A5A" w:rsidP="00DD3A5A">
      <w:pPr>
        <w:rPr>
          <w:rFonts w:cstheme="minorHAnsi"/>
        </w:rPr>
      </w:pPr>
      <w:r w:rsidRPr="00616BA7">
        <w:rPr>
          <w:rFonts w:cstheme="minorHAnsi"/>
        </w:rPr>
        <w:t xml:space="preserve">Overall, my findings support the notion of misconceptions with in mathematics. My action research shows that misconceptions do occur within the topic of probability and the use of diagnostic testing to identify misconceptions and designing a scheme of work to target such misconceptions generates a positive outcome for the removal of such misconceptions. My existing research found that there are five common misconceptions within the topic of probability: Gambler’s Fallacy, Equiprobability, Lucky/Unlucky numbers, anything is possible and spinners (The probability is based on the number of outcomes rather than the sector sector). </w:t>
      </w:r>
    </w:p>
    <w:p w14:paraId="256335E0" w14:textId="77777777" w:rsidR="00DD3A5A" w:rsidRPr="00616BA7" w:rsidRDefault="00DD3A5A" w:rsidP="00DD3A5A">
      <w:pPr>
        <w:rPr>
          <w:rFonts w:cstheme="minorHAnsi"/>
        </w:rPr>
      </w:pPr>
    </w:p>
    <w:p w14:paraId="6A1689AB" w14:textId="01E6DD58" w:rsidR="00DD3A5A" w:rsidRPr="00616BA7" w:rsidRDefault="00DD3A5A" w:rsidP="00DD3A5A">
      <w:pPr>
        <w:rPr>
          <w:rFonts w:cstheme="minorHAnsi"/>
        </w:rPr>
      </w:pPr>
      <w:r w:rsidRPr="00616BA7">
        <w:rPr>
          <w:rFonts w:cstheme="minorHAnsi"/>
        </w:rPr>
        <w:t>The first question on my diagnostic test focused on the common misconception surrounding spinners. The common misconception was that the probability depended on the number of outcomes rather than the sector area</w:t>
      </w:r>
      <w:r w:rsidR="001E7633">
        <w:rPr>
          <w:rFonts w:cstheme="minorHAnsi"/>
        </w:rPr>
        <w:t xml:space="preserve"> </w:t>
      </w:r>
      <w:r w:rsidR="001E7633" w:rsidRPr="00616BA7">
        <w:rPr>
          <w:rFonts w:eastAsia="Times New Roman" w:cstheme="minorHAnsi"/>
          <w:lang w:eastAsia="en-GB"/>
        </w:rPr>
        <w:t xml:space="preserve">(Pratt Nicolson, 2005, Maths Navigator, 2018). </w:t>
      </w:r>
      <w:r w:rsidRPr="00616BA7">
        <w:rPr>
          <w:rFonts w:cstheme="minorHAnsi"/>
        </w:rPr>
        <w:t xml:space="preserve">The results from the two pre-test questions showed that 66% of pupils answered part “a” </w:t>
      </w:r>
      <w:r w:rsidRPr="00616BA7">
        <w:rPr>
          <w:rFonts w:cstheme="minorHAnsi"/>
        </w:rPr>
        <w:lastRenderedPageBreak/>
        <w:t xml:space="preserve">correctly and 75% of pupils answered part “b” correctly. This shows that at least 66% of the class understood the question and did not hold the misconception. The pupils who got part </w:t>
      </w:r>
      <w:r w:rsidR="001E7633">
        <w:rPr>
          <w:rFonts w:cstheme="minorHAnsi"/>
        </w:rPr>
        <w:t>“a”</w:t>
      </w:r>
      <w:r w:rsidRPr="00616BA7">
        <w:rPr>
          <w:rFonts w:cstheme="minorHAnsi"/>
        </w:rPr>
        <w:t xml:space="preserve"> </w:t>
      </w:r>
      <w:r w:rsidR="00616BA7" w:rsidRPr="00616BA7">
        <w:rPr>
          <w:rFonts w:cstheme="minorHAnsi"/>
        </w:rPr>
        <w:t>incorrect,</w:t>
      </w:r>
      <w:r w:rsidRPr="00616BA7">
        <w:rPr>
          <w:rFonts w:cstheme="minorHAnsi"/>
        </w:rPr>
        <w:t xml:space="preserve"> but </w:t>
      </w:r>
      <w:r w:rsidR="001E7633">
        <w:rPr>
          <w:rFonts w:cstheme="minorHAnsi"/>
        </w:rPr>
        <w:t>“</w:t>
      </w:r>
      <w:r w:rsidRPr="00616BA7">
        <w:rPr>
          <w:rFonts w:cstheme="minorHAnsi"/>
        </w:rPr>
        <w:t>b</w:t>
      </w:r>
      <w:r w:rsidR="001477EA">
        <w:rPr>
          <w:rFonts w:cstheme="minorHAnsi"/>
        </w:rPr>
        <w:t>”</w:t>
      </w:r>
      <w:r w:rsidRPr="00616BA7">
        <w:rPr>
          <w:rFonts w:cstheme="minorHAnsi"/>
        </w:rPr>
        <w:t xml:space="preserve"> correct evidently did not hold the misconception but had difficulty with the expression of probability as a numerical value. The intervention for this misconception was employed during the second lesson of the scheme of work which looked at expressing probabilities as fractions. Discussion and cognitive conflict was the main intervention strategy used to target such a misconception</w:t>
      </w:r>
      <w:r w:rsidR="00A1502D">
        <w:rPr>
          <w:rFonts w:cstheme="minorHAnsi"/>
        </w:rPr>
        <w:t xml:space="preserve"> (Swan, 2001 &amp; Piaget</w:t>
      </w:r>
      <w:r w:rsidR="00A863C6">
        <w:rPr>
          <w:rFonts w:cstheme="minorHAnsi"/>
        </w:rPr>
        <w:t>, 1975).</w:t>
      </w:r>
      <w:r w:rsidR="00A1502D">
        <w:rPr>
          <w:rFonts w:cstheme="minorHAnsi"/>
        </w:rPr>
        <w:t xml:space="preserve"> </w:t>
      </w:r>
      <w:r w:rsidRPr="00616BA7">
        <w:rPr>
          <w:rFonts w:cstheme="minorHAnsi"/>
        </w:rPr>
        <w:t xml:space="preserve">This intervention was used in the plenary activity which looked at a question on spinners. The results from the post-test show that the intervention worked for most pupils with 92% getting part </w:t>
      </w:r>
      <w:r w:rsidR="00A863C6">
        <w:rPr>
          <w:rFonts w:cstheme="minorHAnsi"/>
        </w:rPr>
        <w:t>“</w:t>
      </w:r>
      <w:r w:rsidRPr="00616BA7">
        <w:rPr>
          <w:rFonts w:cstheme="minorHAnsi"/>
        </w:rPr>
        <w:t>a</w:t>
      </w:r>
      <w:r w:rsidR="00A863C6">
        <w:rPr>
          <w:rFonts w:cstheme="minorHAnsi"/>
        </w:rPr>
        <w:t>”</w:t>
      </w:r>
      <w:r w:rsidRPr="00616BA7">
        <w:rPr>
          <w:rFonts w:cstheme="minorHAnsi"/>
        </w:rPr>
        <w:t xml:space="preserve"> correct and 100% getting part </w:t>
      </w:r>
      <w:r w:rsidR="00A863C6">
        <w:rPr>
          <w:rFonts w:cstheme="minorHAnsi"/>
        </w:rPr>
        <w:t>“</w:t>
      </w:r>
      <w:r w:rsidRPr="00616BA7">
        <w:rPr>
          <w:rFonts w:cstheme="minorHAnsi"/>
        </w:rPr>
        <w:t>b</w:t>
      </w:r>
      <w:r w:rsidR="00A863C6">
        <w:rPr>
          <w:rFonts w:cstheme="minorHAnsi"/>
        </w:rPr>
        <w:t>”</w:t>
      </w:r>
      <w:r w:rsidRPr="00616BA7">
        <w:rPr>
          <w:rFonts w:cstheme="minorHAnsi"/>
        </w:rPr>
        <w:t xml:space="preserve"> correct</w:t>
      </w:r>
      <w:r w:rsidR="00A863C6">
        <w:rPr>
          <w:rFonts w:cstheme="minorHAnsi"/>
        </w:rPr>
        <w:t xml:space="preserve"> implying that the intervention worked. </w:t>
      </w:r>
    </w:p>
    <w:p w14:paraId="7DAC6745" w14:textId="77777777" w:rsidR="00DD3A5A" w:rsidRPr="00616BA7" w:rsidRDefault="00DD3A5A" w:rsidP="00DD3A5A">
      <w:pPr>
        <w:rPr>
          <w:rFonts w:cstheme="minorHAnsi"/>
        </w:rPr>
      </w:pPr>
    </w:p>
    <w:p w14:paraId="5A02AF76" w14:textId="36994FEF" w:rsidR="00DD3A5A" w:rsidRPr="00616BA7" w:rsidRDefault="00DD3A5A" w:rsidP="00DD3A5A">
      <w:pPr>
        <w:rPr>
          <w:rFonts w:cstheme="minorHAnsi"/>
          <w:lang w:eastAsia="en-GB"/>
        </w:rPr>
      </w:pPr>
      <w:r w:rsidRPr="00616BA7">
        <w:rPr>
          <w:rFonts w:cstheme="minorHAnsi"/>
        </w:rPr>
        <w:t xml:space="preserve">The second question of my diagnostic test was designed to identify the misconception of gamblers </w:t>
      </w:r>
      <w:r w:rsidR="006C5B1A">
        <w:rPr>
          <w:rFonts w:cstheme="minorHAnsi"/>
        </w:rPr>
        <w:t xml:space="preserve">fallacy </w:t>
      </w:r>
      <w:r w:rsidR="006C5B1A">
        <w:rPr>
          <w:rFonts w:cstheme="minorHAnsi"/>
          <w:color w:val="000000" w:themeColor="text1"/>
        </w:rPr>
        <w:t>(</w:t>
      </w:r>
      <w:r w:rsidR="006C5B1A" w:rsidRPr="00616BA7">
        <w:rPr>
          <w:rFonts w:cstheme="minorHAnsi"/>
          <w:color w:val="000000" w:themeColor="text1"/>
        </w:rPr>
        <w:t xml:space="preserve">Shaughnessy </w:t>
      </w:r>
      <w:r w:rsidR="006C5B1A" w:rsidRPr="00616BA7">
        <w:rPr>
          <w:rFonts w:eastAsia="Times New Roman" w:cstheme="minorHAnsi"/>
          <w:color w:val="333333"/>
          <w:lang w:eastAsia="en-GB"/>
        </w:rPr>
        <w:t>1977</w:t>
      </w:r>
      <w:r w:rsidR="006C5B1A">
        <w:rPr>
          <w:rFonts w:eastAsia="Times New Roman" w:cstheme="minorHAnsi"/>
          <w:color w:val="333333"/>
          <w:lang w:eastAsia="en-GB"/>
        </w:rPr>
        <w:t xml:space="preserve">, </w:t>
      </w:r>
      <w:r w:rsidR="006C5B1A" w:rsidRPr="00616BA7">
        <w:rPr>
          <w:rFonts w:cstheme="minorHAnsi"/>
        </w:rPr>
        <w:t xml:space="preserve">Kahneman &amp; Tversky, </w:t>
      </w:r>
      <w:r w:rsidR="006C5B1A" w:rsidRPr="00616BA7">
        <w:rPr>
          <w:rFonts w:cstheme="minorHAnsi"/>
          <w:color w:val="333333"/>
          <w:spacing w:val="2"/>
          <w:shd w:val="clear" w:color="auto" w:fill="FCFCFC"/>
        </w:rPr>
        <w:t>1971</w:t>
      </w:r>
      <w:r w:rsidR="006C5B1A">
        <w:rPr>
          <w:rFonts w:cstheme="minorHAnsi"/>
          <w:color w:val="333333"/>
          <w:spacing w:val="2"/>
          <w:shd w:val="clear" w:color="auto" w:fill="FCFCFC"/>
        </w:rPr>
        <w:t>).</w:t>
      </w:r>
      <w:r w:rsidR="006C5B1A">
        <w:rPr>
          <w:rFonts w:cstheme="minorHAnsi"/>
          <w:lang w:eastAsia="en-GB"/>
        </w:rPr>
        <w:t xml:space="preserve"> </w:t>
      </w:r>
      <w:r w:rsidRPr="00616BA7">
        <w:rPr>
          <w:rFonts w:cstheme="minorHAnsi"/>
        </w:rPr>
        <w:t>The results from the pre-test showed that 66% of the pupils got the question correct with only 60% doing so because of the correct conceptual understanding. The intervention for this misconception was cognitive conflict</w:t>
      </w:r>
      <w:r w:rsidR="00AA28AE">
        <w:rPr>
          <w:rFonts w:cstheme="minorHAnsi"/>
        </w:rPr>
        <w:t xml:space="preserve"> and metacognition</w:t>
      </w:r>
      <w:r w:rsidR="006C5B1A">
        <w:rPr>
          <w:rFonts w:cstheme="minorHAnsi"/>
        </w:rPr>
        <w:t xml:space="preserve"> (Swan, 2001</w:t>
      </w:r>
      <w:r w:rsidR="00AA28AE">
        <w:rPr>
          <w:rFonts w:cstheme="minorHAnsi"/>
        </w:rPr>
        <w:t>.</w:t>
      </w:r>
      <w:r w:rsidR="006C5B1A">
        <w:rPr>
          <w:rFonts w:cstheme="minorHAnsi"/>
        </w:rPr>
        <w:t xml:space="preserve"> Piaget, 1975). </w:t>
      </w:r>
      <w:r w:rsidRPr="00616BA7">
        <w:rPr>
          <w:rFonts w:cstheme="minorHAnsi"/>
        </w:rPr>
        <w:t xml:space="preserve">This was employed during the lesson on listing outcomes which looked at the notion of independent events through the example of tossing two fair coins and the teaching displayed that the previous events had no impact on the future events. The intervention worked with only 11% of pupils getting the question wrong on the post-test. This is supported further by the fact that 91% of pupils had the correct conceptual understanding to access this question but failed to answer it correctly. </w:t>
      </w:r>
    </w:p>
    <w:p w14:paraId="34122333" w14:textId="77777777" w:rsidR="00DD3A5A" w:rsidRPr="00616BA7" w:rsidRDefault="00DD3A5A" w:rsidP="00DD3A5A">
      <w:pPr>
        <w:rPr>
          <w:rFonts w:cstheme="minorHAnsi"/>
        </w:rPr>
      </w:pPr>
    </w:p>
    <w:p w14:paraId="36DD337E" w14:textId="274ECEE7" w:rsidR="00DD3A5A" w:rsidRPr="00616BA7" w:rsidRDefault="00DD3A5A" w:rsidP="00DD3A5A">
      <w:pPr>
        <w:rPr>
          <w:rFonts w:cstheme="minorHAnsi"/>
        </w:rPr>
      </w:pPr>
      <w:r w:rsidRPr="00616BA7">
        <w:rPr>
          <w:rFonts w:cstheme="minorHAnsi"/>
        </w:rPr>
        <w:t>The third question of my pre-test found that 41% of pupils lacked the conceptual understanding to access the question, with 50% having the correct reasoning (one out of six outcomes) but then applied this reasoning incorrectly.  The question was designed to assess the pupils current understanding of probability and see if unlucky/ lucky numbers had an impact on their judgement of probability</w:t>
      </w:r>
      <w:r w:rsidR="00AE514D">
        <w:rPr>
          <w:rFonts w:cstheme="minorHAnsi"/>
        </w:rPr>
        <w:t xml:space="preserve"> (</w:t>
      </w:r>
      <w:r w:rsidR="00AE514D" w:rsidRPr="00616BA7">
        <w:rPr>
          <w:rFonts w:cstheme="minorHAnsi"/>
        </w:rPr>
        <w:t>Williams</w:t>
      </w:r>
      <w:r w:rsidR="00AE514D">
        <w:rPr>
          <w:rFonts w:cstheme="minorHAnsi"/>
        </w:rPr>
        <w:t xml:space="preserve"> &amp; </w:t>
      </w:r>
      <w:r w:rsidR="00AE514D" w:rsidRPr="00616BA7">
        <w:rPr>
          <w:rFonts w:cstheme="minorHAnsi"/>
        </w:rPr>
        <w:t>Amir</w:t>
      </w:r>
      <w:r w:rsidR="00AE514D">
        <w:rPr>
          <w:rFonts w:cstheme="minorHAnsi"/>
        </w:rPr>
        <w:t>,</w:t>
      </w:r>
      <w:r w:rsidR="00AE514D" w:rsidRPr="00616BA7">
        <w:rPr>
          <w:rFonts w:cstheme="minorHAnsi"/>
        </w:rPr>
        <w:t>1999)</w:t>
      </w:r>
      <w:r w:rsidRPr="00616BA7">
        <w:rPr>
          <w:rFonts w:cstheme="minorHAnsi"/>
        </w:rPr>
        <w:t>. Upon reflection, this question was poorly designed to highlight such a misconception with only a dew pupil indicating that they held such a misconception with a worded response. The lack of conceptual understanding for this question was addressed in the second and third lesson of the intervention</w:t>
      </w:r>
      <w:r w:rsidR="00AE514D">
        <w:rPr>
          <w:rFonts w:cstheme="minorHAnsi"/>
        </w:rPr>
        <w:t xml:space="preserve"> (Haggarty, 2002)</w:t>
      </w:r>
      <w:r w:rsidR="00AA28AE">
        <w:rPr>
          <w:rFonts w:cstheme="minorHAnsi"/>
        </w:rPr>
        <w:t xml:space="preserve">. </w:t>
      </w:r>
      <w:r w:rsidRPr="00616BA7">
        <w:rPr>
          <w:rFonts w:cstheme="minorHAnsi"/>
        </w:rPr>
        <w:t xml:space="preserve">The notion of unlucky numbers was addressed in the first lesson whilst looking at probability scales and likelihood scales and cognitive conflict </w:t>
      </w:r>
      <w:r w:rsidR="00AE514D">
        <w:rPr>
          <w:rFonts w:cstheme="minorHAnsi"/>
        </w:rPr>
        <w:t xml:space="preserve">(Swan, 2001) </w:t>
      </w:r>
      <w:r w:rsidRPr="00616BA7">
        <w:rPr>
          <w:rFonts w:cstheme="minorHAnsi"/>
        </w:rPr>
        <w:t xml:space="preserve">was the strategy used to show pupils the flaws in their understanding. In the post -test pupils showed that the conceptual understanding and their application of such understanding correctly had increased with 84% answering part a correctly and 88% having the correct understanding to be able to answer part b correctly. </w:t>
      </w:r>
    </w:p>
    <w:p w14:paraId="5F0D4C0D" w14:textId="77777777" w:rsidR="00DD3A5A" w:rsidRPr="00616BA7" w:rsidRDefault="00DD3A5A" w:rsidP="00DD3A5A">
      <w:pPr>
        <w:rPr>
          <w:rFonts w:cstheme="minorHAnsi"/>
        </w:rPr>
      </w:pPr>
    </w:p>
    <w:p w14:paraId="1C2B826A" w14:textId="7B92105B" w:rsidR="00DD3A5A" w:rsidRPr="00616BA7" w:rsidRDefault="00DD3A5A" w:rsidP="00DD3A5A">
      <w:pPr>
        <w:rPr>
          <w:rFonts w:cstheme="minorHAnsi"/>
        </w:rPr>
      </w:pPr>
      <w:r w:rsidRPr="00616BA7">
        <w:rPr>
          <w:rFonts w:cstheme="minorHAnsi"/>
        </w:rPr>
        <w:t>The fourth question looked at the notion of impossibility and equiprobability. The pre-test showed that 31% answered part a correctly highlighting the lack of conceptual understanding to access the question. The answers to this question supported the misconception of equiprobability as pupils did not consider the number of different coloured marbles just the fact that they were 3 different colours</w:t>
      </w:r>
      <w:r w:rsidR="00E033F7">
        <w:rPr>
          <w:rFonts w:cstheme="minorHAnsi"/>
        </w:rPr>
        <w:t xml:space="preserve"> (</w:t>
      </w:r>
      <w:r w:rsidR="001949AA" w:rsidRPr="00616BA7">
        <w:rPr>
          <w:rFonts w:eastAsia="Times New Roman" w:cstheme="minorHAnsi"/>
          <w:lang w:eastAsia="en-GB"/>
        </w:rPr>
        <w:t>Cañizares</w:t>
      </w:r>
      <w:r w:rsidR="00B835EE">
        <w:rPr>
          <w:rFonts w:eastAsia="Times New Roman" w:cstheme="minorHAnsi"/>
          <w:lang w:eastAsia="en-GB"/>
        </w:rPr>
        <w:t xml:space="preserve"> </w:t>
      </w:r>
      <w:r w:rsidR="001949AA" w:rsidRPr="00616BA7">
        <w:rPr>
          <w:rFonts w:eastAsia="Times New Roman" w:cstheme="minorHAnsi"/>
          <w:lang w:eastAsia="en-GB"/>
        </w:rPr>
        <w:t>&amp; Batanero, 1998</w:t>
      </w:r>
      <w:r w:rsidR="001D7D37">
        <w:rPr>
          <w:rFonts w:eastAsia="Times New Roman" w:cstheme="minorHAnsi"/>
          <w:lang w:eastAsia="en-GB"/>
        </w:rPr>
        <w:t>.</w:t>
      </w:r>
      <w:r w:rsidR="00E033F7">
        <w:rPr>
          <w:rFonts w:eastAsia="Times New Roman" w:cstheme="minorHAnsi"/>
          <w:lang w:eastAsia="en-GB"/>
        </w:rPr>
        <w:t xml:space="preserve"> </w:t>
      </w:r>
      <w:r w:rsidR="006D769B">
        <w:rPr>
          <w:rFonts w:cstheme="minorHAnsi"/>
        </w:rPr>
        <w:t>B</w:t>
      </w:r>
      <w:r w:rsidR="006D769B" w:rsidRPr="00616BA7">
        <w:rPr>
          <w:rFonts w:cstheme="minorHAnsi"/>
          <w:lang w:eastAsia="en-GB"/>
        </w:rPr>
        <w:t>ennett and Anway</w:t>
      </w:r>
      <w:r w:rsidR="00E033F7">
        <w:rPr>
          <w:rFonts w:cstheme="minorHAnsi"/>
          <w:lang w:eastAsia="en-GB"/>
        </w:rPr>
        <w:t xml:space="preserve">, </w:t>
      </w:r>
      <w:r w:rsidR="006D769B" w:rsidRPr="00616BA7">
        <w:rPr>
          <w:rFonts w:cstheme="minorHAnsi"/>
          <w:lang w:eastAsia="en-GB"/>
        </w:rPr>
        <w:t>2004</w:t>
      </w:r>
      <w:r w:rsidR="001D7D37">
        <w:rPr>
          <w:rFonts w:cstheme="minorHAnsi"/>
          <w:lang w:eastAsia="en-GB"/>
        </w:rPr>
        <w:t>.</w:t>
      </w:r>
      <w:r w:rsidR="00E033F7">
        <w:rPr>
          <w:rFonts w:cstheme="minorHAnsi"/>
          <w:lang w:eastAsia="en-GB"/>
        </w:rPr>
        <w:t xml:space="preserve"> </w:t>
      </w:r>
      <w:r w:rsidR="00C13D9A" w:rsidRPr="00616BA7">
        <w:rPr>
          <w:rFonts w:cstheme="minorHAnsi"/>
          <w:lang w:eastAsia="en-GB"/>
        </w:rPr>
        <w:t>Jun</w:t>
      </w:r>
      <w:r w:rsidR="00E033F7" w:rsidRPr="00616BA7">
        <w:rPr>
          <w:rFonts w:cstheme="minorHAnsi"/>
          <w:lang w:eastAsia="en-GB"/>
        </w:rPr>
        <w:t xml:space="preserve"> 2002)</w:t>
      </w:r>
      <w:r w:rsidR="001D7D37">
        <w:rPr>
          <w:rFonts w:cstheme="minorHAnsi"/>
          <w:lang w:eastAsia="en-GB"/>
        </w:rPr>
        <w:t>.</w:t>
      </w:r>
      <w:r w:rsidR="00E033F7" w:rsidRPr="00616BA7">
        <w:rPr>
          <w:rFonts w:cstheme="minorHAnsi"/>
          <w:lang w:eastAsia="en-GB"/>
        </w:rPr>
        <w:t xml:space="preserve"> </w:t>
      </w:r>
      <w:r w:rsidRPr="00616BA7">
        <w:rPr>
          <w:rFonts w:cstheme="minorHAnsi"/>
        </w:rPr>
        <w:t>The p</w:t>
      </w:r>
      <w:r w:rsidR="001D7D37">
        <w:rPr>
          <w:rFonts w:cstheme="minorHAnsi"/>
        </w:rPr>
        <w:t>ost</w:t>
      </w:r>
      <w:r w:rsidRPr="00616BA7">
        <w:rPr>
          <w:rFonts w:cstheme="minorHAnsi"/>
        </w:rPr>
        <w:t>-test showed that the intervention of cognitive conflict</w:t>
      </w:r>
      <w:r w:rsidR="001D7D37">
        <w:rPr>
          <w:rFonts w:cstheme="minorHAnsi"/>
        </w:rPr>
        <w:t xml:space="preserve">, </w:t>
      </w:r>
      <w:r w:rsidRPr="00616BA7">
        <w:rPr>
          <w:rFonts w:cstheme="minorHAnsi"/>
        </w:rPr>
        <w:t xml:space="preserve">tailored discussion </w:t>
      </w:r>
      <w:r w:rsidR="001D7D37">
        <w:rPr>
          <w:rFonts w:cstheme="minorHAnsi"/>
        </w:rPr>
        <w:t xml:space="preserve">and metacognition </w:t>
      </w:r>
      <w:r w:rsidRPr="00616BA7">
        <w:rPr>
          <w:rFonts w:cstheme="minorHAnsi"/>
        </w:rPr>
        <w:t>within the second lesson worked with 88% having the correct understanding to answer the question correctly.</w:t>
      </w:r>
      <w:r w:rsidR="001D7D37">
        <w:rPr>
          <w:rFonts w:cstheme="minorHAnsi"/>
        </w:rPr>
        <w:t xml:space="preserve"> </w:t>
      </w:r>
      <w:r w:rsidR="001D7D37" w:rsidRPr="00616BA7">
        <w:rPr>
          <w:rFonts w:cstheme="minorHAnsi"/>
        </w:rPr>
        <w:t>(</w:t>
      </w:r>
      <w:r w:rsidR="001D7D37">
        <w:rPr>
          <w:rFonts w:cstheme="minorHAnsi"/>
        </w:rPr>
        <w:t xml:space="preserve">Tanner &amp; </w:t>
      </w:r>
      <w:r w:rsidR="001D7D37">
        <w:rPr>
          <w:rFonts w:cstheme="minorHAnsi"/>
        </w:rPr>
        <w:lastRenderedPageBreak/>
        <w:t xml:space="preserve">Jones, 2000. </w:t>
      </w:r>
      <w:r w:rsidR="001D7D37" w:rsidRPr="00616BA7">
        <w:rPr>
          <w:rFonts w:cstheme="minorHAnsi"/>
        </w:rPr>
        <w:t xml:space="preserve">Chambers &amp; Timlin, 2013. Swan, 2001. Askew &amp; William, 1995, </w:t>
      </w:r>
      <w:r w:rsidR="001D7D37" w:rsidRPr="00616BA7">
        <w:rPr>
          <w:rFonts w:cstheme="minorHAnsi"/>
          <w:shd w:val="clear" w:color="auto" w:fill="FFFFFF"/>
        </w:rPr>
        <w:t>Reynolds</w:t>
      </w:r>
      <w:r w:rsidR="001D7D37" w:rsidRPr="00616BA7">
        <w:rPr>
          <w:rFonts w:cstheme="minorHAnsi"/>
          <w:color w:val="006621"/>
          <w:shd w:val="clear" w:color="auto" w:fill="FFFFFF"/>
        </w:rPr>
        <w:t xml:space="preserve"> </w:t>
      </w:r>
      <w:r w:rsidR="001D7D37" w:rsidRPr="00616BA7">
        <w:rPr>
          <w:rFonts w:cstheme="minorHAnsi"/>
          <w:shd w:val="clear" w:color="auto" w:fill="FFFFFF"/>
        </w:rPr>
        <w:t>&amp;</w:t>
      </w:r>
      <w:r w:rsidR="001D7D37" w:rsidRPr="00616BA7">
        <w:rPr>
          <w:rFonts w:cstheme="minorHAnsi"/>
          <w:color w:val="006621"/>
          <w:shd w:val="clear" w:color="auto" w:fill="FFFFFF"/>
        </w:rPr>
        <w:t> </w:t>
      </w:r>
      <w:r w:rsidR="001D7D37" w:rsidRPr="00616BA7">
        <w:rPr>
          <w:rFonts w:cstheme="minorHAnsi"/>
          <w:shd w:val="clear" w:color="auto" w:fill="FFFFFF"/>
        </w:rPr>
        <w:t>Muijs</w:t>
      </w:r>
      <w:r w:rsidR="001D7D37" w:rsidRPr="00616BA7">
        <w:rPr>
          <w:rFonts w:cstheme="minorHAnsi"/>
        </w:rPr>
        <w:t>, 1999)</w:t>
      </w:r>
      <w:r w:rsidR="001D7D37">
        <w:rPr>
          <w:rFonts w:cstheme="minorHAnsi"/>
        </w:rPr>
        <w:t>.</w:t>
      </w:r>
      <w:r w:rsidRPr="00616BA7">
        <w:rPr>
          <w:rFonts w:cstheme="minorHAnsi"/>
        </w:rPr>
        <w:t xml:space="preserve"> The second part of the question looked at the idea of impossibility within mathematics, 47% answered this question correctly on the pre-test and 61% of pupils answered this correctly on the post test. This highlights that the intervention within the first lesson to remove the misconception of anything is possible</w:t>
      </w:r>
      <w:r w:rsidR="00776D2F">
        <w:rPr>
          <w:rFonts w:cstheme="minorHAnsi"/>
        </w:rPr>
        <w:t xml:space="preserve"> (</w:t>
      </w:r>
      <w:r w:rsidR="00776D2F" w:rsidRPr="00206E3A">
        <w:t>Fischbein, Nello</w:t>
      </w:r>
      <w:r w:rsidR="00776D2F">
        <w:t xml:space="preserve"> </w:t>
      </w:r>
      <w:r w:rsidR="00776D2F" w:rsidRPr="00206E3A">
        <w:t>&amp; Marino,</w:t>
      </w:r>
      <w:r w:rsidR="00776D2F">
        <w:t xml:space="preserve"> 1991) </w:t>
      </w:r>
      <w:r w:rsidRPr="00616BA7">
        <w:rPr>
          <w:rFonts w:cstheme="minorHAnsi"/>
        </w:rPr>
        <w:t xml:space="preserve">gave a few pupils the required understanding to answer this question correctly, but few held onto this misconception or lacked the relevant understanding to access this question. </w:t>
      </w:r>
    </w:p>
    <w:p w14:paraId="4C36E15E" w14:textId="77777777" w:rsidR="00DD3A5A" w:rsidRPr="00616BA7" w:rsidRDefault="00DD3A5A" w:rsidP="00DD3A5A">
      <w:pPr>
        <w:rPr>
          <w:rFonts w:cstheme="minorHAnsi"/>
        </w:rPr>
      </w:pPr>
    </w:p>
    <w:p w14:paraId="7070AA36" w14:textId="70A8DD77" w:rsidR="00DD3A5A" w:rsidRPr="00616BA7" w:rsidRDefault="00DD3A5A" w:rsidP="00DD3A5A">
      <w:pPr>
        <w:rPr>
          <w:rFonts w:cstheme="minorHAnsi"/>
        </w:rPr>
      </w:pPr>
      <w:r w:rsidRPr="00616BA7">
        <w:rPr>
          <w:rFonts w:cstheme="minorHAnsi"/>
        </w:rPr>
        <w:t xml:space="preserve">Question five </w:t>
      </w:r>
      <w:r w:rsidR="00776D2F">
        <w:rPr>
          <w:rFonts w:cstheme="minorHAnsi"/>
        </w:rPr>
        <w:t xml:space="preserve">developed further into the </w:t>
      </w:r>
      <w:r w:rsidRPr="00616BA7">
        <w:rPr>
          <w:rFonts w:cstheme="minorHAnsi"/>
        </w:rPr>
        <w:t>identif</w:t>
      </w:r>
      <w:r w:rsidR="00776D2F">
        <w:rPr>
          <w:rFonts w:cstheme="minorHAnsi"/>
        </w:rPr>
        <w:t>ication</w:t>
      </w:r>
      <w:r w:rsidR="00525039">
        <w:rPr>
          <w:rFonts w:cstheme="minorHAnsi"/>
        </w:rPr>
        <w:t xml:space="preserve"> of the misconception of equiprobability (</w:t>
      </w:r>
      <w:r w:rsidR="00525039" w:rsidRPr="00616BA7">
        <w:rPr>
          <w:rFonts w:eastAsia="Times New Roman" w:cstheme="minorHAnsi"/>
          <w:lang w:eastAsia="en-GB"/>
        </w:rPr>
        <w:t>Cañizares&amp; Batanero, 1998</w:t>
      </w:r>
      <w:r w:rsidR="00525039">
        <w:rPr>
          <w:rFonts w:eastAsia="Times New Roman" w:cstheme="minorHAnsi"/>
          <w:lang w:eastAsia="en-GB"/>
        </w:rPr>
        <w:t xml:space="preserve">. </w:t>
      </w:r>
      <w:r w:rsidR="00525039">
        <w:rPr>
          <w:rFonts w:cstheme="minorHAnsi"/>
        </w:rPr>
        <w:t>B</w:t>
      </w:r>
      <w:r w:rsidR="00525039" w:rsidRPr="00616BA7">
        <w:rPr>
          <w:rFonts w:cstheme="minorHAnsi"/>
          <w:lang w:eastAsia="en-GB"/>
        </w:rPr>
        <w:t>ennett and Anway</w:t>
      </w:r>
      <w:r w:rsidR="00525039">
        <w:rPr>
          <w:rFonts w:cstheme="minorHAnsi"/>
          <w:lang w:eastAsia="en-GB"/>
        </w:rPr>
        <w:t xml:space="preserve">, </w:t>
      </w:r>
      <w:r w:rsidR="00525039" w:rsidRPr="00616BA7">
        <w:rPr>
          <w:rFonts w:cstheme="minorHAnsi"/>
          <w:lang w:eastAsia="en-GB"/>
        </w:rPr>
        <w:t>2004</w:t>
      </w:r>
      <w:r w:rsidR="00525039">
        <w:rPr>
          <w:rFonts w:cstheme="minorHAnsi"/>
          <w:lang w:eastAsia="en-GB"/>
        </w:rPr>
        <w:t xml:space="preserve">. </w:t>
      </w:r>
      <w:r w:rsidR="00C13D9A" w:rsidRPr="00616BA7">
        <w:rPr>
          <w:rFonts w:cstheme="minorHAnsi"/>
          <w:lang w:eastAsia="en-GB"/>
        </w:rPr>
        <w:t>Jun</w:t>
      </w:r>
      <w:r w:rsidR="00C13D9A">
        <w:rPr>
          <w:rFonts w:cstheme="minorHAnsi"/>
          <w:lang w:eastAsia="en-GB"/>
        </w:rPr>
        <w:t xml:space="preserve">, </w:t>
      </w:r>
      <w:r w:rsidR="00525039" w:rsidRPr="00616BA7">
        <w:rPr>
          <w:rFonts w:cstheme="minorHAnsi"/>
          <w:lang w:eastAsia="en-GB"/>
        </w:rPr>
        <w:t>2002)</w:t>
      </w:r>
      <w:r w:rsidR="00525039">
        <w:rPr>
          <w:rFonts w:cstheme="minorHAnsi"/>
          <w:lang w:eastAsia="en-GB"/>
        </w:rPr>
        <w:t>.</w:t>
      </w:r>
      <w:r w:rsidRPr="00616BA7">
        <w:rPr>
          <w:rFonts w:cstheme="minorHAnsi"/>
        </w:rPr>
        <w:t xml:space="preserve"> </w:t>
      </w:r>
      <w:r w:rsidR="00525039">
        <w:rPr>
          <w:rFonts w:cstheme="minorHAnsi"/>
        </w:rPr>
        <w:t xml:space="preserve">The pre-test found </w:t>
      </w:r>
      <w:r w:rsidRPr="00616BA7">
        <w:rPr>
          <w:rFonts w:cstheme="minorHAnsi"/>
        </w:rPr>
        <w:t xml:space="preserve">that 87% of pupils potentially held the misconception that all events where equally likely supporting the misconception of equiprobability. To answer this question correctly pupils would have needed to draw a sample space to correctly identify the most likely score. The intervention for this misconception failed as I was absent for that lesson. This was supported results of the post-test showing that only 9% of pupils answered this question correctly implying that they have gained a misconception.  </w:t>
      </w:r>
    </w:p>
    <w:p w14:paraId="2D3EDC5E" w14:textId="77777777" w:rsidR="00DD3A5A" w:rsidRPr="00616BA7" w:rsidRDefault="00DD3A5A" w:rsidP="00DD3A5A">
      <w:pPr>
        <w:rPr>
          <w:rFonts w:cstheme="minorHAnsi"/>
        </w:rPr>
      </w:pPr>
    </w:p>
    <w:p w14:paraId="5F98DAA3" w14:textId="6D591011" w:rsidR="00DD3A5A" w:rsidRPr="00616BA7" w:rsidRDefault="00DD3A5A" w:rsidP="00DD3A5A">
      <w:pPr>
        <w:rPr>
          <w:rFonts w:cstheme="minorHAnsi"/>
        </w:rPr>
      </w:pPr>
      <w:r w:rsidRPr="00616BA7">
        <w:rPr>
          <w:rFonts w:cstheme="minorHAnsi"/>
        </w:rPr>
        <w:t>Question six took on a more philosophical approach to observe the pupils understanding of impossibility within mathematics. The pre-test showed that 56% of pupils had the correct understanding of impossibility and used correct understanding to support their answer</w:t>
      </w:r>
      <w:r w:rsidR="00525039">
        <w:rPr>
          <w:rFonts w:cstheme="minorHAnsi"/>
        </w:rPr>
        <w:t xml:space="preserve"> (</w:t>
      </w:r>
      <w:r w:rsidR="00B835EE" w:rsidRPr="00206E3A">
        <w:t>Fischbein, Nello</w:t>
      </w:r>
      <w:r w:rsidR="00B835EE">
        <w:t xml:space="preserve"> </w:t>
      </w:r>
      <w:r w:rsidR="00B835EE" w:rsidRPr="00206E3A">
        <w:t>&amp; Marino,</w:t>
      </w:r>
      <w:r w:rsidR="00B835EE">
        <w:t xml:space="preserve"> 1991)</w:t>
      </w:r>
      <w:r w:rsidRPr="00616BA7">
        <w:rPr>
          <w:rFonts w:cstheme="minorHAnsi"/>
        </w:rPr>
        <w:t xml:space="preserve">. This showed that 44% of pupils held the misconception that </w:t>
      </w:r>
      <w:r w:rsidR="00B835EE">
        <w:rPr>
          <w:rFonts w:cstheme="minorHAnsi"/>
        </w:rPr>
        <w:t>anything is</w:t>
      </w:r>
      <w:r w:rsidRPr="00616BA7">
        <w:rPr>
          <w:rFonts w:cstheme="minorHAnsi"/>
        </w:rPr>
        <w:t xml:space="preserve"> possible. This misconception was targeted during the activities of the first lesson where pupils had to evaluate the likelihood of events. The use of discussion and cognitive conflict was used as the main strategy to target this misconception. The post- test supported this strategy with 75% answering this question correctly with the correct reasoning</w:t>
      </w:r>
      <w:r w:rsidR="00B835EE">
        <w:rPr>
          <w:rFonts w:cstheme="minorHAnsi"/>
        </w:rPr>
        <w:t xml:space="preserve"> </w:t>
      </w:r>
      <w:r w:rsidR="00B835EE" w:rsidRPr="00616BA7">
        <w:rPr>
          <w:rFonts w:cstheme="minorHAnsi"/>
        </w:rPr>
        <w:t>(</w:t>
      </w:r>
      <w:r w:rsidR="00B835EE">
        <w:rPr>
          <w:rFonts w:cstheme="minorHAnsi"/>
        </w:rPr>
        <w:t xml:space="preserve">Tanner &amp; Jones, 2000. </w:t>
      </w:r>
      <w:r w:rsidR="00B835EE" w:rsidRPr="00616BA7">
        <w:rPr>
          <w:rFonts w:cstheme="minorHAnsi"/>
        </w:rPr>
        <w:t xml:space="preserve">Chambers &amp; Timlin, 2013. Swan, 2001. Askew &amp; William, 1995, </w:t>
      </w:r>
      <w:r w:rsidR="00B835EE" w:rsidRPr="00616BA7">
        <w:rPr>
          <w:rFonts w:cstheme="minorHAnsi"/>
          <w:shd w:val="clear" w:color="auto" w:fill="FFFFFF"/>
        </w:rPr>
        <w:t>Reynolds</w:t>
      </w:r>
      <w:r w:rsidR="00B835EE" w:rsidRPr="00616BA7">
        <w:rPr>
          <w:rFonts w:cstheme="minorHAnsi"/>
          <w:color w:val="006621"/>
          <w:shd w:val="clear" w:color="auto" w:fill="FFFFFF"/>
        </w:rPr>
        <w:t xml:space="preserve"> </w:t>
      </w:r>
      <w:r w:rsidR="00B835EE" w:rsidRPr="00616BA7">
        <w:rPr>
          <w:rFonts w:cstheme="minorHAnsi"/>
          <w:shd w:val="clear" w:color="auto" w:fill="FFFFFF"/>
        </w:rPr>
        <w:t>&amp;</w:t>
      </w:r>
      <w:r w:rsidR="00B835EE" w:rsidRPr="00616BA7">
        <w:rPr>
          <w:rFonts w:cstheme="minorHAnsi"/>
          <w:color w:val="006621"/>
          <w:shd w:val="clear" w:color="auto" w:fill="FFFFFF"/>
        </w:rPr>
        <w:t> </w:t>
      </w:r>
      <w:r w:rsidR="00B835EE" w:rsidRPr="00616BA7">
        <w:rPr>
          <w:rFonts w:cstheme="minorHAnsi"/>
          <w:shd w:val="clear" w:color="auto" w:fill="FFFFFF"/>
        </w:rPr>
        <w:t>Muijs</w:t>
      </w:r>
      <w:r w:rsidR="00B835EE" w:rsidRPr="00616BA7">
        <w:rPr>
          <w:rFonts w:cstheme="minorHAnsi"/>
        </w:rPr>
        <w:t>, 1999)</w:t>
      </w:r>
      <w:r w:rsidR="00B835EE">
        <w:rPr>
          <w:rFonts w:cstheme="minorHAnsi"/>
        </w:rPr>
        <w:t>.</w:t>
      </w:r>
    </w:p>
    <w:p w14:paraId="06088CEA" w14:textId="77777777" w:rsidR="00DD3A5A" w:rsidRPr="00616BA7" w:rsidRDefault="00DD3A5A" w:rsidP="00DD3A5A">
      <w:pPr>
        <w:rPr>
          <w:rFonts w:cstheme="minorHAnsi"/>
          <w:u w:val="single"/>
        </w:rPr>
      </w:pPr>
    </w:p>
    <w:p w14:paraId="11129D7D" w14:textId="77777777" w:rsidR="00DD3A5A" w:rsidRPr="00616BA7" w:rsidRDefault="00DD3A5A" w:rsidP="00DD3A5A">
      <w:pPr>
        <w:rPr>
          <w:rFonts w:cstheme="minorHAnsi"/>
        </w:rPr>
      </w:pPr>
      <w:r w:rsidRPr="00616BA7">
        <w:rPr>
          <w:rFonts w:cstheme="minorHAnsi"/>
        </w:rPr>
        <w:t xml:space="preserve">Overall, the results support the intervention: teaching to target misconceptions within probability.  The results show that 30 out of 32 pupils gained from the teaching on the pre and post - test. This suggests the results support that the use of diagnostic testing to identify common misconceptions and the use of intervention strategies: cognitive conflict, metacognition, discussion and the development of contextual understanding to target these identified misconceptions had a positive effect on the year 7 learners. In the future, I will use diagnostic testing to highlight misconceptions within other areas of Mathematics, as the results imply that it was of benefit to the pupils. There were however some limitations for this study which will be identified below. </w:t>
      </w:r>
    </w:p>
    <w:p w14:paraId="12308BE5" w14:textId="77777777" w:rsidR="00DD3A5A" w:rsidRPr="00616BA7" w:rsidRDefault="00DD3A5A" w:rsidP="00DD3A5A">
      <w:pPr>
        <w:rPr>
          <w:rFonts w:cstheme="minorHAnsi"/>
        </w:rPr>
      </w:pPr>
    </w:p>
    <w:p w14:paraId="0BB8D98F" w14:textId="77777777" w:rsidR="00C13D9A" w:rsidRDefault="00C13D9A">
      <w:pPr>
        <w:rPr>
          <w:rFonts w:cstheme="minorHAnsi"/>
          <w:b/>
          <w:u w:val="single"/>
        </w:rPr>
      </w:pPr>
      <w:r>
        <w:rPr>
          <w:rFonts w:cstheme="minorHAnsi"/>
          <w:b/>
          <w:u w:val="single"/>
        </w:rPr>
        <w:br w:type="page"/>
      </w:r>
    </w:p>
    <w:p w14:paraId="6B738E9B" w14:textId="19451EBC" w:rsidR="00DD3A5A" w:rsidRPr="00616BA7" w:rsidRDefault="00616BA7" w:rsidP="00DD3A5A">
      <w:pPr>
        <w:rPr>
          <w:rFonts w:cstheme="minorHAnsi"/>
          <w:b/>
          <w:u w:val="single"/>
        </w:rPr>
      </w:pPr>
      <w:r w:rsidRPr="00616BA7">
        <w:rPr>
          <w:rFonts w:cstheme="minorHAnsi"/>
          <w:b/>
          <w:u w:val="single"/>
        </w:rPr>
        <w:lastRenderedPageBreak/>
        <w:t xml:space="preserve">Section Six - </w:t>
      </w:r>
      <w:r w:rsidR="00DD3A5A" w:rsidRPr="00616BA7">
        <w:rPr>
          <w:rFonts w:cstheme="minorHAnsi"/>
          <w:b/>
          <w:u w:val="single"/>
        </w:rPr>
        <w:t xml:space="preserve">Limitations and </w:t>
      </w:r>
      <w:r w:rsidRPr="00616BA7">
        <w:rPr>
          <w:rFonts w:cstheme="minorHAnsi"/>
          <w:b/>
          <w:u w:val="single"/>
        </w:rPr>
        <w:t>F</w:t>
      </w:r>
      <w:r w:rsidR="00DD3A5A" w:rsidRPr="00616BA7">
        <w:rPr>
          <w:rFonts w:cstheme="minorHAnsi"/>
          <w:b/>
          <w:u w:val="single"/>
        </w:rPr>
        <w:t xml:space="preserve">uture </w:t>
      </w:r>
      <w:r w:rsidRPr="00616BA7">
        <w:rPr>
          <w:rFonts w:cstheme="minorHAnsi"/>
          <w:b/>
          <w:u w:val="single"/>
        </w:rPr>
        <w:t>D</w:t>
      </w:r>
      <w:r w:rsidR="00DD3A5A" w:rsidRPr="00616BA7">
        <w:rPr>
          <w:rFonts w:cstheme="minorHAnsi"/>
          <w:b/>
          <w:u w:val="single"/>
        </w:rPr>
        <w:t>evelopment</w:t>
      </w:r>
    </w:p>
    <w:p w14:paraId="4B32B5E9" w14:textId="1D197249" w:rsidR="00DD3A5A" w:rsidRPr="00616BA7" w:rsidRDefault="00DD3A5A" w:rsidP="00DD3A5A">
      <w:pPr>
        <w:rPr>
          <w:rFonts w:cstheme="minorHAnsi"/>
        </w:rPr>
      </w:pPr>
      <w:r w:rsidRPr="00616BA7">
        <w:rPr>
          <w:rFonts w:cstheme="minorHAnsi"/>
        </w:rPr>
        <w:t>There were many limitations with the study that led to issues with the validity of the results. One limitation was the time scale in which to complete the action research. The diagnostic test and intervention happened within my first few weeks of teaching on my second placement. This means that I lacked confidence with my teaching and this was reflected with the activities I chose within the intervention. The activities were adequate and didn’t</w:t>
      </w:r>
      <w:r w:rsidR="00E33DD1">
        <w:rPr>
          <w:rFonts w:cstheme="minorHAnsi"/>
        </w:rPr>
        <w:t xml:space="preserve"> </w:t>
      </w:r>
      <w:r w:rsidRPr="00616BA7">
        <w:rPr>
          <w:rFonts w:cstheme="minorHAnsi"/>
        </w:rPr>
        <w:t xml:space="preserve">explore the misconceptions as much as I intended them to do so. This meant there was a lack of opportunity for each intervention to take place as my activities didn’t provide the window for this intervention. </w:t>
      </w:r>
    </w:p>
    <w:p w14:paraId="7379912B" w14:textId="77777777" w:rsidR="00DD3A5A" w:rsidRPr="00616BA7" w:rsidRDefault="00DD3A5A" w:rsidP="00DD3A5A">
      <w:pPr>
        <w:rPr>
          <w:rFonts w:cstheme="minorHAnsi"/>
        </w:rPr>
      </w:pPr>
    </w:p>
    <w:p w14:paraId="49862233" w14:textId="75C8AF02" w:rsidR="00497438" w:rsidRPr="00616BA7" w:rsidRDefault="00DD3A5A" w:rsidP="00497438">
      <w:pPr>
        <w:rPr>
          <w:rFonts w:cstheme="minorHAnsi"/>
        </w:rPr>
      </w:pPr>
      <w:r w:rsidRPr="00616BA7">
        <w:rPr>
          <w:rFonts w:cstheme="minorHAnsi"/>
        </w:rPr>
        <w:t>A further limitation of the study was the validity of the results. There wasn’t the opportunity to have a control class to see if the intervention techniques had an impact on the class. This issue was with validity was highlighted by my analysis of pre and post testing techniques. A further limitation to this study was that one type of research methodology was used to answer the</w:t>
      </w:r>
      <w:r w:rsidR="00E33DD1">
        <w:rPr>
          <w:rFonts w:cstheme="minorHAnsi"/>
        </w:rPr>
        <w:t xml:space="preserve"> assignment</w:t>
      </w:r>
      <w:r w:rsidRPr="00616BA7">
        <w:rPr>
          <w:rFonts w:cstheme="minorHAnsi"/>
        </w:rPr>
        <w:t>. This could be argued that this wasn’t enough t</w:t>
      </w:r>
      <w:r w:rsidR="00497438">
        <w:rPr>
          <w:rFonts w:cstheme="minorHAnsi"/>
        </w:rPr>
        <w:t xml:space="preserve">o support such a huge question. </w:t>
      </w:r>
      <w:r w:rsidRPr="00616BA7">
        <w:rPr>
          <w:rFonts w:cstheme="minorHAnsi"/>
        </w:rPr>
        <w:t xml:space="preserve">Another limitation of the action research was the sample size. Only 32 pupils underwent the intervention. Some could argue this is not a large enough sample size to decide on whether teaching to target common identified misconceptions is effective or not. The action research should be completed with many classes in several different schools or varying catchment areas to see how social beliefs lead to common misconceptions. The class that underwent such an intervention was a mixed ability year 7 class. This means the class had not been taught probability prior to the sequences of lesson which means </w:t>
      </w:r>
      <w:r w:rsidR="00616BA7" w:rsidRPr="00616BA7">
        <w:rPr>
          <w:rFonts w:cstheme="minorHAnsi"/>
        </w:rPr>
        <w:t>it’s</w:t>
      </w:r>
      <w:r w:rsidRPr="00616BA7">
        <w:rPr>
          <w:rFonts w:cstheme="minorHAnsi"/>
        </w:rPr>
        <w:t xml:space="preserve"> difficult to decide what was flawed conceptual understanding, lack of conceptual understanding and what answers were guess work. I think that this intervention will be more beneficial to year 8 and 9 class to irradiate any prior misconceptions before th</w:t>
      </w:r>
      <w:r w:rsidR="00497438">
        <w:rPr>
          <w:rFonts w:cstheme="minorHAnsi"/>
        </w:rPr>
        <w:t xml:space="preserve">e development of new knowledge </w:t>
      </w:r>
      <w:r w:rsidR="00497438" w:rsidRPr="00616BA7">
        <w:rPr>
          <w:rFonts w:cstheme="minorHAnsi"/>
        </w:rPr>
        <w:t>(Cohen, Manion &amp; Morrison, 2011. Coe, Waring, Hedg</w:t>
      </w:r>
      <w:r w:rsidR="00497438">
        <w:rPr>
          <w:rFonts w:cstheme="minorHAnsi"/>
        </w:rPr>
        <w:t xml:space="preserve">es, Arthur, 2017. Somekh, 2006, Houser, 2015). </w:t>
      </w:r>
    </w:p>
    <w:p w14:paraId="5F905665" w14:textId="1994B7E1" w:rsidR="00DD3A5A" w:rsidRPr="00616BA7" w:rsidRDefault="00DD3A5A" w:rsidP="00DD3A5A">
      <w:pPr>
        <w:rPr>
          <w:rFonts w:cstheme="minorHAnsi"/>
        </w:rPr>
      </w:pPr>
    </w:p>
    <w:p w14:paraId="3F4F3E6D" w14:textId="77777777" w:rsidR="00DD3A5A" w:rsidRPr="00616BA7" w:rsidRDefault="00DD3A5A" w:rsidP="00DD3A5A">
      <w:pPr>
        <w:rPr>
          <w:rFonts w:cstheme="minorHAnsi"/>
        </w:rPr>
      </w:pPr>
    </w:p>
    <w:p w14:paraId="5E1ABE5A" w14:textId="77777777" w:rsidR="00DD3A5A" w:rsidRPr="00616BA7" w:rsidRDefault="00DD3A5A" w:rsidP="00DD3A5A">
      <w:pPr>
        <w:rPr>
          <w:rFonts w:cstheme="minorHAnsi"/>
        </w:rPr>
      </w:pPr>
      <w:r w:rsidRPr="00616BA7">
        <w:rPr>
          <w:rFonts w:cstheme="minorHAnsi"/>
        </w:rPr>
        <w:t xml:space="preserve">As part of my NQT year, I will complete another action research assignment. To irradiate some of the issues discussed, I will aim to include more research methods to improve the validity of my results. I will also include a control class so that I can see the impacts of my interventions in comparison to the control class. This will improve the validity of my results. </w:t>
      </w:r>
    </w:p>
    <w:p w14:paraId="43056BF8" w14:textId="77777777" w:rsidR="00DD3A5A" w:rsidRPr="00616BA7" w:rsidRDefault="00DD3A5A" w:rsidP="00DD3A5A"/>
    <w:p w14:paraId="454D88CC" w14:textId="77777777" w:rsidR="00616BA7" w:rsidRPr="00616BA7" w:rsidRDefault="00616BA7">
      <w:pPr>
        <w:rPr>
          <w:b/>
          <w:u w:val="single"/>
        </w:rPr>
      </w:pPr>
      <w:r w:rsidRPr="00616BA7">
        <w:rPr>
          <w:b/>
          <w:u w:val="single"/>
        </w:rPr>
        <w:br w:type="page"/>
      </w:r>
    </w:p>
    <w:p w14:paraId="420BEACD" w14:textId="6257B22E" w:rsidR="00DD3A5A" w:rsidRPr="00435CCA" w:rsidRDefault="00435CCA" w:rsidP="00DD3A5A">
      <w:pPr>
        <w:rPr>
          <w:rFonts w:cstheme="minorHAnsi"/>
          <w:b/>
          <w:u w:val="single"/>
        </w:rPr>
      </w:pPr>
      <w:r w:rsidRPr="00435CCA">
        <w:rPr>
          <w:rFonts w:cstheme="minorHAnsi"/>
          <w:b/>
          <w:u w:val="single"/>
        </w:rPr>
        <w:lastRenderedPageBreak/>
        <w:t xml:space="preserve">Section Seven - </w:t>
      </w:r>
      <w:r w:rsidR="00DD3A5A" w:rsidRPr="00435CCA">
        <w:rPr>
          <w:rFonts w:cstheme="minorHAnsi"/>
          <w:b/>
          <w:u w:val="single"/>
        </w:rPr>
        <w:t xml:space="preserve">References: </w:t>
      </w:r>
    </w:p>
    <w:p w14:paraId="54F73CD5" w14:textId="77777777" w:rsidR="00435CCA" w:rsidRDefault="00435CCA" w:rsidP="00616BA7">
      <w:pPr>
        <w:spacing w:after="160" w:line="259" w:lineRule="auto"/>
        <w:rPr>
          <w:rFonts w:cstheme="minorHAnsi"/>
          <w:u w:val="single"/>
        </w:rPr>
      </w:pPr>
    </w:p>
    <w:p w14:paraId="20DE43AA" w14:textId="7F78B651" w:rsidR="00616BA7" w:rsidRPr="00616BA7" w:rsidRDefault="00616BA7" w:rsidP="00616BA7">
      <w:pPr>
        <w:spacing w:after="160" w:line="259" w:lineRule="auto"/>
        <w:rPr>
          <w:rFonts w:cstheme="minorHAnsi"/>
          <w:u w:val="single"/>
        </w:rPr>
      </w:pPr>
      <w:r w:rsidRPr="00616BA7">
        <w:rPr>
          <w:rFonts w:cstheme="minorHAnsi"/>
          <w:u w:val="single"/>
        </w:rPr>
        <w:t>Books:</w:t>
      </w:r>
      <w:bookmarkStart w:id="1" w:name="_GoBack"/>
      <w:bookmarkEnd w:id="1"/>
    </w:p>
    <w:p w14:paraId="09D69326" w14:textId="77777777" w:rsidR="00616BA7" w:rsidRPr="00616BA7" w:rsidRDefault="00616BA7" w:rsidP="00616BA7">
      <w:pPr>
        <w:spacing w:after="160" w:line="259" w:lineRule="auto"/>
        <w:rPr>
          <w:rFonts w:cstheme="minorHAnsi"/>
        </w:rPr>
      </w:pPr>
      <w:r w:rsidRPr="00616BA7">
        <w:rPr>
          <w:rFonts w:cstheme="minorHAnsi"/>
        </w:rPr>
        <w:t>Swan, M (2001) Issues in Mathematics Teaching (First Edition) London: RoutledgeFalmer</w:t>
      </w:r>
    </w:p>
    <w:p w14:paraId="07D7C9BD" w14:textId="77777777" w:rsidR="00616BA7" w:rsidRPr="00616BA7" w:rsidRDefault="00616BA7" w:rsidP="00616BA7">
      <w:pPr>
        <w:spacing w:after="160" w:line="259" w:lineRule="auto"/>
        <w:rPr>
          <w:rFonts w:cstheme="minorHAnsi"/>
        </w:rPr>
      </w:pPr>
      <w:r w:rsidRPr="00616BA7">
        <w:rPr>
          <w:rFonts w:cstheme="minorHAnsi"/>
        </w:rPr>
        <w:t>Tanner, H. &amp; Jones, S. (2000) Becoming a Successful Teacher of Mathematics (First Edition). London: RoutledgeFalmer</w:t>
      </w:r>
    </w:p>
    <w:p w14:paraId="7C62FC39" w14:textId="77777777" w:rsidR="00616BA7" w:rsidRPr="00616BA7" w:rsidRDefault="00616BA7" w:rsidP="00616BA7">
      <w:pPr>
        <w:spacing w:after="160" w:line="259" w:lineRule="auto"/>
        <w:rPr>
          <w:rFonts w:cstheme="minorHAnsi"/>
        </w:rPr>
      </w:pPr>
      <w:r w:rsidRPr="00616BA7">
        <w:rPr>
          <w:rFonts w:cstheme="minorHAnsi"/>
        </w:rPr>
        <w:t xml:space="preserve">Chambers, P. &amp; Timlin, R. (2013) Teaching Mathematics in the Secondary School. (Second Edition) London: Sage. </w:t>
      </w:r>
    </w:p>
    <w:p w14:paraId="7C73091F" w14:textId="77777777" w:rsidR="00616BA7" w:rsidRPr="00616BA7" w:rsidRDefault="00616BA7" w:rsidP="00616BA7">
      <w:pPr>
        <w:spacing w:after="160" w:line="259" w:lineRule="auto"/>
        <w:rPr>
          <w:rFonts w:cstheme="minorHAnsi"/>
          <w:color w:val="000000"/>
        </w:rPr>
      </w:pPr>
      <w:r w:rsidRPr="00616BA7">
        <w:rPr>
          <w:rFonts w:cstheme="minorHAnsi"/>
        </w:rPr>
        <w:t xml:space="preserve">Hart, K.M. (1980) </w:t>
      </w:r>
      <w:r w:rsidRPr="00616BA7">
        <w:rPr>
          <w:rFonts w:cstheme="minorHAnsi"/>
          <w:color w:val="000000"/>
        </w:rPr>
        <w:t>Secondary School Children's Understanding of Mathematics; a Report on the Mathematics Component of the Concept in Secondary Mathematics and Science Programme.  (first edition) London: Centre for Science Education.</w:t>
      </w:r>
    </w:p>
    <w:p w14:paraId="6431D22F" w14:textId="77777777" w:rsidR="00616BA7" w:rsidRPr="00616BA7" w:rsidRDefault="00616BA7" w:rsidP="00616BA7">
      <w:pPr>
        <w:spacing w:after="160" w:line="259" w:lineRule="auto"/>
        <w:rPr>
          <w:rFonts w:cstheme="minorHAnsi"/>
          <w:color w:val="000000"/>
        </w:rPr>
      </w:pPr>
      <w:r w:rsidRPr="00616BA7">
        <w:rPr>
          <w:rFonts w:cstheme="minorHAnsi"/>
          <w:color w:val="000000"/>
        </w:rPr>
        <w:t>Hart, K. M (1981) Children’s Understanding of Mathematics 11- 16, London: John Murray</w:t>
      </w:r>
    </w:p>
    <w:p w14:paraId="665952E0" w14:textId="77777777" w:rsidR="00616BA7" w:rsidRPr="00616BA7" w:rsidRDefault="00616BA7" w:rsidP="00616BA7">
      <w:pPr>
        <w:spacing w:after="160" w:line="259" w:lineRule="auto"/>
        <w:rPr>
          <w:rFonts w:cstheme="minorHAnsi"/>
          <w:color w:val="000000"/>
        </w:rPr>
      </w:pPr>
      <w:r w:rsidRPr="00616BA7">
        <w:rPr>
          <w:rFonts w:cstheme="minorHAnsi"/>
          <w:color w:val="000000"/>
        </w:rPr>
        <w:t xml:space="preserve">Hart, K.M (1984) Ratio: Report of the strategies and errors in secondary Mathematics Project. Slough: NFER-Nelson. </w:t>
      </w:r>
    </w:p>
    <w:p w14:paraId="0BCD5A9B" w14:textId="77777777" w:rsidR="00616BA7" w:rsidRPr="00616BA7" w:rsidRDefault="00616BA7" w:rsidP="00616BA7">
      <w:pPr>
        <w:spacing w:after="160" w:line="259" w:lineRule="auto"/>
        <w:rPr>
          <w:rFonts w:cstheme="minorHAnsi"/>
        </w:rPr>
      </w:pPr>
      <w:r w:rsidRPr="00616BA7">
        <w:rPr>
          <w:rFonts w:cstheme="minorHAnsi"/>
        </w:rPr>
        <w:t>Sapir, E. (1970) Readings in Educational Psychology: Learning and Teaching. London: Methuen</w:t>
      </w:r>
    </w:p>
    <w:p w14:paraId="6019B01E" w14:textId="77777777" w:rsidR="00616BA7" w:rsidRPr="00616BA7" w:rsidRDefault="00616BA7" w:rsidP="00616BA7">
      <w:pPr>
        <w:spacing w:after="160" w:line="259" w:lineRule="auto"/>
        <w:rPr>
          <w:rFonts w:cstheme="minorHAnsi"/>
        </w:rPr>
      </w:pPr>
      <w:r w:rsidRPr="00616BA7">
        <w:rPr>
          <w:rFonts w:cstheme="minorHAnsi"/>
        </w:rPr>
        <w:t>Primm, D (1995) Symbols and meanings in school mathematics, London: Routledge</w:t>
      </w:r>
    </w:p>
    <w:p w14:paraId="5486577F" w14:textId="77777777" w:rsidR="00616BA7" w:rsidRPr="00616BA7" w:rsidRDefault="00616BA7" w:rsidP="00616BA7">
      <w:pPr>
        <w:spacing w:after="160" w:line="259" w:lineRule="auto"/>
        <w:rPr>
          <w:rFonts w:cstheme="minorHAnsi"/>
        </w:rPr>
      </w:pPr>
      <w:r w:rsidRPr="00616BA7">
        <w:rPr>
          <w:rFonts w:cstheme="minorHAnsi"/>
        </w:rPr>
        <w:t>Seirpinska, A. (1970) Understanding Mathematics, London: Falmer Press.</w:t>
      </w:r>
    </w:p>
    <w:p w14:paraId="40D792DB" w14:textId="77777777" w:rsidR="00616BA7" w:rsidRPr="00616BA7" w:rsidRDefault="00616BA7" w:rsidP="00616BA7">
      <w:pPr>
        <w:spacing w:after="160" w:line="259" w:lineRule="auto"/>
        <w:rPr>
          <w:rFonts w:cstheme="minorHAnsi"/>
        </w:rPr>
      </w:pPr>
      <w:r w:rsidRPr="00616BA7">
        <w:rPr>
          <w:rFonts w:cstheme="minorHAnsi"/>
        </w:rPr>
        <w:t xml:space="preserve">Bel, A. Costello, J. &amp; Kuchemann, D. (1983) Research on learning and teaching, Windsor: NFER – Nelson. </w:t>
      </w:r>
    </w:p>
    <w:p w14:paraId="2929AEBB" w14:textId="77777777" w:rsidR="00616BA7" w:rsidRPr="00616BA7" w:rsidRDefault="00616BA7" w:rsidP="00616BA7">
      <w:pPr>
        <w:spacing w:after="160" w:line="259" w:lineRule="auto"/>
        <w:rPr>
          <w:rFonts w:cstheme="minorHAnsi"/>
        </w:rPr>
      </w:pPr>
      <w:r w:rsidRPr="00616BA7">
        <w:rPr>
          <w:rFonts w:cstheme="minorHAnsi"/>
        </w:rPr>
        <w:t>Tanner, H. &amp; Jones, S. (2000) Becoming a Successful Teacher of Mathematics (First Edition). London: RoutledgeFalmer</w:t>
      </w:r>
    </w:p>
    <w:p w14:paraId="3F21073D" w14:textId="77777777" w:rsidR="00616BA7" w:rsidRPr="00616BA7" w:rsidRDefault="00616BA7" w:rsidP="00616BA7">
      <w:pPr>
        <w:spacing w:after="160" w:line="259" w:lineRule="auto"/>
        <w:rPr>
          <w:rFonts w:cstheme="minorHAnsi"/>
        </w:rPr>
      </w:pPr>
      <w:r w:rsidRPr="00616BA7">
        <w:rPr>
          <w:rFonts w:cstheme="minorHAnsi"/>
        </w:rPr>
        <w:t xml:space="preserve">Cohen, L.  Manion, L. &amp; Morrison, K (2011) Research Methodologies in Education (Seventh Edition). London Routledge. </w:t>
      </w:r>
    </w:p>
    <w:p w14:paraId="711F77B0" w14:textId="77777777" w:rsidR="00616BA7" w:rsidRPr="00616BA7" w:rsidRDefault="00616BA7" w:rsidP="00616BA7">
      <w:pPr>
        <w:spacing w:after="160" w:line="259" w:lineRule="auto"/>
        <w:rPr>
          <w:rFonts w:cstheme="minorHAnsi"/>
          <w:bCs/>
        </w:rPr>
      </w:pPr>
      <w:r w:rsidRPr="00616BA7">
        <w:rPr>
          <w:rFonts w:cstheme="minorHAnsi"/>
        </w:rPr>
        <w:t xml:space="preserve">Coe, R. Waring, M. Hedges, L. &amp; Arthur, J (2017) </w:t>
      </w:r>
      <w:r w:rsidRPr="00616BA7">
        <w:rPr>
          <w:rFonts w:cstheme="minorHAnsi"/>
          <w:bCs/>
        </w:rPr>
        <w:t xml:space="preserve">Research Methods and Methodologies in Education (first edition) London: Sage. </w:t>
      </w:r>
    </w:p>
    <w:p w14:paraId="5F3F948B" w14:textId="77777777" w:rsidR="00616BA7" w:rsidRPr="00616BA7" w:rsidRDefault="00616BA7" w:rsidP="00616BA7">
      <w:pPr>
        <w:spacing w:after="160" w:line="259" w:lineRule="auto"/>
        <w:rPr>
          <w:rFonts w:cstheme="minorHAnsi"/>
          <w:bCs/>
        </w:rPr>
      </w:pPr>
      <w:r w:rsidRPr="00616BA7">
        <w:rPr>
          <w:rFonts w:cstheme="minorHAnsi"/>
          <w:bCs/>
        </w:rPr>
        <w:t>Somekh, B. (2006) Action research: a methodology for change and development. (first edition) London: Open University Press</w:t>
      </w:r>
    </w:p>
    <w:p w14:paraId="25329135" w14:textId="75F1CD89" w:rsidR="00616BA7" w:rsidRDefault="00616BA7" w:rsidP="00616BA7">
      <w:pPr>
        <w:spacing w:after="160" w:line="259" w:lineRule="auto"/>
        <w:rPr>
          <w:rFonts w:cstheme="minorHAnsi"/>
          <w:bCs/>
        </w:rPr>
      </w:pPr>
      <w:r w:rsidRPr="00616BA7">
        <w:rPr>
          <w:rFonts w:cstheme="minorHAnsi"/>
          <w:bCs/>
        </w:rPr>
        <w:t xml:space="preserve">Haggarty, L. (2002) Aspects of Teaching Mathematics – </w:t>
      </w:r>
      <w:r w:rsidRPr="00435CCA">
        <w:rPr>
          <w:rFonts w:cstheme="minorHAnsi"/>
          <w:bCs/>
        </w:rPr>
        <w:t>Perspectives</w:t>
      </w:r>
      <w:r w:rsidRPr="00616BA7">
        <w:rPr>
          <w:rFonts w:cstheme="minorHAnsi"/>
          <w:bCs/>
        </w:rPr>
        <w:t xml:space="preserve"> on practice. (first edition) London: Routledgefalmer</w:t>
      </w:r>
    </w:p>
    <w:p w14:paraId="1B68125A" w14:textId="545DDF3F" w:rsidR="00497438" w:rsidRPr="00616BA7" w:rsidRDefault="00497438" w:rsidP="00616BA7">
      <w:pPr>
        <w:spacing w:after="160" w:line="259" w:lineRule="auto"/>
        <w:rPr>
          <w:rFonts w:cstheme="minorHAnsi"/>
          <w:bCs/>
        </w:rPr>
      </w:pPr>
      <w:r>
        <w:rPr>
          <w:rFonts w:cstheme="minorHAnsi"/>
          <w:bCs/>
        </w:rPr>
        <w:t>Houser, R (2015) C</w:t>
      </w:r>
      <w:r w:rsidRPr="00497438">
        <w:rPr>
          <w:rFonts w:cstheme="minorHAnsi"/>
          <w:bCs/>
        </w:rPr>
        <w:t>ounseling and Educational Research: Evaluation and Application</w:t>
      </w:r>
      <w:r>
        <w:rPr>
          <w:rFonts w:cstheme="minorHAnsi"/>
          <w:bCs/>
        </w:rPr>
        <w:t>. (third edition) London: Sage</w:t>
      </w:r>
    </w:p>
    <w:p w14:paraId="7B1EDCEF" w14:textId="77777777" w:rsidR="00616BA7" w:rsidRPr="00616BA7" w:rsidRDefault="00616BA7" w:rsidP="00616BA7">
      <w:pPr>
        <w:spacing w:after="160" w:line="259" w:lineRule="auto"/>
        <w:rPr>
          <w:rFonts w:cstheme="minorHAnsi"/>
        </w:rPr>
      </w:pPr>
    </w:p>
    <w:p w14:paraId="6A0EA413" w14:textId="77777777" w:rsidR="00616BA7" w:rsidRPr="00616BA7" w:rsidRDefault="00616BA7" w:rsidP="00616BA7">
      <w:pPr>
        <w:spacing w:after="160" w:line="259" w:lineRule="auto"/>
        <w:rPr>
          <w:rFonts w:cstheme="minorHAnsi"/>
          <w:u w:val="single"/>
        </w:rPr>
      </w:pPr>
      <w:r w:rsidRPr="00616BA7">
        <w:rPr>
          <w:rFonts w:cstheme="minorHAnsi"/>
          <w:u w:val="single"/>
        </w:rPr>
        <w:t>Websites:</w:t>
      </w:r>
    </w:p>
    <w:p w14:paraId="4EB9526E" w14:textId="77777777" w:rsidR="00616BA7" w:rsidRPr="00616BA7" w:rsidRDefault="00616BA7" w:rsidP="00616BA7">
      <w:pPr>
        <w:spacing w:after="160" w:line="259" w:lineRule="auto"/>
        <w:rPr>
          <w:rFonts w:cstheme="minorHAnsi"/>
        </w:rPr>
      </w:pPr>
      <w:r w:rsidRPr="00616BA7">
        <w:rPr>
          <w:rFonts w:cstheme="minorHAnsi"/>
        </w:rPr>
        <w:lastRenderedPageBreak/>
        <w:t>Bishop of Llandaff High School (2018) [</w:t>
      </w:r>
      <w:hyperlink r:id="rId11" w:history="1">
        <w:r w:rsidRPr="00435CCA">
          <w:rPr>
            <w:rFonts w:cstheme="minorHAnsi"/>
            <w:color w:val="0563C1" w:themeColor="hyperlink"/>
            <w:u w:val="single"/>
          </w:rPr>
          <w:t>https://www.bishopofllandaff.org/</w:t>
        </w:r>
      </w:hyperlink>
      <w:r w:rsidRPr="00616BA7">
        <w:rPr>
          <w:rFonts w:cstheme="minorHAnsi"/>
        </w:rPr>
        <w:t xml:space="preserve">] (date accessed: 6/4/18). </w:t>
      </w:r>
    </w:p>
    <w:p w14:paraId="369C2485" w14:textId="77777777" w:rsidR="00616BA7" w:rsidRPr="00616BA7" w:rsidRDefault="00616BA7" w:rsidP="00616BA7">
      <w:pPr>
        <w:spacing w:after="160" w:line="259" w:lineRule="auto"/>
        <w:rPr>
          <w:rFonts w:cstheme="minorHAnsi"/>
        </w:rPr>
      </w:pPr>
      <w:r w:rsidRPr="00616BA7">
        <w:rPr>
          <w:rFonts w:cstheme="minorHAnsi"/>
        </w:rPr>
        <w:t>School Guide (2018) Bishop of Llandaff Church in Wales High School [</w:t>
      </w:r>
      <w:hyperlink r:id="rId12" w:history="1">
        <w:r w:rsidRPr="00435CCA">
          <w:rPr>
            <w:rFonts w:cstheme="minorHAnsi"/>
            <w:color w:val="0563C1" w:themeColor="hyperlink"/>
            <w:u w:val="single"/>
          </w:rPr>
          <w:t>https://www.schoolguide.co.uk/schools/the-bishop-of-llandaff-ciw-high-school-cardiff</w:t>
        </w:r>
      </w:hyperlink>
      <w:r w:rsidRPr="00616BA7">
        <w:rPr>
          <w:rFonts w:cstheme="minorHAnsi"/>
        </w:rPr>
        <w:t xml:space="preserve">] (date accessed: 6/4/18). </w:t>
      </w:r>
    </w:p>
    <w:p w14:paraId="1F31E500" w14:textId="77777777" w:rsidR="00616BA7" w:rsidRPr="00616BA7" w:rsidRDefault="00616BA7" w:rsidP="00616BA7">
      <w:pPr>
        <w:spacing w:after="160" w:line="259" w:lineRule="auto"/>
        <w:rPr>
          <w:rFonts w:cstheme="minorHAnsi"/>
        </w:rPr>
      </w:pPr>
      <w:r w:rsidRPr="00616BA7">
        <w:rPr>
          <w:rFonts w:cstheme="minorHAnsi"/>
        </w:rPr>
        <w:t>Cambridge Dictionary (2018) Meaning of “misconception” in the English Dictionary [https://dictionary.cambridge.org/dictionary/english/misconception] (date accessed 13/05/2018).</w:t>
      </w:r>
    </w:p>
    <w:p w14:paraId="582AECF1" w14:textId="77777777" w:rsidR="00616BA7" w:rsidRPr="00616BA7" w:rsidRDefault="00616BA7" w:rsidP="00616BA7">
      <w:pPr>
        <w:spacing w:after="160" w:line="259" w:lineRule="auto"/>
        <w:rPr>
          <w:rFonts w:cstheme="minorHAnsi"/>
        </w:rPr>
      </w:pPr>
      <w:r w:rsidRPr="00616BA7">
        <w:rPr>
          <w:rFonts w:cstheme="minorHAnsi"/>
        </w:rPr>
        <w:t>Oxford Dictionary (2018) Definition of misconception in English [https://en.oxforddictionaries.com/definition/misconception] (date accessed 13/05/2018).</w:t>
      </w:r>
    </w:p>
    <w:p w14:paraId="01D0BF62" w14:textId="05654A25" w:rsidR="00616BA7" w:rsidRPr="00616BA7" w:rsidRDefault="00616BA7" w:rsidP="00616BA7">
      <w:pPr>
        <w:spacing w:after="160" w:line="259" w:lineRule="auto"/>
        <w:rPr>
          <w:rFonts w:cstheme="minorHAnsi"/>
        </w:rPr>
      </w:pPr>
      <w:r w:rsidRPr="00616BA7">
        <w:rPr>
          <w:rFonts w:cstheme="minorHAnsi"/>
        </w:rPr>
        <w:t>Shaughnessy M. J.</w:t>
      </w:r>
      <w:r w:rsidRPr="00435CCA">
        <w:rPr>
          <w:rFonts w:cstheme="minorHAnsi"/>
        </w:rPr>
        <w:t xml:space="preserve"> </w:t>
      </w:r>
      <w:r w:rsidRPr="00616BA7">
        <w:rPr>
          <w:rFonts w:cstheme="minorHAnsi"/>
        </w:rPr>
        <w:t>(1977) Misconceptions of probability: An experiment with a small-group, activity-based, model building approach to introductory probability at the college level [https://link.springer.com/article/10.1007/BF00385927] (date accessed: 13/05/2018)</w:t>
      </w:r>
    </w:p>
    <w:p w14:paraId="404AC04F" w14:textId="77777777" w:rsidR="00616BA7" w:rsidRPr="00616BA7" w:rsidRDefault="00616BA7" w:rsidP="00616BA7">
      <w:pPr>
        <w:spacing w:after="160" w:line="259" w:lineRule="auto"/>
        <w:rPr>
          <w:rFonts w:cstheme="minorHAnsi"/>
        </w:rPr>
      </w:pPr>
      <w:r w:rsidRPr="00616BA7">
        <w:rPr>
          <w:rFonts w:cstheme="minorHAnsi"/>
        </w:rPr>
        <w:t>Kahneman, D &amp; Tversky, A (1972) Subjective probability: A judgment of representativeness. [https://www.sciencedirect.com/science/article/pii/0010028572900163] (date accessed: 13/05/2018)</w:t>
      </w:r>
    </w:p>
    <w:p w14:paraId="0EC068E7" w14:textId="77777777" w:rsidR="00616BA7" w:rsidRPr="00616BA7" w:rsidRDefault="00616BA7" w:rsidP="00616BA7">
      <w:pPr>
        <w:spacing w:after="160" w:line="259" w:lineRule="auto"/>
        <w:rPr>
          <w:rFonts w:cstheme="minorHAnsi"/>
        </w:rPr>
      </w:pPr>
      <w:r w:rsidRPr="00616BA7">
        <w:rPr>
          <w:rFonts w:cstheme="minorHAnsi"/>
        </w:rPr>
        <w:t>M. J. Cañizares, C. Batanero, L. Serrano &amp; J. J. Ortiz (1998) CHILDREN'S UNDERSTANDING OF FAIR GAMES [http://fibonacci.dm.unipi.it/~didattica/CERME3/proceedings/Groups/TG5/TG5_canizares_cerme3.pdf] (date accessed: 13/05/2018)</w:t>
      </w:r>
    </w:p>
    <w:p w14:paraId="06851401" w14:textId="7FB1C3D3" w:rsidR="00616BA7" w:rsidRPr="00616BA7" w:rsidRDefault="00616BA7" w:rsidP="00616BA7">
      <w:pPr>
        <w:spacing w:after="160" w:line="259" w:lineRule="auto"/>
        <w:rPr>
          <w:rFonts w:cstheme="minorHAnsi"/>
        </w:rPr>
      </w:pPr>
      <w:r w:rsidRPr="00616BA7">
        <w:rPr>
          <w:rFonts w:cstheme="minorHAnsi"/>
        </w:rPr>
        <w:t xml:space="preserve">Jun, L. (2002) MISCONCEPTIONS IN </w:t>
      </w:r>
      <w:r w:rsidRPr="00435CCA">
        <w:rPr>
          <w:rFonts w:cstheme="minorHAnsi"/>
        </w:rPr>
        <w:t>PROBABILITY [</w:t>
      </w:r>
      <w:r w:rsidRPr="00616BA7">
        <w:rPr>
          <w:rFonts w:cstheme="minorHAnsi"/>
        </w:rPr>
        <w:t>http://iase-web.org/documents/papers/icots6/6g4_jun.pdf] (date accessed: 13/05/2018).</w:t>
      </w:r>
    </w:p>
    <w:p w14:paraId="3A5D12AD" w14:textId="77777777" w:rsidR="00616BA7" w:rsidRPr="00616BA7" w:rsidRDefault="00616BA7" w:rsidP="00616BA7">
      <w:pPr>
        <w:spacing w:after="160" w:line="259" w:lineRule="auto"/>
        <w:rPr>
          <w:rFonts w:cstheme="minorHAnsi"/>
        </w:rPr>
      </w:pPr>
      <w:r w:rsidRPr="00616BA7">
        <w:rPr>
          <w:rFonts w:cstheme="minorHAnsi"/>
        </w:rPr>
        <w:t>Anway, D. &amp; Bennett, E. (2004) [http://www.rossmanchance.com/artist/proceedings/AnwayBennett.pdf] (date accessed: 13/05/2018).</w:t>
      </w:r>
    </w:p>
    <w:p w14:paraId="1FA2460D" w14:textId="77777777" w:rsidR="00616BA7" w:rsidRPr="00616BA7" w:rsidRDefault="00616BA7" w:rsidP="00616BA7">
      <w:pPr>
        <w:spacing w:after="160" w:line="259" w:lineRule="auto"/>
        <w:rPr>
          <w:rFonts w:cstheme="minorHAnsi"/>
        </w:rPr>
      </w:pPr>
      <w:r w:rsidRPr="00616BA7">
        <w:rPr>
          <w:rFonts w:cstheme="minorHAnsi"/>
        </w:rPr>
        <w:t>Amir, G.S. &amp; Williams, J. S. (1999) Cultural Influences on Children's Probabilistic Thinking [https://www.sciencedirect.com/science/article/pii/S0732312399000188] (13/05/2018)</w:t>
      </w:r>
    </w:p>
    <w:p w14:paraId="2F6613FA" w14:textId="16F2BDCA" w:rsidR="00616BA7" w:rsidRPr="00616BA7" w:rsidRDefault="00616BA7" w:rsidP="00616BA7">
      <w:pPr>
        <w:spacing w:after="160" w:line="259" w:lineRule="auto"/>
        <w:rPr>
          <w:rFonts w:cstheme="minorHAnsi"/>
        </w:rPr>
      </w:pPr>
      <w:r w:rsidRPr="00616BA7">
        <w:rPr>
          <w:rFonts w:cstheme="minorHAnsi"/>
        </w:rPr>
        <w:t xml:space="preserve">Fischbein, E., Nello, M.S. &amp; Marino, M.S. </w:t>
      </w:r>
      <w:r w:rsidRPr="00435CCA">
        <w:rPr>
          <w:rFonts w:cstheme="minorHAnsi"/>
        </w:rPr>
        <w:t>(1991</w:t>
      </w:r>
      <w:r w:rsidRPr="00616BA7">
        <w:rPr>
          <w:rFonts w:cstheme="minorHAnsi"/>
        </w:rPr>
        <w:t>) Factors affecting probabilistic judgements in children and adolescents [https://link.springer.com/article/10.1007/BF00312714] (date accessed: 13/05/2018).</w:t>
      </w:r>
    </w:p>
    <w:p w14:paraId="7A191A95" w14:textId="77777777" w:rsidR="00616BA7" w:rsidRPr="00616BA7" w:rsidRDefault="00616BA7" w:rsidP="00616BA7">
      <w:pPr>
        <w:spacing w:after="160" w:line="259" w:lineRule="auto"/>
        <w:rPr>
          <w:rFonts w:cstheme="minorHAnsi"/>
        </w:rPr>
      </w:pPr>
      <w:r w:rsidRPr="00616BA7">
        <w:rPr>
          <w:rFonts w:cstheme="minorHAnsi"/>
        </w:rPr>
        <w:t>Pratt Nicolson, C. (2005) Is chance fair? One student’s thoughts on probability. [https://www.bvsd.org/curriculum/math/Documents/K2%20Assessment%20Folder/Prob%20Nicolson%20Chance%202005%20TCM.pdf] (date accessed: 13/05/2018).</w:t>
      </w:r>
    </w:p>
    <w:p w14:paraId="301DD23F" w14:textId="77777777" w:rsidR="00616BA7" w:rsidRPr="00616BA7" w:rsidRDefault="00616BA7" w:rsidP="00616BA7">
      <w:pPr>
        <w:spacing w:after="160" w:line="259" w:lineRule="auto"/>
        <w:rPr>
          <w:rFonts w:cstheme="minorHAnsi"/>
        </w:rPr>
      </w:pPr>
      <w:r w:rsidRPr="00616BA7">
        <w:rPr>
          <w:rFonts w:cstheme="minorHAnsi"/>
        </w:rPr>
        <w:t>Maths Navigator (2018) Misconceptions and Errors [https://www.westada.org/cms/lib/ID01904074/Centricity/Domain/207/Misconceptions_Error%202.pdf] (date accessed: 13/05/2018).</w:t>
      </w:r>
    </w:p>
    <w:p w14:paraId="03178824" w14:textId="77777777" w:rsidR="00616BA7" w:rsidRPr="00616BA7" w:rsidRDefault="00616BA7" w:rsidP="00616BA7">
      <w:pPr>
        <w:spacing w:after="160" w:line="259" w:lineRule="auto"/>
        <w:rPr>
          <w:rFonts w:cstheme="minorHAnsi"/>
        </w:rPr>
      </w:pPr>
      <w:r w:rsidRPr="00616BA7">
        <w:rPr>
          <w:rFonts w:cstheme="minorHAnsi"/>
          <w:color w:val="333333"/>
          <w:spacing w:val="4"/>
          <w:shd w:val="clear" w:color="auto" w:fill="FCFCFC"/>
        </w:rPr>
        <w:lastRenderedPageBreak/>
        <w:t xml:space="preserve">Zaslavsky, O. (2005) Seizing the Opportunity to Create Uncertainty in Learning Mathematics [https://link.springer.com/article/10.1007/s10649-005-0606-5] (date accessed: 13/05/2013). </w:t>
      </w:r>
    </w:p>
    <w:p w14:paraId="38CE8AF8" w14:textId="0D9DC797" w:rsidR="00616BA7" w:rsidRPr="00616BA7" w:rsidRDefault="00616BA7" w:rsidP="00616BA7">
      <w:pPr>
        <w:spacing w:after="160" w:line="259" w:lineRule="auto"/>
        <w:rPr>
          <w:rFonts w:cstheme="minorHAnsi"/>
        </w:rPr>
      </w:pPr>
      <w:r w:rsidRPr="00616BA7">
        <w:rPr>
          <w:rFonts w:cstheme="minorHAnsi"/>
        </w:rPr>
        <w:t>Reynolds, D.  &amp; Muijs, D. (1999</w:t>
      </w:r>
      <w:r w:rsidRPr="00435CCA">
        <w:rPr>
          <w:rFonts w:cstheme="minorHAnsi"/>
        </w:rPr>
        <w:t>) The</w:t>
      </w:r>
      <w:r w:rsidRPr="00616BA7">
        <w:rPr>
          <w:rFonts w:cstheme="minorHAnsi"/>
        </w:rPr>
        <w:t xml:space="preserve"> Effective Teaching of Mathematics: A review of research [https://www.tandfonline.com/doi/abs/10.1080/13632439969032?journalCode=cslm20] (date accessed: 13/05/2018). </w:t>
      </w:r>
    </w:p>
    <w:p w14:paraId="66B62748" w14:textId="77777777" w:rsidR="00616BA7" w:rsidRPr="00616BA7" w:rsidRDefault="00616BA7" w:rsidP="00616BA7">
      <w:pPr>
        <w:spacing w:after="160" w:line="259" w:lineRule="auto"/>
        <w:rPr>
          <w:rFonts w:cstheme="minorHAnsi"/>
          <w:color w:val="333333"/>
        </w:rPr>
      </w:pPr>
      <w:r w:rsidRPr="00435CCA">
        <w:rPr>
          <w:rFonts w:cstheme="minorHAnsi"/>
          <w:color w:val="333333"/>
        </w:rPr>
        <w:t>Askew, M</w:t>
      </w:r>
      <w:r w:rsidRPr="00616BA7">
        <w:rPr>
          <w:rFonts w:cstheme="minorHAnsi"/>
          <w:color w:val="333333"/>
        </w:rPr>
        <w:t> and </w:t>
      </w:r>
      <w:r w:rsidRPr="00435CCA">
        <w:rPr>
          <w:rFonts w:cstheme="minorHAnsi"/>
          <w:color w:val="333333"/>
        </w:rPr>
        <w:t>William, D</w:t>
      </w:r>
      <w:r w:rsidRPr="00616BA7">
        <w:rPr>
          <w:rFonts w:cstheme="minorHAnsi"/>
          <w:color w:val="333333"/>
        </w:rPr>
        <w:t>. (</w:t>
      </w:r>
      <w:r w:rsidRPr="00435CCA">
        <w:rPr>
          <w:rFonts w:cstheme="minorHAnsi"/>
          <w:color w:val="333333"/>
        </w:rPr>
        <w:t>1995</w:t>
      </w:r>
      <w:r w:rsidRPr="00616BA7">
        <w:rPr>
          <w:rFonts w:cstheme="minorHAnsi"/>
          <w:color w:val="333333"/>
        </w:rPr>
        <w:t>). </w:t>
      </w:r>
      <w:r w:rsidRPr="00616BA7">
        <w:rPr>
          <w:rFonts w:cstheme="minorHAnsi"/>
          <w:i/>
          <w:iCs/>
          <w:color w:val="333333"/>
        </w:rPr>
        <w:t>Recent Research in Mathematics Education</w:t>
      </w:r>
      <w:r w:rsidRPr="00616BA7">
        <w:rPr>
          <w:rFonts w:cstheme="minorHAnsi"/>
          <w:color w:val="333333"/>
        </w:rPr>
        <w:t>, </w:t>
      </w:r>
      <w:r w:rsidRPr="00435CCA">
        <w:rPr>
          <w:rFonts w:cstheme="minorHAnsi"/>
          <w:color w:val="333333"/>
        </w:rPr>
        <w:t>London</w:t>
      </w:r>
      <w:r w:rsidRPr="00616BA7">
        <w:rPr>
          <w:rFonts w:cstheme="minorHAnsi"/>
          <w:color w:val="333333"/>
        </w:rPr>
        <w:t>: </w:t>
      </w:r>
      <w:r w:rsidRPr="00435CCA">
        <w:rPr>
          <w:rFonts w:cstheme="minorHAnsi"/>
          <w:color w:val="333333"/>
        </w:rPr>
        <w:t>OfSTED</w:t>
      </w:r>
      <w:r w:rsidRPr="00616BA7">
        <w:rPr>
          <w:rFonts w:cstheme="minorHAnsi"/>
          <w:color w:val="333333"/>
        </w:rPr>
        <w:t>. </w:t>
      </w:r>
    </w:p>
    <w:p w14:paraId="750DE82B" w14:textId="77777777" w:rsidR="00616BA7" w:rsidRPr="00616BA7" w:rsidRDefault="00616BA7" w:rsidP="00616BA7">
      <w:pPr>
        <w:spacing w:after="160" w:line="259" w:lineRule="auto"/>
        <w:rPr>
          <w:rFonts w:cstheme="minorHAnsi"/>
        </w:rPr>
      </w:pPr>
      <w:r w:rsidRPr="00616BA7">
        <w:rPr>
          <w:rFonts w:cstheme="minorHAnsi"/>
        </w:rPr>
        <w:t xml:space="preserve">Skemp, R.R. (1976) Relational Understanding and Instrumental understanding [http://mrchadburn.co.uk/wp-content/uploads/2017/10/Skemp-Relational-and-Instrumental-Understanding.pdf] (date accessed: 13/05/2013). </w:t>
      </w:r>
    </w:p>
    <w:p w14:paraId="3190B2DB" w14:textId="77777777" w:rsidR="00616BA7" w:rsidRPr="00616BA7" w:rsidRDefault="00616BA7" w:rsidP="00616BA7">
      <w:pPr>
        <w:spacing w:after="160" w:line="259" w:lineRule="auto"/>
        <w:rPr>
          <w:rFonts w:cstheme="minorHAnsi"/>
        </w:rPr>
      </w:pPr>
      <w:r w:rsidRPr="00616BA7">
        <w:rPr>
          <w:rFonts w:cstheme="minorHAnsi"/>
        </w:rPr>
        <w:t xml:space="preserve">Sierpinska, A (1990) Some Remarks on Understanding Mathematics [http://www.jstor.org/stable/40247990?seq=1#page_scan_tab_contents] (date accessed: 13/05/2018). </w:t>
      </w:r>
    </w:p>
    <w:p w14:paraId="172A5181" w14:textId="77777777" w:rsidR="00616BA7" w:rsidRPr="00616BA7" w:rsidRDefault="00616BA7" w:rsidP="00616BA7">
      <w:pPr>
        <w:spacing w:after="160" w:line="259" w:lineRule="auto"/>
        <w:rPr>
          <w:rFonts w:cstheme="minorHAnsi"/>
        </w:rPr>
      </w:pPr>
      <w:r w:rsidRPr="00616BA7">
        <w:rPr>
          <w:rFonts w:cstheme="minorHAnsi"/>
          <w:color w:val="000000"/>
        </w:rPr>
        <w:t>Dumma C. Mapolelo, Mojeed K. Akinsola (2015) Preparation of Mathematics Teachers: Lessons from Review of Literature on Teachers’ Knowledge, Beliefs, and Teacher Education. [http://www.sciepub.com/reference/106663] (date accessed: 13/05/2018).</w:t>
      </w:r>
    </w:p>
    <w:p w14:paraId="4D858273" w14:textId="77777777" w:rsidR="00616BA7" w:rsidRPr="00616BA7" w:rsidRDefault="00616BA7" w:rsidP="00616BA7">
      <w:pPr>
        <w:spacing w:after="160" w:line="259" w:lineRule="auto"/>
        <w:rPr>
          <w:rFonts w:cstheme="minorHAnsi"/>
          <w:color w:val="333333"/>
          <w:shd w:val="clear" w:color="auto" w:fill="FFFFFF"/>
        </w:rPr>
      </w:pPr>
      <w:r w:rsidRPr="00616BA7">
        <w:rPr>
          <w:rFonts w:cstheme="minorHAnsi"/>
          <w:color w:val="333333"/>
          <w:shd w:val="clear" w:color="auto" w:fill="FFFFFF"/>
        </w:rPr>
        <w:t>Flavell, J. H. (1979). Metacognition and cognitive monitoring: A new area of cognitive–developmental inquiry. [http://psycnet.apa.org/record/1980-09388-001] (date accessed: 13/05/2018)</w:t>
      </w:r>
    </w:p>
    <w:p w14:paraId="15EA65A6" w14:textId="77777777" w:rsidR="00616BA7" w:rsidRPr="00616BA7" w:rsidRDefault="00616BA7" w:rsidP="00616BA7">
      <w:pPr>
        <w:spacing w:after="160" w:line="259" w:lineRule="auto"/>
        <w:rPr>
          <w:rFonts w:cstheme="minorHAnsi"/>
        </w:rPr>
      </w:pPr>
      <w:r w:rsidRPr="00616BA7">
        <w:rPr>
          <w:rFonts w:cstheme="minorHAnsi"/>
        </w:rPr>
        <w:t>Carr, M (2010) The Importance of Metacognition for conceptual understanding and strategy use in mathematics. [https://books.google.co.uk/books?hl=en&amp;lr=&amp;id=QBOFbek1pusC&amp;oi=fnd&amp;pg=PA176&amp;dq=merenluoto+%26+lehtinen,+2002+metacognition&amp;ots=ZGzRgsoTb_&amp;sig=YRsnWsslOF2KHIHM2OsVVL7Jdy4#v=onepage&amp;q=merenluoto%20%26%20lehtinen%2C%202002%20metacognition&amp;f=false] (date accessed: 13/05/2018).</w:t>
      </w:r>
    </w:p>
    <w:p w14:paraId="5C4A4C0C" w14:textId="77777777" w:rsidR="00616BA7" w:rsidRPr="00616BA7" w:rsidRDefault="00616BA7" w:rsidP="00616BA7">
      <w:pPr>
        <w:spacing w:after="160" w:line="259" w:lineRule="auto"/>
        <w:rPr>
          <w:rFonts w:cstheme="minorHAnsi"/>
        </w:rPr>
      </w:pPr>
      <w:r w:rsidRPr="00616BA7">
        <w:rPr>
          <w:rFonts w:cstheme="minorHAnsi"/>
        </w:rPr>
        <w:t xml:space="preserve">Merenluoto, K. &amp; Lehtinen, E (2004). Number concept and conceptual change: towards a systemic model of the processes of change [https://www.sciencedirect.com/science/article/pii/S0959475204000477] (date accessed: 13/05/2018). </w:t>
      </w:r>
    </w:p>
    <w:p w14:paraId="295451C9" w14:textId="77777777" w:rsidR="00616BA7" w:rsidRPr="00616BA7" w:rsidRDefault="00616BA7" w:rsidP="00616BA7">
      <w:pPr>
        <w:spacing w:after="160" w:line="259" w:lineRule="auto"/>
        <w:rPr>
          <w:rFonts w:cstheme="minorHAnsi"/>
          <w:color w:val="333333"/>
          <w:spacing w:val="4"/>
          <w:shd w:val="clear" w:color="auto" w:fill="FCFCFC"/>
        </w:rPr>
      </w:pPr>
      <w:r w:rsidRPr="00616BA7">
        <w:rPr>
          <w:rFonts w:cstheme="minorHAnsi"/>
          <w:color w:val="333333"/>
          <w:spacing w:val="4"/>
          <w:shd w:val="clear" w:color="auto" w:fill="FCFCFC"/>
        </w:rPr>
        <w:t xml:space="preserve">Schneider, W. &amp; Artelt, C. (2010) Metacognition and mathematics education [https://link.springer.com/article/10.1007/s11858-010-0240-2] (date accessed: 13/05/2018). </w:t>
      </w:r>
    </w:p>
    <w:p w14:paraId="22D2554D" w14:textId="77777777" w:rsidR="00616BA7" w:rsidRPr="00616BA7" w:rsidRDefault="00616BA7" w:rsidP="00616BA7">
      <w:pPr>
        <w:spacing w:after="160" w:line="259" w:lineRule="auto"/>
        <w:rPr>
          <w:rFonts w:cstheme="minorHAnsi"/>
          <w:color w:val="333333"/>
          <w:spacing w:val="4"/>
          <w:shd w:val="clear" w:color="auto" w:fill="FCFCFC"/>
        </w:rPr>
      </w:pPr>
      <w:r w:rsidRPr="00616BA7">
        <w:rPr>
          <w:rFonts w:cstheme="minorHAnsi"/>
          <w:color w:val="333333"/>
          <w:spacing w:val="4"/>
          <w:shd w:val="clear" w:color="auto" w:fill="FCFCFC"/>
        </w:rPr>
        <w:t xml:space="preserve">Piaget, J. (1975) Comments on Mathematical Education [https://search.proquest.com/openview/fde80c4bce085d4925c0bafb81853b39/1?pq-origsite=gscholar&amp;cbl=1816594] (date accessed: 13/05/2018). </w:t>
      </w:r>
    </w:p>
    <w:p w14:paraId="7A1F372C" w14:textId="77777777" w:rsidR="00616BA7" w:rsidRPr="00616BA7" w:rsidRDefault="00616BA7" w:rsidP="00616BA7">
      <w:pPr>
        <w:spacing w:after="160" w:line="259" w:lineRule="auto"/>
        <w:rPr>
          <w:rFonts w:cstheme="minorHAnsi"/>
          <w:bCs/>
          <w:color w:val="333333"/>
        </w:rPr>
      </w:pPr>
      <w:r w:rsidRPr="00616BA7">
        <w:rPr>
          <w:rFonts w:cstheme="minorHAnsi"/>
          <w:color w:val="333333"/>
          <w:spacing w:val="4"/>
          <w:shd w:val="clear" w:color="auto" w:fill="FCFCFC"/>
        </w:rPr>
        <w:lastRenderedPageBreak/>
        <w:t xml:space="preserve">Vygotsky, L. S (1987) </w:t>
      </w:r>
      <w:r w:rsidRPr="00616BA7">
        <w:rPr>
          <w:rFonts w:cstheme="minorHAnsi"/>
          <w:bCs/>
          <w:color w:val="333333"/>
        </w:rPr>
        <w:t>The Collected Works of L.S. Vygotsky [https://books.google.co.uk/books?id=u8UTfKFWb5UC&amp;printsec=frontcover&amp;dq=Vygotsky+(1987)&amp;hl=en&amp;sa=X&amp;ved=0ahUKEwiq56Xe0YPbAhWrI8AKHRlkD7cQ6AEILjAB#v=onepage&amp;q=Vygotsky%20(1987)&amp;f=false] (date accessed: 13/05/2018)</w:t>
      </w:r>
    </w:p>
    <w:p w14:paraId="1A9488C6" w14:textId="77777777" w:rsidR="00616BA7" w:rsidRPr="00616BA7" w:rsidRDefault="00616BA7" w:rsidP="00616BA7">
      <w:pPr>
        <w:spacing w:after="160" w:line="259" w:lineRule="auto"/>
        <w:rPr>
          <w:rFonts w:cstheme="minorHAnsi"/>
          <w:color w:val="333333"/>
          <w:spacing w:val="4"/>
          <w:shd w:val="clear" w:color="auto" w:fill="FCFCFC"/>
        </w:rPr>
      </w:pPr>
      <w:r w:rsidRPr="00616BA7">
        <w:rPr>
          <w:rFonts w:cstheme="minorHAnsi"/>
          <w:color w:val="333333"/>
          <w:spacing w:val="4"/>
          <w:shd w:val="clear" w:color="auto" w:fill="FCFCFC"/>
        </w:rPr>
        <w:t>Tudge, J &amp; Rogoff, B. (1999) Peer Influences on cognitive development: Piagetian and Vygostskian perspectives.</w:t>
      </w:r>
    </w:p>
    <w:p w14:paraId="4F4FDC16" w14:textId="77777777" w:rsidR="00616BA7" w:rsidRPr="00616BA7" w:rsidRDefault="00616BA7" w:rsidP="00616BA7">
      <w:pPr>
        <w:spacing w:after="160" w:line="259" w:lineRule="auto"/>
        <w:rPr>
          <w:rFonts w:cstheme="minorHAnsi"/>
        </w:rPr>
      </w:pPr>
      <w:r w:rsidRPr="00616BA7">
        <w:rPr>
          <w:rFonts w:cstheme="minorHAnsi"/>
        </w:rPr>
        <w:t>Black, P. &amp; William, D. (1998) Inside the black box: Raising standards through classroom assessment. [https://books.google.co.uk/books?id=_hDy-5KOro8C&amp;printsec=frontcover&amp;dq=black+and+wiliam+afl&amp;hl=en&amp;sa=X&amp;ved=0ahUKEwiXwJ_504PbAhUHJsAKHSypDU4Q6AEILDAA#v=onepage&amp;q&amp;f=false] (date accessed: 13/05/2018).</w:t>
      </w:r>
    </w:p>
    <w:p w14:paraId="45BB0EC2" w14:textId="77777777" w:rsidR="00616BA7" w:rsidRPr="00616BA7" w:rsidRDefault="00616BA7" w:rsidP="00616BA7">
      <w:pPr>
        <w:spacing w:after="160" w:line="259" w:lineRule="auto"/>
        <w:rPr>
          <w:rFonts w:cstheme="minorHAnsi"/>
        </w:rPr>
      </w:pPr>
      <w:r w:rsidRPr="00616BA7">
        <w:rPr>
          <w:rFonts w:cstheme="minorHAnsi"/>
        </w:rPr>
        <w:t xml:space="preserve"> Anderson, L &amp; Krathwohl, D (2001) A Taxonomy for Learning, Teaching, and Assessing: A Revision of Bloom's Taxonomy of Educational Objectives [https://kkm39ysrp06.storage.googleapis.com/MDgwMTMxOTAzWA==06.pdf] (date accessed: 13/05/2018)</w:t>
      </w:r>
    </w:p>
    <w:p w14:paraId="721265CE" w14:textId="77777777" w:rsidR="00616BA7" w:rsidRDefault="00616BA7" w:rsidP="00616BA7">
      <w:pPr>
        <w:spacing w:after="160" w:line="259" w:lineRule="auto"/>
        <w:rPr>
          <w:rFonts w:cstheme="minorHAnsi"/>
        </w:rPr>
      </w:pPr>
      <w:r w:rsidRPr="00616BA7">
        <w:rPr>
          <w:rFonts w:cstheme="minorHAnsi"/>
        </w:rPr>
        <w:t>Franke, M. Kazemi, E. &amp; Battey, D. (2007) Mathematics Teaching and Classroom Practice [https://books.google.co.uk/books?hl=en&amp;lr=&amp;id=B_onDwAAQBAJ&amp;oi=fnd&amp;pg=PA225&amp;dq=scaffolding+for+mathematics+in+the+classroom&amp;ots=kBcFl2FjQS&amp;sig=gvXbJCn-wr0rT_FXku11TGnJaCc#v=onepage&amp;q=scaffolding%20for%20mathematics%20in%20the%20classroom&amp;f=false] (date accessed: 13/05/2018)</w:t>
      </w:r>
    </w:p>
    <w:p w14:paraId="2EEED4D7" w14:textId="77777777" w:rsidR="00497438" w:rsidRPr="00435CCA" w:rsidRDefault="00497438" w:rsidP="00616BA7">
      <w:pPr>
        <w:spacing w:after="160" w:line="259" w:lineRule="auto"/>
        <w:rPr>
          <w:rFonts w:cstheme="minorHAnsi"/>
        </w:rPr>
      </w:pPr>
    </w:p>
    <w:p w14:paraId="40670A00" w14:textId="4DEF5811" w:rsidR="00616BA7" w:rsidRPr="00616BA7" w:rsidRDefault="00616BA7" w:rsidP="00616BA7">
      <w:pPr>
        <w:spacing w:after="160" w:line="259" w:lineRule="auto"/>
        <w:rPr>
          <w:rFonts w:cstheme="minorHAnsi"/>
        </w:rPr>
      </w:pPr>
      <w:r w:rsidRPr="00616BA7">
        <w:rPr>
          <w:rFonts w:cstheme="minorHAnsi"/>
          <w:u w:val="single"/>
        </w:rPr>
        <w:t>Government Publications:</w:t>
      </w:r>
    </w:p>
    <w:p w14:paraId="4BF76642" w14:textId="5DF482A6" w:rsidR="00616BA7" w:rsidRPr="00616BA7" w:rsidRDefault="00616BA7" w:rsidP="00616BA7">
      <w:pPr>
        <w:spacing w:after="160" w:line="259" w:lineRule="auto"/>
        <w:rPr>
          <w:rFonts w:cstheme="minorHAnsi"/>
        </w:rPr>
      </w:pPr>
      <w:r w:rsidRPr="00616BA7">
        <w:rPr>
          <w:rFonts w:cstheme="minorHAnsi"/>
        </w:rPr>
        <w:t xml:space="preserve">Estyn (2018) A report on The Bishop </w:t>
      </w:r>
      <w:r w:rsidRPr="00435CCA">
        <w:rPr>
          <w:rFonts w:cstheme="minorHAnsi"/>
        </w:rPr>
        <w:t>of</w:t>
      </w:r>
      <w:r w:rsidRPr="00616BA7">
        <w:rPr>
          <w:rFonts w:cstheme="minorHAnsi"/>
        </w:rPr>
        <w:t xml:space="preserve"> Llandaff C.I.W. High School. Cardiff: Estyn</w:t>
      </w:r>
    </w:p>
    <w:p w14:paraId="6D1ADE05" w14:textId="77777777" w:rsidR="00616BA7" w:rsidRPr="00616BA7" w:rsidRDefault="00616BA7" w:rsidP="00616BA7">
      <w:pPr>
        <w:spacing w:after="160" w:line="259" w:lineRule="auto"/>
        <w:rPr>
          <w:rFonts w:cstheme="minorHAnsi"/>
        </w:rPr>
      </w:pPr>
      <w:r w:rsidRPr="00616BA7">
        <w:rPr>
          <w:rFonts w:cstheme="minorHAnsi"/>
        </w:rPr>
        <w:t>DfEE, (1998). Teaching: High status, High Standards. London: HMSO</w:t>
      </w:r>
    </w:p>
    <w:p w14:paraId="3AC4632C" w14:textId="2535BA15" w:rsidR="00616BA7" w:rsidRPr="00435CCA" w:rsidRDefault="00616BA7" w:rsidP="00616BA7">
      <w:pPr>
        <w:spacing w:after="160" w:line="259" w:lineRule="auto"/>
        <w:rPr>
          <w:b/>
          <w:sz w:val="22"/>
          <w:szCs w:val="22"/>
          <w:u w:val="single"/>
        </w:rPr>
      </w:pPr>
    </w:p>
    <w:p w14:paraId="21F25828" w14:textId="77777777" w:rsidR="00435CCA" w:rsidRDefault="00435CCA">
      <w:pPr>
        <w:rPr>
          <w:b/>
          <w:sz w:val="22"/>
          <w:szCs w:val="22"/>
          <w:u w:val="single"/>
        </w:rPr>
      </w:pPr>
      <w:r>
        <w:rPr>
          <w:b/>
          <w:sz w:val="22"/>
          <w:szCs w:val="22"/>
          <w:u w:val="single"/>
        </w:rPr>
        <w:br w:type="page"/>
      </w:r>
    </w:p>
    <w:p w14:paraId="62B449CC" w14:textId="6622C087" w:rsidR="00435CCA" w:rsidRDefault="00435CCA" w:rsidP="00616BA7">
      <w:pPr>
        <w:spacing w:after="160" w:line="259" w:lineRule="auto"/>
        <w:rPr>
          <w:b/>
          <w:sz w:val="22"/>
          <w:szCs w:val="22"/>
          <w:u w:val="single"/>
        </w:rPr>
      </w:pPr>
      <w:r>
        <w:rPr>
          <w:b/>
          <w:sz w:val="22"/>
          <w:szCs w:val="22"/>
          <w:u w:val="single"/>
        </w:rPr>
        <w:lastRenderedPageBreak/>
        <w:t xml:space="preserve">Section 8 - </w:t>
      </w:r>
      <w:r w:rsidRPr="00435CCA">
        <w:rPr>
          <w:b/>
          <w:sz w:val="22"/>
          <w:szCs w:val="22"/>
          <w:u w:val="single"/>
        </w:rPr>
        <w:t>Appendix</w:t>
      </w:r>
      <w:r>
        <w:rPr>
          <w:b/>
          <w:sz w:val="22"/>
          <w:szCs w:val="22"/>
          <w:u w:val="single"/>
        </w:rPr>
        <w:t xml:space="preserve">: </w:t>
      </w:r>
    </w:p>
    <w:p w14:paraId="5E40F447" w14:textId="21212172" w:rsidR="00435CCA" w:rsidRPr="00616BA7" w:rsidRDefault="00AC5628" w:rsidP="00616BA7">
      <w:pPr>
        <w:spacing w:after="160" w:line="259" w:lineRule="auto"/>
        <w:rPr>
          <w:sz w:val="22"/>
          <w:szCs w:val="22"/>
          <w:u w:val="single"/>
        </w:rPr>
      </w:pPr>
      <w:r w:rsidRPr="00AC5628">
        <w:rPr>
          <w:sz w:val="22"/>
          <w:szCs w:val="22"/>
          <w:u w:val="single"/>
        </w:rPr>
        <w:t>Appendix One: The Pre-&amp; Post</w:t>
      </w:r>
      <w:r>
        <w:rPr>
          <w:sz w:val="22"/>
          <w:szCs w:val="22"/>
          <w:u w:val="single"/>
        </w:rPr>
        <w:t>-</w:t>
      </w:r>
      <w:r w:rsidRPr="00AC5628">
        <w:rPr>
          <w:sz w:val="22"/>
          <w:szCs w:val="22"/>
          <w:u w:val="single"/>
        </w:rPr>
        <w:t>Test</w:t>
      </w:r>
    </w:p>
    <w:p w14:paraId="1B1D647B" w14:textId="77777777" w:rsidR="00616BA7" w:rsidRPr="00616BA7" w:rsidRDefault="00616BA7" w:rsidP="00616BA7">
      <w:pPr>
        <w:spacing w:after="160" w:line="259" w:lineRule="auto"/>
        <w:rPr>
          <w:sz w:val="22"/>
          <w:szCs w:val="22"/>
          <w:u w:val="single"/>
        </w:rPr>
      </w:pPr>
    </w:p>
    <w:p w14:paraId="004F785B" w14:textId="77777777" w:rsidR="00435CCA" w:rsidRPr="00435CCA" w:rsidRDefault="00435CCA" w:rsidP="00435CCA">
      <w:pPr>
        <w:spacing w:after="160" w:line="259" w:lineRule="auto"/>
        <w:rPr>
          <w:rFonts w:ascii="Calibri" w:eastAsia="Calibri" w:hAnsi="Calibri" w:cs="Times New Roman"/>
          <w:sz w:val="22"/>
          <w:szCs w:val="22"/>
          <w:u w:val="single"/>
        </w:rPr>
      </w:pPr>
      <w:r w:rsidRPr="00435CCA">
        <w:rPr>
          <w:rFonts w:ascii="Calibri" w:eastAsia="Calibri" w:hAnsi="Calibri" w:cs="Times New Roman"/>
          <w:sz w:val="22"/>
          <w:szCs w:val="22"/>
          <w:u w:val="single"/>
        </w:rPr>
        <w:t xml:space="preserve">Name: </w:t>
      </w:r>
    </w:p>
    <w:p w14:paraId="03C8FDD3" w14:textId="77777777" w:rsidR="00435CCA" w:rsidRPr="00435CCA" w:rsidRDefault="00435CCA" w:rsidP="00435CCA">
      <w:pPr>
        <w:spacing w:after="160" w:line="259" w:lineRule="auto"/>
        <w:jc w:val="center"/>
        <w:rPr>
          <w:rFonts w:ascii="Calibri" w:eastAsia="Calibri" w:hAnsi="Calibri" w:cs="Times New Roman"/>
          <w:sz w:val="22"/>
          <w:szCs w:val="22"/>
          <w:u w:val="single"/>
        </w:rPr>
      </w:pPr>
      <w:r w:rsidRPr="00435CCA">
        <w:rPr>
          <w:rFonts w:ascii="Calibri" w:eastAsia="Calibri" w:hAnsi="Calibri" w:cs="Times New Roman"/>
          <w:sz w:val="22"/>
          <w:szCs w:val="22"/>
          <w:u w:val="single"/>
        </w:rPr>
        <w:t>Year 7 Class Test – Probability</w:t>
      </w:r>
    </w:p>
    <w:p w14:paraId="50BE350F" w14:textId="77777777" w:rsidR="00435CCA" w:rsidRPr="00435CCA" w:rsidRDefault="00435CCA" w:rsidP="00435CCA">
      <w:pPr>
        <w:numPr>
          <w:ilvl w:val="0"/>
          <w:numId w:val="4"/>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Please read each question carefully. </w:t>
      </w:r>
    </w:p>
    <w:p w14:paraId="2C066B82" w14:textId="3B7A3320" w:rsidR="00435CCA" w:rsidRPr="00435CCA" w:rsidRDefault="00435CCA" w:rsidP="00435CCA">
      <w:pPr>
        <w:numPr>
          <w:ilvl w:val="0"/>
          <w:numId w:val="4"/>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All questions must be </w:t>
      </w:r>
      <w:r w:rsidR="004B6024" w:rsidRPr="00435CCA">
        <w:rPr>
          <w:rFonts w:ascii="Calibri" w:eastAsia="Calibri" w:hAnsi="Calibri" w:cs="Times New Roman"/>
          <w:sz w:val="22"/>
          <w:szCs w:val="22"/>
        </w:rPr>
        <w:t>attempted,</w:t>
      </w:r>
      <w:r w:rsidRPr="00435CCA">
        <w:rPr>
          <w:rFonts w:ascii="Calibri" w:eastAsia="Calibri" w:hAnsi="Calibri" w:cs="Times New Roman"/>
          <w:sz w:val="22"/>
          <w:szCs w:val="22"/>
        </w:rPr>
        <w:t xml:space="preserve"> and all workings must be shown.</w:t>
      </w:r>
    </w:p>
    <w:p w14:paraId="0D5732DF" w14:textId="77777777" w:rsidR="00435CCA" w:rsidRPr="00435CCA" w:rsidRDefault="00435CCA" w:rsidP="00435CCA">
      <w:pPr>
        <w:numPr>
          <w:ilvl w:val="0"/>
          <w:numId w:val="4"/>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You have ten minutes to complete this test. If you finish early, you may turn your test over and read. </w:t>
      </w:r>
    </w:p>
    <w:p w14:paraId="654743EA" w14:textId="77777777" w:rsidR="00435CCA" w:rsidRPr="00435CCA" w:rsidRDefault="00435CCA" w:rsidP="00435CCA">
      <w:pPr>
        <w:numPr>
          <w:ilvl w:val="0"/>
          <w:numId w:val="4"/>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Please do not panic if you do not know how to answer the question. The teacher wants to see how you answer the question rather than if you answer it correctly. If you cannot answer a question, please say what you find difficult.</w:t>
      </w:r>
    </w:p>
    <w:p w14:paraId="7A055CF8" w14:textId="77777777" w:rsidR="00435CCA" w:rsidRPr="00435CCA" w:rsidRDefault="00435CCA" w:rsidP="00435CCA">
      <w:pPr>
        <w:spacing w:after="160" w:line="259" w:lineRule="auto"/>
        <w:rPr>
          <w:rFonts w:ascii="Calibri" w:eastAsia="Calibri" w:hAnsi="Calibri" w:cs="Times New Roman"/>
          <w:b/>
          <w:sz w:val="22"/>
          <w:szCs w:val="22"/>
          <w:u w:val="single"/>
        </w:rPr>
      </w:pPr>
      <w:r w:rsidRPr="00435CCA">
        <w:rPr>
          <w:rFonts w:ascii="Calibri" w:eastAsia="Calibri" w:hAnsi="Calibri" w:cs="Times New Roman"/>
          <w:b/>
          <w:sz w:val="22"/>
          <w:szCs w:val="22"/>
          <w:u w:val="single"/>
        </w:rPr>
        <w:t xml:space="preserve">Question One: </w:t>
      </w:r>
    </w:p>
    <w:p w14:paraId="3ACC84B0"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noProof/>
          <w:sz w:val="22"/>
          <w:szCs w:val="22"/>
          <w:lang w:eastAsia="en-GB"/>
        </w:rPr>
        <w:drawing>
          <wp:anchor distT="0" distB="0" distL="114300" distR="114300" simplePos="0" relativeHeight="251655680" behindDoc="0" locked="0" layoutInCell="1" allowOverlap="1" wp14:anchorId="7B9B83CD" wp14:editId="181C5AC4">
            <wp:simplePos x="0" y="0"/>
            <wp:positionH relativeFrom="column">
              <wp:posOffset>57150</wp:posOffset>
            </wp:positionH>
            <wp:positionV relativeFrom="paragraph">
              <wp:posOffset>13970</wp:posOffset>
            </wp:positionV>
            <wp:extent cx="4600575" cy="19240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0575" cy="1924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0B31AC" w14:textId="77777777" w:rsidR="00435CCA" w:rsidRPr="00435CCA" w:rsidRDefault="00435CCA" w:rsidP="00435CCA">
      <w:pPr>
        <w:spacing w:after="160" w:line="259" w:lineRule="auto"/>
        <w:rPr>
          <w:rFonts w:ascii="Calibri" w:eastAsia="Calibri" w:hAnsi="Calibri" w:cs="Times New Roman"/>
          <w:sz w:val="22"/>
          <w:szCs w:val="22"/>
        </w:rPr>
      </w:pPr>
    </w:p>
    <w:p w14:paraId="6F7D763D" w14:textId="77777777" w:rsidR="00435CCA" w:rsidRPr="00435CCA" w:rsidRDefault="00435CCA" w:rsidP="00435CCA">
      <w:pPr>
        <w:spacing w:after="160" w:line="259" w:lineRule="auto"/>
        <w:rPr>
          <w:rFonts w:ascii="Calibri" w:eastAsia="Calibri" w:hAnsi="Calibri" w:cs="Times New Roman"/>
          <w:sz w:val="22"/>
          <w:szCs w:val="22"/>
        </w:rPr>
      </w:pPr>
    </w:p>
    <w:p w14:paraId="3B2DEB6F" w14:textId="77777777" w:rsidR="00435CCA" w:rsidRPr="00435CCA" w:rsidRDefault="00435CCA" w:rsidP="00435CCA">
      <w:pPr>
        <w:spacing w:after="160" w:line="259" w:lineRule="auto"/>
        <w:rPr>
          <w:rFonts w:ascii="Calibri" w:eastAsia="Calibri" w:hAnsi="Calibri" w:cs="Times New Roman"/>
          <w:sz w:val="22"/>
          <w:szCs w:val="22"/>
        </w:rPr>
      </w:pPr>
    </w:p>
    <w:p w14:paraId="6BADE31A" w14:textId="77777777" w:rsidR="00435CCA" w:rsidRPr="00435CCA" w:rsidRDefault="00435CCA" w:rsidP="00435CCA">
      <w:pPr>
        <w:spacing w:after="160" w:line="259" w:lineRule="auto"/>
        <w:rPr>
          <w:rFonts w:ascii="Calibri" w:eastAsia="Calibri" w:hAnsi="Calibri" w:cs="Times New Roman"/>
          <w:sz w:val="22"/>
          <w:szCs w:val="22"/>
        </w:rPr>
      </w:pPr>
    </w:p>
    <w:p w14:paraId="08EE5E3A" w14:textId="77777777" w:rsidR="00435CCA" w:rsidRPr="00435CCA" w:rsidRDefault="00435CCA" w:rsidP="00435CCA">
      <w:pPr>
        <w:spacing w:after="160" w:line="259" w:lineRule="auto"/>
        <w:rPr>
          <w:rFonts w:ascii="Calibri" w:eastAsia="Calibri" w:hAnsi="Calibri" w:cs="Times New Roman"/>
          <w:sz w:val="22"/>
          <w:szCs w:val="22"/>
        </w:rPr>
      </w:pPr>
    </w:p>
    <w:p w14:paraId="3BA17B43" w14:textId="77777777" w:rsidR="00435CCA" w:rsidRPr="00435CCA" w:rsidRDefault="00435CCA" w:rsidP="00435CCA">
      <w:pPr>
        <w:spacing w:after="160" w:line="259" w:lineRule="auto"/>
        <w:rPr>
          <w:rFonts w:ascii="Calibri" w:eastAsia="Calibri" w:hAnsi="Calibri" w:cs="Times New Roman"/>
          <w:sz w:val="22"/>
          <w:szCs w:val="22"/>
        </w:rPr>
      </w:pPr>
    </w:p>
    <w:p w14:paraId="3D0288EA"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(a) What fraction of the spinner is yellow? </w:t>
      </w:r>
    </w:p>
    <w:p w14:paraId="254B4F1A"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__________________________________________________________________________________</w:t>
      </w:r>
    </w:p>
    <w:p w14:paraId="552666F8"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(b) I spin the spinner. What is the probability of obtaining blue? </w:t>
      </w:r>
    </w:p>
    <w:p w14:paraId="3D491FB8"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__________________________________________________________________________________</w:t>
      </w:r>
    </w:p>
    <w:p w14:paraId="3952B7B3" w14:textId="77777777" w:rsidR="00435CCA" w:rsidRPr="00435CCA" w:rsidRDefault="00435CCA" w:rsidP="00435CCA">
      <w:pPr>
        <w:spacing w:after="160" w:line="259" w:lineRule="auto"/>
        <w:rPr>
          <w:rFonts w:ascii="Calibri" w:eastAsia="Calibri" w:hAnsi="Calibri" w:cs="Times New Roman"/>
          <w:b/>
          <w:sz w:val="22"/>
          <w:szCs w:val="22"/>
          <w:u w:val="single"/>
        </w:rPr>
      </w:pPr>
    </w:p>
    <w:p w14:paraId="355E3069" w14:textId="77777777" w:rsidR="00435CCA" w:rsidRPr="00435CCA" w:rsidRDefault="00435CCA" w:rsidP="00435CCA">
      <w:pPr>
        <w:spacing w:after="160" w:line="259" w:lineRule="auto"/>
        <w:rPr>
          <w:rFonts w:ascii="Calibri" w:eastAsia="Calibri" w:hAnsi="Calibri" w:cs="Times New Roman"/>
          <w:b/>
          <w:sz w:val="22"/>
          <w:szCs w:val="22"/>
          <w:u w:val="single"/>
        </w:rPr>
      </w:pPr>
      <w:r w:rsidRPr="00435CCA">
        <w:rPr>
          <w:rFonts w:ascii="Calibri" w:eastAsia="Calibri" w:hAnsi="Calibri" w:cs="Times New Roman"/>
          <w:b/>
          <w:sz w:val="22"/>
          <w:szCs w:val="22"/>
          <w:u w:val="single"/>
        </w:rPr>
        <w:t xml:space="preserve">Question Two: </w:t>
      </w:r>
    </w:p>
    <w:p w14:paraId="7973F293"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I throw an unbiased coin four times.  My results are shown below: </w:t>
      </w:r>
    </w:p>
    <w:tbl>
      <w:tblPr>
        <w:tblStyle w:val="TableGrid1"/>
        <w:tblW w:w="0" w:type="auto"/>
        <w:tblLook w:val="04A0" w:firstRow="1" w:lastRow="0" w:firstColumn="1" w:lastColumn="0" w:noHBand="0" w:noVBand="1"/>
      </w:tblPr>
      <w:tblGrid>
        <w:gridCol w:w="4505"/>
        <w:gridCol w:w="4505"/>
      </w:tblGrid>
      <w:tr w:rsidR="00435CCA" w:rsidRPr="00435CCA" w14:paraId="429FF4F4" w14:textId="77777777" w:rsidTr="00562885">
        <w:tc>
          <w:tcPr>
            <w:tcW w:w="4508" w:type="dxa"/>
          </w:tcPr>
          <w:p w14:paraId="702DE7B6" w14:textId="77777777" w:rsidR="00435CCA" w:rsidRPr="00435CCA" w:rsidRDefault="00435CCA" w:rsidP="00435CCA">
            <w:pPr>
              <w:rPr>
                <w:rFonts w:ascii="Calibri" w:eastAsia="Calibri" w:hAnsi="Calibri" w:cs="Times New Roman"/>
                <w:b/>
              </w:rPr>
            </w:pPr>
            <w:r w:rsidRPr="00435CCA">
              <w:rPr>
                <w:rFonts w:ascii="Calibri" w:eastAsia="Calibri" w:hAnsi="Calibri" w:cs="Times New Roman"/>
                <w:b/>
              </w:rPr>
              <w:t>Throw</w:t>
            </w:r>
          </w:p>
        </w:tc>
        <w:tc>
          <w:tcPr>
            <w:tcW w:w="4508" w:type="dxa"/>
          </w:tcPr>
          <w:p w14:paraId="2C1F2A21" w14:textId="77777777" w:rsidR="00435CCA" w:rsidRPr="00435CCA" w:rsidRDefault="00435CCA" w:rsidP="00435CCA">
            <w:pPr>
              <w:rPr>
                <w:rFonts w:ascii="Calibri" w:eastAsia="Calibri" w:hAnsi="Calibri" w:cs="Times New Roman"/>
                <w:b/>
              </w:rPr>
            </w:pPr>
            <w:r w:rsidRPr="00435CCA">
              <w:rPr>
                <w:rFonts w:ascii="Calibri" w:eastAsia="Calibri" w:hAnsi="Calibri" w:cs="Times New Roman"/>
                <w:b/>
              </w:rPr>
              <w:t>Result</w:t>
            </w:r>
          </w:p>
        </w:tc>
      </w:tr>
      <w:tr w:rsidR="00435CCA" w:rsidRPr="00435CCA" w14:paraId="3CDF1D6C" w14:textId="77777777" w:rsidTr="00562885">
        <w:tc>
          <w:tcPr>
            <w:tcW w:w="4508" w:type="dxa"/>
          </w:tcPr>
          <w:p w14:paraId="0D84FAA1"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1</w:t>
            </w:r>
          </w:p>
        </w:tc>
        <w:tc>
          <w:tcPr>
            <w:tcW w:w="4508" w:type="dxa"/>
          </w:tcPr>
          <w:p w14:paraId="418F98A1"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Heads</w:t>
            </w:r>
          </w:p>
        </w:tc>
      </w:tr>
      <w:tr w:rsidR="00435CCA" w:rsidRPr="00435CCA" w14:paraId="38EB6EAB" w14:textId="77777777" w:rsidTr="00562885">
        <w:tc>
          <w:tcPr>
            <w:tcW w:w="4508" w:type="dxa"/>
          </w:tcPr>
          <w:p w14:paraId="56789645"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2</w:t>
            </w:r>
          </w:p>
        </w:tc>
        <w:tc>
          <w:tcPr>
            <w:tcW w:w="4508" w:type="dxa"/>
          </w:tcPr>
          <w:p w14:paraId="6B29AD54"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Tails</w:t>
            </w:r>
          </w:p>
        </w:tc>
      </w:tr>
      <w:tr w:rsidR="00435CCA" w:rsidRPr="00435CCA" w14:paraId="56D0313F" w14:textId="77777777" w:rsidTr="00562885">
        <w:tc>
          <w:tcPr>
            <w:tcW w:w="4508" w:type="dxa"/>
          </w:tcPr>
          <w:p w14:paraId="3B017967"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3</w:t>
            </w:r>
          </w:p>
        </w:tc>
        <w:tc>
          <w:tcPr>
            <w:tcW w:w="4508" w:type="dxa"/>
          </w:tcPr>
          <w:p w14:paraId="429B31BE"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Heads</w:t>
            </w:r>
          </w:p>
        </w:tc>
      </w:tr>
      <w:tr w:rsidR="00435CCA" w:rsidRPr="00435CCA" w14:paraId="3D7231F5" w14:textId="77777777" w:rsidTr="00562885">
        <w:tc>
          <w:tcPr>
            <w:tcW w:w="4508" w:type="dxa"/>
          </w:tcPr>
          <w:p w14:paraId="0BFE14F5"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4</w:t>
            </w:r>
          </w:p>
        </w:tc>
        <w:tc>
          <w:tcPr>
            <w:tcW w:w="4508" w:type="dxa"/>
          </w:tcPr>
          <w:p w14:paraId="2D76B107" w14:textId="77777777" w:rsidR="00435CCA" w:rsidRPr="00435CCA" w:rsidRDefault="00435CCA" w:rsidP="00435CCA">
            <w:pPr>
              <w:rPr>
                <w:rFonts w:ascii="Calibri" w:eastAsia="Calibri" w:hAnsi="Calibri" w:cs="Times New Roman"/>
              </w:rPr>
            </w:pPr>
            <w:r w:rsidRPr="00435CCA">
              <w:rPr>
                <w:rFonts w:ascii="Calibri" w:eastAsia="Calibri" w:hAnsi="Calibri" w:cs="Times New Roman"/>
              </w:rPr>
              <w:t>Heads</w:t>
            </w:r>
          </w:p>
        </w:tc>
      </w:tr>
    </w:tbl>
    <w:p w14:paraId="60F36ABB" w14:textId="77777777" w:rsidR="00435CCA" w:rsidRPr="00435CCA" w:rsidRDefault="00435CCA" w:rsidP="00435CCA">
      <w:pPr>
        <w:spacing w:after="160" w:line="259" w:lineRule="auto"/>
        <w:rPr>
          <w:rFonts w:ascii="Calibri" w:eastAsia="Calibri" w:hAnsi="Calibri" w:cs="Times New Roman"/>
          <w:sz w:val="22"/>
          <w:szCs w:val="22"/>
        </w:rPr>
      </w:pPr>
    </w:p>
    <w:p w14:paraId="755262E5"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I throw the coin for the fifth time.  </w:t>
      </w:r>
    </w:p>
    <w:p w14:paraId="74A8D8A9" w14:textId="77777777" w:rsidR="00435CCA" w:rsidRPr="00435CCA" w:rsidRDefault="00435CCA" w:rsidP="00435CCA">
      <w:pPr>
        <w:numPr>
          <w:ilvl w:val="0"/>
          <w:numId w:val="6"/>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What am I likely to get? </w:t>
      </w:r>
    </w:p>
    <w:p w14:paraId="0C8CB3C6" w14:textId="77777777" w:rsidR="00435CCA" w:rsidRPr="00435CCA" w:rsidRDefault="00435CCA" w:rsidP="00435CCA">
      <w:pPr>
        <w:numPr>
          <w:ilvl w:val="0"/>
          <w:numId w:val="7"/>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Tails, </w:t>
      </w:r>
    </w:p>
    <w:p w14:paraId="0CD96775" w14:textId="77777777" w:rsidR="00435CCA" w:rsidRPr="00435CCA" w:rsidRDefault="00435CCA" w:rsidP="00435CCA">
      <w:pPr>
        <w:numPr>
          <w:ilvl w:val="0"/>
          <w:numId w:val="7"/>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lastRenderedPageBreak/>
        <w:t xml:space="preserve">Heads, </w:t>
      </w:r>
    </w:p>
    <w:p w14:paraId="0B62B3A5" w14:textId="77777777" w:rsidR="00435CCA" w:rsidRPr="00435CCA" w:rsidRDefault="00435CCA" w:rsidP="00435CCA">
      <w:pPr>
        <w:numPr>
          <w:ilvl w:val="0"/>
          <w:numId w:val="7"/>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Both, </w:t>
      </w:r>
    </w:p>
    <w:p w14:paraId="649286FF" w14:textId="77777777" w:rsidR="00435CCA" w:rsidRPr="00435CCA" w:rsidRDefault="00435CCA" w:rsidP="00435CCA">
      <w:pPr>
        <w:numPr>
          <w:ilvl w:val="0"/>
          <w:numId w:val="7"/>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Even chance of getting heads or tails.</w:t>
      </w:r>
    </w:p>
    <w:p w14:paraId="6451DE78" w14:textId="77777777" w:rsidR="00435CCA" w:rsidRPr="00435CCA" w:rsidRDefault="00435CCA" w:rsidP="00435CCA">
      <w:pPr>
        <w:spacing w:after="160" w:line="259" w:lineRule="auto"/>
        <w:rPr>
          <w:rFonts w:ascii="Calibri" w:eastAsia="Calibri" w:hAnsi="Calibri" w:cs="Times New Roman"/>
          <w:sz w:val="22"/>
          <w:szCs w:val="22"/>
        </w:rPr>
      </w:pPr>
    </w:p>
    <w:p w14:paraId="33D088C5"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(b) Explain your reasoning for part (a):</w:t>
      </w:r>
    </w:p>
    <w:p w14:paraId="621BCBF9"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__________________________________________________________________________________</w:t>
      </w:r>
    </w:p>
    <w:p w14:paraId="5F6D0A90" w14:textId="77777777" w:rsidR="00435CCA" w:rsidRPr="00435CCA" w:rsidRDefault="00435CCA" w:rsidP="00435CCA">
      <w:pPr>
        <w:spacing w:after="160" w:line="259" w:lineRule="auto"/>
        <w:rPr>
          <w:rFonts w:ascii="Calibri" w:eastAsia="Calibri" w:hAnsi="Calibri" w:cs="Times New Roman"/>
          <w:sz w:val="22"/>
          <w:szCs w:val="22"/>
        </w:rPr>
      </w:pPr>
    </w:p>
    <w:p w14:paraId="753B20DC" w14:textId="77777777" w:rsidR="00435CCA" w:rsidRPr="00435CCA" w:rsidRDefault="00435CCA" w:rsidP="00435CCA">
      <w:pPr>
        <w:spacing w:after="160" w:line="259" w:lineRule="auto"/>
        <w:rPr>
          <w:rFonts w:ascii="Calibri" w:eastAsia="Calibri" w:hAnsi="Calibri" w:cs="Times New Roman"/>
          <w:b/>
          <w:sz w:val="22"/>
          <w:szCs w:val="22"/>
          <w:u w:val="single"/>
        </w:rPr>
      </w:pPr>
      <w:r w:rsidRPr="00435CCA">
        <w:rPr>
          <w:rFonts w:ascii="Calibri" w:eastAsia="Calibri" w:hAnsi="Calibri" w:cs="Times New Roman"/>
          <w:b/>
          <w:sz w:val="22"/>
          <w:szCs w:val="22"/>
          <w:u w:val="single"/>
        </w:rPr>
        <w:t xml:space="preserve">Question Three: </w:t>
      </w:r>
    </w:p>
    <w:p w14:paraId="78687CFF"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You are playing a game of snakes and ladders. If you roll a dice and it lands on “six”, you have the opportunity to throw the dice again. </w:t>
      </w:r>
    </w:p>
    <w:p w14:paraId="5B904430"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(a) What is the probability that you get a second throw?</w:t>
      </w:r>
    </w:p>
    <w:p w14:paraId="4894C186"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____________________________________________________________________________________________________________________________________________________________________</w:t>
      </w:r>
    </w:p>
    <w:p w14:paraId="0DD11497"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(b) Please explain your answer:</w:t>
      </w:r>
    </w:p>
    <w:p w14:paraId="290F8F57"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____________________________________________________________________________________________________________________________________________________________________</w:t>
      </w:r>
    </w:p>
    <w:p w14:paraId="54FAD612" w14:textId="77777777" w:rsidR="00435CCA" w:rsidRPr="00435CCA" w:rsidRDefault="00435CCA" w:rsidP="00435CCA">
      <w:pPr>
        <w:spacing w:after="160" w:line="259" w:lineRule="auto"/>
        <w:rPr>
          <w:rFonts w:ascii="Calibri" w:eastAsia="Calibri" w:hAnsi="Calibri" w:cs="Times New Roman"/>
          <w:b/>
          <w:sz w:val="22"/>
          <w:szCs w:val="22"/>
          <w:u w:val="single"/>
        </w:rPr>
      </w:pPr>
      <w:r w:rsidRPr="00435CCA">
        <w:rPr>
          <w:rFonts w:ascii="Calibri" w:eastAsia="Calibri" w:hAnsi="Calibri" w:cs="Times New Roman"/>
          <w:b/>
          <w:sz w:val="22"/>
          <w:szCs w:val="22"/>
          <w:u w:val="single"/>
        </w:rPr>
        <w:t xml:space="preserve">Question Four: </w:t>
      </w:r>
    </w:p>
    <w:p w14:paraId="35F345BC"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I have 5 marbles in a bag. 3 Red, 1 Blue and 1 Green. I select one at random. </w:t>
      </w:r>
    </w:p>
    <w:p w14:paraId="50C704ED"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(a) What is the probability of selecting a blue? </w:t>
      </w:r>
    </w:p>
    <w:p w14:paraId="7E14EACF"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__________________________________________________________________________________</w:t>
      </w:r>
    </w:p>
    <w:p w14:paraId="03810AED" w14:textId="77777777" w:rsidR="00435CCA" w:rsidRPr="00435CCA" w:rsidRDefault="00435CCA" w:rsidP="00435CCA">
      <w:pPr>
        <w:pBdr>
          <w:bottom w:val="single" w:sz="12" w:space="1" w:color="auto"/>
        </w:pBd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(b) What is the probability of selecting an Orange?</w:t>
      </w:r>
    </w:p>
    <w:p w14:paraId="088CE62A" w14:textId="77777777" w:rsidR="00435CCA" w:rsidRPr="00435CCA" w:rsidRDefault="00435CCA" w:rsidP="00435CCA">
      <w:pPr>
        <w:pBdr>
          <w:bottom w:val="single" w:sz="12" w:space="1" w:color="auto"/>
        </w:pBdr>
        <w:spacing w:after="160" w:line="259" w:lineRule="auto"/>
        <w:rPr>
          <w:rFonts w:ascii="Calibri" w:eastAsia="Calibri" w:hAnsi="Calibri" w:cs="Times New Roman"/>
          <w:sz w:val="22"/>
          <w:szCs w:val="22"/>
        </w:rPr>
      </w:pPr>
    </w:p>
    <w:p w14:paraId="2066985A" w14:textId="77777777" w:rsidR="00435CCA" w:rsidRPr="00435CCA" w:rsidRDefault="00435CCA" w:rsidP="00435CCA">
      <w:pPr>
        <w:spacing w:after="160" w:line="259" w:lineRule="auto"/>
        <w:rPr>
          <w:rFonts w:ascii="Calibri" w:eastAsia="Calibri" w:hAnsi="Calibri" w:cs="Times New Roman"/>
          <w:b/>
          <w:sz w:val="22"/>
          <w:szCs w:val="22"/>
          <w:u w:val="single"/>
        </w:rPr>
      </w:pPr>
    </w:p>
    <w:p w14:paraId="1AEF65ED" w14:textId="77777777" w:rsidR="00435CCA" w:rsidRPr="00435CCA" w:rsidRDefault="00435CCA" w:rsidP="00435CCA">
      <w:pPr>
        <w:spacing w:after="160" w:line="259" w:lineRule="auto"/>
        <w:rPr>
          <w:rFonts w:ascii="Calibri" w:eastAsia="Calibri" w:hAnsi="Calibri" w:cs="Times New Roman"/>
          <w:b/>
          <w:sz w:val="22"/>
          <w:szCs w:val="22"/>
          <w:u w:val="single"/>
        </w:rPr>
      </w:pPr>
      <w:r w:rsidRPr="00435CCA">
        <w:rPr>
          <w:rFonts w:ascii="Calibri" w:eastAsia="Calibri" w:hAnsi="Calibri" w:cs="Times New Roman"/>
          <w:b/>
          <w:sz w:val="22"/>
          <w:szCs w:val="22"/>
          <w:u w:val="single"/>
        </w:rPr>
        <w:t xml:space="preserve">Question Five: </w:t>
      </w:r>
    </w:p>
    <w:p w14:paraId="6D25F589"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I roll two fair dice, what is my most likely total? (Please tick the correct answer). </w:t>
      </w:r>
    </w:p>
    <w:p w14:paraId="64496AB3" w14:textId="77777777" w:rsidR="00435CCA" w:rsidRPr="00435CCA" w:rsidRDefault="00435CCA" w:rsidP="00435CCA">
      <w:pPr>
        <w:spacing w:after="160" w:line="259" w:lineRule="auto"/>
        <w:ind w:left="720"/>
        <w:contextualSpacing/>
        <w:rPr>
          <w:rFonts w:ascii="Calibri" w:eastAsia="Calibri" w:hAnsi="Calibri" w:cs="Times New Roman"/>
          <w:sz w:val="22"/>
          <w:szCs w:val="22"/>
        </w:rPr>
      </w:pPr>
      <w:r w:rsidRPr="00435CCA">
        <w:rPr>
          <w:rFonts w:ascii="Calibri" w:eastAsia="Calibri" w:hAnsi="Calibri" w:cs="Times New Roman"/>
          <w:sz w:val="22"/>
          <w:szCs w:val="22"/>
        </w:rPr>
        <w:t xml:space="preserve"> 7         </w:t>
      </w:r>
    </w:p>
    <w:p w14:paraId="6F8F3E73" w14:textId="77777777" w:rsidR="00435CCA" w:rsidRPr="00435CCA" w:rsidRDefault="00435CCA" w:rsidP="00435CCA">
      <w:pPr>
        <w:numPr>
          <w:ilvl w:val="0"/>
          <w:numId w:val="5"/>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2 and 12        </w:t>
      </w:r>
    </w:p>
    <w:p w14:paraId="655BB16B" w14:textId="77777777" w:rsidR="00435CCA" w:rsidRPr="00435CCA" w:rsidRDefault="00435CCA" w:rsidP="00435CCA">
      <w:pPr>
        <w:numPr>
          <w:ilvl w:val="0"/>
          <w:numId w:val="5"/>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All totals are equally likely. </w:t>
      </w:r>
    </w:p>
    <w:p w14:paraId="09B24897" w14:textId="77777777" w:rsidR="00435CCA" w:rsidRPr="00435CCA" w:rsidRDefault="00435CCA" w:rsidP="00435CCA">
      <w:pPr>
        <w:numPr>
          <w:ilvl w:val="0"/>
          <w:numId w:val="5"/>
        </w:numPr>
        <w:spacing w:after="160" w:line="259" w:lineRule="auto"/>
        <w:contextualSpacing/>
        <w:rPr>
          <w:rFonts w:ascii="Calibri" w:eastAsia="Calibri" w:hAnsi="Calibri" w:cs="Times New Roman"/>
          <w:sz w:val="22"/>
          <w:szCs w:val="22"/>
        </w:rPr>
      </w:pPr>
      <w:r w:rsidRPr="00435CCA">
        <w:rPr>
          <w:rFonts w:ascii="Calibri" w:eastAsia="Calibri" w:hAnsi="Calibri" w:cs="Times New Roman"/>
          <w:sz w:val="22"/>
          <w:szCs w:val="22"/>
        </w:rPr>
        <w:t xml:space="preserve">Other (Please write your suggestion): ___________________________________________________________________    </w:t>
      </w:r>
    </w:p>
    <w:p w14:paraId="17977FDB" w14:textId="77777777" w:rsidR="00435CCA" w:rsidRPr="00435CCA" w:rsidRDefault="00435CCA" w:rsidP="00435CCA">
      <w:pPr>
        <w:spacing w:after="160" w:line="259" w:lineRule="auto"/>
        <w:rPr>
          <w:rFonts w:ascii="Calibri" w:eastAsia="Calibri" w:hAnsi="Calibri" w:cs="Times New Roman"/>
          <w:b/>
          <w:sz w:val="22"/>
          <w:szCs w:val="22"/>
          <w:u w:val="single"/>
        </w:rPr>
      </w:pPr>
    </w:p>
    <w:p w14:paraId="2A10B479" w14:textId="77777777" w:rsidR="00435CCA" w:rsidRPr="00435CCA" w:rsidRDefault="00435CCA" w:rsidP="00435CCA">
      <w:pPr>
        <w:spacing w:after="160" w:line="259" w:lineRule="auto"/>
        <w:rPr>
          <w:rFonts w:ascii="Calibri" w:eastAsia="Calibri" w:hAnsi="Calibri" w:cs="Times New Roman"/>
          <w:b/>
          <w:sz w:val="22"/>
          <w:szCs w:val="22"/>
          <w:u w:val="single"/>
        </w:rPr>
      </w:pPr>
      <w:r w:rsidRPr="00435CCA">
        <w:rPr>
          <w:rFonts w:ascii="Calibri" w:eastAsia="Calibri" w:hAnsi="Calibri" w:cs="Times New Roman"/>
          <w:b/>
          <w:sz w:val="22"/>
          <w:szCs w:val="22"/>
          <w:u w:val="single"/>
        </w:rPr>
        <w:t xml:space="preserve">Question Six: </w:t>
      </w:r>
    </w:p>
    <w:p w14:paraId="5DE85D79"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Read the following statement: </w:t>
      </w:r>
    </w:p>
    <w:p w14:paraId="3656CACB"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“Nothing is impossible, anything is possible.” </w:t>
      </w:r>
    </w:p>
    <w:p w14:paraId="3AAE8D70" w14:textId="77777777" w:rsidR="00435CCA" w:rsidRPr="00435CCA" w:rsidRDefault="00435CCA" w:rsidP="00435CCA">
      <w:pPr>
        <w:spacing w:after="160" w:line="259" w:lineRule="auto"/>
        <w:rPr>
          <w:rFonts w:ascii="Calibri" w:eastAsia="Calibri" w:hAnsi="Calibri" w:cs="Times New Roman"/>
          <w:sz w:val="22"/>
          <w:szCs w:val="22"/>
        </w:rPr>
      </w:pPr>
      <w:r w:rsidRPr="00435CCA">
        <w:rPr>
          <w:rFonts w:ascii="Calibri" w:eastAsia="Calibri" w:hAnsi="Calibri" w:cs="Times New Roman"/>
          <w:sz w:val="22"/>
          <w:szCs w:val="22"/>
        </w:rPr>
        <w:t xml:space="preserve">Do you agree or disagree? Explain the reasoning behind your decision. </w:t>
      </w:r>
    </w:p>
    <w:p w14:paraId="3D5E9306" w14:textId="77087FC4" w:rsidR="00D70704" w:rsidRDefault="00AC5628" w:rsidP="00DD3A5A">
      <w:pPr>
        <w:rPr>
          <w:u w:val="single"/>
        </w:rPr>
      </w:pPr>
      <w:r w:rsidRPr="00AC5628">
        <w:rPr>
          <w:u w:val="single"/>
        </w:rPr>
        <w:lastRenderedPageBreak/>
        <w:t xml:space="preserve">Appendix Two: </w:t>
      </w:r>
      <w:r w:rsidR="00455A8A">
        <w:rPr>
          <w:u w:val="single"/>
        </w:rPr>
        <w:t>Consent Form</w:t>
      </w:r>
    </w:p>
    <w:p w14:paraId="1C1A7C90" w14:textId="77777777" w:rsidR="00977B9F" w:rsidRDefault="00977B9F" w:rsidP="00DD3A5A">
      <w:pPr>
        <w:rPr>
          <w:u w:val="single"/>
        </w:rPr>
      </w:pPr>
    </w:p>
    <w:p w14:paraId="19F9583C" w14:textId="77777777" w:rsidR="00455A8A" w:rsidRPr="00EC61FF" w:rsidRDefault="00455A8A" w:rsidP="00455A8A">
      <w:pPr>
        <w:ind w:right="720"/>
        <w:rPr>
          <w:rFonts w:ascii="Arial" w:hAnsi="Arial" w:cs="Arial"/>
          <w:sz w:val="22"/>
          <w:szCs w:val="22"/>
        </w:rPr>
      </w:pPr>
      <w:r>
        <w:rPr>
          <w:rFonts w:ascii="Arial" w:hAnsi="Arial" w:cs="Arial"/>
          <w:noProof/>
          <w:lang w:eastAsia="en-GB"/>
        </w:rPr>
        <w:drawing>
          <wp:inline distT="0" distB="0" distL="0" distR="0" wp14:anchorId="00241357" wp14:editId="7690D9E2">
            <wp:extent cx="6051550" cy="1002297"/>
            <wp:effectExtent l="0" t="0" r="6350" b="7620"/>
            <wp:docPr id="11" name="Picture 11"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tterhead_to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67319" cy="1004909"/>
                    </a:xfrm>
                    <a:prstGeom prst="rect">
                      <a:avLst/>
                    </a:prstGeom>
                    <a:noFill/>
                    <a:ln>
                      <a:noFill/>
                    </a:ln>
                  </pic:spPr>
                </pic:pic>
              </a:graphicData>
            </a:graphic>
          </wp:inline>
        </w:drawing>
      </w:r>
    </w:p>
    <w:p w14:paraId="0DBABCE8" w14:textId="77777777" w:rsidR="00455A8A" w:rsidRPr="00EC61FF" w:rsidRDefault="00455A8A" w:rsidP="00455A8A">
      <w:pPr>
        <w:ind w:right="720"/>
        <w:rPr>
          <w:rFonts w:ascii="Arial" w:hAnsi="Arial" w:cs="Arial"/>
          <w:sz w:val="22"/>
          <w:szCs w:val="22"/>
        </w:rPr>
      </w:pPr>
    </w:p>
    <w:p w14:paraId="4FEDD238" w14:textId="67C87380" w:rsidR="00455A8A" w:rsidRPr="00EC61FF" w:rsidRDefault="00455A8A" w:rsidP="00455A8A">
      <w:pPr>
        <w:ind w:right="720"/>
        <w:rPr>
          <w:rFonts w:ascii="Arial" w:hAnsi="Arial" w:cs="Arial"/>
          <w:sz w:val="22"/>
          <w:szCs w:val="22"/>
        </w:rPr>
      </w:pPr>
      <w:r w:rsidRPr="00EC61FF">
        <w:rPr>
          <w:rFonts w:ascii="Arial" w:hAnsi="Arial" w:cs="Arial"/>
          <w:sz w:val="22"/>
          <w:szCs w:val="22"/>
        </w:rPr>
        <w:t>Participant Identification Number:</w:t>
      </w:r>
      <w:r>
        <w:rPr>
          <w:rFonts w:ascii="Arial" w:hAnsi="Arial" w:cs="Arial"/>
          <w:sz w:val="22"/>
          <w:szCs w:val="22"/>
        </w:rPr>
        <w:t xml:space="preserve"> </w:t>
      </w:r>
    </w:p>
    <w:p w14:paraId="71A68230" w14:textId="7EBF3D6B" w:rsidR="00455A8A" w:rsidRPr="00EC61FF" w:rsidRDefault="00455A8A" w:rsidP="00455A8A">
      <w:pPr>
        <w:pStyle w:val="Heading1"/>
        <w:pBdr>
          <w:top w:val="single" w:sz="4" w:space="1" w:color="auto"/>
          <w:left w:val="single" w:sz="4" w:space="4" w:color="auto"/>
          <w:bottom w:val="single" w:sz="4" w:space="0" w:color="auto"/>
          <w:right w:val="single" w:sz="4" w:space="4" w:color="auto"/>
        </w:pBdr>
        <w:ind w:right="720"/>
        <w:jc w:val="center"/>
        <w:rPr>
          <w:rFonts w:cs="Arial"/>
          <w:caps/>
          <w:szCs w:val="22"/>
        </w:rPr>
      </w:pPr>
      <w:r w:rsidRPr="00EC61FF">
        <w:rPr>
          <w:rFonts w:cs="Arial"/>
          <w:caps/>
          <w:szCs w:val="22"/>
        </w:rPr>
        <w:t>CONSENT FORM</w:t>
      </w:r>
    </w:p>
    <w:p w14:paraId="4ED4A1D9" w14:textId="77777777" w:rsidR="00455A8A" w:rsidRPr="00455A8A" w:rsidRDefault="00455A8A" w:rsidP="00455A8A">
      <w:pPr>
        <w:pStyle w:val="Heading1"/>
        <w:pBdr>
          <w:top w:val="single" w:sz="4" w:space="1" w:color="auto"/>
          <w:left w:val="single" w:sz="4" w:space="4" w:color="auto"/>
          <w:bottom w:val="single" w:sz="4" w:space="0" w:color="auto"/>
          <w:right w:val="single" w:sz="4" w:space="4" w:color="auto"/>
        </w:pBdr>
        <w:ind w:right="720"/>
        <w:jc w:val="center"/>
        <w:rPr>
          <w:rFonts w:cs="Arial"/>
          <w:sz w:val="20"/>
          <w:u w:val="single"/>
        </w:rPr>
      </w:pPr>
      <w:r w:rsidRPr="00EC61FF">
        <w:rPr>
          <w:rFonts w:cs="Arial"/>
          <w:sz w:val="20"/>
        </w:rPr>
        <w:t>PROJECT TITLE:</w:t>
      </w:r>
      <w:r>
        <w:rPr>
          <w:rFonts w:cs="Arial"/>
          <w:sz w:val="20"/>
        </w:rPr>
        <w:t xml:space="preserve"> </w:t>
      </w:r>
      <w:r w:rsidRPr="00455A8A">
        <w:rPr>
          <w:rFonts w:cs="Arial"/>
          <w:sz w:val="20"/>
          <w:u w:val="single"/>
        </w:rPr>
        <w:t>Exploration of the impact of a carefully designed scheme of work on pupils’ use of misconceptions in Probability and associated assessment for learning.</w:t>
      </w:r>
    </w:p>
    <w:p w14:paraId="1BDD4F18" w14:textId="09A43FDD" w:rsidR="00455A8A" w:rsidRPr="00EC61FF" w:rsidRDefault="00455A8A" w:rsidP="00455A8A">
      <w:pPr>
        <w:pStyle w:val="Heading1"/>
        <w:pBdr>
          <w:top w:val="single" w:sz="4" w:space="1" w:color="auto"/>
          <w:left w:val="single" w:sz="4" w:space="4" w:color="auto"/>
          <w:bottom w:val="single" w:sz="4" w:space="0" w:color="auto"/>
          <w:right w:val="single" w:sz="4" w:space="4" w:color="auto"/>
        </w:pBdr>
        <w:ind w:right="720"/>
        <w:jc w:val="center"/>
        <w:rPr>
          <w:rFonts w:cs="Arial"/>
          <w:sz w:val="20"/>
        </w:rPr>
      </w:pPr>
    </w:p>
    <w:p w14:paraId="143015AD" w14:textId="77777777" w:rsidR="00455A8A" w:rsidRPr="00EC61FF" w:rsidRDefault="00455A8A" w:rsidP="00455A8A">
      <w:pPr>
        <w:ind w:right="720"/>
        <w:rPr>
          <w:rFonts w:ascii="Arial" w:hAnsi="Arial" w:cs="Arial"/>
          <w:sz w:val="22"/>
          <w:szCs w:val="22"/>
        </w:rPr>
      </w:pPr>
    </w:p>
    <w:p w14:paraId="13BC4C0B" w14:textId="13E820D1" w:rsidR="00455A8A" w:rsidRDefault="00455A8A" w:rsidP="00455A8A">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 Miss K Martin</w:t>
      </w:r>
    </w:p>
    <w:p w14:paraId="39BDEC55" w14:textId="77777777" w:rsidR="00455A8A" w:rsidRDefault="00455A8A" w:rsidP="00455A8A">
      <w:pPr>
        <w:ind w:right="720"/>
        <w:rPr>
          <w:rFonts w:ascii="Arial" w:hAnsi="Arial" w:cs="Arial"/>
          <w:sz w:val="22"/>
          <w:szCs w:val="22"/>
        </w:rPr>
      </w:pPr>
    </w:p>
    <w:p w14:paraId="5EED2737" w14:textId="42F20C35" w:rsidR="00455A8A" w:rsidRDefault="00455A8A" w:rsidP="00455A8A">
      <w:pPr>
        <w:ind w:right="720"/>
        <w:rPr>
          <w:rFonts w:ascii="Arial" w:hAnsi="Arial" w:cs="Arial"/>
          <w:sz w:val="22"/>
          <w:szCs w:val="22"/>
        </w:rPr>
      </w:pPr>
      <w:r>
        <w:rPr>
          <w:rFonts w:ascii="Arial" w:hAnsi="Arial" w:cs="Arial"/>
          <w:sz w:val="22"/>
          <w:szCs w:val="22"/>
        </w:rPr>
        <w:t xml:space="preserve">In the following lessons, we will be following a scheme of work designed to combat common misconceptions within the topic of probability. </w:t>
      </w:r>
      <w:r w:rsidR="00314F3C">
        <w:rPr>
          <w:rFonts w:ascii="Arial" w:hAnsi="Arial" w:cs="Arial"/>
          <w:sz w:val="22"/>
          <w:szCs w:val="22"/>
        </w:rPr>
        <w:t>The pre and post – test</w:t>
      </w:r>
      <w:r w:rsidR="00E7055C">
        <w:rPr>
          <w:rFonts w:ascii="Arial" w:hAnsi="Arial" w:cs="Arial"/>
          <w:sz w:val="22"/>
          <w:szCs w:val="22"/>
        </w:rPr>
        <w:t xml:space="preserve"> will be completed so that </w:t>
      </w:r>
      <w:r w:rsidR="000E3D04">
        <w:rPr>
          <w:rFonts w:ascii="Arial" w:hAnsi="Arial" w:cs="Arial"/>
          <w:sz w:val="22"/>
          <w:szCs w:val="22"/>
        </w:rPr>
        <w:t xml:space="preserve">the researcher can identify such misconceptions and </w:t>
      </w:r>
      <w:r w:rsidR="00253EF4">
        <w:rPr>
          <w:rFonts w:ascii="Arial" w:hAnsi="Arial" w:cs="Arial"/>
          <w:sz w:val="22"/>
          <w:szCs w:val="22"/>
        </w:rPr>
        <w:t xml:space="preserve">design a scheme of work </w:t>
      </w:r>
      <w:r w:rsidR="009D244F">
        <w:rPr>
          <w:rFonts w:ascii="Arial" w:hAnsi="Arial" w:cs="Arial"/>
          <w:sz w:val="22"/>
          <w:szCs w:val="22"/>
        </w:rPr>
        <w:t xml:space="preserve">to target such misconceptions. </w:t>
      </w:r>
    </w:p>
    <w:p w14:paraId="4B06563A" w14:textId="77777777" w:rsidR="00455A8A" w:rsidRPr="00EC61FF" w:rsidRDefault="00455A8A" w:rsidP="00455A8A">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D26C277" w14:textId="77777777" w:rsidR="00455A8A" w:rsidRPr="00EC61FF" w:rsidRDefault="00455A8A" w:rsidP="00455A8A">
      <w:pPr>
        <w:ind w:left="7200" w:right="720"/>
        <w:rPr>
          <w:rFonts w:ascii="Arial" w:hAnsi="Arial" w:cs="Arial"/>
          <w:sz w:val="22"/>
          <w:szCs w:val="22"/>
        </w:rPr>
      </w:pPr>
      <w:r w:rsidRPr="00EC61FF">
        <w:rPr>
          <w:rFonts w:ascii="Arial" w:hAnsi="Arial" w:cs="Arial"/>
          <w:b/>
          <w:sz w:val="22"/>
          <w:szCs w:val="22"/>
        </w:rPr>
        <w:t>Please initial box</w:t>
      </w:r>
    </w:p>
    <w:p w14:paraId="62FF2F70" w14:textId="77777777" w:rsidR="00455A8A" w:rsidRPr="00EC61FF" w:rsidRDefault="00455A8A" w:rsidP="00455A8A">
      <w:pPr>
        <w:ind w:right="720"/>
        <w:rPr>
          <w:rFonts w:ascii="Arial" w:hAnsi="Arial" w:cs="Arial"/>
          <w:sz w:val="22"/>
          <w:szCs w:val="22"/>
        </w:rPr>
      </w:pPr>
    </w:p>
    <w:p w14:paraId="72CBBE37" w14:textId="77777777" w:rsidR="00455A8A" w:rsidRPr="00EC61FF" w:rsidRDefault="00455A8A" w:rsidP="00455A8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6704" behindDoc="0" locked="0" layoutInCell="1" allowOverlap="1" wp14:anchorId="30810EED" wp14:editId="62265BCC">
                <wp:simplePos x="0" y="0"/>
                <wp:positionH relativeFrom="column">
                  <wp:posOffset>5873750</wp:posOffset>
                </wp:positionH>
                <wp:positionV relativeFrom="paragraph">
                  <wp:posOffset>34925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083E983C" w14:textId="77777777" w:rsidR="00562885" w:rsidRDefault="00562885" w:rsidP="00455A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810EED" id="Rectangle 9" o:spid="_x0000_s1027" style="position:absolute;margin-left:462.5pt;margin-top:2.75pt;width:31.75pt;height:1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clWJQIAAE0EAAAOAAAAZHJzL2Uyb0RvYy54bWysVNuO0zAQfUfiHyy/06ShXdqo6WrVpQhp&#10;gRULH+A4TmLhG2O3Sfn6HbvdbrmIB0QeLI9nfHzmzExW16NWZC/AS2sqOp3klAjDbSNNV9GvX7av&#10;FpT4wEzDlDWiogfh6fX65YvV4EpR2N6qRgBBEOPLwVW0D8GVWeZ5LzTzE+uEQWdrQbOAJnRZA2xA&#10;dK2yIs+vssFC48By4T2e3h6ddJ3w21bw8KltvQhEVRS5hbRCWuu4ZusVKztgrpf8RIP9AwvNpMFH&#10;z1C3LDCyA/kblJYcrLdtmHCrM9u2kouUA2YzzX/J5qFnTqRcUBzvzjL5/wfLP+7vgcimoktKDNNY&#10;os8oGjOdEmQZ5RmcLzHqwd1DTNC7O8u/eWLspscocQNgh16wBklNY3z204VoeLxK6uGDbRCd7YJN&#10;So0t6AiIGpAxFeRwLogYA+F4OMtfF8WcEo6uolhc5algGSufLjvw4Z2wmsRNRQGpJ3C2v/MhkmHl&#10;U0gib5VstlKpZEBXbxSQPcPe2KYv8cccL8OUIQOqM0cef4fI0/cnCC0DNrmSuqKLcxAro2pvTZNa&#10;MDCpjnukrMxJxqjcsQJhrMdUpqRxVLW2zQF1BXvsaZxB3PQWflAyYD9X1H/fMRCUqPcGa7OczmZx&#10;AJIxm78p0IBLT33pYYYjVEUDJcftJhyHZudAdj2+NE1qGHuD9Wxl0vqZ1Yk+9mwqwWm+4lBc2inq&#10;+S+wfgQAAP//AwBQSwMEFAAGAAgAAAAhALQUIU3eAAAACAEAAA8AAABkcnMvZG93bnJldi54bWxM&#10;j0FPg0AQhe8m/ofNmHizS1EMUIbGaGrisaUXbwO7BZTdJezSor/e8aS3N3mT975XbBcziLOefO8s&#10;wnoVgdC2caq3LcKx2t2lIHwgq2hwViN8aQ/b8vqqoFy5i93r8yG0gkOszwmhC2HMpfRNpw35lRu1&#10;Ze/kJkOBz6mVaqILh5tBxlH0KA31lhs6GvVzp5vPw2wQ6j4+0ve+eo1MtrsPb0v1Mb+/IN7eLE8b&#10;EEEv4e8ZfvEZHUpmqt1slRcDQhYnvCUgJAkI9rM0ZVEjPKwTkGUh/w8ofwAAAP//AwBQSwECLQAU&#10;AAYACAAAACEAtoM4kv4AAADhAQAAEwAAAAAAAAAAAAAAAAAAAAAAW0NvbnRlbnRfVHlwZXNdLnht&#10;bFBLAQItABQABgAIAAAAIQA4/SH/1gAAAJQBAAALAAAAAAAAAAAAAAAAAC8BAABfcmVscy8ucmVs&#10;c1BLAQItABQABgAIAAAAIQDLnclWJQIAAE0EAAAOAAAAAAAAAAAAAAAAAC4CAABkcnMvZTJvRG9j&#10;LnhtbFBLAQItABQABgAIAAAAIQC0FCFN3gAAAAgBAAAPAAAAAAAAAAAAAAAAAH8EAABkcnMvZG93&#10;bnJldi54bWxQSwUGAAAAAAQABADzAAAAigUAAAAA&#10;">
                <v:textbox>
                  <w:txbxContent>
                    <w:p w14:paraId="083E983C" w14:textId="77777777" w:rsidR="00562885" w:rsidRDefault="00562885" w:rsidP="00455A8A">
                      <w:pPr>
                        <w:jc w:val="center"/>
                      </w:pPr>
                    </w:p>
                  </w:txbxContent>
                </v:textbox>
              </v:rect>
            </w:pict>
          </mc:Fallback>
        </mc:AlternateContent>
      </w:r>
      <w:r w:rsidRPr="00EC61FF">
        <w:rPr>
          <w:rFonts w:ascii="Arial" w:hAnsi="Arial" w:cs="Arial"/>
          <w:sz w:val="22"/>
          <w:szCs w:val="22"/>
        </w:rPr>
        <w:t>1.</w:t>
      </w:r>
      <w:r w:rsidRPr="00EC61FF">
        <w:rPr>
          <w:rFonts w:ascii="Arial" w:hAnsi="Arial" w:cs="Arial"/>
          <w:sz w:val="22"/>
          <w:szCs w:val="22"/>
        </w:rPr>
        <w:tab/>
        <w:t>I confirm that I have read and understand the information sheet dated for the above study. I have had the opportunity to consider the information, ask questions and have had these answered satisfactorily.</w:t>
      </w:r>
    </w:p>
    <w:p w14:paraId="0D4D3EB7" w14:textId="77777777" w:rsidR="00455A8A" w:rsidRPr="00EC61FF" w:rsidRDefault="00455A8A" w:rsidP="00455A8A">
      <w:pPr>
        <w:tabs>
          <w:tab w:val="left" w:pos="360"/>
        </w:tabs>
        <w:ind w:right="720"/>
        <w:rPr>
          <w:rFonts w:ascii="Arial" w:hAnsi="Arial" w:cs="Arial"/>
          <w:sz w:val="22"/>
          <w:szCs w:val="22"/>
        </w:rPr>
      </w:pPr>
    </w:p>
    <w:p w14:paraId="676BBA56" w14:textId="77777777" w:rsidR="00455A8A" w:rsidRPr="00EC61FF" w:rsidRDefault="00455A8A" w:rsidP="00455A8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7728" behindDoc="0" locked="0" layoutInCell="1" allowOverlap="1" wp14:anchorId="749C8686" wp14:editId="33E1A9EF">
                <wp:simplePos x="0" y="0"/>
                <wp:positionH relativeFrom="column">
                  <wp:posOffset>5873750</wp:posOffset>
                </wp:positionH>
                <wp:positionV relativeFrom="paragraph">
                  <wp:posOffset>4445</wp:posOffset>
                </wp:positionV>
                <wp:extent cx="403225" cy="228600"/>
                <wp:effectExtent l="0" t="0" r="158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04BA33C" w14:textId="77777777" w:rsidR="00562885" w:rsidRDefault="00562885" w:rsidP="00455A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9C8686" id="Rectangle 8" o:spid="_x0000_s1028" style="position:absolute;margin-left:462.5pt;margin-top:.35pt;width:31.75pt;height:1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FQYJQIAAE0EAAAOAAAAZHJzL2Uyb0RvYy54bWysVNuO0zAQfUfiHyy/06ShXbpR09WqSxHS&#10;AisWPsBxnMTCN8Zuk+XrGTttKRfxgMiD5YnHJ2fOmcn6ZtSKHAR4aU1F57OcEmG4baTpKvr50+7F&#10;ihIfmGmYskZU9El4erN5/mw9uFIUtreqEUAQxPhycBXtQ3BllnneC838zDph8LC1oFnAELqsATYg&#10;ulZZkedX2WChcWC58B7f3k2HdJPw21bw8KFtvQhEVRS5hbRCWuu4Zps1Kztgrpf8SIP9AwvNpMGP&#10;nqHuWGBkD/I3KC05WG/bMONWZ7ZtJRepBqxmnv9SzWPPnEi1oDjenWXy/w+Wvz88AJFNRdEowzRa&#10;9BFFY6ZTgqyiPIPzJWY9ugeIBXp3b/kXT4zd9pglbgHs0AvWIKl5zM9+uhADj1dJPbyzDaKzfbBJ&#10;qbEFHQFRAzImQ57OhogxEI4vF/nLolhSwvGoKFZXeTIsY+XpsgMf3girSdxUFJB6AmeHex8iGVae&#10;UhJ5q2Szk0qlALp6q4AcGPbGLj2JP9Z4maYMGSp6vUQef4fI0/MnCC0DNrmSGlU+J7EyqvbaNKkF&#10;A5Nq2iNlZY4yRuUmB8JYj8mm4uRJbZsn1BXs1NM4g7jpLXyjZMB+rqj/umcgKFFvDXpzPV8s4gCk&#10;YLF8VWAAlyf15QkzHKEqGiiZttswDc3egex6/NI8qWHsLfrZyqR19HpidaSPPZssOM5XHIrLOGX9&#10;+AtsvgMAAP//AwBQSwMEFAAGAAgAAAAhAGMCdardAAAABwEAAA8AAABkcnMvZG93bnJldi54bWxM&#10;j0FPg0AUhO8m/ofNM/FmF2naAmVpjKYmHlt68fZgn0Bl3xJ2adFf73rS42QmM9/ku9n04kKj6ywr&#10;eFxEIIhrqztuFJzK/UMCwnlkjb1lUvBFDnbF7U2OmbZXPtDl6BsRSthlqKD1fsikdHVLBt3CDsTB&#10;+7CjQR/k2Eg94jWUm17GUbSWBjsOCy0O9NxS/XmcjIKqi0/4fShfI5Pul/5tLs/T+4tS93fz0xaE&#10;p9n/heEXP6BDEZgqO7F2oleQxqvwxSvYgAh2miQrEJWC5XoDssjlf/7iBwAA//8DAFBLAQItABQA&#10;BgAIAAAAIQC2gziS/gAAAOEBAAATAAAAAAAAAAAAAAAAAAAAAABbQ29udGVudF9UeXBlc10ueG1s&#10;UEsBAi0AFAAGAAgAAAAhADj9If/WAAAAlAEAAAsAAAAAAAAAAAAAAAAALwEAAF9yZWxzLy5yZWxz&#10;UEsBAi0AFAAGAAgAAAAhAAEMVBglAgAATQQAAA4AAAAAAAAAAAAAAAAALgIAAGRycy9lMm9Eb2Mu&#10;eG1sUEsBAi0AFAAGAAgAAAAhAGMCdardAAAABwEAAA8AAAAAAAAAAAAAAAAAfwQAAGRycy9kb3du&#10;cmV2LnhtbFBLBQYAAAAABAAEAPMAAACJBQAAAAA=&#10;">
                <v:textbox>
                  <w:txbxContent>
                    <w:p w14:paraId="404BA33C" w14:textId="77777777" w:rsidR="00562885" w:rsidRDefault="00562885" w:rsidP="00455A8A">
                      <w:pPr>
                        <w:jc w:val="center"/>
                      </w:pPr>
                    </w:p>
                  </w:txbxContent>
                </v:textbox>
              </v:rect>
            </w:pict>
          </mc:Fallback>
        </mc:AlternateContent>
      </w:r>
      <w:r w:rsidRPr="00EC61FF">
        <w:rPr>
          <w:rFonts w:ascii="Arial" w:hAnsi="Arial" w:cs="Arial"/>
          <w:sz w:val="22"/>
          <w:szCs w:val="22"/>
        </w:rPr>
        <w:t>2.</w:t>
      </w:r>
      <w:r w:rsidRPr="00EC61FF">
        <w:rPr>
          <w:rFonts w:ascii="Arial" w:hAnsi="Arial" w:cs="Arial"/>
          <w:sz w:val="22"/>
          <w:szCs w:val="22"/>
        </w:rPr>
        <w:tab/>
        <w:t>I understand that my participation is voluntary and that I am free to withdraw at any time, without giving any reason.</w:t>
      </w:r>
    </w:p>
    <w:p w14:paraId="2AD85680" w14:textId="77777777" w:rsidR="00455A8A" w:rsidRPr="00EC61FF" w:rsidRDefault="00455A8A" w:rsidP="00455A8A">
      <w:pPr>
        <w:pStyle w:val="Footer"/>
        <w:tabs>
          <w:tab w:val="left" w:pos="360"/>
        </w:tabs>
        <w:ind w:right="720"/>
        <w:rPr>
          <w:rFonts w:ascii="Arial" w:hAnsi="Arial" w:cs="Arial"/>
          <w:sz w:val="22"/>
          <w:szCs w:val="22"/>
        </w:rPr>
      </w:pPr>
    </w:p>
    <w:p w14:paraId="487B3D7F" w14:textId="77777777" w:rsidR="00455A8A" w:rsidRPr="00EC61FF" w:rsidRDefault="00455A8A" w:rsidP="00455A8A">
      <w:pPr>
        <w:pStyle w:val="Footer"/>
        <w:tabs>
          <w:tab w:val="left" w:pos="360"/>
        </w:tabs>
        <w:ind w:right="720"/>
        <w:rPr>
          <w:rFonts w:ascii="Arial" w:hAnsi="Arial" w:cs="Arial"/>
        </w:rPr>
      </w:pPr>
      <w:r>
        <w:rPr>
          <w:rFonts w:ascii="Arial" w:hAnsi="Arial" w:cs="Arial"/>
          <w:noProof/>
          <w:lang w:val="en-GB" w:eastAsia="en-GB"/>
        </w:rPr>
        <mc:AlternateContent>
          <mc:Choice Requires="wps">
            <w:drawing>
              <wp:anchor distT="0" distB="0" distL="114300" distR="114300" simplePos="0" relativeHeight="251658752" behindDoc="0" locked="0" layoutInCell="1" allowOverlap="1" wp14:anchorId="7340F4FC" wp14:editId="1E036C79">
                <wp:simplePos x="0" y="0"/>
                <wp:positionH relativeFrom="column">
                  <wp:posOffset>5873750</wp:posOffset>
                </wp:positionH>
                <wp:positionV relativeFrom="paragraph">
                  <wp:posOffset>27305</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D2BD23F" w14:textId="77777777" w:rsidR="00562885" w:rsidRDefault="00562885" w:rsidP="00455A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40F4FC" id="Rectangle 7" o:spid="_x0000_s1029" style="position:absolute;margin-left:462.5pt;margin-top:2.15pt;width:31.75pt;height:1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1YnJwIAAE0EAAAOAAAAZHJzL2Uyb0RvYy54bWysVNuO0zAQfUfiHyy/06TZdrcbNV2tuhQh&#10;LbBi4QMcx0ksfGPsNi1fz9hpS7mIB0QeLE88PjlzzkyWd3utyE6Al9ZUdDrJKRGG20aarqKfP21e&#10;LSjxgZmGKWtERQ/C07vVyxfLwZWisL1VjQCCIMaXg6toH4Irs8zzXmjmJ9YJg4etBc0ChtBlDbAB&#10;0bXKijy/zgYLjQPLhff49mE8pKuE37aChw9t60UgqqLILaQV0lrHNVstWdkBc73kRxrsH1hoJg1+&#10;9Az1wAIjW5C/QWnJwXrbhgm3OrNtK7lINWA10/yXap575kSqBcXx7iyT/3+w/P3uCYhsKnpDiWEa&#10;LfqIojHTKUFuojyD8yVmPbsniAV692j5F0+MXfeYJe4B7NAL1iCpaczPfroQA49XST28sw2is22w&#10;Sal9CzoCogZknww5nA0R+0A4vpzlV0Uxp4TjUVEsrvNkWMbK02UHPrwRVpO4qSgg9QTOdo8+RDKs&#10;PKUk8lbJZiOVSgF09VoB2THsjU16En+s8TJNGTJU9HaOPP4OkafnTxBaBmxyJXVFF+ckVkbVXpsm&#10;tWBgUo17pKzMUcao3OhA2Nf7ZNPVyZPaNgfUFezY0ziDuOktfKNkwH6uqP+6ZSAoUW8NenM7nc3i&#10;AKRgNr8pMIDLk/ryhBmOUBUNlIzbdRiHZutAdj1+aZrUMPYe/Wxl0jp6PbI60seeTRYc5ysOxWWc&#10;sn78BVbfAQ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raNWJycCAABNBAAADgAAAAAAAAAAAAAAAAAuAgAAZHJzL2Uyb0Rv&#10;Yy54bWxQSwECLQAUAAYACAAAACEAAsSq/N0AAAAIAQAADwAAAAAAAAAAAAAAAACBBAAAZHJzL2Rv&#10;d25yZXYueG1sUEsFBgAAAAAEAAQA8wAAAIsFAAAAAA==&#10;">
                <v:textbox>
                  <w:txbxContent>
                    <w:p w14:paraId="1D2BD23F" w14:textId="77777777" w:rsidR="00562885" w:rsidRDefault="00562885" w:rsidP="00455A8A">
                      <w:pPr>
                        <w:jc w:val="center"/>
                      </w:pPr>
                    </w:p>
                  </w:txbxContent>
                </v:textbox>
              </v:rect>
            </w:pict>
          </mc:Fallback>
        </mc:AlternateContent>
      </w:r>
      <w:r w:rsidRPr="00EC61FF">
        <w:rPr>
          <w:rFonts w:ascii="Arial" w:hAnsi="Arial" w:cs="Arial"/>
        </w:rPr>
        <w:t xml:space="preserve">3.  </w:t>
      </w:r>
      <w:r w:rsidRPr="00EC61FF">
        <w:rPr>
          <w:rFonts w:ascii="Arial" w:hAnsi="Arial" w:cs="Arial"/>
          <w:sz w:val="22"/>
          <w:szCs w:val="22"/>
        </w:rPr>
        <w:t>I understand that any information given by me may be used in future reports, articles or presentations by the research team.</w:t>
      </w:r>
    </w:p>
    <w:p w14:paraId="3AF3188A" w14:textId="77777777" w:rsidR="00455A8A" w:rsidRPr="00EC61FF" w:rsidRDefault="00455A8A" w:rsidP="00455A8A">
      <w:pPr>
        <w:pStyle w:val="Footer"/>
        <w:tabs>
          <w:tab w:val="left" w:pos="360"/>
        </w:tabs>
        <w:ind w:right="720"/>
        <w:rPr>
          <w:rFonts w:ascii="Arial" w:hAnsi="Arial" w:cs="Arial"/>
        </w:rPr>
      </w:pPr>
    </w:p>
    <w:p w14:paraId="1B013316" w14:textId="77777777" w:rsidR="00455A8A" w:rsidRPr="00EC61FF" w:rsidRDefault="00455A8A" w:rsidP="00455A8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800" behindDoc="0" locked="0" layoutInCell="1" allowOverlap="1" wp14:anchorId="04651A6E" wp14:editId="35B3917A">
                <wp:simplePos x="0" y="0"/>
                <wp:positionH relativeFrom="column">
                  <wp:posOffset>5867400</wp:posOffset>
                </wp:positionH>
                <wp:positionV relativeFrom="paragraph">
                  <wp:posOffset>20320</wp:posOffset>
                </wp:positionV>
                <wp:extent cx="409575" cy="228600"/>
                <wp:effectExtent l="0" t="0" r="285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2D14BEC2" w14:textId="77777777" w:rsidR="00562885" w:rsidRDefault="00562885" w:rsidP="00455A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651A6E" id="Rectangle 10" o:spid="_x0000_s1030" style="position:absolute;margin-left:462pt;margin-top:1.6pt;width:32.25pt;height:18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MuOKgIAAE8EAAAOAAAAZHJzL2Uyb0RvYy54bWysVNuO0zAQfUfiHyy/06RRu9tGTVerLkVI&#10;C6xY+ADHcRIL3xi7TcvXM3ba0gWeEHmwPJnxyZlzxlndHbQiewFeWlPR6SSnRBhuG2m6in79sn2z&#10;oMQHZhqmrBEVPQpP79avX60GV4rC9lY1AgiCGF8OrqJ9CK7MMs97oZmfWCcMJlsLmgUMocsaYAOi&#10;a5UVeX6TDRYaB5YL7/Htw5ik64TftoKHT23rRSCqosgtpBXSWsc1W69Y2QFzveQnGuwfWGgmDX70&#10;AvXAAiM7kH9AacnBetuGCbc6s20ruUg9YDfT/LdunnvmROoFxfHuIpP/f7D84/4JiGzQO5THMI0e&#10;fUbVmOmUIPgOBRqcL7Hu2T1BbNG7R8u/eWLspscycQ9gh16wBmlNY3324kAMPB4l9fDBNgjPdsEm&#10;rQ4t6AiIKpBDsuR4sUQcAuH4cpYv57dzSjimimJxkydGGSvPhx348E5YTeKmooDcEzjbP/oQybDy&#10;XJLIWyWbrVQqBdDVGwVkz3A6tulJ/LHH6zJlyFDR5byYJ+QXOX8NkafnbxBaBhxzJXVFF5ciVkbV&#10;3pomDWFgUo17pKzMScao3OhAONSHZNTs7EltmyPqCnacaryFuOkt/KBkwImuqP++YyAoUe8NerOc&#10;zmbxCqRgNr8tMIDrTH2dYYYjVEUDJeN2E8Zrs3Mgux6/NE1qGHuPfrYyaR29Hlmd6OPUJgtONyxe&#10;i+s4Vf36D6x/Ag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6gDLjioCAABPBAAADgAAAAAAAAAAAAAAAAAuAgAAZHJzL2Uy&#10;b0RvYy54bWxQSwECLQAUAAYACAAAACEA3qp5Md0AAAAIAQAADwAAAAAAAAAAAAAAAACEBAAAZHJz&#10;L2Rvd25yZXYueG1sUEsFBgAAAAAEAAQA8wAAAI4FAAAAAA==&#10;">
                <v:textbox>
                  <w:txbxContent>
                    <w:p w14:paraId="2D14BEC2" w14:textId="77777777" w:rsidR="00562885" w:rsidRDefault="00562885" w:rsidP="00455A8A">
                      <w:pPr>
                        <w:jc w:val="center"/>
                      </w:pPr>
                    </w:p>
                  </w:txbxContent>
                </v:textbox>
              </v:rect>
            </w:pict>
          </mc:Fallback>
        </mc:AlternateContent>
      </w:r>
      <w:r w:rsidRPr="00EC61FF">
        <w:rPr>
          <w:rFonts w:ascii="Arial" w:hAnsi="Arial" w:cs="Arial"/>
          <w:sz w:val="22"/>
          <w:szCs w:val="22"/>
        </w:rPr>
        <w:t>4.  I understand that my name will not appear in any reports, articles or presentations.</w:t>
      </w:r>
    </w:p>
    <w:p w14:paraId="18119B60" w14:textId="77777777" w:rsidR="00455A8A" w:rsidRPr="00EC61FF" w:rsidRDefault="00455A8A" w:rsidP="00455A8A">
      <w:pPr>
        <w:tabs>
          <w:tab w:val="left" w:pos="360"/>
        </w:tabs>
        <w:ind w:right="720"/>
        <w:rPr>
          <w:rFonts w:ascii="Arial" w:hAnsi="Arial" w:cs="Arial"/>
          <w:sz w:val="22"/>
          <w:szCs w:val="22"/>
        </w:rPr>
      </w:pPr>
    </w:p>
    <w:p w14:paraId="7682772E" w14:textId="77777777" w:rsidR="00455A8A" w:rsidRPr="00EC61FF" w:rsidRDefault="00455A8A" w:rsidP="00455A8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9776" behindDoc="0" locked="0" layoutInCell="1" allowOverlap="1" wp14:anchorId="44E0D2E8" wp14:editId="0007E31B">
                <wp:simplePos x="0" y="0"/>
                <wp:positionH relativeFrom="column">
                  <wp:posOffset>5867400</wp:posOffset>
                </wp:positionH>
                <wp:positionV relativeFrom="paragraph">
                  <wp:posOffset>8255</wp:posOffset>
                </wp:positionV>
                <wp:extent cx="409575" cy="228600"/>
                <wp:effectExtent l="0" t="0" r="28575"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26DFE226" w14:textId="77777777" w:rsidR="00562885" w:rsidRDefault="00562885" w:rsidP="00455A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E0D2E8" id="Rectangle 5" o:spid="_x0000_s1031" style="position:absolute;margin-left:462pt;margin-top:.65pt;width:32.25pt;height:1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NLKQIAAE0EAAAOAAAAZHJzL2Uyb0RvYy54bWysVMGO0zAQvSPxD5bvNGnU7G6jpqtVlyKk&#10;BVYsfIDjOImFY5ux26R8PWMnW7rACZGD5cmMX968N87mduwVOQpw0uiSLhcpJUJzU0vdlvTrl/2b&#10;G0qcZ7pmymhR0pNw9Hb7+tVmsIXITGdULYAgiHbFYEvaeW+LJHG8Ez1zC2OFxmRjoGceQ2iTGtiA&#10;6L1KsjS9SgYDtQXDhXP49n5K0m3EbxrB/aemccITVVLk5uMKca3Cmmw3rGiB2U7ymQb7BxY9kxo/&#10;eoa6Z56RA8g/oHrJwTjT+AU3fWKaRnIRe8Bululv3Tx1zIrYC4rj7Fkm9/9g+cfjIxBZlzSnRLMe&#10;LfqMojHdKkHyIM9gXYFVT/YRQoPOPhj+zRFtdh1WiTsAM3SC1UhqGeqTFwdC4PAoqYYPpkZ0dvAm&#10;KjU20AdA1ICM0ZDT2RAxesLx5Spd59dIjGMqy26u0mhYwornwxacfydMT8KmpIDUIzg7PjgfyLDi&#10;uSSSN0rWe6lUDKCtdgrIkeFs7OMT+WOPl2VKk6Gk6zzLI/KLnLuESOPzN4heehxyJfuS3pyLWBFU&#10;e6vrOIKeSTXtkbLSs4xBuckBP1bjbNPsSWXqE+oKZpppvIO46Qz8oGTAeS6p+35gIChR7zV6s16u&#10;VuECxGCVX2cYwGWmuswwzRGqpJ6Sabvz06U5WJBth19aRjW0uUM/Gxm1Dl5PrGb6OLPRgvl+hUtx&#10;GceqX3+B7U8AAAD//wMAUEsDBBQABgAIAAAAIQALnYKw3gAAAAgBAAAPAAAAZHJzL2Rvd25yZXYu&#10;eG1sTI9NT4NAEIbvJv6HzZh4s4vgB1CWxmhq4rGlF28DuwKVnSXs0qK/3vGkx8kzed/nLTaLHcTJ&#10;TL53pOB2FYEw1DjdU6vgUG1vUhA+IGkcHBkFX8bDpry8KDDX7kw7c9qHVnAI+RwVdCGMuZS+6YxF&#10;v3KjIWYfbrIY+JxaqSc8c7gdZBxFD9JiT9zQ4WieO9N87meroO7jA37vqtfIZtskvC3VcX5/Uer6&#10;anlagwhmCX/P8KvP6lCyU+1m0l4MCrL4jrcEBgkI5lma3oOoFSSPCciykP8HlD8AAAD//wMAUEsB&#10;Ai0AFAAGAAgAAAAhALaDOJL+AAAA4QEAABMAAAAAAAAAAAAAAAAAAAAAAFtDb250ZW50X1R5cGVz&#10;XS54bWxQSwECLQAUAAYACAAAACEAOP0h/9YAAACUAQAACwAAAAAAAAAAAAAAAAAvAQAAX3JlbHMv&#10;LnJlbHNQSwECLQAUAAYACAAAACEA/mWjSykCAABNBAAADgAAAAAAAAAAAAAAAAAuAgAAZHJzL2Uy&#10;b0RvYy54bWxQSwECLQAUAAYACAAAACEAC52CsN4AAAAIAQAADwAAAAAAAAAAAAAAAACDBAAAZHJz&#10;L2Rvd25yZXYueG1sUEsFBgAAAAAEAAQA8wAAAI4FAAAAAA==&#10;">
                <v:textbox>
                  <w:txbxContent>
                    <w:p w14:paraId="26DFE226" w14:textId="77777777" w:rsidR="00562885" w:rsidRDefault="00562885" w:rsidP="00455A8A">
                      <w:pPr>
                        <w:jc w:val="center"/>
                      </w:pPr>
                    </w:p>
                  </w:txbxContent>
                </v:textbox>
              </v:rect>
            </w:pict>
          </mc:Fallback>
        </mc:AlternateContent>
      </w:r>
      <w:r w:rsidRPr="00EC61FF">
        <w:rPr>
          <w:rFonts w:ascii="Arial" w:hAnsi="Arial" w:cs="Arial"/>
          <w:sz w:val="22"/>
          <w:szCs w:val="22"/>
        </w:rPr>
        <w:t>5.</w:t>
      </w:r>
      <w:r w:rsidRPr="00EC61FF">
        <w:rPr>
          <w:rFonts w:ascii="Arial" w:hAnsi="Arial" w:cs="Arial"/>
          <w:sz w:val="22"/>
          <w:szCs w:val="22"/>
        </w:rPr>
        <w:tab/>
        <w:t>I agree to take part in the above study.</w:t>
      </w:r>
    </w:p>
    <w:p w14:paraId="06232097" w14:textId="77777777" w:rsidR="00455A8A" w:rsidRPr="00EC61FF" w:rsidRDefault="00455A8A" w:rsidP="00455A8A">
      <w:pPr>
        <w:tabs>
          <w:tab w:val="left" w:pos="360"/>
        </w:tabs>
        <w:ind w:right="720"/>
        <w:rPr>
          <w:rFonts w:ascii="Arial" w:hAnsi="Arial" w:cs="Arial"/>
          <w:sz w:val="22"/>
          <w:szCs w:val="22"/>
        </w:rPr>
      </w:pPr>
    </w:p>
    <w:p w14:paraId="0CA60485" w14:textId="77777777" w:rsidR="00455A8A" w:rsidRPr="00EC61FF" w:rsidRDefault="00455A8A" w:rsidP="00455A8A">
      <w:pPr>
        <w:tabs>
          <w:tab w:val="left" w:pos="3600"/>
          <w:tab w:val="left" w:pos="6480"/>
        </w:tabs>
        <w:ind w:right="720"/>
        <w:rPr>
          <w:rFonts w:ascii="Arial" w:hAnsi="Arial" w:cs="Arial"/>
          <w:sz w:val="22"/>
          <w:szCs w:val="22"/>
        </w:rPr>
      </w:pPr>
      <w:r w:rsidRPr="00EC61FF">
        <w:rPr>
          <w:rFonts w:ascii="Arial" w:hAnsi="Arial" w:cs="Arial"/>
          <w:sz w:val="22"/>
          <w:szCs w:val="22"/>
        </w:rPr>
        <w:t>________________________</w:t>
      </w:r>
      <w:r w:rsidRPr="00EC61FF">
        <w:rPr>
          <w:rFonts w:ascii="Arial" w:hAnsi="Arial" w:cs="Arial"/>
          <w:sz w:val="22"/>
          <w:szCs w:val="22"/>
        </w:rPr>
        <w:tab/>
        <w:t>________________</w:t>
      </w:r>
      <w:r w:rsidRPr="00EC61FF">
        <w:rPr>
          <w:rFonts w:ascii="Arial" w:hAnsi="Arial" w:cs="Arial"/>
          <w:sz w:val="22"/>
          <w:szCs w:val="22"/>
        </w:rPr>
        <w:tab/>
        <w:t>_____________________________</w:t>
      </w:r>
    </w:p>
    <w:p w14:paraId="5808169D" w14:textId="77777777" w:rsidR="00455A8A" w:rsidRPr="00EC61FF" w:rsidRDefault="00455A8A" w:rsidP="00455A8A">
      <w:pPr>
        <w:tabs>
          <w:tab w:val="left" w:pos="3600"/>
          <w:tab w:val="left" w:pos="6480"/>
        </w:tabs>
        <w:ind w:right="720"/>
        <w:rPr>
          <w:rFonts w:ascii="Arial" w:hAnsi="Arial" w:cs="Arial"/>
          <w:sz w:val="22"/>
          <w:szCs w:val="22"/>
        </w:rPr>
      </w:pPr>
      <w:r w:rsidRPr="00EC61FF">
        <w:rPr>
          <w:rFonts w:ascii="Arial" w:hAnsi="Arial" w:cs="Arial"/>
          <w:sz w:val="22"/>
          <w:szCs w:val="22"/>
        </w:rPr>
        <w:t>Name of Participant</w:t>
      </w:r>
      <w:r w:rsidRPr="00EC61FF">
        <w:rPr>
          <w:rFonts w:ascii="Arial" w:hAnsi="Arial" w:cs="Arial"/>
          <w:sz w:val="22"/>
          <w:szCs w:val="22"/>
        </w:rPr>
        <w:tab/>
        <w:t>Date</w:t>
      </w:r>
      <w:r w:rsidRPr="00EC61FF">
        <w:rPr>
          <w:rFonts w:ascii="Arial" w:hAnsi="Arial" w:cs="Arial"/>
          <w:sz w:val="22"/>
          <w:szCs w:val="22"/>
        </w:rPr>
        <w:tab/>
        <w:t>Signature</w:t>
      </w:r>
    </w:p>
    <w:p w14:paraId="49587CFF" w14:textId="77777777" w:rsidR="00455A8A" w:rsidRPr="00EC61FF" w:rsidRDefault="00455A8A" w:rsidP="00455A8A">
      <w:pPr>
        <w:ind w:right="720"/>
        <w:rPr>
          <w:rFonts w:ascii="Arial" w:hAnsi="Arial" w:cs="Arial"/>
          <w:sz w:val="22"/>
          <w:szCs w:val="22"/>
        </w:rPr>
      </w:pPr>
    </w:p>
    <w:p w14:paraId="62C0150E" w14:textId="77777777" w:rsidR="00455A8A" w:rsidRPr="00EC61FF" w:rsidRDefault="00455A8A" w:rsidP="00455A8A">
      <w:pPr>
        <w:tabs>
          <w:tab w:val="left" w:pos="3600"/>
          <w:tab w:val="left" w:pos="6480"/>
        </w:tabs>
        <w:ind w:right="720"/>
        <w:rPr>
          <w:rFonts w:ascii="Arial" w:hAnsi="Arial" w:cs="Arial"/>
          <w:sz w:val="22"/>
          <w:szCs w:val="22"/>
        </w:rPr>
      </w:pPr>
      <w:r w:rsidRPr="00EC61FF">
        <w:rPr>
          <w:rFonts w:ascii="Arial" w:hAnsi="Arial" w:cs="Arial"/>
          <w:sz w:val="22"/>
          <w:szCs w:val="22"/>
        </w:rPr>
        <w:t>_________________________</w:t>
      </w:r>
      <w:r w:rsidRPr="00EC61FF">
        <w:rPr>
          <w:rFonts w:ascii="Arial" w:hAnsi="Arial" w:cs="Arial"/>
          <w:sz w:val="22"/>
          <w:szCs w:val="22"/>
        </w:rPr>
        <w:tab/>
        <w:t>________________</w:t>
      </w:r>
      <w:r w:rsidRPr="00EC61FF">
        <w:rPr>
          <w:rFonts w:ascii="Arial" w:hAnsi="Arial" w:cs="Arial"/>
          <w:sz w:val="22"/>
          <w:szCs w:val="22"/>
        </w:rPr>
        <w:tab/>
        <w:t>_____________________________</w:t>
      </w:r>
    </w:p>
    <w:p w14:paraId="7DF4B2CB" w14:textId="77777777" w:rsidR="00455A8A" w:rsidRPr="00EC61FF" w:rsidRDefault="00455A8A" w:rsidP="00455A8A">
      <w:pPr>
        <w:pStyle w:val="Footer"/>
        <w:tabs>
          <w:tab w:val="left" w:pos="3600"/>
          <w:tab w:val="left" w:pos="6480"/>
        </w:tabs>
        <w:ind w:right="720"/>
        <w:rPr>
          <w:rFonts w:ascii="Arial" w:hAnsi="Arial" w:cs="Arial"/>
          <w:sz w:val="22"/>
          <w:szCs w:val="22"/>
        </w:rPr>
      </w:pPr>
      <w:r w:rsidRPr="00EC61FF">
        <w:rPr>
          <w:rFonts w:ascii="Arial" w:hAnsi="Arial" w:cs="Arial"/>
          <w:sz w:val="22"/>
          <w:szCs w:val="22"/>
        </w:rPr>
        <w:t>Researcher</w:t>
      </w:r>
      <w:r w:rsidRPr="00EC61FF">
        <w:rPr>
          <w:rFonts w:ascii="Arial" w:hAnsi="Arial" w:cs="Arial"/>
          <w:sz w:val="22"/>
          <w:szCs w:val="22"/>
        </w:rPr>
        <w:tab/>
        <w:t>Date</w:t>
      </w:r>
      <w:r w:rsidRPr="00EC61FF">
        <w:rPr>
          <w:rFonts w:ascii="Arial" w:hAnsi="Arial" w:cs="Arial"/>
          <w:sz w:val="22"/>
          <w:szCs w:val="22"/>
        </w:rPr>
        <w:tab/>
      </w:r>
      <w:r w:rsidRPr="00EC61FF">
        <w:rPr>
          <w:rFonts w:ascii="Arial" w:hAnsi="Arial" w:cs="Arial"/>
          <w:sz w:val="22"/>
          <w:szCs w:val="22"/>
        </w:rPr>
        <w:tab/>
        <w:t>Signature</w:t>
      </w:r>
    </w:p>
    <w:p w14:paraId="2F7C077D" w14:textId="77777777" w:rsidR="00455A8A" w:rsidRPr="00EC61FF" w:rsidRDefault="00455A8A" w:rsidP="00455A8A">
      <w:pPr>
        <w:tabs>
          <w:tab w:val="left" w:pos="3600"/>
          <w:tab w:val="left" w:pos="6480"/>
        </w:tabs>
        <w:ind w:right="720"/>
        <w:rPr>
          <w:rFonts w:ascii="Arial" w:hAnsi="Arial" w:cs="Arial"/>
          <w:sz w:val="22"/>
          <w:szCs w:val="22"/>
        </w:rPr>
      </w:pPr>
    </w:p>
    <w:p w14:paraId="4438160F" w14:textId="5E2FD01D" w:rsidR="00455A8A" w:rsidRPr="00EC61FF" w:rsidRDefault="00455A8A" w:rsidP="00455A8A">
      <w:pPr>
        <w:tabs>
          <w:tab w:val="left" w:pos="3600"/>
          <w:tab w:val="left" w:pos="6480"/>
        </w:tabs>
        <w:ind w:right="720"/>
        <w:rPr>
          <w:rStyle w:val="apple-style-span"/>
          <w:rFonts w:ascii="Arial" w:hAnsi="Arial" w:cs="Arial"/>
          <w:color w:val="000000"/>
          <w:sz w:val="22"/>
          <w:szCs w:val="22"/>
        </w:rPr>
      </w:pPr>
      <w:r w:rsidRPr="00EC61FF">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w:t>
      </w:r>
    </w:p>
    <w:p w14:paraId="36B31A83" w14:textId="77777777" w:rsidR="00455A8A" w:rsidRPr="00EC61FF" w:rsidRDefault="00455A8A" w:rsidP="00455A8A">
      <w:pPr>
        <w:tabs>
          <w:tab w:val="left" w:pos="3600"/>
          <w:tab w:val="left" w:pos="6480"/>
        </w:tabs>
        <w:ind w:right="720"/>
        <w:rPr>
          <w:rFonts w:ascii="Arial" w:hAnsi="Arial" w:cs="Arial"/>
          <w:color w:val="000000"/>
          <w:sz w:val="22"/>
          <w:szCs w:val="22"/>
        </w:rPr>
      </w:pPr>
    </w:p>
    <w:p w14:paraId="100CDDFF" w14:textId="77777777" w:rsidR="00455A8A" w:rsidRDefault="00455A8A" w:rsidP="00455A8A">
      <w:pPr>
        <w:shd w:val="clear" w:color="auto" w:fill="C0C0C0"/>
        <w:tabs>
          <w:tab w:val="left" w:pos="3600"/>
          <w:tab w:val="left" w:pos="6480"/>
        </w:tabs>
        <w:ind w:right="720"/>
        <w:jc w:val="center"/>
        <w:rPr>
          <w:rFonts w:ascii="Arial" w:hAnsi="Arial" w:cs="Arial"/>
          <w:b/>
        </w:rPr>
      </w:pPr>
      <w:r w:rsidRPr="00EC61FF">
        <w:rPr>
          <w:rFonts w:ascii="Arial" w:hAnsi="Arial" w:cs="Arial"/>
          <w:b/>
        </w:rPr>
        <w:lastRenderedPageBreak/>
        <w:t>When completed, please return in the envelope provided (if applicable).  One copy will be given to the participant and the original to be kept in th</w:t>
      </w:r>
      <w:r>
        <w:rPr>
          <w:rFonts w:ascii="Arial" w:hAnsi="Arial" w:cs="Arial"/>
          <w:b/>
        </w:rPr>
        <w:t>e file of the research team at:</w:t>
      </w:r>
    </w:p>
    <w:p w14:paraId="58AD4146" w14:textId="77777777" w:rsidR="00455A8A" w:rsidRPr="001776BF" w:rsidRDefault="00455A8A" w:rsidP="00455A8A">
      <w:pPr>
        <w:shd w:val="clear" w:color="auto" w:fill="C0C0C0"/>
        <w:tabs>
          <w:tab w:val="left" w:pos="3600"/>
          <w:tab w:val="left" w:pos="6480"/>
        </w:tabs>
        <w:ind w:right="720"/>
        <w:jc w:val="center"/>
        <w:rPr>
          <w:rFonts w:ascii="Arial" w:hAnsi="Arial" w:cs="Arial"/>
          <w:color w:val="FF0000"/>
        </w:rPr>
      </w:pPr>
      <w:r w:rsidRPr="001776BF">
        <w:rPr>
          <w:rFonts w:ascii="Arial" w:hAnsi="Arial" w:cs="Arial"/>
        </w:rPr>
        <w:t xml:space="preserve">School name will be filled in prior to sending to pupils / parents </w:t>
      </w:r>
    </w:p>
    <w:p w14:paraId="09ADF8C5" w14:textId="77777777" w:rsidR="00455A8A" w:rsidRPr="00EC61FF" w:rsidRDefault="00455A8A" w:rsidP="00455A8A">
      <w:pPr>
        <w:shd w:val="clear" w:color="auto" w:fill="C0C0C0"/>
        <w:tabs>
          <w:tab w:val="left" w:pos="3600"/>
          <w:tab w:val="left" w:pos="6480"/>
        </w:tabs>
        <w:ind w:right="720"/>
        <w:jc w:val="center"/>
        <w:rPr>
          <w:rFonts w:ascii="Arial" w:hAnsi="Arial" w:cs="Arial"/>
          <w:b/>
        </w:rPr>
      </w:pPr>
    </w:p>
    <w:p w14:paraId="722D44FA" w14:textId="77777777" w:rsidR="00455A8A" w:rsidRPr="00EC61FF" w:rsidRDefault="00455A8A" w:rsidP="00455A8A">
      <w:pPr>
        <w:ind w:right="720"/>
        <w:rPr>
          <w:rFonts w:ascii="Arial" w:hAnsi="Arial" w:cs="Arial"/>
          <w:sz w:val="22"/>
          <w:szCs w:val="22"/>
        </w:rPr>
      </w:pPr>
      <w:r w:rsidRPr="00EC61FF">
        <w:rPr>
          <w:rFonts w:ascii="Arial" w:hAnsi="Arial" w:cs="Arial"/>
          <w:sz w:val="22"/>
          <w:szCs w:val="22"/>
        </w:rPr>
        <w:t>NAME &amp; ADDRESS OF RESEARCHER:</w:t>
      </w:r>
    </w:p>
    <w:p w14:paraId="4DBC197D" w14:textId="77777777" w:rsidR="00455A8A" w:rsidRDefault="00455A8A" w:rsidP="00455A8A">
      <w:pPr>
        <w:ind w:right="720"/>
        <w:rPr>
          <w:rFonts w:ascii="Arial" w:hAnsi="Arial" w:cs="Arial"/>
          <w:sz w:val="22"/>
          <w:szCs w:val="22"/>
        </w:rPr>
      </w:pPr>
    </w:p>
    <w:p w14:paraId="442AB530" w14:textId="77777777" w:rsidR="00455A8A" w:rsidRDefault="00455A8A" w:rsidP="00455A8A">
      <w:pPr>
        <w:ind w:right="720"/>
        <w:rPr>
          <w:rFonts w:ascii="Arial" w:hAnsi="Arial" w:cs="Arial"/>
          <w:sz w:val="22"/>
          <w:szCs w:val="22"/>
        </w:rPr>
      </w:pPr>
    </w:p>
    <w:p w14:paraId="3575D80B" w14:textId="77777777" w:rsidR="00455A8A" w:rsidRPr="00CC2CAD" w:rsidRDefault="00455A8A" w:rsidP="00455A8A">
      <w:pPr>
        <w:ind w:right="720"/>
        <w:rPr>
          <w:rFonts w:ascii="Arial" w:hAnsi="Arial" w:cs="Arial"/>
          <w:sz w:val="22"/>
          <w:szCs w:val="22"/>
        </w:rPr>
      </w:pPr>
      <w:r w:rsidRPr="00CC2CAD">
        <w:rPr>
          <w:rFonts w:ascii="Arial" w:hAnsi="Arial" w:cs="Arial"/>
          <w:sz w:val="22"/>
          <w:szCs w:val="22"/>
        </w:rPr>
        <w:t>SWWCTE</w:t>
      </w:r>
    </w:p>
    <w:p w14:paraId="04EDDD2A" w14:textId="77777777" w:rsidR="00455A8A" w:rsidRPr="00CC2CAD" w:rsidRDefault="00455A8A" w:rsidP="00455A8A">
      <w:pPr>
        <w:ind w:right="720"/>
        <w:rPr>
          <w:rFonts w:ascii="Arial" w:hAnsi="Arial" w:cs="Arial"/>
          <w:sz w:val="22"/>
          <w:szCs w:val="22"/>
        </w:rPr>
      </w:pPr>
      <w:r w:rsidRPr="00CC2CAD">
        <w:rPr>
          <w:rFonts w:ascii="Arial" w:hAnsi="Arial" w:cs="Arial"/>
          <w:sz w:val="22"/>
          <w:szCs w:val="22"/>
        </w:rPr>
        <w:t>Faculty of Education and Communities</w:t>
      </w:r>
    </w:p>
    <w:p w14:paraId="344A4C74" w14:textId="77777777" w:rsidR="00455A8A" w:rsidRPr="00CC2CAD" w:rsidRDefault="00455A8A" w:rsidP="00455A8A">
      <w:pPr>
        <w:ind w:right="720"/>
        <w:rPr>
          <w:rFonts w:ascii="Arial" w:hAnsi="Arial" w:cs="Arial"/>
          <w:sz w:val="22"/>
          <w:szCs w:val="22"/>
        </w:rPr>
      </w:pPr>
      <w:r w:rsidRPr="00CC2CAD">
        <w:rPr>
          <w:rFonts w:ascii="Arial" w:hAnsi="Arial" w:cs="Arial"/>
          <w:sz w:val="22"/>
          <w:szCs w:val="22"/>
        </w:rPr>
        <w:t>University of Wales Trinity Saint David</w:t>
      </w:r>
    </w:p>
    <w:p w14:paraId="2163E0D3" w14:textId="77777777" w:rsidR="00455A8A" w:rsidRPr="00CC2CAD" w:rsidRDefault="00455A8A" w:rsidP="00455A8A">
      <w:pPr>
        <w:ind w:right="720"/>
        <w:rPr>
          <w:rFonts w:ascii="Arial" w:hAnsi="Arial" w:cs="Arial"/>
          <w:sz w:val="22"/>
          <w:szCs w:val="22"/>
        </w:rPr>
      </w:pPr>
      <w:r w:rsidRPr="00CC2CAD">
        <w:rPr>
          <w:rFonts w:ascii="Arial" w:hAnsi="Arial" w:cs="Arial"/>
          <w:sz w:val="22"/>
          <w:szCs w:val="22"/>
        </w:rPr>
        <w:t>Townhill Campus</w:t>
      </w:r>
    </w:p>
    <w:p w14:paraId="0FB4BA99" w14:textId="77777777" w:rsidR="00455A8A" w:rsidRPr="00CC2CAD" w:rsidRDefault="00455A8A" w:rsidP="00455A8A">
      <w:pPr>
        <w:ind w:right="720"/>
        <w:rPr>
          <w:rFonts w:ascii="Arial" w:hAnsi="Arial" w:cs="Arial"/>
          <w:sz w:val="22"/>
          <w:szCs w:val="22"/>
        </w:rPr>
      </w:pPr>
      <w:r w:rsidRPr="00CC2CAD">
        <w:rPr>
          <w:rFonts w:ascii="Arial" w:hAnsi="Arial" w:cs="Arial"/>
          <w:sz w:val="22"/>
          <w:szCs w:val="22"/>
        </w:rPr>
        <w:t>Townhill road</w:t>
      </w:r>
    </w:p>
    <w:p w14:paraId="23673F0C" w14:textId="77777777" w:rsidR="00455A8A" w:rsidRPr="00CC2CAD" w:rsidRDefault="00455A8A" w:rsidP="00455A8A">
      <w:pPr>
        <w:ind w:right="720"/>
        <w:rPr>
          <w:rFonts w:ascii="Arial" w:hAnsi="Arial" w:cs="Arial"/>
          <w:sz w:val="22"/>
          <w:szCs w:val="22"/>
        </w:rPr>
      </w:pPr>
      <w:r w:rsidRPr="00CC2CAD">
        <w:rPr>
          <w:rFonts w:ascii="Arial" w:hAnsi="Arial" w:cs="Arial"/>
          <w:sz w:val="22"/>
          <w:szCs w:val="22"/>
        </w:rPr>
        <w:t>Swansea</w:t>
      </w:r>
    </w:p>
    <w:p w14:paraId="4AEA836E" w14:textId="77777777" w:rsidR="00455A8A" w:rsidRPr="00EC61FF" w:rsidRDefault="00455A8A" w:rsidP="00455A8A">
      <w:pPr>
        <w:ind w:right="720"/>
        <w:rPr>
          <w:rFonts w:ascii="Arial" w:hAnsi="Arial" w:cs="Arial"/>
          <w:sz w:val="22"/>
          <w:szCs w:val="22"/>
        </w:rPr>
      </w:pPr>
      <w:r w:rsidRPr="00CC2CAD">
        <w:rPr>
          <w:rFonts w:ascii="Arial" w:hAnsi="Arial" w:cs="Arial"/>
          <w:sz w:val="22"/>
          <w:szCs w:val="22"/>
        </w:rPr>
        <w:t>SA2 0UT</w:t>
      </w:r>
    </w:p>
    <w:p w14:paraId="1A8C023D" w14:textId="339733BE" w:rsidR="005C4A98" w:rsidRPr="006735F6" w:rsidRDefault="005C4A98" w:rsidP="00455A8A">
      <w:pPr>
        <w:rPr>
          <w:rFonts w:ascii="Arial" w:hAnsi="Arial" w:cs="Arial"/>
          <w:sz w:val="22"/>
          <w:szCs w:val="22"/>
          <w:u w:val="single"/>
        </w:rPr>
      </w:pPr>
    </w:p>
    <w:p w14:paraId="14D65D79" w14:textId="77777777" w:rsidR="006735F6" w:rsidRDefault="006735F6" w:rsidP="00455A8A">
      <w:pPr>
        <w:rPr>
          <w:rFonts w:ascii="Arial" w:hAnsi="Arial" w:cs="Arial"/>
          <w:sz w:val="22"/>
          <w:szCs w:val="22"/>
        </w:rPr>
      </w:pPr>
    </w:p>
    <w:p w14:paraId="1EECE53F" w14:textId="586683C8" w:rsidR="006735F6" w:rsidRDefault="006735F6">
      <w:pPr>
        <w:rPr>
          <w:rFonts w:ascii="Arial" w:hAnsi="Arial" w:cs="Arial"/>
          <w:sz w:val="22"/>
          <w:szCs w:val="22"/>
          <w:u w:val="single"/>
        </w:rPr>
      </w:pPr>
    </w:p>
    <w:p w14:paraId="0F03A3B8" w14:textId="012360AE" w:rsidR="00977B9F" w:rsidRDefault="00977B9F">
      <w:pPr>
        <w:rPr>
          <w:rFonts w:ascii="Arial" w:hAnsi="Arial" w:cs="Arial"/>
          <w:sz w:val="22"/>
          <w:szCs w:val="22"/>
          <w:u w:val="single"/>
        </w:rPr>
      </w:pPr>
      <w:r>
        <w:rPr>
          <w:rFonts w:ascii="Arial" w:hAnsi="Arial" w:cs="Arial"/>
          <w:sz w:val="22"/>
          <w:szCs w:val="22"/>
          <w:u w:val="single"/>
        </w:rPr>
        <w:br w:type="page"/>
      </w:r>
    </w:p>
    <w:p w14:paraId="4AA8CB8D" w14:textId="503AAA59" w:rsidR="005C4A98" w:rsidRDefault="005C4A98" w:rsidP="00455A8A">
      <w:pPr>
        <w:rPr>
          <w:rFonts w:ascii="Arial" w:hAnsi="Arial" w:cs="Arial"/>
          <w:sz w:val="22"/>
          <w:szCs w:val="22"/>
          <w:u w:val="single"/>
        </w:rPr>
      </w:pPr>
      <w:r w:rsidRPr="00B00C65">
        <w:rPr>
          <w:rFonts w:ascii="Arial" w:hAnsi="Arial" w:cs="Arial"/>
          <w:sz w:val="22"/>
          <w:szCs w:val="22"/>
          <w:u w:val="single"/>
        </w:rPr>
        <w:lastRenderedPageBreak/>
        <w:t>Appendix Three – Raw Data from the Pre</w:t>
      </w:r>
      <w:r w:rsidR="00977B9F">
        <w:rPr>
          <w:rFonts w:ascii="Arial" w:hAnsi="Arial" w:cs="Arial"/>
          <w:sz w:val="22"/>
          <w:szCs w:val="22"/>
          <w:u w:val="single"/>
        </w:rPr>
        <w:t xml:space="preserve"> -</w:t>
      </w:r>
      <w:r w:rsidR="00B00C65">
        <w:rPr>
          <w:rFonts w:ascii="Arial" w:hAnsi="Arial" w:cs="Arial"/>
          <w:sz w:val="22"/>
          <w:szCs w:val="22"/>
          <w:u w:val="single"/>
        </w:rPr>
        <w:t xml:space="preserve"> </w:t>
      </w:r>
      <w:r w:rsidR="00977B9F">
        <w:rPr>
          <w:rFonts w:ascii="Arial" w:hAnsi="Arial" w:cs="Arial"/>
          <w:sz w:val="22"/>
          <w:szCs w:val="22"/>
          <w:u w:val="single"/>
        </w:rPr>
        <w:t>and Post –</w:t>
      </w:r>
      <w:r w:rsidR="00B00C65">
        <w:rPr>
          <w:rFonts w:ascii="Arial" w:hAnsi="Arial" w:cs="Arial"/>
          <w:sz w:val="22"/>
          <w:szCs w:val="22"/>
          <w:u w:val="single"/>
        </w:rPr>
        <w:t xml:space="preserve"> </w:t>
      </w:r>
      <w:r w:rsidRPr="00B00C65">
        <w:rPr>
          <w:rFonts w:ascii="Arial" w:hAnsi="Arial" w:cs="Arial"/>
          <w:sz w:val="22"/>
          <w:szCs w:val="22"/>
          <w:u w:val="single"/>
        </w:rPr>
        <w:t>Tests</w:t>
      </w:r>
      <w:r w:rsidR="00977B9F">
        <w:rPr>
          <w:rFonts w:ascii="Arial" w:hAnsi="Arial" w:cs="Arial"/>
          <w:sz w:val="22"/>
          <w:szCs w:val="22"/>
          <w:u w:val="single"/>
        </w:rPr>
        <w:t>:</w:t>
      </w:r>
    </w:p>
    <w:p w14:paraId="5F810364" w14:textId="75A60546" w:rsidR="00977B9F" w:rsidRDefault="00977B9F" w:rsidP="00455A8A">
      <w:pPr>
        <w:rPr>
          <w:rFonts w:ascii="Arial" w:hAnsi="Arial" w:cs="Arial"/>
          <w:sz w:val="22"/>
          <w:szCs w:val="22"/>
          <w:u w:val="single"/>
        </w:rPr>
      </w:pPr>
      <w:r w:rsidRPr="00977B9F">
        <w:rPr>
          <w:noProof/>
          <w:lang w:eastAsia="en-GB"/>
        </w:rPr>
        <w:drawing>
          <wp:anchor distT="0" distB="0" distL="114300" distR="114300" simplePos="0" relativeHeight="251663872" behindDoc="0" locked="0" layoutInCell="1" allowOverlap="1" wp14:anchorId="4771C1A9" wp14:editId="6CCFA67E">
            <wp:simplePos x="0" y="0"/>
            <wp:positionH relativeFrom="margin">
              <wp:posOffset>-371475</wp:posOffset>
            </wp:positionH>
            <wp:positionV relativeFrom="paragraph">
              <wp:posOffset>182245</wp:posOffset>
            </wp:positionV>
            <wp:extent cx="6602095" cy="2895600"/>
            <wp:effectExtent l="0" t="0" r="825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02095" cy="2895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979306" w14:textId="39D017F9" w:rsidR="00977B9F" w:rsidRDefault="00977B9F" w:rsidP="00455A8A">
      <w:pPr>
        <w:rPr>
          <w:rFonts w:ascii="Arial" w:hAnsi="Arial" w:cs="Arial"/>
          <w:sz w:val="22"/>
          <w:szCs w:val="22"/>
          <w:u w:val="single"/>
        </w:rPr>
      </w:pPr>
    </w:p>
    <w:p w14:paraId="00605C82" w14:textId="7DF07D7F" w:rsidR="00B00C65" w:rsidRDefault="00B00C65" w:rsidP="00455A8A">
      <w:pPr>
        <w:rPr>
          <w:rFonts w:ascii="Arial" w:hAnsi="Arial" w:cs="Arial"/>
          <w:sz w:val="22"/>
          <w:szCs w:val="22"/>
          <w:u w:val="single"/>
        </w:rPr>
      </w:pPr>
    </w:p>
    <w:p w14:paraId="4EF62BF0" w14:textId="5D5D211E" w:rsidR="00B00C65" w:rsidRDefault="00977B9F" w:rsidP="00455A8A">
      <w:pPr>
        <w:rPr>
          <w:rFonts w:ascii="Arial" w:hAnsi="Arial" w:cs="Arial"/>
          <w:sz w:val="22"/>
          <w:szCs w:val="22"/>
          <w:u w:val="single"/>
        </w:rPr>
      </w:pPr>
      <w:r>
        <w:rPr>
          <w:rFonts w:ascii="Arial" w:hAnsi="Arial" w:cs="Arial"/>
          <w:sz w:val="22"/>
          <w:szCs w:val="22"/>
          <w:u w:val="single"/>
        </w:rPr>
        <w:t xml:space="preserve">Appendix Four: Resources </w:t>
      </w:r>
    </w:p>
    <w:p w14:paraId="402ECB68" w14:textId="77777777" w:rsidR="006735F6" w:rsidRDefault="006735F6" w:rsidP="006735F6">
      <w:pPr>
        <w:rPr>
          <w:rFonts w:ascii="Arial" w:hAnsi="Arial" w:cs="Arial"/>
          <w:sz w:val="22"/>
          <w:szCs w:val="22"/>
        </w:rPr>
      </w:pPr>
    </w:p>
    <w:p w14:paraId="5E3E31D7" w14:textId="1F8134B8" w:rsidR="006735F6" w:rsidRDefault="006735F6" w:rsidP="006735F6">
      <w:pPr>
        <w:rPr>
          <w:rFonts w:ascii="Arial" w:hAnsi="Arial" w:cs="Arial"/>
          <w:sz w:val="22"/>
          <w:szCs w:val="22"/>
          <w:u w:val="single"/>
        </w:rPr>
      </w:pPr>
      <w:r w:rsidRPr="006735F6">
        <w:rPr>
          <w:rFonts w:ascii="Arial" w:hAnsi="Arial" w:cs="Arial"/>
          <w:sz w:val="22"/>
          <w:szCs w:val="22"/>
          <w:u w:val="single"/>
        </w:rPr>
        <w:t>Lesson One</w:t>
      </w:r>
      <w:r>
        <w:rPr>
          <w:rFonts w:ascii="Arial" w:hAnsi="Arial" w:cs="Arial"/>
          <w:sz w:val="22"/>
          <w:szCs w:val="22"/>
          <w:u w:val="single"/>
        </w:rPr>
        <w:t xml:space="preserve">: </w:t>
      </w:r>
    </w:p>
    <w:p w14:paraId="02F581CD" w14:textId="3AD046DF" w:rsidR="006735F6" w:rsidRPr="006735F6" w:rsidRDefault="006735F6" w:rsidP="006735F6">
      <w:pPr>
        <w:pStyle w:val="ListParagraph"/>
        <w:numPr>
          <w:ilvl w:val="0"/>
          <w:numId w:val="8"/>
        </w:numPr>
        <w:rPr>
          <w:rFonts w:ascii="Arial" w:hAnsi="Arial" w:cs="Arial"/>
          <w:sz w:val="22"/>
          <w:szCs w:val="22"/>
        </w:rPr>
      </w:pPr>
      <w:r w:rsidRPr="006735F6">
        <w:rPr>
          <w:rFonts w:ascii="Arial" w:hAnsi="Arial" w:cs="Arial"/>
          <w:sz w:val="22"/>
          <w:szCs w:val="22"/>
        </w:rPr>
        <w:t>PowerPoint</w:t>
      </w:r>
    </w:p>
    <w:p w14:paraId="130AF5E0" w14:textId="77777777" w:rsidR="006735F6" w:rsidRDefault="006735F6" w:rsidP="006735F6">
      <w:pPr>
        <w:rPr>
          <w:rFonts w:ascii="Arial" w:hAnsi="Arial" w:cs="Arial"/>
          <w:sz w:val="22"/>
          <w:szCs w:val="22"/>
          <w:u w:val="single"/>
        </w:rPr>
      </w:pPr>
      <w:r w:rsidRPr="006735F6">
        <w:rPr>
          <w:rFonts w:ascii="Arial" w:hAnsi="Arial" w:cs="Arial"/>
          <w:noProof/>
          <w:sz w:val="22"/>
          <w:szCs w:val="22"/>
          <w:lang w:eastAsia="en-GB"/>
        </w:rPr>
        <w:drawing>
          <wp:inline distT="0" distB="0" distL="0" distR="0" wp14:anchorId="30AED56D" wp14:editId="3E3E8460">
            <wp:extent cx="4572638"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3429479"/>
                    </a:xfrm>
                    <a:prstGeom prst="rect">
                      <a:avLst/>
                    </a:prstGeom>
                  </pic:spPr>
                </pic:pic>
              </a:graphicData>
            </a:graphic>
          </wp:inline>
        </w:drawing>
      </w:r>
    </w:p>
    <w:p w14:paraId="0E4A75DC" w14:textId="77777777" w:rsidR="006735F6" w:rsidRDefault="006735F6" w:rsidP="006735F6">
      <w:pPr>
        <w:rPr>
          <w:rFonts w:ascii="Arial" w:hAnsi="Arial" w:cs="Arial"/>
          <w:sz w:val="22"/>
          <w:szCs w:val="22"/>
          <w:u w:val="single"/>
        </w:rPr>
      </w:pPr>
      <w:r w:rsidRPr="006735F6">
        <w:rPr>
          <w:rFonts w:ascii="Arial" w:hAnsi="Arial" w:cs="Arial"/>
          <w:noProof/>
          <w:sz w:val="22"/>
          <w:szCs w:val="22"/>
          <w:u w:val="single"/>
          <w:lang w:eastAsia="en-GB"/>
        </w:rPr>
        <w:lastRenderedPageBreak/>
        <w:drawing>
          <wp:inline distT="0" distB="0" distL="0" distR="0" wp14:anchorId="69B7FD04" wp14:editId="5272844E">
            <wp:extent cx="4572638" cy="34294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3429479"/>
                    </a:xfrm>
                    <a:prstGeom prst="rect">
                      <a:avLst/>
                    </a:prstGeom>
                  </pic:spPr>
                </pic:pic>
              </a:graphicData>
            </a:graphic>
          </wp:inline>
        </w:drawing>
      </w:r>
    </w:p>
    <w:p w14:paraId="4183ED58" w14:textId="77777777" w:rsidR="006735F6" w:rsidRDefault="006735F6" w:rsidP="006735F6">
      <w:pPr>
        <w:rPr>
          <w:rFonts w:ascii="Arial" w:hAnsi="Arial" w:cs="Arial"/>
          <w:sz w:val="22"/>
          <w:szCs w:val="22"/>
          <w:u w:val="single"/>
        </w:rPr>
      </w:pPr>
    </w:p>
    <w:p w14:paraId="26875404" w14:textId="7E65892F" w:rsidR="006735F6" w:rsidRDefault="006735F6" w:rsidP="006735F6">
      <w:pPr>
        <w:rPr>
          <w:rFonts w:ascii="Arial" w:hAnsi="Arial" w:cs="Arial"/>
          <w:sz w:val="22"/>
          <w:szCs w:val="22"/>
          <w:u w:val="single"/>
        </w:rPr>
      </w:pPr>
      <w:r w:rsidRPr="006735F6">
        <w:rPr>
          <w:rFonts w:ascii="Arial" w:hAnsi="Arial" w:cs="Arial"/>
          <w:noProof/>
          <w:sz w:val="22"/>
          <w:szCs w:val="22"/>
          <w:u w:val="single"/>
          <w:lang w:eastAsia="en-GB"/>
        </w:rPr>
        <w:drawing>
          <wp:inline distT="0" distB="0" distL="0" distR="0" wp14:anchorId="184CD620" wp14:editId="56BF3B74">
            <wp:extent cx="4572638" cy="34294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3429479"/>
                    </a:xfrm>
                    <a:prstGeom prst="rect">
                      <a:avLst/>
                    </a:prstGeom>
                  </pic:spPr>
                </pic:pic>
              </a:graphicData>
            </a:graphic>
          </wp:inline>
        </w:drawing>
      </w:r>
      <w:r>
        <w:rPr>
          <w:rFonts w:ascii="Arial" w:hAnsi="Arial" w:cs="Arial"/>
          <w:sz w:val="22"/>
          <w:szCs w:val="22"/>
          <w:u w:val="single"/>
        </w:rPr>
        <w:br w:type="page"/>
      </w:r>
    </w:p>
    <w:p w14:paraId="43EFA362" w14:textId="00813530" w:rsidR="006735F6" w:rsidRDefault="006735F6" w:rsidP="006735F6">
      <w:pPr>
        <w:rPr>
          <w:rFonts w:ascii="Arial" w:hAnsi="Arial" w:cs="Arial"/>
          <w:sz w:val="22"/>
          <w:szCs w:val="22"/>
          <w:u w:val="single"/>
        </w:rPr>
      </w:pPr>
      <w:r w:rsidRPr="006735F6">
        <w:rPr>
          <w:rFonts w:ascii="Arial" w:hAnsi="Arial" w:cs="Arial"/>
          <w:noProof/>
          <w:sz w:val="22"/>
          <w:szCs w:val="22"/>
          <w:u w:val="single"/>
          <w:lang w:eastAsia="en-GB"/>
        </w:rPr>
        <w:lastRenderedPageBreak/>
        <w:drawing>
          <wp:inline distT="0" distB="0" distL="0" distR="0" wp14:anchorId="77E22DC7" wp14:editId="3B03261A">
            <wp:extent cx="4572638" cy="34294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3429479"/>
                    </a:xfrm>
                    <a:prstGeom prst="rect">
                      <a:avLst/>
                    </a:prstGeom>
                  </pic:spPr>
                </pic:pic>
              </a:graphicData>
            </a:graphic>
          </wp:inline>
        </w:drawing>
      </w:r>
    </w:p>
    <w:p w14:paraId="02D98DBD" w14:textId="77777777" w:rsidR="006735F6" w:rsidRDefault="006735F6" w:rsidP="006735F6">
      <w:pPr>
        <w:rPr>
          <w:rFonts w:ascii="Arial" w:hAnsi="Arial" w:cs="Arial"/>
          <w:sz w:val="22"/>
          <w:szCs w:val="22"/>
          <w:u w:val="single"/>
        </w:rPr>
      </w:pPr>
    </w:p>
    <w:p w14:paraId="4CA08ACE" w14:textId="2CEF15E4" w:rsidR="006735F6" w:rsidRDefault="006735F6" w:rsidP="006735F6">
      <w:pPr>
        <w:rPr>
          <w:rFonts w:ascii="Arial" w:hAnsi="Arial" w:cs="Arial"/>
          <w:sz w:val="22"/>
          <w:szCs w:val="22"/>
          <w:u w:val="single"/>
        </w:rPr>
      </w:pPr>
      <w:r w:rsidRPr="006735F6">
        <w:rPr>
          <w:rFonts w:ascii="Arial" w:hAnsi="Arial" w:cs="Arial"/>
          <w:noProof/>
          <w:sz w:val="22"/>
          <w:szCs w:val="22"/>
          <w:u w:val="single"/>
          <w:lang w:eastAsia="en-GB"/>
        </w:rPr>
        <w:drawing>
          <wp:inline distT="0" distB="0" distL="0" distR="0" wp14:anchorId="6B278F1D" wp14:editId="67AA29B8">
            <wp:extent cx="4572638" cy="342947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3429479"/>
                    </a:xfrm>
                    <a:prstGeom prst="rect">
                      <a:avLst/>
                    </a:prstGeom>
                  </pic:spPr>
                </pic:pic>
              </a:graphicData>
            </a:graphic>
          </wp:inline>
        </w:drawing>
      </w:r>
    </w:p>
    <w:p w14:paraId="7E5F0ED2" w14:textId="77777777" w:rsidR="006735F6" w:rsidRDefault="006735F6" w:rsidP="006735F6">
      <w:pPr>
        <w:rPr>
          <w:rFonts w:ascii="Arial" w:hAnsi="Arial" w:cs="Arial"/>
          <w:sz w:val="22"/>
          <w:szCs w:val="22"/>
          <w:u w:val="single"/>
        </w:rPr>
      </w:pPr>
      <w:r w:rsidRPr="006735F6">
        <w:rPr>
          <w:rFonts w:ascii="Arial" w:hAnsi="Arial" w:cs="Arial"/>
          <w:noProof/>
          <w:sz w:val="22"/>
          <w:szCs w:val="22"/>
          <w:u w:val="single"/>
          <w:lang w:eastAsia="en-GB"/>
        </w:rPr>
        <w:lastRenderedPageBreak/>
        <w:drawing>
          <wp:inline distT="0" distB="0" distL="0" distR="0" wp14:anchorId="0F6981E1" wp14:editId="5DA85600">
            <wp:extent cx="4572638" cy="34294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3429479"/>
                    </a:xfrm>
                    <a:prstGeom prst="rect">
                      <a:avLst/>
                    </a:prstGeom>
                  </pic:spPr>
                </pic:pic>
              </a:graphicData>
            </a:graphic>
          </wp:inline>
        </w:drawing>
      </w:r>
    </w:p>
    <w:p w14:paraId="54CB5CC5" w14:textId="5A09937E" w:rsidR="006735F6" w:rsidRDefault="006735F6" w:rsidP="006735F6">
      <w:pPr>
        <w:rPr>
          <w:rFonts w:ascii="Arial" w:hAnsi="Arial" w:cs="Arial"/>
          <w:sz w:val="22"/>
          <w:szCs w:val="22"/>
          <w:u w:val="single"/>
        </w:rPr>
      </w:pPr>
      <w:r w:rsidRPr="006735F6">
        <w:rPr>
          <w:rFonts w:ascii="Arial" w:hAnsi="Arial" w:cs="Arial"/>
          <w:noProof/>
          <w:sz w:val="22"/>
          <w:szCs w:val="22"/>
          <w:u w:val="single"/>
          <w:lang w:eastAsia="en-GB"/>
        </w:rPr>
        <w:drawing>
          <wp:inline distT="0" distB="0" distL="0" distR="0" wp14:anchorId="3C6C3FFC" wp14:editId="1FDF8003">
            <wp:extent cx="4572638" cy="342947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638" cy="3429479"/>
                    </a:xfrm>
                    <a:prstGeom prst="rect">
                      <a:avLst/>
                    </a:prstGeom>
                  </pic:spPr>
                </pic:pic>
              </a:graphicData>
            </a:graphic>
          </wp:inline>
        </w:drawing>
      </w:r>
    </w:p>
    <w:p w14:paraId="5C3EC848" w14:textId="77777777" w:rsidR="006735F6" w:rsidRDefault="006735F6" w:rsidP="006735F6">
      <w:pPr>
        <w:rPr>
          <w:rFonts w:ascii="Arial" w:hAnsi="Arial" w:cs="Arial"/>
          <w:sz w:val="22"/>
          <w:szCs w:val="22"/>
          <w:u w:val="single"/>
        </w:rPr>
      </w:pPr>
    </w:p>
    <w:p w14:paraId="060F5E20" w14:textId="6D527543" w:rsidR="006735F6" w:rsidRDefault="006735F6" w:rsidP="006735F6">
      <w:pPr>
        <w:rPr>
          <w:rFonts w:ascii="Arial" w:hAnsi="Arial" w:cs="Arial"/>
          <w:sz w:val="22"/>
          <w:szCs w:val="22"/>
          <w:u w:val="single"/>
        </w:rPr>
      </w:pPr>
    </w:p>
    <w:p w14:paraId="3F46528C" w14:textId="77777777" w:rsidR="006735F6" w:rsidRPr="00B00C65" w:rsidRDefault="006735F6" w:rsidP="00455A8A">
      <w:pPr>
        <w:rPr>
          <w:rFonts w:ascii="Arial" w:hAnsi="Arial" w:cs="Arial"/>
          <w:sz w:val="22"/>
          <w:szCs w:val="22"/>
          <w:u w:val="single"/>
        </w:rPr>
      </w:pPr>
    </w:p>
    <w:p w14:paraId="3399C347" w14:textId="31D027C0" w:rsidR="006735F6" w:rsidRDefault="006735F6" w:rsidP="00455A8A">
      <w:pPr>
        <w:rPr>
          <w:rFonts w:ascii="Arial" w:hAnsi="Arial" w:cs="Arial"/>
          <w:sz w:val="22"/>
          <w:szCs w:val="22"/>
        </w:rPr>
      </w:pPr>
      <w:r w:rsidRPr="006735F6">
        <w:rPr>
          <w:rFonts w:ascii="Arial" w:hAnsi="Arial" w:cs="Arial"/>
          <w:noProof/>
          <w:sz w:val="22"/>
          <w:szCs w:val="22"/>
          <w:lang w:eastAsia="en-GB"/>
        </w:rPr>
        <w:lastRenderedPageBreak/>
        <w:drawing>
          <wp:inline distT="0" distB="0" distL="0" distR="0" wp14:anchorId="159CC76F" wp14:editId="3A9BB82E">
            <wp:extent cx="4572638" cy="342947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638" cy="3429479"/>
                    </a:xfrm>
                    <a:prstGeom prst="rect">
                      <a:avLst/>
                    </a:prstGeom>
                  </pic:spPr>
                </pic:pic>
              </a:graphicData>
            </a:graphic>
          </wp:inline>
        </w:drawing>
      </w:r>
    </w:p>
    <w:p w14:paraId="486F5EC4" w14:textId="77777777" w:rsidR="006735F6" w:rsidRDefault="006735F6" w:rsidP="006735F6">
      <w:pPr>
        <w:rPr>
          <w:rFonts w:ascii="Arial" w:hAnsi="Arial" w:cs="Arial"/>
          <w:sz w:val="22"/>
          <w:szCs w:val="22"/>
        </w:rPr>
      </w:pPr>
    </w:p>
    <w:p w14:paraId="1493C194" w14:textId="03760417" w:rsidR="006735F6" w:rsidRDefault="006735F6" w:rsidP="006735F6">
      <w:pPr>
        <w:pStyle w:val="ListParagraph"/>
        <w:numPr>
          <w:ilvl w:val="0"/>
          <w:numId w:val="8"/>
        </w:numPr>
        <w:rPr>
          <w:rFonts w:ascii="Arial" w:hAnsi="Arial" w:cs="Arial"/>
          <w:sz w:val="22"/>
          <w:szCs w:val="22"/>
        </w:rPr>
      </w:pPr>
      <w:r w:rsidRPr="006735F6">
        <w:rPr>
          <w:rFonts w:ascii="Arial" w:hAnsi="Arial" w:cs="Arial"/>
          <w:sz w:val="22"/>
          <w:szCs w:val="22"/>
        </w:rPr>
        <w:t>Worksheets</w:t>
      </w:r>
    </w:p>
    <w:p w14:paraId="009CDC91" w14:textId="77777777" w:rsidR="006735F6" w:rsidRPr="006735F6" w:rsidRDefault="006735F6" w:rsidP="006735F6">
      <w:pPr>
        <w:pStyle w:val="ListParagraph"/>
        <w:numPr>
          <w:ilvl w:val="0"/>
          <w:numId w:val="8"/>
        </w:numPr>
        <w:rPr>
          <w:sz w:val="36"/>
          <w:u w:val="single"/>
        </w:rPr>
      </w:pPr>
      <w:r w:rsidRPr="00B05AC0">
        <w:rPr>
          <w:noProof/>
          <w:lang w:eastAsia="en-GB"/>
        </w:rPr>
        <w:lastRenderedPageBreak/>
        <w:drawing>
          <wp:anchor distT="0" distB="0" distL="114300" distR="114300" simplePos="0" relativeHeight="251667968" behindDoc="0" locked="0" layoutInCell="1" allowOverlap="1" wp14:anchorId="1CC65330" wp14:editId="7F7207DD">
            <wp:simplePos x="0" y="0"/>
            <wp:positionH relativeFrom="margin">
              <wp:posOffset>47625</wp:posOffset>
            </wp:positionH>
            <wp:positionV relativeFrom="paragraph">
              <wp:posOffset>44450</wp:posOffset>
            </wp:positionV>
            <wp:extent cx="5665470" cy="4841875"/>
            <wp:effectExtent l="19050" t="19050" r="11430" b="1587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65470" cy="48418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05AC0">
        <w:rPr>
          <w:noProof/>
          <w:lang w:eastAsia="en-GB"/>
        </w:rPr>
        <w:drawing>
          <wp:anchor distT="0" distB="0" distL="114300" distR="114300" simplePos="0" relativeHeight="251666944" behindDoc="0" locked="0" layoutInCell="1" allowOverlap="1" wp14:anchorId="54A4B42A" wp14:editId="4DA08FB1">
            <wp:simplePos x="0" y="0"/>
            <wp:positionH relativeFrom="margin">
              <wp:posOffset>-21590</wp:posOffset>
            </wp:positionH>
            <wp:positionV relativeFrom="paragraph">
              <wp:posOffset>4930775</wp:posOffset>
            </wp:positionV>
            <wp:extent cx="5731510" cy="3929380"/>
            <wp:effectExtent l="19050" t="19050" r="21590" b="1397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9293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7645EFD" w14:textId="551CD9A1" w:rsidR="006735F6" w:rsidRDefault="006735F6" w:rsidP="006735F6">
      <w:pPr>
        <w:pStyle w:val="ListParagraph"/>
        <w:rPr>
          <w:rFonts w:ascii="Arial" w:hAnsi="Arial" w:cs="Arial"/>
          <w:sz w:val="22"/>
          <w:szCs w:val="22"/>
          <w:u w:val="single"/>
        </w:rPr>
      </w:pPr>
      <w:r w:rsidRPr="006735F6">
        <w:rPr>
          <w:rFonts w:ascii="Arial" w:hAnsi="Arial" w:cs="Arial"/>
          <w:sz w:val="22"/>
          <w:szCs w:val="22"/>
          <w:u w:val="single"/>
        </w:rPr>
        <w:lastRenderedPageBreak/>
        <w:t xml:space="preserve">Lesson Two: </w:t>
      </w:r>
    </w:p>
    <w:p w14:paraId="36379DB8" w14:textId="0EAA5DB6" w:rsidR="006735F6" w:rsidRPr="006735F6" w:rsidRDefault="006735F6" w:rsidP="006735F6">
      <w:pPr>
        <w:pStyle w:val="ListParagraph"/>
        <w:numPr>
          <w:ilvl w:val="0"/>
          <w:numId w:val="8"/>
        </w:numPr>
        <w:rPr>
          <w:rFonts w:ascii="Arial" w:hAnsi="Arial" w:cs="Arial"/>
          <w:sz w:val="22"/>
          <w:szCs w:val="22"/>
        </w:rPr>
      </w:pPr>
      <w:r w:rsidRPr="006735F6">
        <w:rPr>
          <w:rFonts w:ascii="Arial" w:hAnsi="Arial" w:cs="Arial"/>
          <w:sz w:val="22"/>
          <w:szCs w:val="22"/>
        </w:rPr>
        <w:t>PowerPoint</w:t>
      </w:r>
    </w:p>
    <w:p w14:paraId="4ED5E2E3" w14:textId="0FE2FC3F" w:rsidR="006735F6" w:rsidRPr="006735F6" w:rsidRDefault="006735F6" w:rsidP="006735F6">
      <w:pPr>
        <w:pStyle w:val="ListParagraph"/>
        <w:rPr>
          <w:rFonts w:ascii="Arial" w:hAnsi="Arial" w:cs="Arial"/>
          <w:sz w:val="22"/>
          <w:szCs w:val="22"/>
        </w:rPr>
      </w:pPr>
      <w:r w:rsidRPr="006735F6">
        <w:rPr>
          <w:rFonts w:ascii="Arial" w:hAnsi="Arial" w:cs="Arial"/>
          <w:noProof/>
          <w:sz w:val="22"/>
          <w:szCs w:val="22"/>
          <w:lang w:eastAsia="en-GB"/>
        </w:rPr>
        <w:drawing>
          <wp:inline distT="0" distB="0" distL="0" distR="0" wp14:anchorId="11F3AF04" wp14:editId="4C8DF3C9">
            <wp:extent cx="4572638" cy="342947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2638" cy="3429479"/>
                    </a:xfrm>
                    <a:prstGeom prst="rect">
                      <a:avLst/>
                    </a:prstGeom>
                  </pic:spPr>
                </pic:pic>
              </a:graphicData>
            </a:graphic>
          </wp:inline>
        </w:drawing>
      </w:r>
    </w:p>
    <w:p w14:paraId="7A2A5E37" w14:textId="77777777" w:rsidR="006735F6" w:rsidRPr="006735F6" w:rsidRDefault="006735F6" w:rsidP="006735F6">
      <w:pPr>
        <w:rPr>
          <w:rFonts w:ascii="Arial" w:hAnsi="Arial" w:cs="Arial"/>
          <w:sz w:val="22"/>
          <w:szCs w:val="22"/>
        </w:rPr>
      </w:pPr>
    </w:p>
    <w:p w14:paraId="1991C5DF" w14:textId="466D4B9B" w:rsidR="006735F6" w:rsidRDefault="006735F6" w:rsidP="00455A8A">
      <w:pPr>
        <w:rPr>
          <w:rFonts w:ascii="Arial" w:hAnsi="Arial" w:cs="Arial"/>
          <w:sz w:val="22"/>
          <w:szCs w:val="22"/>
        </w:rPr>
      </w:pPr>
    </w:p>
    <w:p w14:paraId="69FA5B3D" w14:textId="3CA32B42" w:rsidR="006735F6" w:rsidRDefault="006735F6" w:rsidP="00455A8A">
      <w:pPr>
        <w:rPr>
          <w:rFonts w:ascii="Arial" w:hAnsi="Arial" w:cs="Arial"/>
          <w:sz w:val="22"/>
          <w:szCs w:val="22"/>
        </w:rPr>
      </w:pPr>
      <w:r w:rsidRPr="006735F6">
        <w:rPr>
          <w:rFonts w:ascii="Arial" w:hAnsi="Arial" w:cs="Arial"/>
          <w:noProof/>
          <w:sz w:val="22"/>
          <w:szCs w:val="22"/>
          <w:lang w:eastAsia="en-GB"/>
        </w:rPr>
        <w:drawing>
          <wp:inline distT="0" distB="0" distL="0" distR="0" wp14:anchorId="5ABF56E5" wp14:editId="797579D0">
            <wp:extent cx="4572638" cy="342947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72638" cy="3429479"/>
                    </a:xfrm>
                    <a:prstGeom prst="rect">
                      <a:avLst/>
                    </a:prstGeom>
                  </pic:spPr>
                </pic:pic>
              </a:graphicData>
            </a:graphic>
          </wp:inline>
        </w:drawing>
      </w:r>
    </w:p>
    <w:p w14:paraId="2ACF0C9C" w14:textId="77777777" w:rsidR="006735F6" w:rsidRDefault="006735F6" w:rsidP="00455A8A">
      <w:pPr>
        <w:rPr>
          <w:rFonts w:ascii="Arial" w:hAnsi="Arial" w:cs="Arial"/>
          <w:sz w:val="22"/>
          <w:szCs w:val="22"/>
        </w:rPr>
      </w:pPr>
    </w:p>
    <w:p w14:paraId="27D18FE7" w14:textId="04231115" w:rsidR="006735F6" w:rsidRDefault="006735F6" w:rsidP="006735F6">
      <w:pPr>
        <w:tabs>
          <w:tab w:val="left" w:pos="5790"/>
        </w:tabs>
        <w:rPr>
          <w:rFonts w:ascii="Arial" w:hAnsi="Arial" w:cs="Arial"/>
          <w:sz w:val="22"/>
          <w:szCs w:val="22"/>
        </w:rPr>
      </w:pPr>
      <w:r>
        <w:rPr>
          <w:rFonts w:ascii="Arial" w:hAnsi="Arial" w:cs="Arial"/>
          <w:sz w:val="22"/>
          <w:szCs w:val="22"/>
        </w:rPr>
        <w:tab/>
      </w:r>
    </w:p>
    <w:p w14:paraId="30C15693" w14:textId="2ED4D987" w:rsidR="00455A8A" w:rsidRDefault="00455A8A" w:rsidP="00455A8A">
      <w:pPr>
        <w:rPr>
          <w:rFonts w:ascii="Arial" w:hAnsi="Arial" w:cs="Arial"/>
          <w:sz w:val="22"/>
          <w:szCs w:val="22"/>
        </w:rPr>
      </w:pPr>
      <w:r w:rsidRPr="006735F6">
        <w:rPr>
          <w:rFonts w:ascii="Arial" w:hAnsi="Arial" w:cs="Arial"/>
          <w:sz w:val="22"/>
          <w:szCs w:val="22"/>
        </w:rPr>
        <w:br w:type="page"/>
      </w:r>
      <w:r w:rsidR="006735F6" w:rsidRPr="006735F6">
        <w:rPr>
          <w:rFonts w:ascii="Arial" w:hAnsi="Arial" w:cs="Arial"/>
          <w:noProof/>
          <w:sz w:val="22"/>
          <w:szCs w:val="22"/>
          <w:lang w:eastAsia="en-GB"/>
        </w:rPr>
        <w:lastRenderedPageBreak/>
        <w:drawing>
          <wp:inline distT="0" distB="0" distL="0" distR="0" wp14:anchorId="36A9DB59" wp14:editId="2D50ADDD">
            <wp:extent cx="4572638" cy="34294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638" cy="3429479"/>
                    </a:xfrm>
                    <a:prstGeom prst="rect">
                      <a:avLst/>
                    </a:prstGeom>
                  </pic:spPr>
                </pic:pic>
              </a:graphicData>
            </a:graphic>
          </wp:inline>
        </w:drawing>
      </w:r>
    </w:p>
    <w:p w14:paraId="1ECCF3D6" w14:textId="62D63FAB" w:rsidR="006735F6" w:rsidRDefault="006735F6" w:rsidP="00455A8A">
      <w:pPr>
        <w:rPr>
          <w:u w:val="single"/>
        </w:rPr>
      </w:pPr>
      <w:r w:rsidRPr="006735F6">
        <w:rPr>
          <w:noProof/>
          <w:u w:val="single"/>
          <w:lang w:eastAsia="en-GB"/>
        </w:rPr>
        <w:drawing>
          <wp:inline distT="0" distB="0" distL="0" distR="0" wp14:anchorId="50555E9C" wp14:editId="761B5831">
            <wp:extent cx="4572638" cy="3429479"/>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72638" cy="3429479"/>
                    </a:xfrm>
                    <a:prstGeom prst="rect">
                      <a:avLst/>
                    </a:prstGeom>
                  </pic:spPr>
                </pic:pic>
              </a:graphicData>
            </a:graphic>
          </wp:inline>
        </w:drawing>
      </w:r>
    </w:p>
    <w:p w14:paraId="1213419F" w14:textId="7EB7836E" w:rsidR="006735F6" w:rsidRDefault="006735F6" w:rsidP="00455A8A">
      <w:pPr>
        <w:rPr>
          <w:u w:val="single"/>
        </w:rPr>
      </w:pPr>
      <w:r w:rsidRPr="006735F6">
        <w:rPr>
          <w:noProof/>
          <w:u w:val="single"/>
          <w:lang w:eastAsia="en-GB"/>
        </w:rPr>
        <w:lastRenderedPageBreak/>
        <w:drawing>
          <wp:inline distT="0" distB="0" distL="0" distR="0" wp14:anchorId="613A12C9" wp14:editId="0BEFA4BB">
            <wp:extent cx="4572638" cy="342947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72638" cy="3429479"/>
                    </a:xfrm>
                    <a:prstGeom prst="rect">
                      <a:avLst/>
                    </a:prstGeom>
                  </pic:spPr>
                </pic:pic>
              </a:graphicData>
            </a:graphic>
          </wp:inline>
        </w:drawing>
      </w:r>
    </w:p>
    <w:p w14:paraId="038F4924" w14:textId="2A6EBBEC" w:rsidR="006735F6" w:rsidRDefault="006735F6" w:rsidP="00455A8A">
      <w:pPr>
        <w:rPr>
          <w:u w:val="single"/>
        </w:rPr>
      </w:pPr>
      <w:r w:rsidRPr="006735F6">
        <w:rPr>
          <w:noProof/>
          <w:u w:val="single"/>
          <w:lang w:eastAsia="en-GB"/>
        </w:rPr>
        <w:drawing>
          <wp:inline distT="0" distB="0" distL="0" distR="0" wp14:anchorId="752C2658" wp14:editId="39C80776">
            <wp:extent cx="4572638" cy="342947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72638" cy="3429479"/>
                    </a:xfrm>
                    <a:prstGeom prst="rect">
                      <a:avLst/>
                    </a:prstGeom>
                  </pic:spPr>
                </pic:pic>
              </a:graphicData>
            </a:graphic>
          </wp:inline>
        </w:drawing>
      </w:r>
    </w:p>
    <w:p w14:paraId="49D31FB2" w14:textId="5EE1130A" w:rsidR="006735F6" w:rsidRDefault="006735F6" w:rsidP="00455A8A">
      <w:pPr>
        <w:rPr>
          <w:u w:val="single"/>
        </w:rPr>
      </w:pPr>
      <w:r w:rsidRPr="006735F6">
        <w:rPr>
          <w:noProof/>
          <w:u w:val="single"/>
          <w:lang w:eastAsia="en-GB"/>
        </w:rPr>
        <w:lastRenderedPageBreak/>
        <w:drawing>
          <wp:inline distT="0" distB="0" distL="0" distR="0" wp14:anchorId="7BA43E5F" wp14:editId="66F9B73F">
            <wp:extent cx="4572638" cy="342947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72638" cy="3429479"/>
                    </a:xfrm>
                    <a:prstGeom prst="rect">
                      <a:avLst/>
                    </a:prstGeom>
                  </pic:spPr>
                </pic:pic>
              </a:graphicData>
            </a:graphic>
          </wp:inline>
        </w:drawing>
      </w:r>
    </w:p>
    <w:p w14:paraId="14F7EC18" w14:textId="6A14F545" w:rsidR="006735F6" w:rsidRDefault="006735F6" w:rsidP="00455A8A">
      <w:pPr>
        <w:rPr>
          <w:u w:val="single"/>
        </w:rPr>
      </w:pPr>
      <w:r w:rsidRPr="006735F6">
        <w:rPr>
          <w:noProof/>
          <w:u w:val="single"/>
          <w:lang w:eastAsia="en-GB"/>
        </w:rPr>
        <w:drawing>
          <wp:inline distT="0" distB="0" distL="0" distR="0" wp14:anchorId="411237C0" wp14:editId="72F198DD">
            <wp:extent cx="4572638" cy="342947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72638" cy="3429479"/>
                    </a:xfrm>
                    <a:prstGeom prst="rect">
                      <a:avLst/>
                    </a:prstGeom>
                  </pic:spPr>
                </pic:pic>
              </a:graphicData>
            </a:graphic>
          </wp:inline>
        </w:drawing>
      </w:r>
    </w:p>
    <w:p w14:paraId="7B1AA459" w14:textId="77777777" w:rsidR="006735F6" w:rsidRDefault="006735F6" w:rsidP="00455A8A">
      <w:pPr>
        <w:rPr>
          <w:u w:val="single"/>
        </w:rPr>
      </w:pPr>
    </w:p>
    <w:p w14:paraId="481FE8E3" w14:textId="0B361E5D" w:rsidR="006735F6" w:rsidRDefault="006735F6" w:rsidP="006735F6">
      <w:pPr>
        <w:pStyle w:val="ListParagraph"/>
        <w:numPr>
          <w:ilvl w:val="0"/>
          <w:numId w:val="8"/>
        </w:numPr>
      </w:pPr>
      <w:r w:rsidRPr="006735F6">
        <w:t>Worksheets:</w:t>
      </w:r>
    </w:p>
    <w:p w14:paraId="05FEF626" w14:textId="0CE665C1" w:rsidR="006735F6" w:rsidRPr="006735F6" w:rsidRDefault="006735F6" w:rsidP="006735F6">
      <w:pPr>
        <w:pStyle w:val="ListParagraph"/>
        <w:numPr>
          <w:ilvl w:val="0"/>
          <w:numId w:val="8"/>
        </w:numPr>
        <w:jc w:val="center"/>
        <w:rPr>
          <w:rFonts w:ascii="Comic Sans MS" w:hAnsi="Comic Sans MS"/>
          <w:b/>
          <w:sz w:val="28"/>
          <w:szCs w:val="28"/>
          <w:u w:val="single"/>
        </w:rPr>
      </w:pPr>
      <w:r>
        <w:rPr>
          <w:noProof/>
          <w:lang w:eastAsia="en-GB"/>
        </w:rPr>
        <w:drawing>
          <wp:anchor distT="0" distB="0" distL="114300" distR="114300" simplePos="0" relativeHeight="251674112" behindDoc="1" locked="0" layoutInCell="1" allowOverlap="1" wp14:anchorId="60309E6F" wp14:editId="26C273EF">
            <wp:simplePos x="0" y="0"/>
            <wp:positionH relativeFrom="column">
              <wp:posOffset>-33655</wp:posOffset>
            </wp:positionH>
            <wp:positionV relativeFrom="paragraph">
              <wp:posOffset>-466725</wp:posOffset>
            </wp:positionV>
            <wp:extent cx="1059180" cy="838200"/>
            <wp:effectExtent l="0" t="0" r="7620" b="0"/>
            <wp:wrapNone/>
            <wp:docPr id="52" name="Picture 52" descr="MCBD19693_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CBD19693_0000[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059180" cy="838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088" behindDoc="1" locked="0" layoutInCell="1" allowOverlap="1" wp14:anchorId="443AEFCD" wp14:editId="252989F5">
            <wp:simplePos x="0" y="0"/>
            <wp:positionH relativeFrom="column">
              <wp:posOffset>4324350</wp:posOffset>
            </wp:positionH>
            <wp:positionV relativeFrom="paragraph">
              <wp:posOffset>-182245</wp:posOffset>
            </wp:positionV>
            <wp:extent cx="1181100" cy="716280"/>
            <wp:effectExtent l="0" t="0" r="0" b="7620"/>
            <wp:wrapNone/>
            <wp:docPr id="51" name="Picture 51" descr="MCj0312086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Cj03120860000[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181100" cy="716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735F6">
        <w:rPr>
          <w:rFonts w:ascii="Comic Sans MS" w:hAnsi="Comic Sans MS"/>
          <w:b/>
          <w:sz w:val="28"/>
          <w:szCs w:val="28"/>
          <w:u w:val="single"/>
        </w:rPr>
        <w:t>Probability</w:t>
      </w:r>
    </w:p>
    <w:p w14:paraId="2135BEDD" w14:textId="77777777" w:rsidR="006735F6" w:rsidRPr="006735F6" w:rsidRDefault="006735F6" w:rsidP="006735F6">
      <w:pPr>
        <w:pStyle w:val="ListParagraph"/>
        <w:numPr>
          <w:ilvl w:val="0"/>
          <w:numId w:val="8"/>
        </w:numPr>
        <w:jc w:val="center"/>
        <w:rPr>
          <w:rFonts w:ascii="Comic Sans MS" w:hAnsi="Comic Sans MS"/>
          <w:b/>
          <w:sz w:val="28"/>
          <w:szCs w:val="28"/>
          <w:u w:val="single"/>
        </w:rPr>
      </w:pPr>
    </w:p>
    <w:p w14:paraId="25E7DA76" w14:textId="77777777" w:rsidR="006735F6" w:rsidRPr="006735F6" w:rsidRDefault="006735F6" w:rsidP="006735F6">
      <w:pPr>
        <w:pStyle w:val="ListParagraph"/>
        <w:numPr>
          <w:ilvl w:val="0"/>
          <w:numId w:val="8"/>
        </w:numPr>
        <w:rPr>
          <w:rFonts w:ascii="Comic Sans MS" w:hAnsi="Comic Sans MS"/>
          <w:b/>
          <w:u w:val="single"/>
        </w:rPr>
      </w:pPr>
      <w:r w:rsidRPr="006735F6">
        <w:rPr>
          <w:rFonts w:ascii="Comic Sans MS" w:hAnsi="Comic Sans MS"/>
          <w:b/>
          <w:u w:val="single"/>
        </w:rPr>
        <w:t>Section A</w:t>
      </w:r>
    </w:p>
    <w:p w14:paraId="4AB4A0DB" w14:textId="77777777" w:rsidR="006735F6" w:rsidRPr="006735F6" w:rsidRDefault="006735F6" w:rsidP="006735F6">
      <w:pPr>
        <w:pStyle w:val="ListParagraph"/>
        <w:numPr>
          <w:ilvl w:val="0"/>
          <w:numId w:val="8"/>
        </w:numPr>
        <w:rPr>
          <w:rFonts w:ascii="Comic Sans MS" w:hAnsi="Comic Sans MS"/>
          <w:b/>
          <w:u w:val="single"/>
        </w:rPr>
      </w:pPr>
    </w:p>
    <w:p w14:paraId="0E8BD00C"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b/>
          <w:sz w:val="22"/>
          <w:szCs w:val="22"/>
        </w:rPr>
        <w:t>1)</w:t>
      </w:r>
      <w:r w:rsidRPr="006735F6">
        <w:rPr>
          <w:rFonts w:ascii="Calibri" w:hAnsi="Calibri"/>
          <w:sz w:val="22"/>
          <w:szCs w:val="22"/>
        </w:rPr>
        <w:t xml:space="preserve"> Write down in your book;</w:t>
      </w:r>
    </w:p>
    <w:p w14:paraId="24B911B6"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a)  P(heads on a coin)</w:t>
      </w:r>
      <w:r w:rsidRPr="006735F6">
        <w:rPr>
          <w:rFonts w:ascii="Calibri" w:hAnsi="Calibri"/>
          <w:sz w:val="22"/>
          <w:szCs w:val="22"/>
        </w:rPr>
        <w:tab/>
      </w:r>
      <w:r w:rsidRPr="006735F6">
        <w:rPr>
          <w:rFonts w:ascii="Calibri" w:hAnsi="Calibri"/>
          <w:sz w:val="22"/>
          <w:szCs w:val="22"/>
        </w:rPr>
        <w:tab/>
      </w:r>
      <w:r w:rsidRPr="006735F6">
        <w:rPr>
          <w:rFonts w:ascii="Calibri" w:hAnsi="Calibri"/>
          <w:sz w:val="22"/>
          <w:szCs w:val="22"/>
        </w:rPr>
        <w:tab/>
      </w:r>
    </w:p>
    <w:p w14:paraId="6AE9332E"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b)  P(1 on a dice)</w:t>
      </w:r>
    </w:p>
    <w:p w14:paraId="0F5D512B"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lastRenderedPageBreak/>
        <w:t>c)  P(2 or 3 on a dice)</w:t>
      </w:r>
      <w:r w:rsidRPr="006735F6">
        <w:rPr>
          <w:rFonts w:ascii="Calibri" w:hAnsi="Calibri"/>
          <w:sz w:val="22"/>
          <w:szCs w:val="22"/>
        </w:rPr>
        <w:tab/>
      </w:r>
      <w:r w:rsidRPr="006735F6">
        <w:rPr>
          <w:rFonts w:ascii="Calibri" w:hAnsi="Calibri"/>
          <w:sz w:val="22"/>
          <w:szCs w:val="22"/>
        </w:rPr>
        <w:tab/>
      </w:r>
    </w:p>
    <w:p w14:paraId="09FF9001"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d)  P(4 or greater on a dice)</w:t>
      </w:r>
    </w:p>
    <w:p w14:paraId="2C441E60" w14:textId="77777777" w:rsidR="006735F6" w:rsidRPr="006735F6" w:rsidRDefault="006735F6" w:rsidP="006735F6">
      <w:pPr>
        <w:pStyle w:val="ListParagraph"/>
        <w:numPr>
          <w:ilvl w:val="0"/>
          <w:numId w:val="8"/>
        </w:numPr>
        <w:rPr>
          <w:rFonts w:ascii="Calibri" w:hAnsi="Calibri"/>
          <w:sz w:val="22"/>
          <w:szCs w:val="22"/>
        </w:rPr>
      </w:pPr>
    </w:p>
    <w:p w14:paraId="4C4E2290" w14:textId="77777777" w:rsidR="006735F6" w:rsidRPr="006735F6" w:rsidRDefault="006735F6" w:rsidP="006735F6">
      <w:pPr>
        <w:pStyle w:val="ListParagraph"/>
        <w:numPr>
          <w:ilvl w:val="0"/>
          <w:numId w:val="8"/>
        </w:numPr>
        <w:rPr>
          <w:rFonts w:ascii="Calibri" w:hAnsi="Calibri"/>
          <w:sz w:val="22"/>
          <w:szCs w:val="22"/>
        </w:rPr>
      </w:pPr>
    </w:p>
    <w:p w14:paraId="6C90D869" w14:textId="39D3B157" w:rsidR="006735F6" w:rsidRPr="006735F6" w:rsidRDefault="006735F6" w:rsidP="006735F6">
      <w:pPr>
        <w:pStyle w:val="ListParagraph"/>
        <w:numPr>
          <w:ilvl w:val="0"/>
          <w:numId w:val="8"/>
        </w:numPr>
        <w:rPr>
          <w:rFonts w:ascii="Calibri" w:hAnsi="Calibri"/>
          <w:sz w:val="22"/>
          <w:szCs w:val="22"/>
        </w:rPr>
      </w:pPr>
      <w:r w:rsidRPr="001E6F46">
        <w:rPr>
          <w:b/>
          <w:noProof/>
          <w:lang w:eastAsia="en-GB"/>
        </w:rPr>
        <mc:AlternateContent>
          <mc:Choice Requires="wpg">
            <w:drawing>
              <wp:anchor distT="0" distB="0" distL="114300" distR="114300" simplePos="0" relativeHeight="251670016" behindDoc="1" locked="0" layoutInCell="1" allowOverlap="1" wp14:anchorId="240E5F65" wp14:editId="06A317C6">
                <wp:simplePos x="0" y="0"/>
                <wp:positionH relativeFrom="column">
                  <wp:posOffset>3410585</wp:posOffset>
                </wp:positionH>
                <wp:positionV relativeFrom="paragraph">
                  <wp:posOffset>367665</wp:posOffset>
                </wp:positionV>
                <wp:extent cx="2466340" cy="1962150"/>
                <wp:effectExtent l="0" t="0" r="0" b="0"/>
                <wp:wrapSquare wrapText="bothSides"/>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66340" cy="1962150"/>
                          <a:chOff x="6556" y="4275"/>
                          <a:chExt cx="3884" cy="3090"/>
                        </a:xfrm>
                      </wpg:grpSpPr>
                      <wps:wsp>
                        <wps:cNvPr id="38" name="Rectangle 3"/>
                        <wps:cNvSpPr>
                          <a:spLocks noChangeArrowheads="1"/>
                        </wps:cNvSpPr>
                        <wps:spPr bwMode="auto">
                          <a:xfrm>
                            <a:off x="6556" y="4275"/>
                            <a:ext cx="3884" cy="3090"/>
                          </a:xfrm>
                          <a:prstGeom prst="rect">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AutoShape 4"/>
                        <wps:cNvSpPr>
                          <a:spLocks noChangeArrowheads="1"/>
                        </wps:cNvSpPr>
                        <wps:spPr bwMode="auto">
                          <a:xfrm>
                            <a:off x="8086" y="4620"/>
                            <a:ext cx="224" cy="330"/>
                          </a:xfrm>
                          <a:prstGeom prst="rtTriangle">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AutoShape 5"/>
                        <wps:cNvSpPr>
                          <a:spLocks noChangeArrowheads="1"/>
                        </wps:cNvSpPr>
                        <wps:spPr bwMode="auto">
                          <a:xfrm rot="-5400000">
                            <a:off x="9593" y="5228"/>
                            <a:ext cx="539" cy="330"/>
                          </a:xfrm>
                          <a:prstGeom prst="rtTriangle">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1" name="Oval 6" descr="Horizontal brick"/>
                        <wps:cNvSpPr>
                          <a:spLocks noChangeArrowheads="1"/>
                        </wps:cNvSpPr>
                        <wps:spPr bwMode="auto">
                          <a:xfrm>
                            <a:off x="7981" y="5340"/>
                            <a:ext cx="360" cy="375"/>
                          </a:xfrm>
                          <a:prstGeom prst="ellipse">
                            <a:avLst/>
                          </a:prstGeom>
                          <a:pattFill prst="horzBrick">
                            <a:fgClr>
                              <a:srgbClr val="000000"/>
                            </a:fgClr>
                            <a:bgClr>
                              <a:srgbClr val="FFFFFF"/>
                            </a:bgClr>
                          </a:pattFill>
                          <a:ln w="25400">
                            <a:solidFill>
                              <a:srgbClr val="000000"/>
                            </a:solidFill>
                            <a:round/>
                            <a:headEnd/>
                            <a:tailEnd/>
                          </a:ln>
                        </wps:spPr>
                        <wps:bodyPr rot="0" vert="horz" wrap="square" lIns="91440" tIns="45720" rIns="91440" bIns="45720" anchor="t" anchorCtr="0" upright="1">
                          <a:noAutofit/>
                        </wps:bodyPr>
                      </wps:wsp>
                      <wps:wsp>
                        <wps:cNvPr id="42" name="Oval 7" descr="Wide downward diagonal"/>
                        <wps:cNvSpPr>
                          <a:spLocks noChangeArrowheads="1"/>
                        </wps:cNvSpPr>
                        <wps:spPr bwMode="auto">
                          <a:xfrm>
                            <a:off x="9406" y="4470"/>
                            <a:ext cx="495" cy="495"/>
                          </a:xfrm>
                          <a:prstGeom prst="ellipse">
                            <a:avLst/>
                          </a:prstGeom>
                          <a:pattFill prst="wdDnDiag">
                            <a:fgClr>
                              <a:srgbClr val="000000"/>
                            </a:fgClr>
                            <a:bgClr>
                              <a:srgbClr val="FFFFFF"/>
                            </a:bgClr>
                          </a:pattFill>
                          <a:ln w="25400">
                            <a:solidFill>
                              <a:srgbClr val="000000"/>
                            </a:solidFill>
                            <a:round/>
                            <a:headEnd/>
                            <a:tailEnd/>
                          </a:ln>
                        </wps:spPr>
                        <wps:bodyPr rot="0" vert="horz" wrap="square" lIns="91440" tIns="45720" rIns="91440" bIns="45720" anchor="t" anchorCtr="0" upright="1">
                          <a:noAutofit/>
                        </wps:bodyPr>
                      </wps:wsp>
                      <wps:wsp>
                        <wps:cNvPr id="43" name="Oval 8"/>
                        <wps:cNvSpPr>
                          <a:spLocks noChangeArrowheads="1"/>
                        </wps:cNvSpPr>
                        <wps:spPr bwMode="auto">
                          <a:xfrm>
                            <a:off x="8896" y="4470"/>
                            <a:ext cx="195" cy="195"/>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4" name="Rectangle 9" descr="Wide downward diagonal"/>
                        <wps:cNvSpPr>
                          <a:spLocks noChangeArrowheads="1"/>
                        </wps:cNvSpPr>
                        <wps:spPr bwMode="auto">
                          <a:xfrm>
                            <a:off x="8566" y="5055"/>
                            <a:ext cx="809" cy="375"/>
                          </a:xfrm>
                          <a:prstGeom prst="rect">
                            <a:avLst/>
                          </a:prstGeom>
                          <a:pattFill prst="wdDnDiag">
                            <a:fgClr>
                              <a:srgbClr val="000000"/>
                            </a:fgClr>
                            <a:bgClr>
                              <a:srgbClr val="FFFFFF"/>
                            </a:bgClr>
                          </a:pattFill>
                          <a:ln w="25400">
                            <a:solidFill>
                              <a:srgbClr val="000000"/>
                            </a:solidFill>
                            <a:miter lim="800000"/>
                            <a:headEnd/>
                            <a:tailEnd/>
                          </a:ln>
                        </wps:spPr>
                        <wps:bodyPr rot="0" vert="horz" wrap="square" lIns="91440" tIns="45720" rIns="91440" bIns="45720" anchor="t" anchorCtr="0" upright="1">
                          <a:noAutofit/>
                        </wps:bodyPr>
                      </wps:wsp>
                      <wps:wsp>
                        <wps:cNvPr id="45" name="Oval 10" descr="Large confetti"/>
                        <wps:cNvSpPr>
                          <a:spLocks noChangeArrowheads="1"/>
                        </wps:cNvSpPr>
                        <wps:spPr bwMode="auto">
                          <a:xfrm>
                            <a:off x="6886" y="4545"/>
                            <a:ext cx="630" cy="600"/>
                          </a:xfrm>
                          <a:prstGeom prst="ellipse">
                            <a:avLst/>
                          </a:prstGeom>
                          <a:pattFill prst="lgConfetti">
                            <a:fgClr>
                              <a:srgbClr val="000000"/>
                            </a:fgClr>
                            <a:bgClr>
                              <a:srgbClr val="FFFFFF"/>
                            </a:bgClr>
                          </a:pattFill>
                          <a:ln w="25400">
                            <a:solidFill>
                              <a:srgbClr val="000000"/>
                            </a:solidFill>
                            <a:round/>
                            <a:headEnd/>
                            <a:tailEnd/>
                          </a:ln>
                        </wps:spPr>
                        <wps:bodyPr rot="0" vert="horz" wrap="square" lIns="91440" tIns="45720" rIns="91440" bIns="45720" anchor="t" anchorCtr="0" upright="1">
                          <a:noAutofit/>
                        </wps:bodyPr>
                      </wps:wsp>
                      <wps:wsp>
                        <wps:cNvPr id="46" name="AutoShape 11"/>
                        <wps:cNvSpPr>
                          <a:spLocks noChangeArrowheads="1"/>
                        </wps:cNvSpPr>
                        <wps:spPr bwMode="auto">
                          <a:xfrm rot="-1827102">
                            <a:off x="7103" y="5243"/>
                            <a:ext cx="539" cy="930"/>
                          </a:xfrm>
                          <a:prstGeom prst="rtTriangle">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7" name="Rectangle 12" descr="Large confetti"/>
                        <wps:cNvSpPr>
                          <a:spLocks noChangeArrowheads="1"/>
                        </wps:cNvSpPr>
                        <wps:spPr bwMode="auto">
                          <a:xfrm>
                            <a:off x="9181" y="5865"/>
                            <a:ext cx="239" cy="600"/>
                          </a:xfrm>
                          <a:prstGeom prst="rect">
                            <a:avLst/>
                          </a:prstGeom>
                          <a:pattFill prst="lgConfetti">
                            <a:fgClr>
                              <a:srgbClr val="000000"/>
                            </a:fgClr>
                            <a:bgClr>
                              <a:srgbClr val="FFFFFF"/>
                            </a:bgClr>
                          </a:pattFill>
                          <a:ln w="25400">
                            <a:solidFill>
                              <a:srgbClr val="000000"/>
                            </a:solidFill>
                            <a:miter lim="800000"/>
                            <a:headEnd/>
                            <a:tailEnd/>
                          </a:ln>
                        </wps:spPr>
                        <wps:bodyPr rot="0" vert="horz" wrap="square" lIns="91440" tIns="45720" rIns="91440" bIns="45720" anchor="t" anchorCtr="0" upright="1">
                          <a:noAutofit/>
                        </wps:bodyPr>
                      </wps:wsp>
                      <wps:wsp>
                        <wps:cNvPr id="48" name="AutoShape 13" descr="Large confetti"/>
                        <wps:cNvSpPr>
                          <a:spLocks noChangeArrowheads="1"/>
                        </wps:cNvSpPr>
                        <wps:spPr bwMode="auto">
                          <a:xfrm>
                            <a:off x="8101" y="6045"/>
                            <a:ext cx="660" cy="705"/>
                          </a:xfrm>
                          <a:prstGeom prst="pentagon">
                            <a:avLst/>
                          </a:prstGeom>
                          <a:pattFill prst="lgConfetti">
                            <a:fgClr>
                              <a:srgbClr val="000000"/>
                            </a:fgClr>
                            <a:bgClr>
                              <a:srgbClr val="FFFFFF"/>
                            </a:bgClr>
                          </a:pattFill>
                          <a:ln w="25400">
                            <a:solidFill>
                              <a:srgbClr val="000000"/>
                            </a:solidFill>
                            <a:miter lim="800000"/>
                            <a:headEnd/>
                            <a:tailEnd/>
                          </a:ln>
                        </wps:spPr>
                        <wps:bodyPr rot="0" vert="horz" wrap="square" lIns="91440" tIns="45720" rIns="91440" bIns="45720" anchor="t" anchorCtr="0" upright="1">
                          <a:noAutofit/>
                        </wps:bodyPr>
                      </wps:wsp>
                      <wps:wsp>
                        <wps:cNvPr id="49" name="AutoShape 14"/>
                        <wps:cNvSpPr>
                          <a:spLocks noChangeArrowheads="1"/>
                        </wps:cNvSpPr>
                        <wps:spPr bwMode="auto">
                          <a:xfrm>
                            <a:off x="6676" y="6375"/>
                            <a:ext cx="750" cy="825"/>
                          </a:xfrm>
                          <a:prstGeom prst="hexagon">
                            <a:avLst>
                              <a:gd name="adj" fmla="val 25000"/>
                              <a:gd name="vf" fmla="val 115470"/>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wps:wsp>
                        <wps:cNvPr id="50" name="AutoShape 15"/>
                        <wps:cNvSpPr>
                          <a:spLocks noChangeArrowheads="1"/>
                        </wps:cNvSpPr>
                        <wps:spPr bwMode="auto">
                          <a:xfrm>
                            <a:off x="9496" y="6630"/>
                            <a:ext cx="584" cy="465"/>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solidFill>
                            <a:srgbClr val="FFFFFF"/>
                          </a:solidFill>
                          <a:ln w="25400">
                            <a:solidFill>
                              <a:srgbClr val="000000"/>
                            </a:solidFill>
                            <a:miter lim="800000"/>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9330E95" id="Group 37" o:spid="_x0000_s1026" style="position:absolute;margin-left:268.55pt;margin-top:28.95pt;width:194.2pt;height:154.5pt;z-index:-251646464" coordorigin="6556,4275" coordsize="3884,30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hV2qgcAAPgxAAAOAAAAZHJzL2Uyb0RvYy54bWzsG11zm0bwvTP9Dzc8tqMIECDQRM6klq12&#10;Jm0yjTp9PgESNIijgC0nnf737u4dCJCwncRxmgR7xjp8y97u3n7d3urps5tdwq7DvIhFOteMJ7rG&#10;wtQXQZxu59ofq8uRq7Gi5GnAE5GGc+1tWGjPzr7/7uk+m4WmiEQShDkDJGkx22dzLSrLbDYeF34U&#10;7njxRGRhCpMbke94CY/5dhzkfA/Yd8nY1HVnvBd5kOXCD4sC/ruQk9oZ4d9sQr98udkUYcmSuQa0&#10;lfQ3p79r/Ds+e8pn25xnUewrMvgHULHjcQqL1qgWvOTsKo+PUO1iPxeF2JRPfLEbi80m9kPiAbgx&#10;9A43y1xcZcTLdrbfZrWYQLQdOX0wWv+361c5i4O5NplqLOU72CNalsEzCGefbWcAs8yz19mrXHII&#10;wxfCf1PA9Lg7j89bCczW+19FAPj4VSlIODebfIcogG12Q3vwtt6D8KZkPvzTtBxnYsFW+TBneI5p&#10;2GqX/Ai2Et9zbNvRGExb5tSWO+hHF+r9ieta8uWJ7tGbYz6TCxOxijjkDDSuOAi1+Dihvo54FtJe&#10;FSiwSqig/lKov4Mq8nSbhGwi5UpglVALKVGWivMIoMLneS72UcgDoMpAeKC98QI+FLAfd4r4hKgq&#10;Qd8iKD7L8qJchmLHcDDXciCedpBfvyhKJOcAghuaiss4SeD/fJakbA+7aFu6Tm8UIokDnMXJIt+u&#10;z5OcXXM0R/oh5mCmCbaLS3AKSbyba24NxGcoj4s0oGVKHidyDKQkKSIHxoA4NZLG94+nexfuhWuN&#10;LNO5GFn6YjF6fnlujZxLY2ovJovz84XxL9JpWLMoDoIwRVIrR2BY99MJ5ZKkCdeuoMVSi/NL+jnm&#10;fNwmg8QMXFWfxB0pAu691OC1CN6CHuRCejbwxDCIRP5OY3vwanOt+PuK56HGkl9S0CXPsNC2Snqw&#10;7KkJD3lzZt2c4akPqOZaqTE5PC+l67zK8ngbwUoG7XEqnoOJb2LSDNRNSZXSWjCyx7I2r7I2pIcs&#10;klmPaG2u7irH5IBgSU8razPNyitN2k7pYEiVrZWrPCZPQbK9r8UZng6OkoysaUotvRssjkypYZiD&#10;xd03Fzkd39CZyPh2sDgKya1wBe79IeOb9HYjDDHwQzqvMgrP9iaUGdim6bYN0J6Ac8CcYjIY4BDy&#10;vpqQZxmVAb6EpIpB+AnCwoco/bPI43ciLeGf6zz23zxiGJx6LlAFpmZjIt8KgxNHZfYTmbnXuflR&#10;GAyTJM4KzKj5rCcGZrwsKV2TSSpmPT8Rq/jOZguJJoXD3pyzBlmfhG1laQoE8161KuJ+iGQXzngq&#10;p701vx3yPjzf90Qhs2UEcJBVRvBnHIQsEPt0z/OABTHfipQnj2gKnqWrjNCadkzB8mwZkHAARvKQ&#10;prAPFukCuCXrqdW8PxesQQZLYF/0CciC9EfmYxQOKAf6lKkYOkGVe7mu16fqRqXqOPhYVX/gWsM9&#10;3e9QXsDy6bddXrDgCN8t5sGh4v8Sa1zbkQZo67Yqi1bVB1evDj93pV13Vfqq7EcVK77MQPMh9cUh&#10;/7ol/4JMphF1DPAUyihe8HwbMl+km7As40dMvBy3KsXZVscYHCgAUCXAgeLBx0ajjj0k2/OK1+EQ&#10;8m0Vny1wvt1SmEF3N58yAVO1MMM1p4ZuNmth8FzVwiArbJ3C61qYN9TChlrY11MLq2+wD5etBpQG&#10;Pncs8oyqHuY6nVhkVlXpO2PReyZmX2ogGlKzRvfLe3V19JTG6gaEwwWNAXHhc9uEa+iyRuzoR/lZ&#10;VSOe6ndUC6A5qMSS3nsUiQe7GFoFsNvJOtEqYDxmr4DjTOVp3VFXIVRhohaoKVzk0wHFNe8wgCi8&#10;aes/Hjq2gcpDefCXxja7BBra8G7ItPG2lBLBGuR604QwDFuVqaEYTZcuVJaumoEQeePuvNPO07ou&#10;aYE9xC3JEBceNi6gih2dVkjbPuVppVEu9ixVLoZ2v87NiF118FkyXWrcjPhXsi8NEVW3gqjxqvGr&#10;1uslsCc1/8cRw0YBBr8d3V9CAKphTAMyMACivrW2jSwhhZRwP4wlLoOZXVwQUo9wwYsdTFBAVFAK&#10;k1z2CA7qKTXc0gCyjiDAd9Q0KSTEwSn6IS2uYZcOO0E9JAlqvRGrJLGk/s+GO1mCy6zxSKgTqLD4&#10;U+NSkoc3O4KAg7GCejZjS0NnS/fE/tSCr4CmkroOtlW9JGyQ4XqwkfvTgPWqCKhDbyGLTgPWK9eA&#10;PRjrfQdAKZMejPXWI+C0n8R66+uVexA2NUDy0kNic/t7Ga41AJa1IFD0SbCpAwTXQ91BDZAPqEX0&#10;YjyoQg3ZwAm2X1s3j2TzKZ/5N6myeBhBbyI0RMs+oEwU2CGMGgH9ByvZOkvw6DF6gGGzEZiKJLAe&#10;QN0CDPuIwFVgvh1YRvgVWVKFWX4q8vFUh63pK5A/tFOuQLzQu7FC6a3xkxigngPkHcmCgmNEHbZo&#10;7hqLoNeWRji3E9fhShBU2WmwhlUPs0nahCKXgUxJRGCpAFyBVJ8ZITSgr1GK9m5YCYF4qyprhctP&#10;RBHKZZAbmWPAgDhE8TScfCuRaF1gD/nGA7Xmws0Gfb2A9kF9FQK/v9B8hnHzCxtn/wEAAP//AwBQ&#10;SwMEFAAGAAgAAAAhABsb8VfhAAAACgEAAA8AAABkcnMvZG93bnJldi54bWxMj8Fqg0AQhu+FvsMy&#10;hd6a1YimWtcQQttTKDQplN42OlGJOyvuRs3bd3pqbjPMxz/fn69n04kRB9daUhAuAhBIpa1aqhV8&#10;Hd6enkE4r6nSnSVUcEUH6+L+LtdZZSf6xHHva8Eh5DKtoPG+z6R0ZYNGu4Xtkfh2soPRntehltWg&#10;Jw43nVwGQSKNbok/NLrHbYPleX8xCt4nPW2i8HXcnU/b688h/vjehajU48O8eQHhcfb/MPzpszoU&#10;7HS0F6qc6BTE0SpklIdVCoKBdBnHII4KoiRJQRa5vK1Q/AIAAP//AwBQSwECLQAUAAYACAAAACEA&#10;toM4kv4AAADhAQAAEwAAAAAAAAAAAAAAAAAAAAAAW0NvbnRlbnRfVHlwZXNdLnhtbFBLAQItABQA&#10;BgAIAAAAIQA4/SH/1gAAAJQBAAALAAAAAAAAAAAAAAAAAC8BAABfcmVscy8ucmVsc1BLAQItABQA&#10;BgAIAAAAIQAKZhV2qgcAAPgxAAAOAAAAAAAAAAAAAAAAAC4CAABkcnMvZTJvRG9jLnhtbFBLAQIt&#10;ABQABgAIAAAAIQAbG/FX4QAAAAoBAAAPAAAAAAAAAAAAAAAAAAQKAABkcnMvZG93bnJldi54bWxQ&#10;SwUGAAAAAAQABADzAAAAEgsAAAAA&#10;">
                <v:rect id="Rectangle 3" o:spid="_x0000_s1027" style="position:absolute;left:6556;top:4275;width:3884;height:30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FYRr8A&#10;AADbAAAADwAAAGRycy9kb3ducmV2LnhtbERPzYrCMBC+C75DGMGbpiqIdo1SBcGTaNcHGJqxLTaT&#10;2sS2u09vDoLHj+9/s+tNJVpqXGlZwWwagSDOrC45V3D7PU5WIJxH1lhZJgV/5GC3HQ42GGvb8ZXa&#10;1OcihLCLUUHhfR1L6bKCDLqprYkDd7eNQR9gk0vdYBfCTSXnUbSUBksODQXWdCgoe6Qvo+Dh+/ac&#10;5On/cX3br7PLPulez0Sp8ahPfkB46v1X/HGftIJFGBu+hB8gt2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MVhGvwAAANsAAAAPAAAAAAAAAAAAAAAAAJgCAABkcnMvZG93bnJl&#10;di54bWxQSwUGAAAAAAQABAD1AAAAhAMAAAAA&#10;" filled="f" strokeweight="2pt"/>
                <v:shapetype id="_x0000_t6" coordsize="21600,21600" o:spt="6" path="m,l,21600r21600,xe">
                  <v:stroke joinstyle="miter"/>
                  <v:path gradientshapeok="t" o:connecttype="custom" o:connectlocs="0,0;0,10800;0,21600;10800,21600;21600,21600;10800,10800" textboxrect="1800,12600,12600,19800"/>
                </v:shapetype>
                <v:shape id="AutoShape 4" o:spid="_x0000_s1028" type="#_x0000_t6" style="position:absolute;left:8086;top:4620;width:224;height:3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JI9X8MA&#10;AADbAAAADwAAAGRycy9kb3ducmV2LnhtbESP3WoCMRSE7wu+QziCd5pVQdrVKCL4A6VIVfD2sDlu&#10;Vjcn6ya627dvCkIvh5n5hpktWluKJ9W+cKxgOEhAEGdOF5wrOB3X/XcQPiBrLB2Tgh/ysJh33maY&#10;atfwNz0PIRcRwj5FBSaEKpXSZ4Ys+oGriKN3cbXFEGWdS11jE+G2lKMkmUiLBccFgxWtDGW3w8Mq&#10;uJj7ptITDknzZe/79X77ecWzUr1uu5yCCNSG//CrvdMKxh/w9yX+AD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JI9X8MAAADbAAAADwAAAAAAAAAAAAAAAACYAgAAZHJzL2Rv&#10;d25yZXYueG1sUEsFBgAAAAAEAAQA9QAAAIgDAAAAAA==&#10;" filled="f" strokeweight="1.5pt"/>
                <v:shape id="AutoShape 5" o:spid="_x0000_s1029" type="#_x0000_t6" style="position:absolute;left:9593;top:5228;width:539;height:330;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vf+cMA&#10;AADbAAAADwAAAGRycy9kb3ducmV2LnhtbERPy2rCQBTdC/2H4QrdlDqxFAnRUaRofeBG68LlJXPN&#10;RDN30sxo0r93FgWXh/OezDpbiTs1vnSsYDhIQBDnTpdcKDj+LN9TED4ga6wck4I/8jCbvvQmmGnX&#10;8p7uh1CIGMI+QwUmhDqT0ueGLPqBq4kjd3aNxRBhU0jdYBvDbSU/kmQkLZYcGwzW9GUovx5uVsFo&#10;k8rN9+6ybs3ltHhbVttzvfpV6rXfzccgAnXhKf53r7WCz7g+fok/QE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vf+cMAAADbAAAADwAAAAAAAAAAAAAAAACYAgAAZHJzL2Rv&#10;d25yZXYueG1sUEsFBgAAAAAEAAQA9QAAAIgDAAAAAA==&#10;" filled="f" strokeweight="1.5pt"/>
                <v:oval id="Oval 6" o:spid="_x0000_s1030" alt="Horizontal brick" style="position:absolute;left:7981;top:5340;width:360;height:3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hSEsUA&#10;AADbAAAADwAAAGRycy9kb3ducmV2LnhtbESPQWvCQBSE7wX/w/KE3upGqyKpq4hSWgQPJl56e2Rf&#10;N6nZtyG7auqvdwXB4zAz3zDzZWdrcabWV44VDAcJCOLC6YqNgkP++TYD4QOyxtoxKfgnD8tF72WO&#10;qXYX3tM5C0ZECPsUFZQhNKmUvijJoh+4hjh6v661GKJsjdQtXiLc1nKUJFNpseK4UGJD65KKY3ay&#10;Cn7y/d/Vbr/yUzc7mJWZbN5xd1Xqtd+tPkAE6sIz/Gh/awXjIdy/xB8gF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uFISxQAAANsAAAAPAAAAAAAAAAAAAAAAAJgCAABkcnMv&#10;ZG93bnJldi54bWxQSwUGAAAAAAQABAD1AAAAigMAAAAA&#10;" fillcolor="black" strokeweight="2pt">
                  <v:fill r:id="rId34" o:title="" type="pattern"/>
                </v:oval>
                <v:oval id="Oval 7" o:spid="_x0000_s1031" alt="Wide downward diagonal" style="position:absolute;left:9406;top:4470;width:495;height:4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uu78MA&#10;AADbAAAADwAAAGRycy9kb3ducmV2LnhtbESPQWvCQBSE74L/YXlCb7ppEFuiq5SAoHgQtfT8mn1m&#10;g9m3Ibua1F/vCkKPw8x8wyxWva3FjVpfOVbwPklAEBdOV1wq+D6tx58gfEDWWDsmBX/kYbUcDhaY&#10;adfxgW7HUIoIYZ+hAhNCk0npC0MW/cQ1xNE7u9ZiiLItpW6xi3BbyzRJZtJixXHBYEO5oeJyvFoF&#10;+e++3OaXj/t6t9njT9ebdDszSr2N+q85iEB9+A+/2hutYJrC80v8AXL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yuu78MAAADbAAAADwAAAAAAAAAAAAAAAACYAgAAZHJzL2Rv&#10;d25yZXYueG1sUEsFBgAAAAAEAAQA9QAAAIgDAAAAAA==&#10;" fillcolor="black" strokeweight="2pt">
                  <v:fill r:id="rId35" o:title="" type="pattern"/>
                </v:oval>
                <v:oval id="Oval 8" o:spid="_x0000_s1032" style="position:absolute;left:8896;top:4470;width:195;height:1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S4RocQA&#10;AADbAAAADwAAAGRycy9kb3ducmV2LnhtbESPQWvCQBSE70L/w/IKXqRuqrWUNKsUQfFWqj30+Mi+&#10;zYZk34bsaqK/3i0Uehxm5hum2IyuFRfqQ+1ZwfM8A0Fcel1zpeD7tHt6AxEissbWMym4UoDN+mFS&#10;YK79wF90OcZKJAiHHBXYGLtcylBachjmviNOnvG9w5hkX0nd45DgrpWLLHuVDmtOCxY72loqm+PZ&#10;Kfjc29Yshy5Ef2v2Czkzqx9jlJo+jh/vICKN8T/81z5oBS9L+P2SfoBc3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EuEaHEAAAA2wAAAA8AAAAAAAAAAAAAAAAAmAIAAGRycy9k&#10;b3ducmV2LnhtbFBLBQYAAAAABAAEAPUAAACJAwAAAAA=&#10;" filled="f" strokeweight="2pt"/>
                <v:rect id="Rectangle 9" o:spid="_x0000_s1033" alt="Wide downward diagonal" style="position:absolute;left:8566;top:5055;width:809;height:3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RKcAA&#10;AADbAAAADwAAAGRycy9kb3ducmV2LnhtbESPUUsDMRCE3wX/Q1jBF7E5S5H2bFpEkPrasz9guaxJ&#10;8LI5b3Nt/PdGEHwcZuYbZrsvcVBnmiQkNvCwaEAR98kGdgZO76/3a1CSkS0OicnANwnsd9dXW2xt&#10;uvCRzl12qkJYWjTgcx5braX3FFEWaSSu3keaIuYqJ6fthJcKj4NeNs2jjhi4Lngc6cVT/9nN0YCU&#10;KKGTr+N8CBuXXUO+zHfG3N6U5ydQmUr+D/+136yB1Qp+v9QfoHc/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RKcAAAADbAAAADwAAAAAAAAAAAAAAAACYAgAAZHJzL2Rvd25y&#10;ZXYueG1sUEsFBgAAAAAEAAQA9QAAAIUDAAAAAA==&#10;" fillcolor="black" strokeweight="2pt">
                  <v:fill r:id="rId35" o:title="" type="pattern"/>
                </v:rect>
                <v:oval id="Oval 10" o:spid="_x0000_s1034" alt="Large confetti" style="position:absolute;left:6886;top:4545;width:630;height:6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xlhMcA&#10;AADbAAAADwAAAGRycy9kb3ducmV2LnhtbESPQWvCQBSE74X+h+UJvTUb09bW6CpikRZBoSoFb4/s&#10;M0nNvk13txr/fVco9DjMzDfMeNqZRpzI+dqygn6SgiAurK65VLDbLu5fQPiArLGxTAou5GE6ub0Z&#10;Y67tmT/otAmliBD2OSqoQmhzKX1RkUGf2JY4egfrDIYoXSm1w3OEm0ZmaTqQBmuOCxW2NK+oOG5+&#10;jIJ1Ovxe7Xn71n3N3MPnbpm9Pg8ype563WwEIlAX/sN/7Xet4PEJrl/iD5CT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mMZYTHAAAA2wAAAA8AAAAAAAAAAAAAAAAAmAIAAGRy&#10;cy9kb3ducmV2LnhtbFBLBQYAAAAABAAEAPUAAACMAwAAAAA=&#10;" fillcolor="black" strokeweight="2pt">
                  <v:fill r:id="rId36" o:title="" type="pattern"/>
                </v:oval>
                <v:shape id="AutoShape 11" o:spid="_x0000_s1035" type="#_x0000_t6" style="position:absolute;left:7103;top:5243;width:539;height:930;rotation:-1995683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ICDb8MA&#10;AADbAAAADwAAAGRycy9kb3ducmV2LnhtbESPT4vCMBTE78J+h/AWvGm6q4jbNUopCB4WwT+XvT2a&#10;16bYvJQm29ZvbxYEj8PM/IbZ7EbbiJ46XztW8DFPQBAXTtdcKbhe9rM1CB+QNTaOScGdPOy2b5MN&#10;ptoNfKL+HCoRIexTVGBCaFMpfWHIop+7ljh6pesshii7SuoOhwi3jfxMkpW0WHNcMNhSbqi4nf+s&#10;AjKhv+VfY5blZflzvJ74d9ALpabvY/YNItAYXuFn+6AVLFfw/yX+ALl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ICDb8MAAADbAAAADwAAAAAAAAAAAAAAAACYAgAAZHJzL2Rv&#10;d25yZXYueG1sUEsFBgAAAAAEAAQA9QAAAIgDAAAAAA==&#10;" filled="f" strokeweight="1.5pt"/>
                <v:rect id="Rectangle 12" o:spid="_x0000_s1036" alt="Large confetti" style="position:absolute;left:9181;top:5865;width:239;height:6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jT9sQA&#10;AADbAAAADwAAAGRycy9kb3ducmV2LnhtbESPT2sCMRTE7wW/Q3iCl6LZimxlaxQtVTwJ/in0+Lp5&#10;blY3L9tN1PXbNwWhx2FmfsNMZq2txJUaXzpW8DJIQBDnTpdcKDjsl/0xCB+QNVaOScGdPMymnacJ&#10;ZtrdeEvXXShEhLDPUIEJoc6k9Lkhi37gauLoHV1jMUTZFFI3eItwW8lhkqTSYslxwWBN74by8+5i&#10;FXxt/PLZ/6w+F9+IaUojc6KPhVK9bjt/AxGoDf/hR3utFYxe4e9L/AFy+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H40/bEAAAA2wAAAA8AAAAAAAAAAAAAAAAAmAIAAGRycy9k&#10;b3ducmV2LnhtbFBLBQYAAAAABAAEAPUAAACJAwAAAAA=&#10;" fillcolor="black" strokeweight="2pt">
                  <v:fill r:id="rId36" o:title="" type="pattern"/>
                </v:rect>
                <v:shapetype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AutoShape 13" o:spid="_x0000_s1037" type="#_x0000_t56" alt="Large confetti" style="position:absolute;left:8101;top:6045;width:660;height:7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jUW8EA&#10;AADbAAAADwAAAGRycy9kb3ducmV2LnhtbERPzWoCMRC+F3yHMEIvpWaraylbo0hF9FJB2wcYkmmy&#10;dDNZN1G3Pr05CD1+fP+zRe8bcaYu1oEVvIwKEMQ6mJqtgu+v9fMbiJiQDTaBScEfRVjMBw8zrEy4&#10;8J7Oh2RFDuFYoQKXUltJGbUjj3EUWuLM/YTOY8qws9J0eMnhvpHjoniVHmvODQ5b+nCkfw8nr+BJ&#10;H9FOx6f1arf5tK4sWV9XE6Ueh/3yHUSiPv2L7+6tUVDmsflL/gFy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NI1FvBAAAA2wAAAA8AAAAAAAAAAAAAAAAAmAIAAGRycy9kb3du&#10;cmV2LnhtbFBLBQYAAAAABAAEAPUAAACGAwAAAAA=&#10;" fillcolor="black" strokeweight="2pt">
                  <v:fill r:id="rId36" o:title="" type="pattern"/>
                </v:shape>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AutoShape 14" o:spid="_x0000_s1038" type="#_x0000_t9" style="position:absolute;left:6676;top:6375;width:750;height:8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F7KsEA&#10;AADbAAAADwAAAGRycy9kb3ducmV2LnhtbESP3YrCMBSE7wXfIZwFb0RTf1m7RhFR8NbqAxybY1u2&#10;OalNrPXtjSB4OczMN8xy3ZpSNFS7wrKC0TACQZxaXXCm4HzaD35BOI+ssbRMCp7kYL3qdpYYa/vg&#10;IzWJz0SAsItRQe59FUvp0pwMuqGtiIN3tbVBH2SdSV3jI8BNKcdRNJcGCw4LOVa0zSn9T+5GQX96&#10;fkaTxeVum9NutJvZ67y9NUr1ftrNHwhPrf+GP+2DVjBdwPtL+AFy9Q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BxeyrBAAAA2wAAAA8AAAAAAAAAAAAAAAAAmAIAAGRycy9kb3du&#10;cmV2LnhtbFBLBQYAAAAABAAEAPUAAACGAwAAAAA=&#10;" strokeweight="2pt"/>
                <v:shape id="AutoShape 15" o:spid="_x0000_s1039" style="position:absolute;left:9496;top:6630;width:584;height:465;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Vrw88AA&#10;AADbAAAADwAAAGRycy9kb3ducmV2LnhtbERPTYvCMBC9C/sfwix401RB3a1GEUF00Ytd2fPQjGmx&#10;mbRN1O6/NwfB4+N9L1adrcSdWl86VjAaJiCIc6dLNgrOv9vBFwgfkDVWjknBP3lYLT96C0y1e/CJ&#10;7lkwIoawT1FBEUKdSunzgiz6oauJI3dxrcUQYWukbvERw20lx0kylRZLjg0F1rQpKL9mN6ugOR7+&#10;qvPue3oc7ZqLNubwE5qZUv3Pbj0HEagLb/HLvdcKJnF9/BJ/gFw+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Vrw88AAAADbAAAADwAAAAAAAAAAAAAAAACYAgAAZHJzL2Rvd25y&#10;ZXYueG1sUEsFBgAAAAAEAAQA9QAAAIUDAAAAAA==&#10;" path="m,l5400,21600r10800,l21600,,,xe" strokeweight="2pt">
                  <v:stroke joinstyle="miter"/>
                  <v:path o:connecttype="custom" o:connectlocs="511,233;292,465;73,233;292,0" o:connectangles="0,0,0,0" textboxrect="4512,4506,17088,17094"/>
                </v:shape>
                <w10:wrap type="square"/>
              </v:group>
            </w:pict>
          </mc:Fallback>
        </mc:AlternateContent>
      </w:r>
      <w:r w:rsidRPr="006735F6">
        <w:rPr>
          <w:rFonts w:ascii="Calibri" w:hAnsi="Calibri"/>
          <w:b/>
          <w:sz w:val="22"/>
          <w:szCs w:val="22"/>
        </w:rPr>
        <w:t>2)</w:t>
      </w:r>
      <w:r w:rsidRPr="006735F6">
        <w:rPr>
          <w:rFonts w:ascii="Calibri" w:hAnsi="Calibri"/>
          <w:sz w:val="22"/>
          <w:szCs w:val="22"/>
        </w:rPr>
        <w:t xml:space="preserve"> The box to the right contains patterned shapes. Write down;</w:t>
      </w:r>
    </w:p>
    <w:p w14:paraId="0BCB15C8" w14:textId="77777777" w:rsidR="006735F6" w:rsidRPr="006735F6" w:rsidRDefault="006735F6" w:rsidP="006735F6">
      <w:pPr>
        <w:pStyle w:val="ListParagraph"/>
        <w:numPr>
          <w:ilvl w:val="0"/>
          <w:numId w:val="8"/>
        </w:numPr>
        <w:rPr>
          <w:rFonts w:ascii="Calibri" w:hAnsi="Calibri"/>
          <w:sz w:val="22"/>
          <w:szCs w:val="22"/>
        </w:rPr>
      </w:pPr>
    </w:p>
    <w:p w14:paraId="090F40D9"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P(circle)</w:t>
      </w:r>
    </w:p>
    <w:p w14:paraId="2937783C"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P(spotted pattern)</w:t>
      </w:r>
    </w:p>
    <w:p w14:paraId="500C6080"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P(4 sided shape)</w:t>
      </w:r>
    </w:p>
    <w:p w14:paraId="05DEEC04"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P(more than 4 sides)</w:t>
      </w:r>
    </w:p>
    <w:p w14:paraId="5410FCF0"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P(no pattern)</w:t>
      </w:r>
    </w:p>
    <w:p w14:paraId="2AC478D4"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P(brick pattern)</w:t>
      </w:r>
    </w:p>
    <w:p w14:paraId="4E5C173C"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P(spotted and more than 1 side)</w:t>
      </w:r>
    </w:p>
    <w:p w14:paraId="3DF437CE"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P(not a stripy pattern)</w:t>
      </w:r>
    </w:p>
    <w:p w14:paraId="5D0DBFF6"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P(not a brick pattern or a plain pattern)</w:t>
      </w:r>
    </w:p>
    <w:p w14:paraId="738A304F" w14:textId="77777777" w:rsidR="006735F6" w:rsidRPr="006735F6" w:rsidRDefault="006735F6" w:rsidP="006735F6">
      <w:pPr>
        <w:pStyle w:val="ListParagraph"/>
        <w:numPr>
          <w:ilvl w:val="0"/>
          <w:numId w:val="8"/>
        </w:numPr>
        <w:rPr>
          <w:rFonts w:ascii="Calibri" w:hAnsi="Calibri"/>
          <w:sz w:val="22"/>
          <w:szCs w:val="22"/>
        </w:rPr>
      </w:pPr>
      <w:r w:rsidRPr="006735F6">
        <w:rPr>
          <w:rFonts w:ascii="Calibri" w:hAnsi="Calibri"/>
          <w:sz w:val="22"/>
          <w:szCs w:val="22"/>
        </w:rPr>
        <w:t>P(not a triangle)</w:t>
      </w:r>
    </w:p>
    <w:p w14:paraId="176C2EC7" w14:textId="77777777" w:rsidR="006735F6" w:rsidRPr="006735F6" w:rsidRDefault="006735F6" w:rsidP="006735F6">
      <w:pPr>
        <w:pStyle w:val="ListParagraph"/>
        <w:numPr>
          <w:ilvl w:val="0"/>
          <w:numId w:val="8"/>
        </w:numPr>
        <w:rPr>
          <w:rFonts w:ascii="Calibri" w:hAnsi="Calibri"/>
          <w:sz w:val="22"/>
          <w:szCs w:val="22"/>
        </w:rPr>
      </w:pPr>
    </w:p>
    <w:p w14:paraId="2C4B474F" w14:textId="77777777" w:rsidR="006735F6" w:rsidRPr="006735F6" w:rsidRDefault="006735F6" w:rsidP="006735F6">
      <w:pPr>
        <w:pStyle w:val="ListParagraph"/>
        <w:numPr>
          <w:ilvl w:val="0"/>
          <w:numId w:val="8"/>
        </w:numPr>
        <w:rPr>
          <w:rFonts w:ascii="Calibri" w:hAnsi="Calibri"/>
          <w:sz w:val="22"/>
          <w:szCs w:val="22"/>
        </w:rPr>
      </w:pPr>
    </w:p>
    <w:p w14:paraId="5EFB7252"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b/>
          <w:sz w:val="22"/>
          <w:szCs w:val="22"/>
        </w:rPr>
        <w:t xml:space="preserve">3) </w:t>
      </w:r>
      <w:r w:rsidRPr="006735F6">
        <w:rPr>
          <w:rFonts w:ascii="Calibri" w:hAnsi="Calibri"/>
          <w:sz w:val="22"/>
          <w:szCs w:val="22"/>
        </w:rPr>
        <w:t>A bag contains 100 balls. There are an equal number of red and blue balls. Half the balls are yellow.</w:t>
      </w:r>
    </w:p>
    <w:p w14:paraId="6F5D9EB6" w14:textId="6CDFA7A8" w:rsidR="006735F6" w:rsidRPr="006735F6" w:rsidRDefault="006735F6" w:rsidP="006735F6">
      <w:pPr>
        <w:pStyle w:val="ListParagraph"/>
        <w:numPr>
          <w:ilvl w:val="0"/>
          <w:numId w:val="8"/>
        </w:numPr>
        <w:tabs>
          <w:tab w:val="left" w:pos="7290"/>
        </w:tabs>
        <w:rPr>
          <w:rFonts w:ascii="Calibri" w:hAnsi="Calibri"/>
          <w:sz w:val="22"/>
          <w:szCs w:val="22"/>
        </w:rPr>
      </w:pPr>
      <w:r w:rsidRPr="001E6F46">
        <w:rPr>
          <w:noProof/>
          <w:lang w:eastAsia="en-GB"/>
        </w:rPr>
        <w:drawing>
          <wp:anchor distT="0" distB="0" distL="114300" distR="114300" simplePos="0" relativeHeight="251672064" behindDoc="1" locked="0" layoutInCell="1" allowOverlap="1" wp14:anchorId="566E69F3" wp14:editId="1348D9FE">
            <wp:simplePos x="0" y="0"/>
            <wp:positionH relativeFrom="column">
              <wp:posOffset>4412615</wp:posOffset>
            </wp:positionH>
            <wp:positionV relativeFrom="paragraph">
              <wp:posOffset>12700</wp:posOffset>
            </wp:positionV>
            <wp:extent cx="1188085" cy="1019175"/>
            <wp:effectExtent l="0" t="0" r="0" b="9525"/>
            <wp:wrapNone/>
            <wp:docPr id="36" name="Picture 36" descr="MCj0356443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Cj03564430000[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188085" cy="1019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E8DAC"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a) How many of each colour ball are there?</w:t>
      </w:r>
    </w:p>
    <w:p w14:paraId="5EADEC81"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b) Calculate:</w:t>
      </w:r>
    </w:p>
    <w:p w14:paraId="5156F5CA"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 xml:space="preserve"> i)  P(red)                  </w:t>
      </w:r>
    </w:p>
    <w:p w14:paraId="102039ED"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ii) P(red or yellow)</w:t>
      </w:r>
    </w:p>
    <w:p w14:paraId="3F5AF005" w14:textId="77777777" w:rsidR="006735F6" w:rsidRPr="006735F6" w:rsidRDefault="006735F6" w:rsidP="006735F6">
      <w:pPr>
        <w:pStyle w:val="ListParagraph"/>
        <w:numPr>
          <w:ilvl w:val="0"/>
          <w:numId w:val="8"/>
        </w:numPr>
        <w:tabs>
          <w:tab w:val="left" w:pos="7290"/>
        </w:tabs>
        <w:rPr>
          <w:rFonts w:ascii="Calibri" w:hAnsi="Calibri"/>
          <w:sz w:val="22"/>
          <w:szCs w:val="22"/>
        </w:rPr>
      </w:pPr>
    </w:p>
    <w:p w14:paraId="1EB6CF21" w14:textId="77777777" w:rsidR="006735F6" w:rsidRPr="006735F6" w:rsidRDefault="006735F6" w:rsidP="006735F6">
      <w:pPr>
        <w:pStyle w:val="ListParagraph"/>
        <w:numPr>
          <w:ilvl w:val="0"/>
          <w:numId w:val="8"/>
        </w:numPr>
        <w:tabs>
          <w:tab w:val="left" w:pos="7290"/>
        </w:tabs>
        <w:rPr>
          <w:rFonts w:ascii="Calibri" w:hAnsi="Calibri"/>
          <w:b/>
          <w:sz w:val="22"/>
          <w:szCs w:val="22"/>
          <w:u w:val="single"/>
        </w:rPr>
      </w:pPr>
    </w:p>
    <w:p w14:paraId="6634DA43" w14:textId="77777777" w:rsidR="006735F6" w:rsidRPr="006735F6" w:rsidRDefault="006735F6" w:rsidP="006735F6">
      <w:pPr>
        <w:pStyle w:val="ListParagraph"/>
        <w:numPr>
          <w:ilvl w:val="0"/>
          <w:numId w:val="8"/>
        </w:numPr>
        <w:tabs>
          <w:tab w:val="left" w:pos="7290"/>
        </w:tabs>
        <w:rPr>
          <w:rFonts w:ascii="Calibri" w:hAnsi="Calibri"/>
          <w:b/>
          <w:sz w:val="22"/>
          <w:szCs w:val="22"/>
        </w:rPr>
      </w:pPr>
      <w:r w:rsidRPr="006735F6">
        <w:rPr>
          <w:rFonts w:ascii="Calibri" w:hAnsi="Calibri"/>
          <w:b/>
          <w:sz w:val="22"/>
          <w:szCs w:val="22"/>
          <w:u w:val="single"/>
        </w:rPr>
        <w:t>Super Challenge Question</w:t>
      </w:r>
    </w:p>
    <w:p w14:paraId="14A61BCD" w14:textId="77777777" w:rsidR="006735F6" w:rsidRPr="006735F6" w:rsidRDefault="006735F6" w:rsidP="006735F6">
      <w:pPr>
        <w:pStyle w:val="ListParagraph"/>
        <w:numPr>
          <w:ilvl w:val="0"/>
          <w:numId w:val="8"/>
        </w:numPr>
        <w:tabs>
          <w:tab w:val="left" w:pos="7290"/>
        </w:tabs>
        <w:rPr>
          <w:rFonts w:ascii="Calibri" w:hAnsi="Calibri"/>
          <w:b/>
          <w:sz w:val="22"/>
          <w:szCs w:val="22"/>
        </w:rPr>
      </w:pPr>
    </w:p>
    <w:p w14:paraId="43854AAF"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A car salesman has 50 cars to sell. Half of the cars are silver. 10% of the cars are red, and 20% are blue. Of the remaining cars, 3 are black and the rest are green.</w:t>
      </w:r>
    </w:p>
    <w:p w14:paraId="6B8EF2CA" w14:textId="0D81900F" w:rsidR="006735F6" w:rsidRPr="006735F6" w:rsidRDefault="006735F6" w:rsidP="006735F6">
      <w:pPr>
        <w:pStyle w:val="ListParagraph"/>
        <w:numPr>
          <w:ilvl w:val="0"/>
          <w:numId w:val="8"/>
        </w:numPr>
        <w:tabs>
          <w:tab w:val="left" w:pos="7290"/>
        </w:tabs>
        <w:rPr>
          <w:rFonts w:ascii="Calibri" w:hAnsi="Calibri"/>
          <w:sz w:val="22"/>
          <w:szCs w:val="22"/>
        </w:rPr>
      </w:pPr>
      <w:r w:rsidRPr="001E6F46">
        <w:rPr>
          <w:noProof/>
          <w:lang w:eastAsia="en-GB"/>
        </w:rPr>
        <w:drawing>
          <wp:anchor distT="0" distB="0" distL="114300" distR="114300" simplePos="0" relativeHeight="251671040" behindDoc="1" locked="0" layoutInCell="1" allowOverlap="1" wp14:anchorId="64E37B52" wp14:editId="0540441C">
            <wp:simplePos x="0" y="0"/>
            <wp:positionH relativeFrom="column">
              <wp:posOffset>4643120</wp:posOffset>
            </wp:positionH>
            <wp:positionV relativeFrom="paragraph">
              <wp:posOffset>145415</wp:posOffset>
            </wp:positionV>
            <wp:extent cx="771525" cy="1021080"/>
            <wp:effectExtent l="0" t="0" r="9525" b="7620"/>
            <wp:wrapNone/>
            <wp:docPr id="35" name="Picture 35" descr="MCj0197799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Cj01977990000[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71525" cy="1021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735F6">
        <w:rPr>
          <w:rFonts w:ascii="Calibri" w:hAnsi="Calibri"/>
          <w:sz w:val="22"/>
          <w:szCs w:val="22"/>
        </w:rPr>
        <w:t>a)  Write down the probability of picking each colour of car.</w:t>
      </w:r>
    </w:p>
    <w:p w14:paraId="660519B4"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b)  Half the blue cars have spoilers. What is P(blue with a spoiler)?</w:t>
      </w:r>
    </w:p>
    <w:p w14:paraId="6CB80500"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c)  What is P(not black)?</w:t>
      </w:r>
    </w:p>
    <w:p w14:paraId="6AA4BF71" w14:textId="77777777" w:rsidR="006735F6" w:rsidRPr="006735F6" w:rsidRDefault="006735F6" w:rsidP="006735F6">
      <w:pPr>
        <w:pStyle w:val="ListParagraph"/>
        <w:numPr>
          <w:ilvl w:val="0"/>
          <w:numId w:val="8"/>
        </w:numPr>
        <w:tabs>
          <w:tab w:val="left" w:pos="7290"/>
        </w:tabs>
        <w:rPr>
          <w:rFonts w:ascii="Calibri" w:hAnsi="Calibri"/>
          <w:sz w:val="22"/>
          <w:szCs w:val="22"/>
        </w:rPr>
      </w:pPr>
      <w:r w:rsidRPr="006735F6">
        <w:rPr>
          <w:rFonts w:ascii="Calibri" w:hAnsi="Calibri"/>
          <w:sz w:val="22"/>
          <w:szCs w:val="22"/>
        </w:rPr>
        <w:t xml:space="preserve">d) What is P(red or silver)? </w:t>
      </w:r>
    </w:p>
    <w:p w14:paraId="16373D1F" w14:textId="77777777" w:rsidR="006735F6" w:rsidRDefault="006735F6" w:rsidP="006735F6">
      <w:pPr>
        <w:pStyle w:val="ListParagraph"/>
      </w:pPr>
    </w:p>
    <w:p w14:paraId="5FC28D19" w14:textId="77777777" w:rsidR="006735F6" w:rsidRPr="006735F6" w:rsidRDefault="006735F6" w:rsidP="006735F6">
      <w:pPr>
        <w:pStyle w:val="ListParagraph"/>
        <w:rPr>
          <w:u w:val="single"/>
        </w:rPr>
      </w:pPr>
    </w:p>
    <w:p w14:paraId="45ABE182" w14:textId="5C2D9123" w:rsidR="006735F6" w:rsidRDefault="006735F6" w:rsidP="006735F6">
      <w:pPr>
        <w:rPr>
          <w:u w:val="single"/>
        </w:rPr>
      </w:pPr>
      <w:r w:rsidRPr="006735F6">
        <w:rPr>
          <w:u w:val="single"/>
        </w:rPr>
        <w:t xml:space="preserve">Lesson Three: </w:t>
      </w:r>
    </w:p>
    <w:p w14:paraId="72222521" w14:textId="365ED65F" w:rsidR="006735F6" w:rsidRPr="006735F6" w:rsidRDefault="006735F6" w:rsidP="006735F6">
      <w:pPr>
        <w:rPr>
          <w:u w:val="single"/>
        </w:rPr>
      </w:pPr>
    </w:p>
    <w:p w14:paraId="5B25E2B3" w14:textId="5776D7F3" w:rsidR="006735F6" w:rsidRDefault="006735F6" w:rsidP="006735F6">
      <w:pPr>
        <w:pStyle w:val="ListParagraph"/>
        <w:numPr>
          <w:ilvl w:val="0"/>
          <w:numId w:val="9"/>
        </w:numPr>
      </w:pPr>
      <w:r>
        <w:t>PowerPoint</w:t>
      </w:r>
    </w:p>
    <w:p w14:paraId="77AB97D8" w14:textId="512F7685" w:rsidR="006735F6" w:rsidRDefault="006735F6" w:rsidP="006735F6">
      <w:pPr>
        <w:pStyle w:val="ListParagraph"/>
      </w:pPr>
      <w:r w:rsidRPr="006735F6">
        <w:rPr>
          <w:noProof/>
          <w:u w:val="single"/>
          <w:lang w:eastAsia="en-GB"/>
        </w:rPr>
        <w:lastRenderedPageBreak/>
        <w:drawing>
          <wp:inline distT="0" distB="0" distL="0" distR="0" wp14:anchorId="24E2A1D0" wp14:editId="256665B5">
            <wp:extent cx="4572638" cy="3429479"/>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72638" cy="3429479"/>
                    </a:xfrm>
                    <a:prstGeom prst="rect">
                      <a:avLst/>
                    </a:prstGeom>
                  </pic:spPr>
                </pic:pic>
              </a:graphicData>
            </a:graphic>
          </wp:inline>
        </w:drawing>
      </w:r>
      <w:r w:rsidRPr="006735F6">
        <w:rPr>
          <w:noProof/>
          <w:lang w:eastAsia="en-GB"/>
        </w:rPr>
        <w:drawing>
          <wp:inline distT="0" distB="0" distL="0" distR="0" wp14:anchorId="7EA33FE4" wp14:editId="57D71A8B">
            <wp:extent cx="4572638" cy="342947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72638" cy="3429479"/>
                    </a:xfrm>
                    <a:prstGeom prst="rect">
                      <a:avLst/>
                    </a:prstGeom>
                  </pic:spPr>
                </pic:pic>
              </a:graphicData>
            </a:graphic>
          </wp:inline>
        </w:drawing>
      </w:r>
    </w:p>
    <w:p w14:paraId="64588C9F" w14:textId="60F478DF" w:rsidR="006735F6" w:rsidRDefault="006735F6" w:rsidP="006735F6">
      <w:pPr>
        <w:pStyle w:val="ListParagraph"/>
      </w:pPr>
      <w:r w:rsidRPr="006735F6">
        <w:rPr>
          <w:noProof/>
          <w:lang w:eastAsia="en-GB"/>
        </w:rPr>
        <w:lastRenderedPageBreak/>
        <w:drawing>
          <wp:inline distT="0" distB="0" distL="0" distR="0" wp14:anchorId="1DCDF428" wp14:editId="011C60A7">
            <wp:extent cx="4572638" cy="342947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72638" cy="3429479"/>
                    </a:xfrm>
                    <a:prstGeom prst="rect">
                      <a:avLst/>
                    </a:prstGeom>
                  </pic:spPr>
                </pic:pic>
              </a:graphicData>
            </a:graphic>
          </wp:inline>
        </w:drawing>
      </w:r>
    </w:p>
    <w:p w14:paraId="38B48A09" w14:textId="38D1D122" w:rsidR="006735F6" w:rsidRDefault="006735F6" w:rsidP="006735F6">
      <w:pPr>
        <w:pStyle w:val="ListParagraph"/>
      </w:pPr>
      <w:r w:rsidRPr="006735F6">
        <w:rPr>
          <w:noProof/>
          <w:lang w:eastAsia="en-GB"/>
        </w:rPr>
        <w:drawing>
          <wp:inline distT="0" distB="0" distL="0" distR="0" wp14:anchorId="6450E03D" wp14:editId="0DB76AAA">
            <wp:extent cx="4572638" cy="342947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72638" cy="3429479"/>
                    </a:xfrm>
                    <a:prstGeom prst="rect">
                      <a:avLst/>
                    </a:prstGeom>
                  </pic:spPr>
                </pic:pic>
              </a:graphicData>
            </a:graphic>
          </wp:inline>
        </w:drawing>
      </w:r>
    </w:p>
    <w:p w14:paraId="5083C1D1" w14:textId="4B5A581E" w:rsidR="006735F6" w:rsidRDefault="006735F6" w:rsidP="006735F6">
      <w:pPr>
        <w:pStyle w:val="ListParagraph"/>
      </w:pPr>
      <w:r w:rsidRPr="006735F6">
        <w:rPr>
          <w:noProof/>
          <w:lang w:eastAsia="en-GB"/>
        </w:rPr>
        <w:lastRenderedPageBreak/>
        <w:drawing>
          <wp:inline distT="0" distB="0" distL="0" distR="0" wp14:anchorId="63F36172" wp14:editId="0AEE377F">
            <wp:extent cx="4572638" cy="3429479"/>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572638" cy="3429479"/>
                    </a:xfrm>
                    <a:prstGeom prst="rect">
                      <a:avLst/>
                    </a:prstGeom>
                  </pic:spPr>
                </pic:pic>
              </a:graphicData>
            </a:graphic>
          </wp:inline>
        </w:drawing>
      </w:r>
    </w:p>
    <w:p w14:paraId="6FD3B7E2" w14:textId="0BCE0723" w:rsidR="006735F6" w:rsidRDefault="006735F6" w:rsidP="006735F6">
      <w:pPr>
        <w:pStyle w:val="ListParagraph"/>
      </w:pPr>
      <w:r w:rsidRPr="006735F6">
        <w:rPr>
          <w:noProof/>
          <w:lang w:eastAsia="en-GB"/>
        </w:rPr>
        <w:drawing>
          <wp:inline distT="0" distB="0" distL="0" distR="0" wp14:anchorId="79F481FC" wp14:editId="342B8A32">
            <wp:extent cx="4572638" cy="3429479"/>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572638" cy="3429479"/>
                    </a:xfrm>
                    <a:prstGeom prst="rect">
                      <a:avLst/>
                    </a:prstGeom>
                  </pic:spPr>
                </pic:pic>
              </a:graphicData>
            </a:graphic>
          </wp:inline>
        </w:drawing>
      </w:r>
    </w:p>
    <w:p w14:paraId="05617E81" w14:textId="2351CAA8" w:rsidR="006735F6" w:rsidRDefault="006735F6" w:rsidP="006735F6">
      <w:pPr>
        <w:pStyle w:val="ListParagraph"/>
        <w:numPr>
          <w:ilvl w:val="0"/>
          <w:numId w:val="9"/>
        </w:numPr>
      </w:pPr>
      <w:r>
        <w:t>Worksheets</w:t>
      </w:r>
    </w:p>
    <w:p w14:paraId="0F086FC5" w14:textId="31815CC7" w:rsidR="006735F6" w:rsidRDefault="006735F6" w:rsidP="006735F6">
      <w:pPr>
        <w:ind w:left="360"/>
      </w:pPr>
      <w:r>
        <w:rPr>
          <w:noProof/>
          <w:lang w:eastAsia="en-GB"/>
        </w:rPr>
        <w:lastRenderedPageBreak/>
        <w:drawing>
          <wp:inline distT="0" distB="0" distL="0" distR="0" wp14:anchorId="4AD11B81" wp14:editId="45448C10">
            <wp:extent cx="5727700" cy="3881755"/>
            <wp:effectExtent l="0" t="0" r="6350" b="444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610DF7E.tmp"/>
                    <pic:cNvPicPr/>
                  </pic:nvPicPr>
                  <pic:blipFill>
                    <a:blip r:embed="rId44">
                      <a:extLst>
                        <a:ext uri="{28A0092B-C50C-407E-A947-70E740481C1C}">
                          <a14:useLocalDpi xmlns:a14="http://schemas.microsoft.com/office/drawing/2010/main" val="0"/>
                        </a:ext>
                      </a:extLst>
                    </a:blip>
                    <a:stretch>
                      <a:fillRect/>
                    </a:stretch>
                  </pic:blipFill>
                  <pic:spPr>
                    <a:xfrm>
                      <a:off x="0" y="0"/>
                      <a:ext cx="5727700" cy="3881755"/>
                    </a:xfrm>
                    <a:prstGeom prst="rect">
                      <a:avLst/>
                    </a:prstGeom>
                  </pic:spPr>
                </pic:pic>
              </a:graphicData>
            </a:graphic>
          </wp:inline>
        </w:drawing>
      </w:r>
    </w:p>
    <w:p w14:paraId="71BE12BB" w14:textId="54B35D4F" w:rsidR="006735F6" w:rsidRDefault="006735F6" w:rsidP="006735F6">
      <w:pPr>
        <w:ind w:left="360"/>
      </w:pPr>
      <w:r>
        <w:rPr>
          <w:noProof/>
          <w:lang w:eastAsia="en-GB"/>
        </w:rPr>
        <w:drawing>
          <wp:inline distT="0" distB="0" distL="0" distR="0" wp14:anchorId="000F812F" wp14:editId="7340E654">
            <wp:extent cx="5727700" cy="4049395"/>
            <wp:effectExtent l="0" t="0" r="6350" b="825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6108771.tmp"/>
                    <pic:cNvPicPr/>
                  </pic:nvPicPr>
                  <pic:blipFill>
                    <a:blip r:embed="rId45">
                      <a:extLst>
                        <a:ext uri="{28A0092B-C50C-407E-A947-70E740481C1C}">
                          <a14:useLocalDpi xmlns:a14="http://schemas.microsoft.com/office/drawing/2010/main" val="0"/>
                        </a:ext>
                      </a:extLst>
                    </a:blip>
                    <a:stretch>
                      <a:fillRect/>
                    </a:stretch>
                  </pic:blipFill>
                  <pic:spPr>
                    <a:xfrm>
                      <a:off x="0" y="0"/>
                      <a:ext cx="5727700" cy="4049395"/>
                    </a:xfrm>
                    <a:prstGeom prst="rect">
                      <a:avLst/>
                    </a:prstGeom>
                  </pic:spPr>
                </pic:pic>
              </a:graphicData>
            </a:graphic>
          </wp:inline>
        </w:drawing>
      </w:r>
    </w:p>
    <w:p w14:paraId="1BD12C37" w14:textId="7C0CE7D5" w:rsidR="006735F6" w:rsidRDefault="006735F6" w:rsidP="006735F6">
      <w:pPr>
        <w:ind w:left="360"/>
      </w:pPr>
      <w:r>
        <w:rPr>
          <w:noProof/>
          <w:lang w:eastAsia="en-GB"/>
        </w:rPr>
        <w:lastRenderedPageBreak/>
        <w:drawing>
          <wp:anchor distT="0" distB="0" distL="114300" distR="114300" simplePos="0" relativeHeight="251675136" behindDoc="0" locked="0" layoutInCell="1" allowOverlap="1" wp14:anchorId="1E3C9737" wp14:editId="2E24423E">
            <wp:simplePos x="0" y="0"/>
            <wp:positionH relativeFrom="column">
              <wp:posOffset>38100</wp:posOffset>
            </wp:positionH>
            <wp:positionV relativeFrom="paragraph">
              <wp:posOffset>323850</wp:posOffset>
            </wp:positionV>
            <wp:extent cx="5727700" cy="3222625"/>
            <wp:effectExtent l="0" t="0" r="6350" b="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610F986.tmp"/>
                    <pic:cNvPicPr/>
                  </pic:nvPicPr>
                  <pic:blipFill>
                    <a:blip r:embed="rId46">
                      <a:extLst>
                        <a:ext uri="{28A0092B-C50C-407E-A947-70E740481C1C}">
                          <a14:useLocalDpi xmlns:a14="http://schemas.microsoft.com/office/drawing/2010/main" val="0"/>
                        </a:ext>
                      </a:extLst>
                    </a:blip>
                    <a:stretch>
                      <a:fillRect/>
                    </a:stretch>
                  </pic:blipFill>
                  <pic:spPr>
                    <a:xfrm>
                      <a:off x="0" y="0"/>
                      <a:ext cx="5727700" cy="3222625"/>
                    </a:xfrm>
                    <a:prstGeom prst="rect">
                      <a:avLst/>
                    </a:prstGeom>
                  </pic:spPr>
                </pic:pic>
              </a:graphicData>
            </a:graphic>
            <wp14:sizeRelH relativeFrom="page">
              <wp14:pctWidth>0</wp14:pctWidth>
            </wp14:sizeRelH>
            <wp14:sizeRelV relativeFrom="page">
              <wp14:pctHeight>0</wp14:pctHeight>
            </wp14:sizeRelV>
          </wp:anchor>
        </w:drawing>
      </w:r>
      <w:r>
        <w:t xml:space="preserve">Red Worksheet: </w:t>
      </w:r>
    </w:p>
    <w:p w14:paraId="2E68D189" w14:textId="3B6356E8" w:rsidR="006735F6" w:rsidRPr="006735F6" w:rsidRDefault="006735F6" w:rsidP="006735F6">
      <w:pPr>
        <w:pStyle w:val="ListParagraph"/>
        <w:rPr>
          <w:u w:val="single"/>
        </w:rPr>
      </w:pPr>
      <w:r w:rsidRPr="006735F6">
        <w:rPr>
          <w:u w:val="single"/>
        </w:rPr>
        <w:t xml:space="preserve">Lesson Four: </w:t>
      </w:r>
    </w:p>
    <w:p w14:paraId="3F9111C4" w14:textId="6D09DFCA" w:rsidR="006735F6" w:rsidRPr="006735F6" w:rsidRDefault="006735F6" w:rsidP="006735F6">
      <w:pPr>
        <w:pStyle w:val="ListParagraph"/>
        <w:numPr>
          <w:ilvl w:val="0"/>
          <w:numId w:val="9"/>
        </w:numPr>
      </w:pPr>
      <w:r>
        <w:t>PowerPoint</w:t>
      </w:r>
    </w:p>
    <w:p w14:paraId="2A4F5ED9" w14:textId="77777777" w:rsidR="006735F6" w:rsidRPr="006735F6" w:rsidRDefault="006735F6" w:rsidP="006735F6"/>
    <w:p w14:paraId="2775215E" w14:textId="6A8EDB40" w:rsidR="006735F6" w:rsidRPr="006735F6" w:rsidRDefault="006735F6" w:rsidP="006735F6">
      <w:pPr>
        <w:jc w:val="both"/>
      </w:pPr>
      <w:r w:rsidRPr="006735F6">
        <w:rPr>
          <w:noProof/>
          <w:lang w:eastAsia="en-GB"/>
        </w:rPr>
        <w:drawing>
          <wp:inline distT="0" distB="0" distL="0" distR="0" wp14:anchorId="057E0710" wp14:editId="4EE19800">
            <wp:extent cx="4572638" cy="3429479"/>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72638" cy="3429479"/>
                    </a:xfrm>
                    <a:prstGeom prst="rect">
                      <a:avLst/>
                    </a:prstGeom>
                  </pic:spPr>
                </pic:pic>
              </a:graphicData>
            </a:graphic>
          </wp:inline>
        </w:drawing>
      </w:r>
    </w:p>
    <w:p w14:paraId="0484D1B6" w14:textId="77777777" w:rsidR="006735F6" w:rsidRPr="006735F6" w:rsidRDefault="006735F6" w:rsidP="006735F6"/>
    <w:p w14:paraId="6F683B95" w14:textId="77777777" w:rsidR="006735F6" w:rsidRPr="006735F6" w:rsidRDefault="006735F6" w:rsidP="006735F6"/>
    <w:p w14:paraId="22151BF2" w14:textId="77777777" w:rsidR="006735F6" w:rsidRPr="006735F6" w:rsidRDefault="006735F6" w:rsidP="006735F6"/>
    <w:p w14:paraId="3EB748FD" w14:textId="77777777" w:rsidR="006735F6" w:rsidRPr="006735F6" w:rsidRDefault="006735F6" w:rsidP="006735F6"/>
    <w:p w14:paraId="4CBE495C" w14:textId="77777777" w:rsidR="006735F6" w:rsidRPr="006735F6" w:rsidRDefault="006735F6" w:rsidP="006735F6"/>
    <w:p w14:paraId="1D0E7AD5" w14:textId="77777777" w:rsidR="006735F6" w:rsidRPr="006735F6" w:rsidRDefault="006735F6" w:rsidP="006735F6"/>
    <w:p w14:paraId="225A9B4F" w14:textId="77777777" w:rsidR="006735F6" w:rsidRPr="006735F6" w:rsidRDefault="006735F6" w:rsidP="006735F6"/>
    <w:p w14:paraId="1AB5FD64" w14:textId="2CAF3045" w:rsidR="006735F6" w:rsidRDefault="006735F6" w:rsidP="006735F6">
      <w:r w:rsidRPr="006735F6">
        <w:rPr>
          <w:noProof/>
          <w:lang w:eastAsia="en-GB"/>
        </w:rPr>
        <w:lastRenderedPageBreak/>
        <w:drawing>
          <wp:inline distT="0" distB="0" distL="0" distR="0" wp14:anchorId="57DB82EF" wp14:editId="1B3AE9B0">
            <wp:extent cx="4572638" cy="3429479"/>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72638" cy="3429479"/>
                    </a:xfrm>
                    <a:prstGeom prst="rect">
                      <a:avLst/>
                    </a:prstGeom>
                  </pic:spPr>
                </pic:pic>
              </a:graphicData>
            </a:graphic>
          </wp:inline>
        </w:drawing>
      </w:r>
    </w:p>
    <w:p w14:paraId="3E23B6C4" w14:textId="6132FCFD" w:rsidR="006735F6" w:rsidRDefault="006735F6" w:rsidP="006735F6">
      <w:r w:rsidRPr="006735F6">
        <w:rPr>
          <w:noProof/>
          <w:lang w:eastAsia="en-GB"/>
        </w:rPr>
        <w:drawing>
          <wp:inline distT="0" distB="0" distL="0" distR="0" wp14:anchorId="7C2071C3" wp14:editId="03B94FB6">
            <wp:extent cx="4572638" cy="3429479"/>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572638" cy="3429479"/>
                    </a:xfrm>
                    <a:prstGeom prst="rect">
                      <a:avLst/>
                    </a:prstGeom>
                  </pic:spPr>
                </pic:pic>
              </a:graphicData>
            </a:graphic>
          </wp:inline>
        </w:drawing>
      </w:r>
    </w:p>
    <w:p w14:paraId="7733B4FB" w14:textId="5041061E" w:rsidR="006735F6" w:rsidRDefault="006735F6" w:rsidP="006735F6">
      <w:r w:rsidRPr="006735F6">
        <w:rPr>
          <w:noProof/>
          <w:lang w:eastAsia="en-GB"/>
        </w:rPr>
        <w:lastRenderedPageBreak/>
        <w:drawing>
          <wp:inline distT="0" distB="0" distL="0" distR="0" wp14:anchorId="69949858" wp14:editId="04A553F2">
            <wp:extent cx="4572638" cy="3429479"/>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572638" cy="3429479"/>
                    </a:xfrm>
                    <a:prstGeom prst="rect">
                      <a:avLst/>
                    </a:prstGeom>
                  </pic:spPr>
                </pic:pic>
              </a:graphicData>
            </a:graphic>
          </wp:inline>
        </w:drawing>
      </w:r>
    </w:p>
    <w:p w14:paraId="55921493" w14:textId="0FF1AA0C" w:rsidR="006735F6" w:rsidRDefault="006735F6" w:rsidP="006735F6">
      <w:r w:rsidRPr="006735F6">
        <w:rPr>
          <w:noProof/>
          <w:lang w:eastAsia="en-GB"/>
        </w:rPr>
        <w:drawing>
          <wp:inline distT="0" distB="0" distL="0" distR="0" wp14:anchorId="45153DA4" wp14:editId="5AEA87A8">
            <wp:extent cx="4572638" cy="3429479"/>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572638" cy="3429479"/>
                    </a:xfrm>
                    <a:prstGeom prst="rect">
                      <a:avLst/>
                    </a:prstGeom>
                  </pic:spPr>
                </pic:pic>
              </a:graphicData>
            </a:graphic>
          </wp:inline>
        </w:drawing>
      </w:r>
    </w:p>
    <w:p w14:paraId="72631204" w14:textId="7D4C0337" w:rsidR="006735F6" w:rsidRDefault="006735F6" w:rsidP="006735F6">
      <w:r w:rsidRPr="006735F6">
        <w:rPr>
          <w:noProof/>
          <w:lang w:eastAsia="en-GB"/>
        </w:rPr>
        <w:lastRenderedPageBreak/>
        <w:drawing>
          <wp:inline distT="0" distB="0" distL="0" distR="0" wp14:anchorId="6824455F" wp14:editId="52863908">
            <wp:extent cx="4572638" cy="3429479"/>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572638" cy="3429479"/>
                    </a:xfrm>
                    <a:prstGeom prst="rect">
                      <a:avLst/>
                    </a:prstGeom>
                  </pic:spPr>
                </pic:pic>
              </a:graphicData>
            </a:graphic>
          </wp:inline>
        </w:drawing>
      </w:r>
    </w:p>
    <w:p w14:paraId="3EBDC977" w14:textId="00DB3474" w:rsidR="006735F6" w:rsidRPr="006735F6" w:rsidRDefault="006735F6" w:rsidP="006735F6">
      <w:pPr>
        <w:pStyle w:val="ListParagraph"/>
        <w:numPr>
          <w:ilvl w:val="0"/>
          <w:numId w:val="9"/>
        </w:numPr>
      </w:pPr>
      <w:r w:rsidRPr="006735F6">
        <w:t>Worksheet:</w:t>
      </w:r>
    </w:p>
    <w:p w14:paraId="235B817D" w14:textId="41275CAE" w:rsidR="006735F6" w:rsidRPr="006735F6" w:rsidRDefault="006735F6" w:rsidP="006735F6">
      <w:r>
        <w:rPr>
          <w:noProof/>
          <w:lang w:eastAsia="en-GB"/>
        </w:rPr>
        <w:drawing>
          <wp:inline distT="0" distB="0" distL="0" distR="0" wp14:anchorId="1E1B54B5" wp14:editId="152B71EA">
            <wp:extent cx="5727700" cy="3698240"/>
            <wp:effectExtent l="0" t="0" r="635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610B31C.tmp"/>
                    <pic:cNvPicPr/>
                  </pic:nvPicPr>
                  <pic:blipFill>
                    <a:blip r:embed="rId53">
                      <a:extLst>
                        <a:ext uri="{28A0092B-C50C-407E-A947-70E740481C1C}">
                          <a14:useLocalDpi xmlns:a14="http://schemas.microsoft.com/office/drawing/2010/main" val="0"/>
                        </a:ext>
                      </a:extLst>
                    </a:blip>
                    <a:stretch>
                      <a:fillRect/>
                    </a:stretch>
                  </pic:blipFill>
                  <pic:spPr>
                    <a:xfrm>
                      <a:off x="0" y="0"/>
                      <a:ext cx="5727700" cy="3698240"/>
                    </a:xfrm>
                    <a:prstGeom prst="rect">
                      <a:avLst/>
                    </a:prstGeom>
                  </pic:spPr>
                </pic:pic>
              </a:graphicData>
            </a:graphic>
          </wp:inline>
        </w:drawing>
      </w:r>
    </w:p>
    <w:p w14:paraId="2B9E1D72" w14:textId="77777777" w:rsidR="006735F6" w:rsidRPr="006735F6" w:rsidRDefault="006735F6" w:rsidP="006735F6"/>
    <w:p w14:paraId="7F7D7B24" w14:textId="77777777" w:rsidR="006735F6" w:rsidRPr="006735F6" w:rsidRDefault="006735F6" w:rsidP="006735F6"/>
    <w:p w14:paraId="2E7A9B82" w14:textId="77777777" w:rsidR="006735F6" w:rsidRPr="006735F6" w:rsidRDefault="006735F6" w:rsidP="006735F6"/>
    <w:p w14:paraId="6758F1CA" w14:textId="77777777" w:rsidR="006735F6" w:rsidRPr="006735F6" w:rsidRDefault="006735F6" w:rsidP="006735F6"/>
    <w:p w14:paraId="011B55DA" w14:textId="77777777" w:rsidR="006735F6" w:rsidRPr="006735F6" w:rsidRDefault="006735F6" w:rsidP="006735F6"/>
    <w:p w14:paraId="2F8FC6DB" w14:textId="77777777" w:rsidR="006735F6" w:rsidRPr="006735F6" w:rsidRDefault="006735F6" w:rsidP="006735F6"/>
    <w:p w14:paraId="75D445F0" w14:textId="77777777" w:rsidR="006735F6" w:rsidRPr="006735F6" w:rsidRDefault="006735F6" w:rsidP="006735F6"/>
    <w:p w14:paraId="7780C6C2" w14:textId="77777777" w:rsidR="006735F6" w:rsidRDefault="006735F6" w:rsidP="006735F6"/>
    <w:p w14:paraId="30D7ED42" w14:textId="66B5C79A" w:rsidR="006735F6" w:rsidRDefault="006735F6" w:rsidP="006735F6">
      <w:pPr>
        <w:rPr>
          <w:u w:val="single"/>
        </w:rPr>
      </w:pPr>
      <w:r w:rsidRPr="006735F6">
        <w:rPr>
          <w:u w:val="single"/>
        </w:rPr>
        <w:lastRenderedPageBreak/>
        <w:t>Lesson five:</w:t>
      </w:r>
    </w:p>
    <w:p w14:paraId="66B75BD9" w14:textId="77777777" w:rsidR="006735F6" w:rsidRPr="006735F6" w:rsidRDefault="006735F6" w:rsidP="006735F6">
      <w:pPr>
        <w:rPr>
          <w:u w:val="single"/>
        </w:rPr>
      </w:pPr>
    </w:p>
    <w:p w14:paraId="55EC8169" w14:textId="1FA5FCFC" w:rsidR="006735F6" w:rsidRDefault="006735F6" w:rsidP="006735F6">
      <w:r w:rsidRPr="006735F6">
        <w:rPr>
          <w:noProof/>
          <w:lang w:eastAsia="en-GB"/>
        </w:rPr>
        <w:drawing>
          <wp:inline distT="0" distB="0" distL="0" distR="0" wp14:anchorId="3DE70C17" wp14:editId="63C79F34">
            <wp:extent cx="4572638" cy="3429479"/>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72638" cy="3429479"/>
                    </a:xfrm>
                    <a:prstGeom prst="rect">
                      <a:avLst/>
                    </a:prstGeom>
                  </pic:spPr>
                </pic:pic>
              </a:graphicData>
            </a:graphic>
          </wp:inline>
        </w:drawing>
      </w:r>
    </w:p>
    <w:p w14:paraId="7C33675A" w14:textId="455EF583" w:rsidR="006735F6" w:rsidRDefault="006735F6" w:rsidP="006735F6">
      <w:r w:rsidRPr="006735F6">
        <w:rPr>
          <w:noProof/>
          <w:lang w:eastAsia="en-GB"/>
        </w:rPr>
        <w:drawing>
          <wp:inline distT="0" distB="0" distL="0" distR="0" wp14:anchorId="66FD69D8" wp14:editId="22D279B5">
            <wp:extent cx="4572638" cy="3429479"/>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572638" cy="3429479"/>
                    </a:xfrm>
                    <a:prstGeom prst="rect">
                      <a:avLst/>
                    </a:prstGeom>
                  </pic:spPr>
                </pic:pic>
              </a:graphicData>
            </a:graphic>
          </wp:inline>
        </w:drawing>
      </w:r>
    </w:p>
    <w:p w14:paraId="7F93E05A" w14:textId="55EE6003" w:rsidR="006735F6" w:rsidRDefault="006735F6" w:rsidP="006735F6">
      <w:r w:rsidRPr="006735F6">
        <w:rPr>
          <w:noProof/>
          <w:lang w:eastAsia="en-GB"/>
        </w:rPr>
        <w:lastRenderedPageBreak/>
        <w:drawing>
          <wp:inline distT="0" distB="0" distL="0" distR="0" wp14:anchorId="34E63D0A" wp14:editId="7FC07C53">
            <wp:extent cx="4572638" cy="3429479"/>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572638" cy="3429479"/>
                    </a:xfrm>
                    <a:prstGeom prst="rect">
                      <a:avLst/>
                    </a:prstGeom>
                  </pic:spPr>
                </pic:pic>
              </a:graphicData>
            </a:graphic>
          </wp:inline>
        </w:drawing>
      </w:r>
    </w:p>
    <w:p w14:paraId="166E783D" w14:textId="66FE8DD2" w:rsidR="006735F6" w:rsidRDefault="006735F6" w:rsidP="006735F6">
      <w:r w:rsidRPr="006735F6">
        <w:rPr>
          <w:noProof/>
          <w:lang w:eastAsia="en-GB"/>
        </w:rPr>
        <w:drawing>
          <wp:inline distT="0" distB="0" distL="0" distR="0" wp14:anchorId="4E93A50D" wp14:editId="112FD5EB">
            <wp:extent cx="4572638" cy="3429479"/>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72638" cy="3429479"/>
                    </a:xfrm>
                    <a:prstGeom prst="rect">
                      <a:avLst/>
                    </a:prstGeom>
                  </pic:spPr>
                </pic:pic>
              </a:graphicData>
            </a:graphic>
          </wp:inline>
        </w:drawing>
      </w:r>
    </w:p>
    <w:p w14:paraId="732E44F3" w14:textId="4EBD30DF" w:rsidR="006735F6" w:rsidRDefault="006735F6" w:rsidP="006735F6">
      <w:r w:rsidRPr="006735F6">
        <w:rPr>
          <w:noProof/>
          <w:lang w:eastAsia="en-GB"/>
        </w:rPr>
        <w:lastRenderedPageBreak/>
        <w:drawing>
          <wp:inline distT="0" distB="0" distL="0" distR="0" wp14:anchorId="4B08B47A" wp14:editId="28008184">
            <wp:extent cx="4572638" cy="3429479"/>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572638" cy="3429479"/>
                    </a:xfrm>
                    <a:prstGeom prst="rect">
                      <a:avLst/>
                    </a:prstGeom>
                  </pic:spPr>
                </pic:pic>
              </a:graphicData>
            </a:graphic>
          </wp:inline>
        </w:drawing>
      </w:r>
    </w:p>
    <w:p w14:paraId="36756C96" w14:textId="69F9809B" w:rsidR="006735F6" w:rsidRDefault="006735F6" w:rsidP="006735F6">
      <w:r w:rsidRPr="006735F6">
        <w:rPr>
          <w:noProof/>
          <w:lang w:eastAsia="en-GB"/>
        </w:rPr>
        <w:drawing>
          <wp:inline distT="0" distB="0" distL="0" distR="0" wp14:anchorId="23C79799" wp14:editId="3B0F8187">
            <wp:extent cx="4572638" cy="3429479"/>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72638" cy="3429479"/>
                    </a:xfrm>
                    <a:prstGeom prst="rect">
                      <a:avLst/>
                    </a:prstGeom>
                  </pic:spPr>
                </pic:pic>
              </a:graphicData>
            </a:graphic>
          </wp:inline>
        </w:drawing>
      </w:r>
    </w:p>
    <w:p w14:paraId="5CE8F3AE" w14:textId="302AC702" w:rsidR="006735F6" w:rsidRPr="006735F6" w:rsidRDefault="006735F6" w:rsidP="006735F6">
      <w:pPr>
        <w:pStyle w:val="ListParagraph"/>
        <w:numPr>
          <w:ilvl w:val="0"/>
          <w:numId w:val="9"/>
        </w:numPr>
      </w:pPr>
      <w:r>
        <w:t xml:space="preserve">Worksheets: </w:t>
      </w:r>
    </w:p>
    <w:p w14:paraId="1626C01B" w14:textId="1C5C63D8" w:rsidR="006735F6" w:rsidRDefault="00FB5A30" w:rsidP="006735F6">
      <w:r>
        <w:t>Worksheets we of a format that couldn’t attached.</w:t>
      </w:r>
    </w:p>
    <w:p w14:paraId="1F6F2246" w14:textId="77777777" w:rsidR="00FB5A30" w:rsidRDefault="00FB5A30" w:rsidP="006735F6"/>
    <w:p w14:paraId="48456616" w14:textId="77777777" w:rsidR="00FB5A30" w:rsidRPr="006735F6" w:rsidRDefault="00FB5A30" w:rsidP="006735F6"/>
    <w:sectPr w:rsidR="00FB5A30" w:rsidRPr="006735F6" w:rsidSect="00EE344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4A8D1A" w14:textId="77777777" w:rsidR="0099366A" w:rsidRDefault="0099366A" w:rsidP="006735F6">
      <w:r>
        <w:separator/>
      </w:r>
    </w:p>
  </w:endnote>
  <w:endnote w:type="continuationSeparator" w:id="0">
    <w:p w14:paraId="4651C66C" w14:textId="77777777" w:rsidR="0099366A" w:rsidRDefault="0099366A" w:rsidP="006735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altName w:val="Courier New"/>
    <w:charset w:val="00"/>
    <w:family w:val="script"/>
    <w:pitch w:val="variable"/>
    <w:sig w:usb0="00000001"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460452" w14:textId="77777777" w:rsidR="0099366A" w:rsidRDefault="0099366A" w:rsidP="006735F6">
      <w:r>
        <w:separator/>
      </w:r>
    </w:p>
  </w:footnote>
  <w:footnote w:type="continuationSeparator" w:id="0">
    <w:p w14:paraId="2B273E0C" w14:textId="77777777" w:rsidR="0099366A" w:rsidRDefault="0099366A" w:rsidP="006735F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71F40"/>
    <w:multiLevelType w:val="hybridMultilevel"/>
    <w:tmpl w:val="E840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07108"/>
    <w:multiLevelType w:val="hybridMultilevel"/>
    <w:tmpl w:val="39AABED8"/>
    <w:lvl w:ilvl="0" w:tplc="FCA60D3A">
      <w:start w:val="1"/>
      <w:numFmt w:val="bullet"/>
      <w:lvlText w:val="•"/>
      <w:lvlJc w:val="left"/>
      <w:pPr>
        <w:tabs>
          <w:tab w:val="num" w:pos="720"/>
        </w:tabs>
        <w:ind w:left="720" w:hanging="360"/>
      </w:pPr>
      <w:rPr>
        <w:rFonts w:ascii="Arial" w:hAnsi="Arial" w:hint="default"/>
      </w:rPr>
    </w:lvl>
    <w:lvl w:ilvl="1" w:tplc="D512C762" w:tentative="1">
      <w:start w:val="1"/>
      <w:numFmt w:val="bullet"/>
      <w:lvlText w:val="•"/>
      <w:lvlJc w:val="left"/>
      <w:pPr>
        <w:tabs>
          <w:tab w:val="num" w:pos="1440"/>
        </w:tabs>
        <w:ind w:left="1440" w:hanging="360"/>
      </w:pPr>
      <w:rPr>
        <w:rFonts w:ascii="Arial" w:hAnsi="Arial" w:hint="default"/>
      </w:rPr>
    </w:lvl>
    <w:lvl w:ilvl="2" w:tplc="95F44CAA" w:tentative="1">
      <w:start w:val="1"/>
      <w:numFmt w:val="bullet"/>
      <w:lvlText w:val="•"/>
      <w:lvlJc w:val="left"/>
      <w:pPr>
        <w:tabs>
          <w:tab w:val="num" w:pos="2160"/>
        </w:tabs>
        <w:ind w:left="2160" w:hanging="360"/>
      </w:pPr>
      <w:rPr>
        <w:rFonts w:ascii="Arial" w:hAnsi="Arial" w:hint="default"/>
      </w:rPr>
    </w:lvl>
    <w:lvl w:ilvl="3" w:tplc="6DDC18C2" w:tentative="1">
      <w:start w:val="1"/>
      <w:numFmt w:val="bullet"/>
      <w:lvlText w:val="•"/>
      <w:lvlJc w:val="left"/>
      <w:pPr>
        <w:tabs>
          <w:tab w:val="num" w:pos="2880"/>
        </w:tabs>
        <w:ind w:left="2880" w:hanging="360"/>
      </w:pPr>
      <w:rPr>
        <w:rFonts w:ascii="Arial" w:hAnsi="Arial" w:hint="default"/>
      </w:rPr>
    </w:lvl>
    <w:lvl w:ilvl="4" w:tplc="4CB8AAE8" w:tentative="1">
      <w:start w:val="1"/>
      <w:numFmt w:val="bullet"/>
      <w:lvlText w:val="•"/>
      <w:lvlJc w:val="left"/>
      <w:pPr>
        <w:tabs>
          <w:tab w:val="num" w:pos="3600"/>
        </w:tabs>
        <w:ind w:left="3600" w:hanging="360"/>
      </w:pPr>
      <w:rPr>
        <w:rFonts w:ascii="Arial" w:hAnsi="Arial" w:hint="default"/>
      </w:rPr>
    </w:lvl>
    <w:lvl w:ilvl="5" w:tplc="083A0838" w:tentative="1">
      <w:start w:val="1"/>
      <w:numFmt w:val="bullet"/>
      <w:lvlText w:val="•"/>
      <w:lvlJc w:val="left"/>
      <w:pPr>
        <w:tabs>
          <w:tab w:val="num" w:pos="4320"/>
        </w:tabs>
        <w:ind w:left="4320" w:hanging="360"/>
      </w:pPr>
      <w:rPr>
        <w:rFonts w:ascii="Arial" w:hAnsi="Arial" w:hint="default"/>
      </w:rPr>
    </w:lvl>
    <w:lvl w:ilvl="6" w:tplc="B1C68B7E" w:tentative="1">
      <w:start w:val="1"/>
      <w:numFmt w:val="bullet"/>
      <w:lvlText w:val="•"/>
      <w:lvlJc w:val="left"/>
      <w:pPr>
        <w:tabs>
          <w:tab w:val="num" w:pos="5040"/>
        </w:tabs>
        <w:ind w:left="5040" w:hanging="360"/>
      </w:pPr>
      <w:rPr>
        <w:rFonts w:ascii="Arial" w:hAnsi="Arial" w:hint="default"/>
      </w:rPr>
    </w:lvl>
    <w:lvl w:ilvl="7" w:tplc="065C59AA" w:tentative="1">
      <w:start w:val="1"/>
      <w:numFmt w:val="bullet"/>
      <w:lvlText w:val="•"/>
      <w:lvlJc w:val="left"/>
      <w:pPr>
        <w:tabs>
          <w:tab w:val="num" w:pos="5760"/>
        </w:tabs>
        <w:ind w:left="5760" w:hanging="360"/>
      </w:pPr>
      <w:rPr>
        <w:rFonts w:ascii="Arial" w:hAnsi="Arial" w:hint="default"/>
      </w:rPr>
    </w:lvl>
    <w:lvl w:ilvl="8" w:tplc="24D42D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F7ECB"/>
    <w:multiLevelType w:val="hybridMultilevel"/>
    <w:tmpl w:val="F3D4D4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A01F0"/>
    <w:multiLevelType w:val="hybridMultilevel"/>
    <w:tmpl w:val="BE94B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921F19"/>
    <w:multiLevelType w:val="hybridMultilevel"/>
    <w:tmpl w:val="6AA0FE82"/>
    <w:lvl w:ilvl="0" w:tplc="0D0836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CB012F"/>
    <w:multiLevelType w:val="hybridMultilevel"/>
    <w:tmpl w:val="5216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FA7434"/>
    <w:multiLevelType w:val="hybridMultilevel"/>
    <w:tmpl w:val="87B4A7D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CF068B6"/>
    <w:multiLevelType w:val="multilevel"/>
    <w:tmpl w:val="CC9A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C83E06"/>
    <w:multiLevelType w:val="hybridMultilevel"/>
    <w:tmpl w:val="68725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
  </w:num>
  <w:num w:numId="4">
    <w:abstractNumId w:val="8"/>
  </w:num>
  <w:num w:numId="5">
    <w:abstractNumId w:val="2"/>
  </w:num>
  <w:num w:numId="6">
    <w:abstractNumId w:val="4"/>
  </w:num>
  <w:num w:numId="7">
    <w:abstractNumId w:val="6"/>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3A5A"/>
    <w:rsid w:val="00065EB9"/>
    <w:rsid w:val="000E3D04"/>
    <w:rsid w:val="000E632A"/>
    <w:rsid w:val="00120C7B"/>
    <w:rsid w:val="001477EA"/>
    <w:rsid w:val="001949AA"/>
    <w:rsid w:val="001D7D37"/>
    <w:rsid w:val="001E7633"/>
    <w:rsid w:val="00253EF4"/>
    <w:rsid w:val="00266BFF"/>
    <w:rsid w:val="002B7E9E"/>
    <w:rsid w:val="002C70B0"/>
    <w:rsid w:val="00314F3C"/>
    <w:rsid w:val="003E3604"/>
    <w:rsid w:val="003E509B"/>
    <w:rsid w:val="0043271E"/>
    <w:rsid w:val="00435CCA"/>
    <w:rsid w:val="00455A8A"/>
    <w:rsid w:val="00497438"/>
    <w:rsid w:val="004B6024"/>
    <w:rsid w:val="004D2D42"/>
    <w:rsid w:val="004D408F"/>
    <w:rsid w:val="004E2F6B"/>
    <w:rsid w:val="00520E2D"/>
    <w:rsid w:val="00525039"/>
    <w:rsid w:val="00562885"/>
    <w:rsid w:val="00572824"/>
    <w:rsid w:val="005C4A98"/>
    <w:rsid w:val="00616BA7"/>
    <w:rsid w:val="006208A1"/>
    <w:rsid w:val="006217D5"/>
    <w:rsid w:val="00642730"/>
    <w:rsid w:val="006735F6"/>
    <w:rsid w:val="00676C28"/>
    <w:rsid w:val="006B1299"/>
    <w:rsid w:val="006C5B1A"/>
    <w:rsid w:val="006D769B"/>
    <w:rsid w:val="00721A27"/>
    <w:rsid w:val="00734A84"/>
    <w:rsid w:val="00763757"/>
    <w:rsid w:val="00776D2F"/>
    <w:rsid w:val="007C4E17"/>
    <w:rsid w:val="007D7A8C"/>
    <w:rsid w:val="00801EF3"/>
    <w:rsid w:val="008B183C"/>
    <w:rsid w:val="008C613B"/>
    <w:rsid w:val="008D07F9"/>
    <w:rsid w:val="008F033E"/>
    <w:rsid w:val="0091019D"/>
    <w:rsid w:val="00950F2F"/>
    <w:rsid w:val="00977B9F"/>
    <w:rsid w:val="0099366A"/>
    <w:rsid w:val="009D244F"/>
    <w:rsid w:val="009D2B87"/>
    <w:rsid w:val="009F6C5A"/>
    <w:rsid w:val="00A1502D"/>
    <w:rsid w:val="00A41F09"/>
    <w:rsid w:val="00A863C6"/>
    <w:rsid w:val="00AA07AA"/>
    <w:rsid w:val="00AA28AE"/>
    <w:rsid w:val="00AC5628"/>
    <w:rsid w:val="00AE514D"/>
    <w:rsid w:val="00B00C65"/>
    <w:rsid w:val="00B835EE"/>
    <w:rsid w:val="00BF54DA"/>
    <w:rsid w:val="00C13D9A"/>
    <w:rsid w:val="00C8434B"/>
    <w:rsid w:val="00CF4118"/>
    <w:rsid w:val="00D30A6C"/>
    <w:rsid w:val="00D6417B"/>
    <w:rsid w:val="00D70704"/>
    <w:rsid w:val="00DD3A5A"/>
    <w:rsid w:val="00E033F7"/>
    <w:rsid w:val="00E33DD1"/>
    <w:rsid w:val="00E7055C"/>
    <w:rsid w:val="00EC5872"/>
    <w:rsid w:val="00EE344A"/>
    <w:rsid w:val="00F1105B"/>
    <w:rsid w:val="00F42EFF"/>
    <w:rsid w:val="00F52320"/>
    <w:rsid w:val="00F935CD"/>
    <w:rsid w:val="00FB5A30"/>
    <w:rsid w:val="00FC2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77EBE"/>
  <w15:chartTrackingRefBased/>
  <w15:docId w15:val="{122BB495-63F3-4240-A3DA-259DF5C86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A5A"/>
  </w:style>
  <w:style w:type="paragraph" w:styleId="Heading1">
    <w:name w:val="heading 1"/>
    <w:basedOn w:val="Normal"/>
    <w:next w:val="Normal"/>
    <w:link w:val="Heading1Char"/>
    <w:qFormat/>
    <w:rsid w:val="00455A8A"/>
    <w:pPr>
      <w:keepNext/>
      <w:outlineLvl w:val="0"/>
    </w:pPr>
    <w:rPr>
      <w:rFonts w:ascii="Cambria" w:eastAsia="Times New Roman" w:hAnsi="Cambria" w:cs="Times New Roman"/>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3A5A"/>
    <w:rPr>
      <w:color w:val="0563C1" w:themeColor="hyperlink"/>
      <w:u w:val="single"/>
    </w:rPr>
  </w:style>
  <w:style w:type="character" w:styleId="FollowedHyperlink">
    <w:name w:val="FollowedHyperlink"/>
    <w:basedOn w:val="DefaultParagraphFont"/>
    <w:uiPriority w:val="99"/>
    <w:semiHidden/>
    <w:unhideWhenUsed/>
    <w:rsid w:val="00DD3A5A"/>
    <w:rPr>
      <w:color w:val="954F72" w:themeColor="followedHyperlink"/>
      <w:u w:val="single"/>
    </w:rPr>
  </w:style>
  <w:style w:type="paragraph" w:styleId="ListParagraph">
    <w:name w:val="List Paragraph"/>
    <w:basedOn w:val="Normal"/>
    <w:uiPriority w:val="34"/>
    <w:qFormat/>
    <w:rsid w:val="00DD3A5A"/>
    <w:pPr>
      <w:ind w:left="720"/>
      <w:contextualSpacing/>
    </w:pPr>
  </w:style>
  <w:style w:type="character" w:customStyle="1" w:styleId="UnresolvedMention1">
    <w:name w:val="Unresolved Mention1"/>
    <w:basedOn w:val="DefaultParagraphFont"/>
    <w:uiPriority w:val="99"/>
    <w:semiHidden/>
    <w:unhideWhenUsed/>
    <w:rsid w:val="00DD3A5A"/>
    <w:rPr>
      <w:color w:val="808080"/>
      <w:shd w:val="clear" w:color="auto" w:fill="E6E6E6"/>
    </w:rPr>
  </w:style>
  <w:style w:type="character" w:customStyle="1" w:styleId="authorsname">
    <w:name w:val="authors__name"/>
    <w:basedOn w:val="DefaultParagraphFont"/>
    <w:rsid w:val="00DD3A5A"/>
  </w:style>
  <w:style w:type="character" w:styleId="Emphasis">
    <w:name w:val="Emphasis"/>
    <w:basedOn w:val="DefaultParagraphFont"/>
    <w:uiPriority w:val="20"/>
    <w:qFormat/>
    <w:rsid w:val="00DD3A5A"/>
    <w:rPr>
      <w:i/>
      <w:iCs/>
    </w:rPr>
  </w:style>
  <w:style w:type="character" w:styleId="Strong">
    <w:name w:val="Strong"/>
    <w:basedOn w:val="DefaultParagraphFont"/>
    <w:uiPriority w:val="22"/>
    <w:qFormat/>
    <w:rsid w:val="00DD3A5A"/>
    <w:rPr>
      <w:b/>
      <w:bCs/>
    </w:rPr>
  </w:style>
  <w:style w:type="paragraph" w:styleId="Caption">
    <w:name w:val="caption"/>
    <w:basedOn w:val="Normal"/>
    <w:next w:val="Normal"/>
    <w:uiPriority w:val="35"/>
    <w:unhideWhenUsed/>
    <w:qFormat/>
    <w:rsid w:val="00DD3A5A"/>
    <w:pPr>
      <w:spacing w:after="200"/>
    </w:pPr>
    <w:rPr>
      <w:i/>
      <w:iCs/>
      <w:color w:val="44546A" w:themeColor="text2"/>
      <w:sz w:val="18"/>
      <w:szCs w:val="18"/>
    </w:rPr>
  </w:style>
  <w:style w:type="character" w:customStyle="1" w:styleId="UnresolvedMention">
    <w:name w:val="Unresolved Mention"/>
    <w:basedOn w:val="DefaultParagraphFont"/>
    <w:uiPriority w:val="99"/>
    <w:semiHidden/>
    <w:unhideWhenUsed/>
    <w:rsid w:val="00DD3A5A"/>
    <w:rPr>
      <w:color w:val="808080"/>
      <w:shd w:val="clear" w:color="auto" w:fill="E6E6E6"/>
    </w:rPr>
  </w:style>
  <w:style w:type="table" w:customStyle="1" w:styleId="TableGrid1">
    <w:name w:val="Table Grid1"/>
    <w:basedOn w:val="TableNormal"/>
    <w:next w:val="TableGrid"/>
    <w:uiPriority w:val="39"/>
    <w:rsid w:val="00435CC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35C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455A8A"/>
    <w:rPr>
      <w:rFonts w:ascii="Cambria" w:eastAsia="Times New Roman" w:hAnsi="Cambria" w:cs="Times New Roman"/>
      <w:b/>
      <w:bCs/>
      <w:sz w:val="28"/>
      <w:lang w:eastAsia="x-none"/>
    </w:rPr>
  </w:style>
  <w:style w:type="paragraph" w:styleId="Footer">
    <w:name w:val="footer"/>
    <w:basedOn w:val="Normal"/>
    <w:link w:val="FooterChar"/>
    <w:uiPriority w:val="99"/>
    <w:rsid w:val="00455A8A"/>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455A8A"/>
    <w:rPr>
      <w:rFonts w:ascii="Times New Roman" w:eastAsia="Times New Roman" w:hAnsi="Times New Roman" w:cs="Times New Roman"/>
      <w:lang w:val="x-none" w:eastAsia="x-none"/>
    </w:rPr>
  </w:style>
  <w:style w:type="character" w:customStyle="1" w:styleId="apple-style-span">
    <w:name w:val="apple-style-span"/>
    <w:rsid w:val="00455A8A"/>
  </w:style>
  <w:style w:type="paragraph" w:styleId="Header">
    <w:name w:val="header"/>
    <w:basedOn w:val="Normal"/>
    <w:link w:val="HeaderChar"/>
    <w:uiPriority w:val="99"/>
    <w:unhideWhenUsed/>
    <w:rsid w:val="006735F6"/>
    <w:pPr>
      <w:tabs>
        <w:tab w:val="center" w:pos="4513"/>
        <w:tab w:val="right" w:pos="9026"/>
      </w:tabs>
    </w:pPr>
  </w:style>
  <w:style w:type="character" w:customStyle="1" w:styleId="HeaderChar">
    <w:name w:val="Header Char"/>
    <w:basedOn w:val="DefaultParagraphFont"/>
    <w:link w:val="Header"/>
    <w:uiPriority w:val="99"/>
    <w:rsid w:val="00673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575643">
      <w:bodyDiv w:val="1"/>
      <w:marLeft w:val="0"/>
      <w:marRight w:val="0"/>
      <w:marTop w:val="0"/>
      <w:marBottom w:val="0"/>
      <w:divBdr>
        <w:top w:val="none" w:sz="0" w:space="0" w:color="auto"/>
        <w:left w:val="none" w:sz="0" w:space="0" w:color="auto"/>
        <w:bottom w:val="none" w:sz="0" w:space="0" w:color="auto"/>
        <w:right w:val="none" w:sz="0" w:space="0" w:color="auto"/>
      </w:divBdr>
    </w:div>
    <w:div w:id="139947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6.png"/><Relationship Id="rId21" Type="http://schemas.openxmlformats.org/officeDocument/2006/relationships/image" Target="media/image11.png"/><Relationship Id="rId34" Type="http://schemas.openxmlformats.org/officeDocument/2006/relationships/image" Target="media/image24.gif"/><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endnotes" Target="endnotes.xml"/><Relationship Id="rId12" Type="http://schemas.openxmlformats.org/officeDocument/2006/relationships/hyperlink" Target="https://www.schoolguide.co.uk/schools/the-bishop-of-llandaff-ciw-high-school-cardiff"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wmf"/><Relationship Id="rId38" Type="http://schemas.openxmlformats.org/officeDocument/2006/relationships/image" Target="media/image25.wmf"/><Relationship Id="rId46" Type="http://schemas.openxmlformats.org/officeDocument/2006/relationships/image" Target="media/image33.tmp"/><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shopofllandaff.org/" TargetMode="External"/><Relationship Id="rId24" Type="http://schemas.openxmlformats.org/officeDocument/2006/relationships/image" Target="media/image14.png"/><Relationship Id="rId32" Type="http://schemas.openxmlformats.org/officeDocument/2006/relationships/image" Target="media/image22.wmf"/><Relationship Id="rId37" Type="http://schemas.openxmlformats.org/officeDocument/2006/relationships/image" Target="media/image24.wmf"/><Relationship Id="rId40" Type="http://schemas.openxmlformats.org/officeDocument/2006/relationships/image" Target="media/image27.png"/><Relationship Id="rId45" Type="http://schemas.openxmlformats.org/officeDocument/2006/relationships/image" Target="media/image32.tmp"/><Relationship Id="rId53" Type="http://schemas.openxmlformats.org/officeDocument/2006/relationships/image" Target="media/image40.tmp"/><Relationship Id="rId58" Type="http://schemas.openxmlformats.org/officeDocument/2006/relationships/image" Target="media/image45.png"/><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3.emf"/><Relationship Id="rId28" Type="http://schemas.openxmlformats.org/officeDocument/2006/relationships/image" Target="media/image18.png"/><Relationship Id="rId36" Type="http://schemas.openxmlformats.org/officeDocument/2006/relationships/image" Target="media/image26.gif"/><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chart" Target="charts/chart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1.tmp"/><Relationship Id="rId52" Type="http://schemas.openxmlformats.org/officeDocument/2006/relationships/image" Target="media/image39.png"/><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4.jpeg"/><Relationship Id="rId22" Type="http://schemas.openxmlformats.org/officeDocument/2006/relationships/image" Target="media/image12.emf"/><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gif"/><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image" Target="media/image1.tmp"/><Relationship Id="rId51" Type="http://schemas.openxmlformats.org/officeDocument/2006/relationships/image" Target="media/image38.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A</a:t>
            </a:r>
            <a:r>
              <a:rPr lang="en-GB" u="sng" baseline="0"/>
              <a:t> Bar Chart To Show The Percentage Mark Per Question For The Pre and Post Test</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Sheet1!$D$39</c:f>
              <c:strCache>
                <c:ptCount val="1"/>
                <c:pt idx="0">
                  <c:v>Pre-Test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Sheet1!$C$40:$C$49</c:f>
              <c:strCache>
                <c:ptCount val="10"/>
                <c:pt idx="0">
                  <c:v>1a</c:v>
                </c:pt>
                <c:pt idx="1">
                  <c:v>1b</c:v>
                </c:pt>
                <c:pt idx="2">
                  <c:v>2a</c:v>
                </c:pt>
                <c:pt idx="3">
                  <c:v>2b</c:v>
                </c:pt>
                <c:pt idx="4">
                  <c:v>3a</c:v>
                </c:pt>
                <c:pt idx="5">
                  <c:v>3b</c:v>
                </c:pt>
                <c:pt idx="6">
                  <c:v>4a</c:v>
                </c:pt>
                <c:pt idx="7">
                  <c:v>4b</c:v>
                </c:pt>
                <c:pt idx="8">
                  <c:v>5</c:v>
                </c:pt>
                <c:pt idx="9">
                  <c:v>6</c:v>
                </c:pt>
              </c:strCache>
            </c:strRef>
          </c:cat>
          <c:val>
            <c:numRef>
              <c:f>Sheet1!$D$40:$D$49</c:f>
              <c:numCache>
                <c:formatCode>General</c:formatCode>
                <c:ptCount val="10"/>
                <c:pt idx="0">
                  <c:v>66</c:v>
                </c:pt>
                <c:pt idx="1">
                  <c:v>75</c:v>
                </c:pt>
                <c:pt idx="2">
                  <c:v>66</c:v>
                </c:pt>
                <c:pt idx="3">
                  <c:v>60</c:v>
                </c:pt>
                <c:pt idx="4">
                  <c:v>41</c:v>
                </c:pt>
                <c:pt idx="5">
                  <c:v>50</c:v>
                </c:pt>
                <c:pt idx="6">
                  <c:v>31</c:v>
                </c:pt>
                <c:pt idx="7">
                  <c:v>47</c:v>
                </c:pt>
                <c:pt idx="8">
                  <c:v>13</c:v>
                </c:pt>
                <c:pt idx="9">
                  <c:v>56</c:v>
                </c:pt>
              </c:numCache>
            </c:numRef>
          </c:val>
          <c:extLst xmlns:c16r2="http://schemas.microsoft.com/office/drawing/2015/06/chart">
            <c:ext xmlns:c16="http://schemas.microsoft.com/office/drawing/2014/chart" uri="{C3380CC4-5D6E-409C-BE32-E72D297353CC}">
              <c16:uniqueId val="{00000000-E30A-4C49-A902-5BE5138DC12B}"/>
            </c:ext>
          </c:extLst>
        </c:ser>
        <c:ser>
          <c:idx val="1"/>
          <c:order val="1"/>
          <c:tx>
            <c:strRef>
              <c:f>Sheet1!$E$39</c:f>
              <c:strCache>
                <c:ptCount val="1"/>
                <c:pt idx="0">
                  <c:v>Post-test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Sheet1!$C$40:$C$49</c:f>
              <c:strCache>
                <c:ptCount val="10"/>
                <c:pt idx="0">
                  <c:v>1a</c:v>
                </c:pt>
                <c:pt idx="1">
                  <c:v>1b</c:v>
                </c:pt>
                <c:pt idx="2">
                  <c:v>2a</c:v>
                </c:pt>
                <c:pt idx="3">
                  <c:v>2b</c:v>
                </c:pt>
                <c:pt idx="4">
                  <c:v>3a</c:v>
                </c:pt>
                <c:pt idx="5">
                  <c:v>3b</c:v>
                </c:pt>
                <c:pt idx="6">
                  <c:v>4a</c:v>
                </c:pt>
                <c:pt idx="7">
                  <c:v>4b</c:v>
                </c:pt>
                <c:pt idx="8">
                  <c:v>5</c:v>
                </c:pt>
                <c:pt idx="9">
                  <c:v>6</c:v>
                </c:pt>
              </c:strCache>
            </c:strRef>
          </c:cat>
          <c:val>
            <c:numRef>
              <c:f>Sheet1!$E$40:$E$49</c:f>
              <c:numCache>
                <c:formatCode>General</c:formatCode>
                <c:ptCount val="10"/>
                <c:pt idx="0">
                  <c:v>92</c:v>
                </c:pt>
                <c:pt idx="1">
                  <c:v>100</c:v>
                </c:pt>
                <c:pt idx="2">
                  <c:v>89</c:v>
                </c:pt>
                <c:pt idx="3">
                  <c:v>91</c:v>
                </c:pt>
                <c:pt idx="4">
                  <c:v>88</c:v>
                </c:pt>
                <c:pt idx="5">
                  <c:v>84</c:v>
                </c:pt>
                <c:pt idx="6">
                  <c:v>88</c:v>
                </c:pt>
                <c:pt idx="7">
                  <c:v>61</c:v>
                </c:pt>
                <c:pt idx="8">
                  <c:v>9</c:v>
                </c:pt>
                <c:pt idx="9">
                  <c:v>75</c:v>
                </c:pt>
              </c:numCache>
            </c:numRef>
          </c:val>
          <c:extLst xmlns:c16r2="http://schemas.microsoft.com/office/drawing/2015/06/chart">
            <c:ext xmlns:c16="http://schemas.microsoft.com/office/drawing/2014/chart" uri="{C3380CC4-5D6E-409C-BE32-E72D297353CC}">
              <c16:uniqueId val="{00000001-E30A-4C49-A902-5BE5138DC12B}"/>
            </c:ext>
          </c:extLst>
        </c:ser>
        <c:dLbls>
          <c:dLblPos val="outEnd"/>
          <c:showLegendKey val="0"/>
          <c:showVal val="1"/>
          <c:showCatName val="0"/>
          <c:showSerName val="0"/>
          <c:showPercent val="0"/>
          <c:showBubbleSize val="0"/>
        </c:dLbls>
        <c:gapWidth val="219"/>
        <c:overlap val="-27"/>
        <c:axId val="518396296"/>
        <c:axId val="518396688"/>
      </c:barChart>
      <c:catAx>
        <c:axId val="518396296"/>
        <c:scaling>
          <c:orientation val="minMax"/>
        </c:scaling>
        <c:delete val="0"/>
        <c:axPos val="b"/>
        <c:title>
          <c:tx>
            <c:rich>
              <a:bodyPr rot="0" spcFirstLastPara="1" vertOverflow="ellipsis" vert="horz" wrap="square" anchor="ctr" anchorCtr="1"/>
              <a:lstStyle/>
              <a:p>
                <a:pPr>
                  <a:defRPr sz="1000" b="0" i="0" u="sng" strike="noStrike" kern="1200" baseline="0">
                    <a:solidFill>
                      <a:schemeClr val="tx1">
                        <a:lumMod val="65000"/>
                        <a:lumOff val="35000"/>
                      </a:schemeClr>
                    </a:solidFill>
                    <a:latin typeface="+mn-lt"/>
                    <a:ea typeface="+mn-ea"/>
                    <a:cs typeface="+mn-cs"/>
                  </a:defRPr>
                </a:pPr>
                <a:r>
                  <a:rPr lang="en-US" u="sng"/>
                  <a:t>Question Number</a:t>
                </a:r>
              </a:p>
            </c:rich>
          </c:tx>
          <c:overlay val="0"/>
          <c:spPr>
            <a:noFill/>
            <a:ln>
              <a:noFill/>
            </a:ln>
            <a:effectLst/>
          </c:spPr>
          <c:txPr>
            <a:bodyPr rot="0" spcFirstLastPara="1" vertOverflow="ellipsis" vert="horz" wrap="square" anchor="ctr" anchorCtr="1"/>
            <a:lstStyle/>
            <a:p>
              <a:pPr>
                <a:defRPr sz="1000" b="0" i="0" u="sng"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396688"/>
        <c:crosses val="autoZero"/>
        <c:auto val="1"/>
        <c:lblAlgn val="ctr"/>
        <c:lblOffset val="100"/>
        <c:noMultiLvlLbl val="0"/>
      </c:catAx>
      <c:valAx>
        <c:axId val="518396688"/>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sng" strike="noStrike" kern="1200" baseline="0">
                    <a:solidFill>
                      <a:schemeClr val="tx1">
                        <a:lumMod val="65000"/>
                        <a:lumOff val="35000"/>
                      </a:schemeClr>
                    </a:solidFill>
                    <a:latin typeface="+mn-lt"/>
                    <a:ea typeface="+mn-ea"/>
                    <a:cs typeface="+mn-cs"/>
                  </a:defRPr>
                </a:pPr>
                <a:r>
                  <a:rPr lang="en-US" u="sng"/>
                  <a:t>Mark (%)</a:t>
                </a:r>
              </a:p>
            </c:rich>
          </c:tx>
          <c:overlay val="0"/>
          <c:spPr>
            <a:noFill/>
            <a:ln>
              <a:noFill/>
            </a:ln>
            <a:effectLst/>
          </c:spPr>
          <c:txPr>
            <a:bodyPr rot="-5400000" spcFirstLastPara="1" vertOverflow="ellipsis" vert="horz" wrap="square" anchor="ctr" anchorCtr="1"/>
            <a:lstStyle/>
            <a:p>
              <a:pPr>
                <a:defRPr sz="1000" b="0" i="0" u="sng"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396296"/>
        <c:crosses val="autoZero"/>
        <c:crossBetween val="between"/>
      </c:valAx>
      <c:spPr>
        <a:no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3A523-A1F6-4AD5-8337-A73C8229E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50</Pages>
  <Words>10826</Words>
  <Characters>61710</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Katie-Jayne Martin</dc:creator>
  <cp:keywords/>
  <dc:description/>
  <cp:lastModifiedBy>MartinK</cp:lastModifiedBy>
  <cp:revision>11</cp:revision>
  <dcterms:created xsi:type="dcterms:W3CDTF">2018-05-14T00:04:00Z</dcterms:created>
  <dcterms:modified xsi:type="dcterms:W3CDTF">2018-05-14T10:17:00Z</dcterms:modified>
</cp:coreProperties>
</file>