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E56B48" w14:textId="7F4C2279" w:rsidR="00593238" w:rsidRDefault="00DC4DF9">
      <w:r w:rsidRPr="00C20C33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67CE672C" wp14:editId="604114D2">
            <wp:simplePos x="0" y="0"/>
            <wp:positionH relativeFrom="column">
              <wp:posOffset>443865</wp:posOffset>
            </wp:positionH>
            <wp:positionV relativeFrom="paragraph">
              <wp:posOffset>0</wp:posOffset>
            </wp:positionV>
            <wp:extent cx="4820920" cy="3181350"/>
            <wp:effectExtent l="0" t="0" r="0" b="0"/>
            <wp:wrapThrough wrapText="bothSides">
              <wp:wrapPolygon edited="0">
                <wp:start x="0" y="0"/>
                <wp:lineTo x="0" y="21471"/>
                <wp:lineTo x="21509" y="21471"/>
                <wp:lineTo x="21509" y="0"/>
                <wp:lineTo x="0" y="0"/>
              </wp:wrapPolygon>
            </wp:wrapThrough>
            <wp:docPr id="5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67846A33-AD36-4A59-B2F6-5ACDB77348C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67846A33-AD36-4A59-B2F6-5ACDB77348C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brightnessContrast contrast="-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20920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D66EBC" w14:textId="77777777" w:rsidR="00952893" w:rsidRDefault="00952893"/>
    <w:p w14:paraId="684A6993" w14:textId="77777777" w:rsidR="00952893" w:rsidRDefault="00952893"/>
    <w:p w14:paraId="52888B9A" w14:textId="77777777" w:rsidR="00952893" w:rsidRDefault="00952893"/>
    <w:p w14:paraId="1D346CF4" w14:textId="77777777" w:rsidR="00952893" w:rsidRPr="005E1585" w:rsidRDefault="00952893">
      <w:pPr>
        <w:rPr>
          <w:rFonts w:cstheme="minorHAnsi"/>
        </w:rPr>
      </w:pPr>
    </w:p>
    <w:p w14:paraId="031EC320" w14:textId="77777777" w:rsidR="00952893" w:rsidRPr="005E1585" w:rsidRDefault="00952893">
      <w:pPr>
        <w:rPr>
          <w:rFonts w:cstheme="minorHAnsi"/>
        </w:rPr>
      </w:pPr>
    </w:p>
    <w:p w14:paraId="2E5B8105" w14:textId="77777777" w:rsidR="00952893" w:rsidRPr="005E1585" w:rsidRDefault="00952893">
      <w:pPr>
        <w:rPr>
          <w:rFonts w:cstheme="minorHAnsi"/>
        </w:rPr>
      </w:pPr>
    </w:p>
    <w:p w14:paraId="6305DFEC" w14:textId="69336E9D" w:rsidR="00DB5993" w:rsidRPr="005E1585" w:rsidRDefault="00952893" w:rsidP="00DB5993">
      <w:pPr>
        <w:rPr>
          <w:rFonts w:cstheme="minorHAnsi"/>
          <w:sz w:val="24"/>
          <w:szCs w:val="24"/>
          <w:u w:val="single"/>
        </w:rPr>
      </w:pPr>
      <w:r w:rsidRPr="005E1585">
        <w:rPr>
          <w:rFonts w:cstheme="minorHAnsi"/>
          <w:sz w:val="24"/>
          <w:szCs w:val="24"/>
          <w:u w:val="single"/>
        </w:rPr>
        <w:t xml:space="preserve">Image Analysis </w:t>
      </w:r>
      <w:proofErr w:type="gramStart"/>
      <w:r w:rsidRPr="005E1585">
        <w:rPr>
          <w:rFonts w:cstheme="minorHAnsi"/>
          <w:sz w:val="24"/>
          <w:szCs w:val="24"/>
          <w:u w:val="single"/>
        </w:rPr>
        <w:t xml:space="preserve">– </w:t>
      </w:r>
      <w:r w:rsidR="003C0D73" w:rsidRPr="005E1585">
        <w:rPr>
          <w:rFonts w:cstheme="minorHAnsi"/>
          <w:sz w:val="24"/>
          <w:szCs w:val="24"/>
          <w:u w:val="single"/>
        </w:rPr>
        <w:t xml:space="preserve"> </w:t>
      </w:r>
      <w:proofErr w:type="spellStart"/>
      <w:r w:rsidR="003C0D73" w:rsidRPr="005E1585">
        <w:rPr>
          <w:rFonts w:cstheme="minorHAnsi"/>
          <w:sz w:val="24"/>
          <w:szCs w:val="24"/>
          <w:u w:val="single"/>
        </w:rPr>
        <w:t>Kalavasos</w:t>
      </w:r>
      <w:proofErr w:type="gramEnd"/>
      <w:r w:rsidR="003C0D73" w:rsidRPr="005E1585">
        <w:rPr>
          <w:rFonts w:cstheme="minorHAnsi"/>
          <w:sz w:val="24"/>
          <w:szCs w:val="24"/>
          <w:u w:val="single"/>
        </w:rPr>
        <w:t>-Ayios</w:t>
      </w:r>
      <w:proofErr w:type="spellEnd"/>
      <w:r w:rsidR="003C0D73" w:rsidRPr="005E1585">
        <w:rPr>
          <w:rFonts w:cstheme="minorHAnsi"/>
          <w:sz w:val="24"/>
          <w:szCs w:val="24"/>
          <w:u w:val="single"/>
        </w:rPr>
        <w:t xml:space="preserve"> Dhimitrios, </w:t>
      </w:r>
      <w:r w:rsidRPr="005E1585">
        <w:rPr>
          <w:rFonts w:cstheme="minorHAnsi"/>
          <w:sz w:val="24"/>
          <w:szCs w:val="24"/>
          <w:u w:val="single"/>
        </w:rPr>
        <w:t>Tomb 11</w:t>
      </w:r>
    </w:p>
    <w:p w14:paraId="4BA063D1" w14:textId="728CA1E6" w:rsidR="003774FE" w:rsidRPr="005E1585" w:rsidRDefault="003C0D73" w:rsidP="005E1585">
      <w:pPr>
        <w:spacing w:line="360" w:lineRule="auto"/>
        <w:rPr>
          <w:rFonts w:cstheme="minorHAnsi"/>
        </w:rPr>
      </w:pPr>
      <w:r w:rsidRPr="005E1585">
        <w:rPr>
          <w:rFonts w:cstheme="minorHAnsi"/>
        </w:rPr>
        <w:tab/>
        <w:t xml:space="preserve">The </w:t>
      </w:r>
      <w:r w:rsidR="009D17EB" w:rsidRPr="005E1585">
        <w:rPr>
          <w:rFonts w:cstheme="minorHAnsi"/>
        </w:rPr>
        <w:t xml:space="preserve">above image </w:t>
      </w:r>
      <w:r w:rsidRPr="005E1585">
        <w:rPr>
          <w:rFonts w:cstheme="minorHAnsi"/>
        </w:rPr>
        <w:t>is an artistic representation of</w:t>
      </w:r>
      <w:r w:rsidR="00DE43DC" w:rsidRPr="005E1585">
        <w:rPr>
          <w:rFonts w:cstheme="minorHAnsi"/>
        </w:rPr>
        <w:t xml:space="preserve"> </w:t>
      </w:r>
      <w:r w:rsidR="007E72B9" w:rsidRPr="005E1585">
        <w:rPr>
          <w:rFonts w:cstheme="minorHAnsi"/>
        </w:rPr>
        <w:t xml:space="preserve">Tomb 11 at </w:t>
      </w:r>
      <w:proofErr w:type="spellStart"/>
      <w:r w:rsidR="007E72B9" w:rsidRPr="005E1585">
        <w:rPr>
          <w:rFonts w:cstheme="minorHAnsi"/>
        </w:rPr>
        <w:t>Kalavasos-Ayios</w:t>
      </w:r>
      <w:proofErr w:type="spellEnd"/>
      <w:r w:rsidR="007E72B9" w:rsidRPr="005E1585">
        <w:rPr>
          <w:rFonts w:cstheme="minorHAnsi"/>
        </w:rPr>
        <w:t xml:space="preserve"> Dhimitrios</w:t>
      </w:r>
      <w:r w:rsidR="00DE43DC" w:rsidRPr="005E1585">
        <w:rPr>
          <w:rFonts w:cstheme="minorHAnsi"/>
        </w:rPr>
        <w:t>,</w:t>
      </w:r>
      <w:r w:rsidR="007E72B9" w:rsidRPr="005E1585">
        <w:rPr>
          <w:rFonts w:cstheme="minorHAnsi"/>
        </w:rPr>
        <w:t xml:space="preserve"> </w:t>
      </w:r>
      <w:r w:rsidR="00DE43DC" w:rsidRPr="005E1585">
        <w:rPr>
          <w:rFonts w:cstheme="minorHAnsi"/>
        </w:rPr>
        <w:t>‘</w:t>
      </w:r>
      <w:r w:rsidR="007E72B9" w:rsidRPr="005E1585">
        <w:rPr>
          <w:rFonts w:cstheme="minorHAnsi"/>
        </w:rPr>
        <w:t>an exceptionally rich and undisturbed tomb dated to the LC IIA period’</w:t>
      </w:r>
      <w:r w:rsidR="00DE43DC" w:rsidRPr="005E1585">
        <w:rPr>
          <w:rFonts w:cstheme="minorHAnsi"/>
        </w:rPr>
        <w:t xml:space="preserve"> </w:t>
      </w:r>
      <w:r w:rsidR="007E72B9" w:rsidRPr="005E1585">
        <w:rPr>
          <w:rFonts w:cstheme="minorHAnsi"/>
        </w:rPr>
        <w:t>(Goring, 1989, p.98)</w:t>
      </w:r>
      <w:r w:rsidR="00DE43DC" w:rsidRPr="005E1585">
        <w:rPr>
          <w:rFonts w:cstheme="minorHAnsi"/>
        </w:rPr>
        <w:t>.</w:t>
      </w:r>
      <w:r w:rsidR="00CE3D82" w:rsidRPr="005E1585">
        <w:rPr>
          <w:rFonts w:cstheme="minorHAnsi"/>
        </w:rPr>
        <w:t xml:space="preserve"> Uncovered </w:t>
      </w:r>
      <w:r w:rsidR="00C41980" w:rsidRPr="005E1585">
        <w:rPr>
          <w:rFonts w:cstheme="minorHAnsi"/>
        </w:rPr>
        <w:t xml:space="preserve">by Alison South </w:t>
      </w:r>
      <w:r w:rsidR="00CE3D82" w:rsidRPr="005E1585">
        <w:rPr>
          <w:rFonts w:cstheme="minorHAnsi"/>
        </w:rPr>
        <w:t>during excavations</w:t>
      </w:r>
      <w:r w:rsidR="00DC1B4F" w:rsidRPr="005E1585">
        <w:rPr>
          <w:rFonts w:cstheme="minorHAnsi"/>
        </w:rPr>
        <w:t xml:space="preserve"> carried out </w:t>
      </w:r>
      <w:r w:rsidR="00C41980" w:rsidRPr="005E1585">
        <w:rPr>
          <w:rFonts w:cstheme="minorHAnsi"/>
        </w:rPr>
        <w:t xml:space="preserve">between 1979-1998 (KAMBE), this </w:t>
      </w:r>
      <w:r w:rsidR="00E9262A" w:rsidRPr="005E1585">
        <w:rPr>
          <w:rFonts w:cstheme="minorHAnsi"/>
        </w:rPr>
        <w:t xml:space="preserve">chamber </w:t>
      </w:r>
      <w:r w:rsidR="00C41980" w:rsidRPr="005E1585">
        <w:rPr>
          <w:rFonts w:cstheme="minorHAnsi"/>
        </w:rPr>
        <w:t>tomb</w:t>
      </w:r>
      <w:r w:rsidR="00E9262A" w:rsidRPr="005E1585">
        <w:rPr>
          <w:rFonts w:cstheme="minorHAnsi"/>
        </w:rPr>
        <w:t>, situated</w:t>
      </w:r>
      <w:r w:rsidR="009B4B48" w:rsidRPr="005E1585">
        <w:rPr>
          <w:rFonts w:cstheme="minorHAnsi"/>
        </w:rPr>
        <w:t xml:space="preserve"> </w:t>
      </w:r>
      <w:r w:rsidR="00034394" w:rsidRPr="005E1585">
        <w:rPr>
          <w:rFonts w:cstheme="minorHAnsi"/>
        </w:rPr>
        <w:t>beneath</w:t>
      </w:r>
      <w:r w:rsidR="005C0B9C" w:rsidRPr="005E1585">
        <w:rPr>
          <w:rFonts w:cstheme="minorHAnsi"/>
        </w:rPr>
        <w:t xml:space="preserve"> the streets of</w:t>
      </w:r>
      <w:r w:rsidR="00034394" w:rsidRPr="005E1585">
        <w:rPr>
          <w:rFonts w:cstheme="minorHAnsi"/>
        </w:rPr>
        <w:t xml:space="preserve"> </w:t>
      </w:r>
      <w:r w:rsidR="00D74EDD" w:rsidRPr="005E1585">
        <w:rPr>
          <w:rFonts w:cstheme="minorHAnsi"/>
        </w:rPr>
        <w:t xml:space="preserve">later residences (figure 2), </w:t>
      </w:r>
      <w:r w:rsidR="009B4B48" w:rsidRPr="005E1585">
        <w:rPr>
          <w:rFonts w:cstheme="minorHAnsi"/>
        </w:rPr>
        <w:t xml:space="preserve">was unusual in </w:t>
      </w:r>
      <w:r w:rsidR="003774FE" w:rsidRPr="005E1585">
        <w:rPr>
          <w:rFonts w:cstheme="minorHAnsi"/>
        </w:rPr>
        <w:t>being</w:t>
      </w:r>
      <w:r w:rsidR="007E53F2" w:rsidRPr="005E1585">
        <w:rPr>
          <w:rFonts w:cstheme="minorHAnsi"/>
        </w:rPr>
        <w:t xml:space="preserve"> ‘intact and unplundered’</w:t>
      </w:r>
      <w:r w:rsidR="00A33AC8" w:rsidRPr="005E1585">
        <w:rPr>
          <w:rFonts w:cstheme="minorHAnsi"/>
        </w:rPr>
        <w:t xml:space="preserve"> </w:t>
      </w:r>
      <w:r w:rsidR="007E53F2" w:rsidRPr="005E1585">
        <w:rPr>
          <w:rFonts w:cstheme="minorHAnsi"/>
        </w:rPr>
        <w:t>(Goring, 1989, p.98)</w:t>
      </w:r>
      <w:r w:rsidR="003774FE" w:rsidRPr="005E1585">
        <w:rPr>
          <w:rFonts w:cstheme="minorHAnsi"/>
        </w:rPr>
        <w:t>.</w:t>
      </w:r>
    </w:p>
    <w:p w14:paraId="739155F6" w14:textId="6AB9245F" w:rsidR="00ED34D5" w:rsidRPr="005E1585" w:rsidRDefault="00D4486A" w:rsidP="005E1585">
      <w:pPr>
        <w:spacing w:line="360" w:lineRule="auto"/>
        <w:ind w:firstLine="720"/>
        <w:rPr>
          <w:rFonts w:cstheme="minorHAnsi"/>
        </w:rPr>
      </w:pPr>
      <w:r w:rsidRPr="005E1585">
        <w:rPr>
          <w:rFonts w:cstheme="minorHAnsi"/>
        </w:rPr>
        <w:t>A more</w:t>
      </w:r>
      <w:r w:rsidR="00ED34D5" w:rsidRPr="005E1585">
        <w:rPr>
          <w:rFonts w:cstheme="minorHAnsi"/>
        </w:rPr>
        <w:t xml:space="preserve"> art</w:t>
      </w:r>
      <w:r w:rsidRPr="005E1585">
        <w:rPr>
          <w:rFonts w:cstheme="minorHAnsi"/>
        </w:rPr>
        <w:t xml:space="preserve">istic </w:t>
      </w:r>
      <w:r w:rsidR="00C131DB" w:rsidRPr="005E1585">
        <w:rPr>
          <w:rFonts w:cstheme="minorHAnsi"/>
        </w:rPr>
        <w:t>depiction of a tomb</w:t>
      </w:r>
      <w:r w:rsidR="00DA4799" w:rsidRPr="005E1585">
        <w:rPr>
          <w:rFonts w:cstheme="minorHAnsi"/>
        </w:rPr>
        <w:t xml:space="preserve"> than</w:t>
      </w:r>
      <w:r w:rsidR="00D113CB" w:rsidRPr="005E1585">
        <w:rPr>
          <w:rFonts w:cstheme="minorHAnsi"/>
        </w:rPr>
        <w:t xml:space="preserve"> figures 1 and 2, </w:t>
      </w:r>
      <w:r w:rsidR="00185348" w:rsidRPr="005E1585">
        <w:rPr>
          <w:rFonts w:cstheme="minorHAnsi"/>
        </w:rPr>
        <w:t xml:space="preserve">the </w:t>
      </w:r>
      <w:r w:rsidR="000E2431" w:rsidRPr="005E1585">
        <w:rPr>
          <w:rFonts w:cstheme="minorHAnsi"/>
        </w:rPr>
        <w:t xml:space="preserve">above </w:t>
      </w:r>
      <w:r w:rsidR="00075CA8" w:rsidRPr="005E1585">
        <w:rPr>
          <w:rFonts w:cstheme="minorHAnsi"/>
        </w:rPr>
        <w:t xml:space="preserve">scene, characterised by </w:t>
      </w:r>
      <w:r w:rsidR="00185348" w:rsidRPr="005E1585">
        <w:rPr>
          <w:rFonts w:cstheme="minorHAnsi"/>
        </w:rPr>
        <w:t xml:space="preserve">bright colours and </w:t>
      </w:r>
      <w:r w:rsidR="00075CA8" w:rsidRPr="005E1585">
        <w:rPr>
          <w:rFonts w:cstheme="minorHAnsi"/>
        </w:rPr>
        <w:t xml:space="preserve">the </w:t>
      </w:r>
      <w:r w:rsidR="002D47D2" w:rsidRPr="005E1585">
        <w:rPr>
          <w:rFonts w:cstheme="minorHAnsi"/>
        </w:rPr>
        <w:t>presentation</w:t>
      </w:r>
      <w:r w:rsidR="00185348" w:rsidRPr="005E1585">
        <w:rPr>
          <w:rFonts w:cstheme="minorHAnsi"/>
        </w:rPr>
        <w:t xml:space="preserve"> of the </w:t>
      </w:r>
      <w:r w:rsidR="00012E24" w:rsidRPr="005E1585">
        <w:rPr>
          <w:rFonts w:cstheme="minorHAnsi"/>
        </w:rPr>
        <w:t xml:space="preserve">intact </w:t>
      </w:r>
      <w:r w:rsidR="00075CA8" w:rsidRPr="005E1585">
        <w:rPr>
          <w:rFonts w:cstheme="minorHAnsi"/>
        </w:rPr>
        <w:t>skeleton</w:t>
      </w:r>
      <w:r w:rsidR="00012E24" w:rsidRPr="005E1585">
        <w:rPr>
          <w:rFonts w:cstheme="minorHAnsi"/>
        </w:rPr>
        <w:t xml:space="preserve"> as a</w:t>
      </w:r>
      <w:r w:rsidR="007F7E5F" w:rsidRPr="005E1585">
        <w:rPr>
          <w:rFonts w:cstheme="minorHAnsi"/>
        </w:rPr>
        <w:t xml:space="preserve"> recently-deceased</w:t>
      </w:r>
      <w:r w:rsidR="00012E24" w:rsidRPr="005E1585">
        <w:rPr>
          <w:rFonts w:cstheme="minorHAnsi"/>
        </w:rPr>
        <w:t xml:space="preserve"> </w:t>
      </w:r>
      <w:r w:rsidR="00C131DB" w:rsidRPr="005E1585">
        <w:rPr>
          <w:rFonts w:cstheme="minorHAnsi"/>
        </w:rPr>
        <w:t>“</w:t>
      </w:r>
      <w:r w:rsidR="00012E24" w:rsidRPr="005E1585">
        <w:rPr>
          <w:rFonts w:cstheme="minorHAnsi"/>
        </w:rPr>
        <w:t>character</w:t>
      </w:r>
      <w:r w:rsidR="00C131DB" w:rsidRPr="005E1585">
        <w:rPr>
          <w:rFonts w:cstheme="minorHAnsi"/>
        </w:rPr>
        <w:t>” is</w:t>
      </w:r>
      <w:r w:rsidR="00012E24" w:rsidRPr="005E1585">
        <w:rPr>
          <w:rFonts w:cstheme="minorHAnsi"/>
        </w:rPr>
        <w:t xml:space="preserve"> only broken by the north</w:t>
      </w:r>
      <w:r w:rsidR="009A1D41" w:rsidRPr="005E1585">
        <w:rPr>
          <w:rFonts w:cstheme="minorHAnsi"/>
        </w:rPr>
        <w:t>-o</w:t>
      </w:r>
      <w:r w:rsidR="00012E24" w:rsidRPr="005E1585">
        <w:rPr>
          <w:rFonts w:cstheme="minorHAnsi"/>
        </w:rPr>
        <w:t>rienting arrow in the corner.</w:t>
      </w:r>
      <w:r w:rsidR="007C649A" w:rsidRPr="005E1585">
        <w:rPr>
          <w:rFonts w:cstheme="minorHAnsi"/>
        </w:rPr>
        <w:t xml:space="preserve"> This feature </w:t>
      </w:r>
      <w:r w:rsidR="004D6B85" w:rsidRPr="005E1585">
        <w:rPr>
          <w:rFonts w:cstheme="minorHAnsi"/>
        </w:rPr>
        <w:t>suggest</w:t>
      </w:r>
      <w:r w:rsidR="00EF4101">
        <w:rPr>
          <w:rFonts w:cstheme="minorHAnsi"/>
        </w:rPr>
        <w:t>s</w:t>
      </w:r>
      <w:r w:rsidR="004D6B85" w:rsidRPr="005E1585">
        <w:rPr>
          <w:rFonts w:cstheme="minorHAnsi"/>
        </w:rPr>
        <w:t xml:space="preserve"> the more academic aspects of th</w:t>
      </w:r>
      <w:r w:rsidR="00677CEB" w:rsidRPr="005E1585">
        <w:rPr>
          <w:rFonts w:cstheme="minorHAnsi"/>
        </w:rPr>
        <w:t>e image, so</w:t>
      </w:r>
      <w:r w:rsidR="00C00D03" w:rsidRPr="005E1585">
        <w:rPr>
          <w:rFonts w:cstheme="minorHAnsi"/>
        </w:rPr>
        <w:t xml:space="preserve"> </w:t>
      </w:r>
      <w:r w:rsidR="00FB782C" w:rsidRPr="005E1585">
        <w:rPr>
          <w:rFonts w:cstheme="minorHAnsi"/>
        </w:rPr>
        <w:t xml:space="preserve">retaining relevance </w:t>
      </w:r>
      <w:r w:rsidR="000E2431" w:rsidRPr="005E1585">
        <w:rPr>
          <w:rFonts w:cstheme="minorHAnsi"/>
        </w:rPr>
        <w:t xml:space="preserve">to </w:t>
      </w:r>
      <w:r w:rsidR="00FB782C" w:rsidRPr="005E1585">
        <w:rPr>
          <w:rFonts w:cstheme="minorHAnsi"/>
        </w:rPr>
        <w:t xml:space="preserve">an </w:t>
      </w:r>
      <w:r w:rsidR="002E0CC7" w:rsidRPr="005E1585">
        <w:rPr>
          <w:rFonts w:cstheme="minorHAnsi"/>
        </w:rPr>
        <w:t>archaeological audience.</w:t>
      </w:r>
    </w:p>
    <w:p w14:paraId="1F3FFE37" w14:textId="5ECC59FA" w:rsidR="00AC6BAA" w:rsidRPr="005E1585" w:rsidRDefault="00EB2350" w:rsidP="005E1585">
      <w:pPr>
        <w:spacing w:line="360" w:lineRule="auto"/>
        <w:ind w:firstLine="720"/>
        <w:rPr>
          <w:rFonts w:cstheme="minorHAnsi"/>
        </w:rPr>
      </w:pPr>
      <w:r w:rsidRPr="005E1585">
        <w:rPr>
          <w:rFonts w:cstheme="minorHAnsi"/>
        </w:rPr>
        <w:t xml:space="preserve">A general audience may be </w:t>
      </w:r>
      <w:r w:rsidR="004772C6" w:rsidRPr="005E1585">
        <w:rPr>
          <w:rFonts w:cstheme="minorHAnsi"/>
        </w:rPr>
        <w:t>un</w:t>
      </w:r>
      <w:r w:rsidRPr="005E1585">
        <w:rPr>
          <w:rFonts w:cstheme="minorHAnsi"/>
        </w:rPr>
        <w:t>familiar with this iconography</w:t>
      </w:r>
      <w:r w:rsidR="00AC6BAA" w:rsidRPr="005E1585">
        <w:rPr>
          <w:rFonts w:cstheme="minorHAnsi"/>
        </w:rPr>
        <w:t xml:space="preserve">, </w:t>
      </w:r>
      <w:r w:rsidR="00AE76FF" w:rsidRPr="005E1585">
        <w:rPr>
          <w:rFonts w:cstheme="minorHAnsi"/>
        </w:rPr>
        <w:t>and it may even detract from a purely e</w:t>
      </w:r>
      <w:r w:rsidR="000C3DC1" w:rsidRPr="005E1585">
        <w:rPr>
          <w:rFonts w:cstheme="minorHAnsi"/>
        </w:rPr>
        <w:t>motive engagement with the piece</w:t>
      </w:r>
      <w:r w:rsidR="00FB782C" w:rsidRPr="005E1585">
        <w:rPr>
          <w:rFonts w:cstheme="minorHAnsi"/>
        </w:rPr>
        <w:t>, if th</w:t>
      </w:r>
      <w:r w:rsidR="00D867E2" w:rsidRPr="005E1585">
        <w:rPr>
          <w:rFonts w:cstheme="minorHAnsi"/>
        </w:rPr>
        <w:t xml:space="preserve">e intention was for public </w:t>
      </w:r>
      <w:r w:rsidR="0050189D" w:rsidRPr="005E1585">
        <w:rPr>
          <w:rFonts w:cstheme="minorHAnsi"/>
        </w:rPr>
        <w:t>display.</w:t>
      </w:r>
      <w:r w:rsidR="000C3DC1" w:rsidRPr="005E1585">
        <w:rPr>
          <w:rFonts w:cstheme="minorHAnsi"/>
        </w:rPr>
        <w:t xml:space="preserve"> </w:t>
      </w:r>
      <w:r w:rsidR="00EA2725" w:rsidRPr="005E1585">
        <w:rPr>
          <w:rFonts w:cstheme="minorHAnsi"/>
        </w:rPr>
        <w:t>The arrow</w:t>
      </w:r>
      <w:r w:rsidR="004A6B1A" w:rsidRPr="005E1585">
        <w:rPr>
          <w:rFonts w:cstheme="minorHAnsi"/>
        </w:rPr>
        <w:t>’</w:t>
      </w:r>
      <w:r w:rsidR="00EA2725" w:rsidRPr="005E1585">
        <w:rPr>
          <w:rFonts w:cstheme="minorHAnsi"/>
        </w:rPr>
        <w:t>s</w:t>
      </w:r>
      <w:r w:rsidR="000C3DC1" w:rsidRPr="005E1585">
        <w:rPr>
          <w:rFonts w:cstheme="minorHAnsi"/>
        </w:rPr>
        <w:t xml:space="preserve"> inclusion would suggest, then, that </w:t>
      </w:r>
      <w:r w:rsidR="00D16CC4" w:rsidRPr="005E1585">
        <w:rPr>
          <w:rFonts w:cstheme="minorHAnsi"/>
        </w:rPr>
        <w:t>the tomb plan is not for artistic consumption only.</w:t>
      </w:r>
      <w:r w:rsidR="00FE4827" w:rsidRPr="005E1585">
        <w:rPr>
          <w:rFonts w:cstheme="minorHAnsi"/>
        </w:rPr>
        <w:t xml:space="preserve"> I</w:t>
      </w:r>
      <w:r w:rsidR="00D16CC4" w:rsidRPr="005E1585">
        <w:rPr>
          <w:rFonts w:cstheme="minorHAnsi"/>
        </w:rPr>
        <w:t xml:space="preserve">f this is the case, then its existence as an archaeological document must be </w:t>
      </w:r>
      <w:r w:rsidR="00FE4827" w:rsidRPr="005E1585">
        <w:rPr>
          <w:rFonts w:cstheme="minorHAnsi"/>
        </w:rPr>
        <w:t>examined.</w:t>
      </w:r>
    </w:p>
    <w:p w14:paraId="45E95516" w14:textId="4271E6E8" w:rsidR="009A1D41" w:rsidRPr="005E1585" w:rsidRDefault="00771677" w:rsidP="005E1585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5E1585">
        <w:rPr>
          <w:rFonts w:asciiTheme="minorHAnsi" w:hAnsiTheme="minorHAnsi" w:cstheme="minorHAnsi"/>
          <w:sz w:val="22"/>
          <w:szCs w:val="22"/>
        </w:rPr>
        <w:tab/>
        <w:t xml:space="preserve">The choice to present </w:t>
      </w:r>
      <w:r w:rsidR="00F67926" w:rsidRPr="005E1585">
        <w:rPr>
          <w:rFonts w:asciiTheme="minorHAnsi" w:hAnsiTheme="minorHAnsi" w:cstheme="minorHAnsi"/>
          <w:sz w:val="22"/>
          <w:szCs w:val="22"/>
        </w:rPr>
        <w:t>T</w:t>
      </w:r>
      <w:r w:rsidRPr="005E1585">
        <w:rPr>
          <w:rFonts w:asciiTheme="minorHAnsi" w:hAnsiTheme="minorHAnsi" w:cstheme="minorHAnsi"/>
          <w:sz w:val="22"/>
          <w:szCs w:val="22"/>
        </w:rPr>
        <w:t xml:space="preserve">omb 11 in </w:t>
      </w:r>
      <w:r w:rsidR="00EA17F9" w:rsidRPr="005E1585">
        <w:rPr>
          <w:rFonts w:asciiTheme="minorHAnsi" w:hAnsiTheme="minorHAnsi" w:cstheme="minorHAnsi"/>
          <w:sz w:val="22"/>
          <w:szCs w:val="22"/>
        </w:rPr>
        <w:t>an artistic manner perhaps stemmed from a</w:t>
      </w:r>
      <w:r w:rsidR="00797D1E" w:rsidRPr="005E1585">
        <w:rPr>
          <w:rFonts w:asciiTheme="minorHAnsi" w:hAnsiTheme="minorHAnsi" w:cstheme="minorHAnsi"/>
          <w:sz w:val="22"/>
          <w:szCs w:val="22"/>
        </w:rPr>
        <w:t>n awareness of</w:t>
      </w:r>
      <w:r w:rsidR="00282646" w:rsidRPr="005E1585">
        <w:rPr>
          <w:rFonts w:asciiTheme="minorHAnsi" w:hAnsiTheme="minorHAnsi" w:cstheme="minorHAnsi"/>
          <w:sz w:val="22"/>
          <w:szCs w:val="22"/>
        </w:rPr>
        <w:t xml:space="preserve"> a gap</w:t>
      </w:r>
      <w:r w:rsidR="00797D1E" w:rsidRPr="005E1585">
        <w:rPr>
          <w:rFonts w:asciiTheme="minorHAnsi" w:hAnsiTheme="minorHAnsi" w:cstheme="minorHAnsi"/>
          <w:sz w:val="22"/>
          <w:szCs w:val="22"/>
        </w:rPr>
        <w:t xml:space="preserve"> between </w:t>
      </w:r>
      <w:r w:rsidR="00B80305" w:rsidRPr="005E1585">
        <w:rPr>
          <w:rFonts w:asciiTheme="minorHAnsi" w:hAnsiTheme="minorHAnsi" w:cstheme="minorHAnsi"/>
          <w:sz w:val="22"/>
          <w:szCs w:val="22"/>
        </w:rPr>
        <w:t xml:space="preserve">what archaeologists </w:t>
      </w:r>
      <w:r w:rsidR="00E46E04" w:rsidRPr="005E1585">
        <w:rPr>
          <w:rFonts w:asciiTheme="minorHAnsi" w:hAnsiTheme="minorHAnsi" w:cstheme="minorHAnsi"/>
          <w:sz w:val="22"/>
          <w:szCs w:val="22"/>
        </w:rPr>
        <w:t>were</w:t>
      </w:r>
      <w:r w:rsidR="00B80305" w:rsidRPr="005E1585">
        <w:rPr>
          <w:rFonts w:asciiTheme="minorHAnsi" w:hAnsiTheme="minorHAnsi" w:cstheme="minorHAnsi"/>
          <w:sz w:val="22"/>
          <w:szCs w:val="22"/>
        </w:rPr>
        <w:t xml:space="preserve"> excited about in their finds, and what the </w:t>
      </w:r>
      <w:r w:rsidR="00A8615E" w:rsidRPr="005E1585">
        <w:rPr>
          <w:rFonts w:asciiTheme="minorHAnsi" w:hAnsiTheme="minorHAnsi" w:cstheme="minorHAnsi"/>
          <w:sz w:val="22"/>
          <w:szCs w:val="22"/>
        </w:rPr>
        <w:t>public</w:t>
      </w:r>
      <w:r w:rsidR="00B80305" w:rsidRPr="005E1585">
        <w:rPr>
          <w:rFonts w:asciiTheme="minorHAnsi" w:hAnsiTheme="minorHAnsi" w:cstheme="minorHAnsi"/>
          <w:sz w:val="22"/>
          <w:szCs w:val="22"/>
        </w:rPr>
        <w:t xml:space="preserve"> are</w:t>
      </w:r>
      <w:r w:rsidR="002F2BE8" w:rsidRPr="005E1585">
        <w:rPr>
          <w:rFonts w:asciiTheme="minorHAnsi" w:hAnsiTheme="minorHAnsi" w:cstheme="minorHAnsi"/>
          <w:sz w:val="22"/>
          <w:szCs w:val="22"/>
        </w:rPr>
        <w:t xml:space="preserve"> widely</w:t>
      </w:r>
      <w:r w:rsidR="00B80305" w:rsidRPr="005E1585">
        <w:rPr>
          <w:rFonts w:asciiTheme="minorHAnsi" w:hAnsiTheme="minorHAnsi" w:cstheme="minorHAnsi"/>
          <w:sz w:val="22"/>
          <w:szCs w:val="22"/>
        </w:rPr>
        <w:t xml:space="preserve"> interested in.</w:t>
      </w:r>
      <w:r w:rsidR="00E3633B" w:rsidRPr="005E1585">
        <w:rPr>
          <w:rFonts w:asciiTheme="minorHAnsi" w:hAnsiTheme="minorHAnsi" w:cstheme="minorHAnsi"/>
          <w:sz w:val="22"/>
          <w:szCs w:val="22"/>
        </w:rPr>
        <w:t xml:space="preserve"> Kreiger highlights this disconnect </w:t>
      </w:r>
      <w:r w:rsidR="00A05AC7">
        <w:rPr>
          <w:rFonts w:asciiTheme="minorHAnsi" w:hAnsiTheme="minorHAnsi" w:cstheme="minorHAnsi"/>
          <w:sz w:val="22"/>
          <w:szCs w:val="22"/>
        </w:rPr>
        <w:t>causing</w:t>
      </w:r>
      <w:r w:rsidR="00B75F0D" w:rsidRPr="005E1585">
        <w:rPr>
          <w:rFonts w:asciiTheme="minorHAnsi" w:hAnsiTheme="minorHAnsi" w:cstheme="minorHAnsi"/>
          <w:sz w:val="22"/>
          <w:szCs w:val="22"/>
        </w:rPr>
        <w:t xml:space="preserve"> </w:t>
      </w:r>
      <w:r w:rsidR="00E3633B" w:rsidRPr="005E1585">
        <w:rPr>
          <w:rFonts w:asciiTheme="minorHAnsi" w:hAnsiTheme="minorHAnsi" w:cstheme="minorHAnsi"/>
          <w:sz w:val="22"/>
          <w:szCs w:val="22"/>
        </w:rPr>
        <w:t>archaeologists ‘problems communicating with their host communities’ (Kreiger, 2014, p.933)</w:t>
      </w:r>
      <w:r w:rsidR="001C6E17" w:rsidRPr="005E1585">
        <w:rPr>
          <w:rFonts w:asciiTheme="minorHAnsi" w:hAnsiTheme="minorHAnsi" w:cstheme="minorHAnsi"/>
          <w:sz w:val="22"/>
          <w:szCs w:val="22"/>
        </w:rPr>
        <w:t>. Drawn tomb plans are intended to document</w:t>
      </w:r>
      <w:r w:rsidR="002F2BE8" w:rsidRPr="005E1585">
        <w:rPr>
          <w:rFonts w:asciiTheme="minorHAnsi" w:hAnsiTheme="minorHAnsi" w:cstheme="minorHAnsi"/>
          <w:sz w:val="22"/>
          <w:szCs w:val="22"/>
        </w:rPr>
        <w:t xml:space="preserve"> finds</w:t>
      </w:r>
      <w:r w:rsidR="001C6E17" w:rsidRPr="005E1585">
        <w:rPr>
          <w:rFonts w:asciiTheme="minorHAnsi" w:hAnsiTheme="minorHAnsi" w:cstheme="minorHAnsi"/>
          <w:sz w:val="22"/>
          <w:szCs w:val="22"/>
        </w:rPr>
        <w:t>,</w:t>
      </w:r>
      <w:r w:rsidR="002F2BE8" w:rsidRPr="005E1585">
        <w:rPr>
          <w:rFonts w:asciiTheme="minorHAnsi" w:hAnsiTheme="minorHAnsi" w:cstheme="minorHAnsi"/>
          <w:sz w:val="22"/>
          <w:szCs w:val="22"/>
        </w:rPr>
        <w:t xml:space="preserve"> primarily</w:t>
      </w:r>
      <w:r w:rsidR="001C6E17" w:rsidRPr="005E1585">
        <w:rPr>
          <w:rFonts w:asciiTheme="minorHAnsi" w:hAnsiTheme="minorHAnsi" w:cstheme="minorHAnsi"/>
          <w:sz w:val="22"/>
          <w:szCs w:val="22"/>
        </w:rPr>
        <w:t xml:space="preserve"> for the reference of those in the field</w:t>
      </w:r>
      <w:r w:rsidR="00D7360C" w:rsidRPr="005E1585">
        <w:rPr>
          <w:rFonts w:asciiTheme="minorHAnsi" w:hAnsiTheme="minorHAnsi" w:cstheme="minorHAnsi"/>
          <w:sz w:val="22"/>
          <w:szCs w:val="22"/>
        </w:rPr>
        <w:t>. Figures 1 and 2 are not concerned with making the data accessible</w:t>
      </w:r>
      <w:r w:rsidR="00D623BF" w:rsidRPr="005E1585">
        <w:rPr>
          <w:rFonts w:asciiTheme="minorHAnsi" w:hAnsiTheme="minorHAnsi" w:cstheme="minorHAnsi"/>
          <w:sz w:val="22"/>
          <w:szCs w:val="22"/>
        </w:rPr>
        <w:t xml:space="preserve"> to an audience not already archaeologically invested</w:t>
      </w:r>
      <w:r w:rsidR="00D7360C" w:rsidRPr="005E1585">
        <w:rPr>
          <w:rFonts w:asciiTheme="minorHAnsi" w:hAnsiTheme="minorHAnsi" w:cstheme="minorHAnsi"/>
          <w:sz w:val="22"/>
          <w:szCs w:val="22"/>
        </w:rPr>
        <w:t xml:space="preserve">, so </w:t>
      </w:r>
      <w:r w:rsidR="00D7360C" w:rsidRPr="005E1585">
        <w:rPr>
          <w:rFonts w:asciiTheme="minorHAnsi" w:hAnsiTheme="minorHAnsi" w:cstheme="minorHAnsi"/>
          <w:sz w:val="22"/>
          <w:szCs w:val="22"/>
        </w:rPr>
        <w:lastRenderedPageBreak/>
        <w:t>much as accurate. The Tomb 11 painting</w:t>
      </w:r>
      <w:r w:rsidR="00E859A1" w:rsidRPr="005E1585">
        <w:rPr>
          <w:rFonts w:asciiTheme="minorHAnsi" w:hAnsiTheme="minorHAnsi" w:cstheme="minorHAnsi"/>
          <w:sz w:val="22"/>
          <w:szCs w:val="22"/>
        </w:rPr>
        <w:t>, however, expands how a tomb can be presented</w:t>
      </w:r>
      <w:r w:rsidR="00FA7BEB" w:rsidRPr="005E1585">
        <w:rPr>
          <w:rFonts w:asciiTheme="minorHAnsi" w:hAnsiTheme="minorHAnsi" w:cstheme="minorHAnsi"/>
          <w:sz w:val="22"/>
          <w:szCs w:val="22"/>
        </w:rPr>
        <w:t xml:space="preserve"> </w:t>
      </w:r>
      <w:r w:rsidR="00E859A1" w:rsidRPr="005E1585">
        <w:rPr>
          <w:rFonts w:asciiTheme="minorHAnsi" w:hAnsiTheme="minorHAnsi" w:cstheme="minorHAnsi"/>
          <w:sz w:val="22"/>
          <w:szCs w:val="22"/>
        </w:rPr>
        <w:t xml:space="preserve">to those who </w:t>
      </w:r>
      <w:r w:rsidR="00390EE0" w:rsidRPr="005E1585">
        <w:rPr>
          <w:rFonts w:asciiTheme="minorHAnsi" w:hAnsiTheme="minorHAnsi" w:cstheme="minorHAnsi"/>
          <w:sz w:val="22"/>
          <w:szCs w:val="22"/>
        </w:rPr>
        <w:t xml:space="preserve">may not </w:t>
      </w:r>
      <w:r w:rsidR="007658CE" w:rsidRPr="005E1585">
        <w:rPr>
          <w:rFonts w:asciiTheme="minorHAnsi" w:hAnsiTheme="minorHAnsi" w:cstheme="minorHAnsi"/>
          <w:sz w:val="22"/>
          <w:szCs w:val="22"/>
        </w:rPr>
        <w:t>effectively glean information from more archaeological drawings.</w:t>
      </w:r>
    </w:p>
    <w:p w14:paraId="6491DFA9" w14:textId="718C69C0" w:rsidR="00F13399" w:rsidRPr="005E1585" w:rsidRDefault="00390EE0" w:rsidP="005E1585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sz w:val="22"/>
          <w:szCs w:val="22"/>
        </w:rPr>
      </w:pPr>
      <w:r w:rsidRPr="005E1585">
        <w:rPr>
          <w:rFonts w:asciiTheme="minorHAnsi" w:hAnsiTheme="minorHAnsi" w:cstheme="minorHAnsi"/>
          <w:sz w:val="22"/>
          <w:szCs w:val="22"/>
        </w:rPr>
        <w:t xml:space="preserve">Catering to </w:t>
      </w:r>
      <w:r w:rsidR="0096155F" w:rsidRPr="005E1585">
        <w:rPr>
          <w:rFonts w:asciiTheme="minorHAnsi" w:hAnsiTheme="minorHAnsi" w:cstheme="minorHAnsi"/>
          <w:sz w:val="22"/>
          <w:szCs w:val="22"/>
        </w:rPr>
        <w:t xml:space="preserve">a </w:t>
      </w:r>
      <w:r w:rsidR="004246B6" w:rsidRPr="005E1585">
        <w:rPr>
          <w:rFonts w:asciiTheme="minorHAnsi" w:hAnsiTheme="minorHAnsi" w:cstheme="minorHAnsi"/>
          <w:sz w:val="22"/>
          <w:szCs w:val="22"/>
        </w:rPr>
        <w:t>non-established audience, who may encounter this image is arguably a strength of this image.</w:t>
      </w:r>
      <w:r w:rsidR="006D4CC3" w:rsidRPr="005E1585">
        <w:rPr>
          <w:rFonts w:asciiTheme="minorHAnsi" w:hAnsiTheme="minorHAnsi" w:cstheme="minorHAnsi"/>
          <w:sz w:val="22"/>
          <w:szCs w:val="22"/>
        </w:rPr>
        <w:t xml:space="preserve"> </w:t>
      </w:r>
      <w:r w:rsidR="004246B6" w:rsidRPr="005E1585">
        <w:rPr>
          <w:rFonts w:asciiTheme="minorHAnsi" w:hAnsiTheme="minorHAnsi" w:cstheme="minorHAnsi"/>
          <w:sz w:val="22"/>
          <w:szCs w:val="22"/>
        </w:rPr>
        <w:t>Though it does not</w:t>
      </w:r>
      <w:r w:rsidR="004F110A" w:rsidRPr="005E1585">
        <w:rPr>
          <w:rFonts w:asciiTheme="minorHAnsi" w:hAnsiTheme="minorHAnsi" w:cstheme="minorHAnsi"/>
          <w:sz w:val="22"/>
          <w:szCs w:val="22"/>
        </w:rPr>
        <w:t xml:space="preserve"> communicate </w:t>
      </w:r>
      <w:r w:rsidR="004F110A" w:rsidRPr="005E1585">
        <w:rPr>
          <w:rFonts w:asciiTheme="minorHAnsi" w:hAnsiTheme="minorHAnsi" w:cstheme="minorHAnsi"/>
          <w:i/>
          <w:iCs/>
          <w:sz w:val="22"/>
          <w:szCs w:val="22"/>
        </w:rPr>
        <w:t>information</w:t>
      </w:r>
      <w:r w:rsidR="004F110A" w:rsidRPr="005E1585">
        <w:rPr>
          <w:rFonts w:asciiTheme="minorHAnsi" w:hAnsiTheme="minorHAnsi" w:cstheme="minorHAnsi"/>
          <w:sz w:val="22"/>
          <w:szCs w:val="22"/>
        </w:rPr>
        <w:t xml:space="preserve"> on the tomb</w:t>
      </w:r>
      <w:r w:rsidR="00D20F02" w:rsidRPr="005E1585">
        <w:rPr>
          <w:rFonts w:asciiTheme="minorHAnsi" w:hAnsiTheme="minorHAnsi" w:cstheme="minorHAnsi"/>
          <w:sz w:val="22"/>
          <w:szCs w:val="22"/>
        </w:rPr>
        <w:t xml:space="preserve"> like a</w:t>
      </w:r>
      <w:r w:rsidR="004F110A" w:rsidRPr="005E1585">
        <w:rPr>
          <w:rFonts w:asciiTheme="minorHAnsi" w:hAnsiTheme="minorHAnsi" w:cstheme="minorHAnsi"/>
          <w:sz w:val="22"/>
          <w:szCs w:val="22"/>
        </w:rPr>
        <w:t xml:space="preserve"> written source</w:t>
      </w:r>
      <w:r w:rsidR="00F13399" w:rsidRPr="005E1585">
        <w:rPr>
          <w:rFonts w:asciiTheme="minorHAnsi" w:hAnsiTheme="minorHAnsi" w:cstheme="minorHAnsi"/>
          <w:sz w:val="22"/>
          <w:szCs w:val="22"/>
        </w:rPr>
        <w:t xml:space="preserve"> - </w:t>
      </w:r>
      <w:r w:rsidR="004F110A" w:rsidRPr="005E1585">
        <w:rPr>
          <w:rFonts w:asciiTheme="minorHAnsi" w:hAnsiTheme="minorHAnsi" w:cstheme="minorHAnsi"/>
          <w:sz w:val="22"/>
          <w:szCs w:val="22"/>
        </w:rPr>
        <w:t xml:space="preserve">which </w:t>
      </w:r>
      <w:r w:rsidR="00CD5E6A" w:rsidRPr="005E1585">
        <w:rPr>
          <w:rFonts w:asciiTheme="minorHAnsi" w:hAnsiTheme="minorHAnsi" w:cstheme="minorHAnsi"/>
          <w:sz w:val="22"/>
          <w:szCs w:val="22"/>
        </w:rPr>
        <w:t>a</w:t>
      </w:r>
      <w:r w:rsidR="00D34EF6" w:rsidRPr="005E1585">
        <w:rPr>
          <w:rFonts w:asciiTheme="minorHAnsi" w:hAnsiTheme="minorHAnsi" w:cstheme="minorHAnsi"/>
          <w:sz w:val="22"/>
          <w:szCs w:val="22"/>
        </w:rPr>
        <w:t xml:space="preserve"> peripheral audience are less likely to encounter</w:t>
      </w:r>
      <w:r w:rsidR="00F13399" w:rsidRPr="005E1585">
        <w:rPr>
          <w:rFonts w:asciiTheme="minorHAnsi" w:hAnsiTheme="minorHAnsi" w:cstheme="minorHAnsi"/>
          <w:sz w:val="22"/>
          <w:szCs w:val="22"/>
        </w:rPr>
        <w:t xml:space="preserve"> -</w:t>
      </w:r>
      <w:r w:rsidR="00D20F02" w:rsidRPr="005E1585">
        <w:rPr>
          <w:rFonts w:asciiTheme="minorHAnsi" w:hAnsiTheme="minorHAnsi" w:cstheme="minorHAnsi"/>
          <w:sz w:val="22"/>
          <w:szCs w:val="22"/>
        </w:rPr>
        <w:t xml:space="preserve"> this tomb plan may be of use in </w:t>
      </w:r>
      <w:r w:rsidR="00690481" w:rsidRPr="005E1585">
        <w:rPr>
          <w:rFonts w:asciiTheme="minorHAnsi" w:hAnsiTheme="minorHAnsi" w:cstheme="minorHAnsi"/>
          <w:sz w:val="22"/>
          <w:szCs w:val="22"/>
        </w:rPr>
        <w:t>propelling interest into these spheres</w:t>
      </w:r>
      <w:r w:rsidR="007E10A6" w:rsidRPr="005E1585">
        <w:rPr>
          <w:rFonts w:asciiTheme="minorHAnsi" w:hAnsiTheme="minorHAnsi" w:cstheme="minorHAnsi"/>
          <w:sz w:val="22"/>
          <w:szCs w:val="22"/>
        </w:rPr>
        <w:t xml:space="preserve">, </w:t>
      </w:r>
      <w:r w:rsidR="0010745C" w:rsidRPr="005E1585">
        <w:rPr>
          <w:rFonts w:asciiTheme="minorHAnsi" w:hAnsiTheme="minorHAnsi" w:cstheme="minorHAnsi"/>
          <w:sz w:val="22"/>
          <w:szCs w:val="22"/>
        </w:rPr>
        <w:t>in</w:t>
      </w:r>
      <w:r w:rsidR="007E10A6" w:rsidRPr="005E1585">
        <w:rPr>
          <w:rFonts w:asciiTheme="minorHAnsi" w:hAnsiTheme="minorHAnsi" w:cstheme="minorHAnsi"/>
          <w:sz w:val="22"/>
          <w:szCs w:val="22"/>
        </w:rPr>
        <w:t xml:space="preserve"> the host culture and the larger world</w:t>
      </w:r>
      <w:r w:rsidR="0010745C" w:rsidRPr="005E1585">
        <w:rPr>
          <w:rFonts w:asciiTheme="minorHAnsi" w:hAnsiTheme="minorHAnsi" w:cstheme="minorHAnsi"/>
          <w:sz w:val="22"/>
          <w:szCs w:val="22"/>
        </w:rPr>
        <w:t>.</w:t>
      </w:r>
    </w:p>
    <w:p w14:paraId="43FA52C1" w14:textId="76314814" w:rsidR="00534065" w:rsidRPr="005E1585" w:rsidRDefault="0010745C" w:rsidP="005E1585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sz w:val="22"/>
          <w:szCs w:val="22"/>
        </w:rPr>
      </w:pPr>
      <w:r w:rsidRPr="005E1585">
        <w:rPr>
          <w:rFonts w:asciiTheme="minorHAnsi" w:hAnsiTheme="minorHAnsi" w:cstheme="minorHAnsi"/>
          <w:sz w:val="22"/>
          <w:szCs w:val="22"/>
        </w:rPr>
        <w:t>From this angle,</w:t>
      </w:r>
      <w:r w:rsidR="00F13399" w:rsidRPr="005E1585">
        <w:rPr>
          <w:rFonts w:asciiTheme="minorHAnsi" w:hAnsiTheme="minorHAnsi" w:cstheme="minorHAnsi"/>
          <w:sz w:val="22"/>
          <w:szCs w:val="22"/>
        </w:rPr>
        <w:t xml:space="preserve"> the image</w:t>
      </w:r>
      <w:r w:rsidR="00690481" w:rsidRPr="005E1585">
        <w:rPr>
          <w:rFonts w:asciiTheme="minorHAnsi" w:hAnsiTheme="minorHAnsi" w:cstheme="minorHAnsi"/>
          <w:sz w:val="22"/>
          <w:szCs w:val="22"/>
        </w:rPr>
        <w:t xml:space="preserve"> </w:t>
      </w:r>
      <w:r w:rsidRPr="005E1585">
        <w:rPr>
          <w:rFonts w:asciiTheme="minorHAnsi" w:hAnsiTheme="minorHAnsi" w:cstheme="minorHAnsi"/>
          <w:sz w:val="22"/>
          <w:szCs w:val="22"/>
        </w:rPr>
        <w:t>is an effective</w:t>
      </w:r>
      <w:r w:rsidR="00690481" w:rsidRPr="005E1585">
        <w:rPr>
          <w:rFonts w:asciiTheme="minorHAnsi" w:hAnsiTheme="minorHAnsi" w:cstheme="minorHAnsi"/>
          <w:sz w:val="22"/>
          <w:szCs w:val="22"/>
        </w:rPr>
        <w:t xml:space="preserve"> tool which understand</w:t>
      </w:r>
      <w:r w:rsidR="00F13399" w:rsidRPr="005E1585">
        <w:rPr>
          <w:rFonts w:asciiTheme="minorHAnsi" w:hAnsiTheme="minorHAnsi" w:cstheme="minorHAnsi"/>
          <w:sz w:val="22"/>
          <w:szCs w:val="22"/>
        </w:rPr>
        <w:t>s</w:t>
      </w:r>
      <w:r w:rsidR="00690481" w:rsidRPr="005E1585">
        <w:rPr>
          <w:rFonts w:asciiTheme="minorHAnsi" w:hAnsiTheme="minorHAnsi" w:cstheme="minorHAnsi"/>
          <w:sz w:val="22"/>
          <w:szCs w:val="22"/>
        </w:rPr>
        <w:t xml:space="preserve"> </w:t>
      </w:r>
      <w:r w:rsidR="00F13399" w:rsidRPr="005E1585">
        <w:rPr>
          <w:rFonts w:asciiTheme="minorHAnsi" w:hAnsiTheme="minorHAnsi" w:cstheme="minorHAnsi"/>
          <w:sz w:val="22"/>
          <w:szCs w:val="22"/>
        </w:rPr>
        <w:t>how</w:t>
      </w:r>
      <w:r w:rsidR="00690481" w:rsidRPr="005E1585">
        <w:rPr>
          <w:rFonts w:asciiTheme="minorHAnsi" w:hAnsiTheme="minorHAnsi" w:cstheme="minorHAnsi"/>
          <w:sz w:val="22"/>
          <w:szCs w:val="22"/>
        </w:rPr>
        <w:t xml:space="preserve"> </w:t>
      </w:r>
      <w:r w:rsidR="00534065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>‘</w:t>
      </w:r>
      <w:r w:rsidR="00690481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>a</w:t>
      </w:r>
      <w:r w:rsidR="00534065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physical experience can have a much more powerful effect than intellectual knowledge’ (Pethen, 2022)</w:t>
      </w:r>
      <w:r w:rsidR="00AB7782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when engaging with the distant past</w:t>
      </w:r>
      <w:r w:rsidR="00F00C6B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, </w:t>
      </w:r>
      <w:r w:rsidR="009029FF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and </w:t>
      </w:r>
      <w:r w:rsidR="00F00C6B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which works by </w:t>
      </w:r>
      <w:r w:rsidR="00534065" w:rsidRPr="005E1585">
        <w:rPr>
          <w:rFonts w:asciiTheme="minorHAnsi" w:hAnsiTheme="minorHAnsi" w:cstheme="minorHAnsi"/>
          <w:sz w:val="22"/>
          <w:szCs w:val="22"/>
        </w:rPr>
        <w:t>‘helping to make learning</w:t>
      </w:r>
      <w:r w:rsidR="00390EE0" w:rsidRPr="005E1585">
        <w:rPr>
          <w:rFonts w:asciiTheme="minorHAnsi" w:hAnsiTheme="minorHAnsi" w:cstheme="minorHAnsi"/>
          <w:sz w:val="22"/>
          <w:szCs w:val="22"/>
        </w:rPr>
        <w:t xml:space="preserve"> </w:t>
      </w:r>
      <w:r w:rsidR="00534065" w:rsidRPr="005E1585">
        <w:rPr>
          <w:rFonts w:asciiTheme="minorHAnsi" w:hAnsiTheme="minorHAnsi" w:cstheme="minorHAnsi"/>
          <w:sz w:val="22"/>
          <w:szCs w:val="22"/>
        </w:rPr>
        <w:t>more enjoyable; helping people explore the human past’ (Pudney, 2019, p.110)</w:t>
      </w:r>
      <w:r w:rsidR="003B1A9A" w:rsidRPr="005E1585">
        <w:rPr>
          <w:rFonts w:asciiTheme="minorHAnsi" w:hAnsiTheme="minorHAnsi" w:cstheme="minorHAnsi"/>
          <w:sz w:val="22"/>
          <w:szCs w:val="22"/>
        </w:rPr>
        <w:t>.</w:t>
      </w:r>
    </w:p>
    <w:p w14:paraId="7E807154" w14:textId="43BB42B0" w:rsidR="00E9767C" w:rsidRPr="005E1585" w:rsidRDefault="00B03934" w:rsidP="005E1585">
      <w:pPr>
        <w:spacing w:line="360" w:lineRule="auto"/>
        <w:rPr>
          <w:rFonts w:cstheme="minorHAnsi"/>
        </w:rPr>
      </w:pPr>
      <w:r w:rsidRPr="005E1585">
        <w:rPr>
          <w:rFonts w:cstheme="minorHAnsi"/>
          <w:noProof/>
        </w:rPr>
        <w:drawing>
          <wp:anchor distT="0" distB="0" distL="114300" distR="114300" simplePos="0" relativeHeight="251659264" behindDoc="1" locked="0" layoutInCell="1" allowOverlap="1" wp14:anchorId="5012911A" wp14:editId="0138B3F0">
            <wp:simplePos x="0" y="0"/>
            <wp:positionH relativeFrom="margin">
              <wp:posOffset>-198413</wp:posOffset>
            </wp:positionH>
            <wp:positionV relativeFrom="paragraph">
              <wp:posOffset>1246114</wp:posOffset>
            </wp:positionV>
            <wp:extent cx="3385185" cy="2407920"/>
            <wp:effectExtent l="0" t="0" r="5715" b="0"/>
            <wp:wrapTight wrapText="bothSides">
              <wp:wrapPolygon edited="0">
                <wp:start x="0" y="0"/>
                <wp:lineTo x="0" y="21361"/>
                <wp:lineTo x="21515" y="21361"/>
                <wp:lineTo x="21515" y="0"/>
                <wp:lineTo x="0" y="0"/>
              </wp:wrapPolygon>
            </wp:wrapTight>
            <wp:docPr id="1" name="Picture 1" descr="A map of a treas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map of a treasure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5185" cy="24079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51D10" w:rsidRPr="005E1585">
        <w:rPr>
          <w:rFonts w:cstheme="minorHAnsi"/>
        </w:rPr>
        <w:tab/>
        <w:t>As a “humanising” depiction of a long-</w:t>
      </w:r>
      <w:r w:rsidR="0028769A" w:rsidRPr="005E1585">
        <w:rPr>
          <w:rFonts w:cstheme="minorHAnsi"/>
        </w:rPr>
        <w:t>sealed tomb, the image undeniably directs focus towards the intact skeleton on the west bench</w:t>
      </w:r>
      <w:r w:rsidR="00761536" w:rsidRPr="005E1585">
        <w:rPr>
          <w:rFonts w:cstheme="minorHAnsi"/>
        </w:rPr>
        <w:t xml:space="preserve">, by </w:t>
      </w:r>
      <w:r w:rsidR="007A45D9" w:rsidRPr="005E1585">
        <w:rPr>
          <w:rFonts w:cstheme="minorHAnsi"/>
        </w:rPr>
        <w:t xml:space="preserve">depicting a </w:t>
      </w:r>
      <w:r w:rsidR="00753134" w:rsidRPr="005E1585">
        <w:rPr>
          <w:rFonts w:cstheme="minorHAnsi"/>
        </w:rPr>
        <w:t>newly dead</w:t>
      </w:r>
      <w:r w:rsidR="007A45D9" w:rsidRPr="005E1585">
        <w:rPr>
          <w:rFonts w:cstheme="minorHAnsi"/>
        </w:rPr>
        <w:t xml:space="preserve"> version of the young woman found there. This choice helps to</w:t>
      </w:r>
      <w:r w:rsidR="00A36D83" w:rsidRPr="005E1585">
        <w:rPr>
          <w:rFonts w:cstheme="minorHAnsi"/>
        </w:rPr>
        <w:t xml:space="preserve"> turn the site into</w:t>
      </w:r>
      <w:r w:rsidR="007A45D9" w:rsidRPr="005E1585">
        <w:rPr>
          <w:rFonts w:cstheme="minorHAnsi"/>
        </w:rPr>
        <w:t xml:space="preserve"> an emotive </w:t>
      </w:r>
      <w:r w:rsidR="00A36D83" w:rsidRPr="005E1585">
        <w:rPr>
          <w:rFonts w:cstheme="minorHAnsi"/>
        </w:rPr>
        <w:t>scene</w:t>
      </w:r>
      <w:r w:rsidR="006916B6" w:rsidRPr="005E1585">
        <w:rPr>
          <w:rFonts w:cstheme="minorHAnsi"/>
        </w:rPr>
        <w:t>, help</w:t>
      </w:r>
      <w:r w:rsidR="00A36D83" w:rsidRPr="005E1585">
        <w:rPr>
          <w:rFonts w:cstheme="minorHAnsi"/>
        </w:rPr>
        <w:t>ing</w:t>
      </w:r>
      <w:r w:rsidR="006916B6" w:rsidRPr="005E1585">
        <w:rPr>
          <w:rFonts w:cstheme="minorHAnsi"/>
        </w:rPr>
        <w:t xml:space="preserve"> t</w:t>
      </w:r>
      <w:r w:rsidR="00A36D83" w:rsidRPr="005E1585">
        <w:rPr>
          <w:rFonts w:cstheme="minorHAnsi"/>
        </w:rPr>
        <w:t>he</w:t>
      </w:r>
      <w:r w:rsidR="006916B6" w:rsidRPr="005E1585">
        <w:rPr>
          <w:rFonts w:cstheme="minorHAnsi"/>
        </w:rPr>
        <w:t xml:space="preserve"> </w:t>
      </w:r>
      <w:r w:rsidR="00E9767C" w:rsidRPr="005E1585">
        <w:rPr>
          <w:rFonts w:cstheme="minorHAnsi"/>
        </w:rPr>
        <w:t xml:space="preserve">move away from the </w:t>
      </w:r>
      <w:r w:rsidR="00FB21AF" w:rsidRPr="005E1585">
        <w:rPr>
          <w:rFonts w:cstheme="minorHAnsi"/>
        </w:rPr>
        <w:t xml:space="preserve">infamous </w:t>
      </w:r>
      <w:r w:rsidR="00E9767C" w:rsidRPr="005E1585">
        <w:rPr>
          <w:rFonts w:cstheme="minorHAnsi"/>
        </w:rPr>
        <w:t>‘faceless blobs’ (Tringham, 1991. P.94)</w:t>
      </w:r>
      <w:r w:rsidR="00FB21AF" w:rsidRPr="005E1585">
        <w:rPr>
          <w:rFonts w:cstheme="minorHAnsi"/>
        </w:rPr>
        <w:t xml:space="preserve"> of ancient societies, and into a more human perspective, where these bodies were recognised as young women and </w:t>
      </w:r>
      <w:r w:rsidR="00753134" w:rsidRPr="005E1585">
        <w:rPr>
          <w:rFonts w:cstheme="minorHAnsi"/>
        </w:rPr>
        <w:t>children and</w:t>
      </w:r>
      <w:r w:rsidR="00FB21AF" w:rsidRPr="005E1585">
        <w:rPr>
          <w:rFonts w:cstheme="minorHAnsi"/>
        </w:rPr>
        <w:t xml:space="preserve"> mourned by their community accordingly.</w:t>
      </w:r>
    </w:p>
    <w:p w14:paraId="0092B5A5" w14:textId="35B3C6A2" w:rsidR="00E75CCE" w:rsidRPr="005E1585" w:rsidRDefault="00E75CCE" w:rsidP="005E1585">
      <w:pPr>
        <w:spacing w:line="360" w:lineRule="auto"/>
        <w:ind w:firstLine="720"/>
        <w:rPr>
          <w:rFonts w:cstheme="minorHAnsi"/>
        </w:rPr>
      </w:pPr>
      <w:r w:rsidRPr="005E1585">
        <w:rPr>
          <w:rFonts w:cstheme="minorHAnsi"/>
        </w:rPr>
        <w:t>A consequence of the choice to focus on this one body is that it</w:t>
      </w:r>
      <w:r w:rsidR="0075579F">
        <w:rPr>
          <w:rFonts w:cstheme="minorHAnsi"/>
        </w:rPr>
        <w:t xml:space="preserve"> biases the</w:t>
      </w:r>
      <w:r w:rsidRPr="005E1585">
        <w:rPr>
          <w:rFonts w:cstheme="minorHAnsi"/>
        </w:rPr>
        <w:t xml:space="preserve"> audience against paying </w:t>
      </w:r>
      <w:r w:rsidR="00355C5A" w:rsidRPr="005E1585">
        <w:rPr>
          <w:rFonts w:cstheme="minorHAnsi"/>
        </w:rPr>
        <w:t xml:space="preserve">equal </w:t>
      </w:r>
      <w:r w:rsidRPr="005E1585">
        <w:rPr>
          <w:rFonts w:cstheme="minorHAnsi"/>
        </w:rPr>
        <w:t>attention to the other remains interred in the tomb, limiting the insight available to the audience</w:t>
      </w:r>
      <w:r w:rsidR="00290B31" w:rsidRPr="005E1585">
        <w:rPr>
          <w:rFonts w:cstheme="minorHAnsi"/>
        </w:rPr>
        <w:t xml:space="preserve">, particularly </w:t>
      </w:r>
      <w:r w:rsidR="0061076D" w:rsidRPr="005E1585">
        <w:rPr>
          <w:rFonts w:cstheme="minorHAnsi"/>
        </w:rPr>
        <w:t xml:space="preserve">when presenting the remains </w:t>
      </w:r>
      <w:r w:rsidR="00CD059B" w:rsidRPr="005E1585">
        <w:rPr>
          <w:rFonts w:cstheme="minorHAnsi"/>
        </w:rPr>
        <w:t>completely unlabelled</w:t>
      </w:r>
      <w:r w:rsidR="00624FBA" w:rsidRPr="005E1585">
        <w:rPr>
          <w:rFonts w:cstheme="minorHAnsi"/>
        </w:rPr>
        <w:t xml:space="preserve"> (</w:t>
      </w:r>
      <w:r w:rsidR="00292594" w:rsidRPr="005E1585">
        <w:rPr>
          <w:rFonts w:cstheme="minorHAnsi"/>
        </w:rPr>
        <w:t>unlike in figure 1)</w:t>
      </w:r>
      <w:r w:rsidR="0092449E">
        <w:rPr>
          <w:rFonts w:cstheme="minorHAnsi"/>
        </w:rPr>
        <w:t>, and unhumanised</w:t>
      </w:r>
      <w:r w:rsidR="00CD059B" w:rsidRPr="005E1585">
        <w:rPr>
          <w:rFonts w:cstheme="minorHAnsi"/>
        </w:rPr>
        <w:t>.</w:t>
      </w:r>
    </w:p>
    <w:p w14:paraId="54FC6FEC" w14:textId="63EE302E" w:rsidR="00292594" w:rsidRPr="005E1585" w:rsidRDefault="00292594" w:rsidP="005E1585">
      <w:pPr>
        <w:pStyle w:val="Caption"/>
        <w:spacing w:line="360" w:lineRule="auto"/>
        <w:rPr>
          <w:rFonts w:cstheme="minorHAnsi"/>
          <w:color w:val="auto"/>
          <w:sz w:val="22"/>
          <w:szCs w:val="22"/>
        </w:rPr>
      </w:pPr>
      <w:r w:rsidRPr="005E1585">
        <w:rPr>
          <w:rFonts w:cstheme="minorHAnsi"/>
          <w:color w:val="auto"/>
          <w:sz w:val="22"/>
          <w:szCs w:val="22"/>
        </w:rPr>
        <w:t xml:space="preserve">Figure </w:t>
      </w:r>
      <w:r w:rsidRPr="005E1585">
        <w:rPr>
          <w:rFonts w:cstheme="minorHAnsi"/>
          <w:color w:val="auto"/>
          <w:sz w:val="22"/>
          <w:szCs w:val="22"/>
        </w:rPr>
        <w:fldChar w:fldCharType="begin"/>
      </w:r>
      <w:r w:rsidRPr="005E1585">
        <w:rPr>
          <w:rFonts w:cstheme="minorHAnsi"/>
          <w:color w:val="auto"/>
          <w:sz w:val="22"/>
          <w:szCs w:val="22"/>
        </w:rPr>
        <w:instrText xml:space="preserve"> SEQ Figure \* ARABIC </w:instrText>
      </w:r>
      <w:r w:rsidRPr="005E1585">
        <w:rPr>
          <w:rFonts w:cstheme="minorHAnsi"/>
          <w:color w:val="auto"/>
          <w:sz w:val="22"/>
          <w:szCs w:val="22"/>
        </w:rPr>
        <w:fldChar w:fldCharType="separate"/>
      </w:r>
      <w:r w:rsidRPr="005E1585">
        <w:rPr>
          <w:rFonts w:cstheme="minorHAnsi"/>
          <w:noProof/>
          <w:color w:val="auto"/>
          <w:sz w:val="22"/>
          <w:szCs w:val="22"/>
        </w:rPr>
        <w:t>1</w:t>
      </w:r>
      <w:r w:rsidRPr="005E1585">
        <w:rPr>
          <w:rFonts w:cstheme="minorHAnsi"/>
          <w:noProof/>
          <w:color w:val="auto"/>
          <w:sz w:val="22"/>
          <w:szCs w:val="22"/>
        </w:rPr>
        <w:fldChar w:fldCharType="end"/>
      </w:r>
      <w:r w:rsidRPr="005E1585">
        <w:rPr>
          <w:rFonts w:cstheme="minorHAnsi"/>
          <w:color w:val="auto"/>
          <w:sz w:val="22"/>
          <w:szCs w:val="22"/>
        </w:rPr>
        <w:t xml:space="preserve"> (Goring, 1996, p.28)</w:t>
      </w:r>
    </w:p>
    <w:p w14:paraId="296B64CB" w14:textId="6FEAB100" w:rsidR="00EF141C" w:rsidRPr="005E1585" w:rsidRDefault="00E75CCE" w:rsidP="005E1585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sz w:val="22"/>
          <w:szCs w:val="22"/>
          <w:shd w:val="clear" w:color="auto" w:fill="FFFFFF"/>
        </w:rPr>
      </w:pPr>
      <w:r w:rsidRPr="005E1585">
        <w:rPr>
          <w:rFonts w:asciiTheme="minorHAnsi" w:hAnsiTheme="minorHAnsi" w:cstheme="minorHAnsi"/>
          <w:sz w:val="22"/>
          <w:szCs w:val="22"/>
        </w:rPr>
        <w:t>This</w:t>
      </w:r>
      <w:r w:rsidR="0092449E">
        <w:rPr>
          <w:rFonts w:asciiTheme="minorHAnsi" w:hAnsiTheme="minorHAnsi" w:cstheme="minorHAnsi"/>
          <w:sz w:val="22"/>
          <w:szCs w:val="22"/>
        </w:rPr>
        <w:t xml:space="preserve"> choice</w:t>
      </w:r>
      <w:r w:rsidRPr="005E1585">
        <w:rPr>
          <w:rFonts w:asciiTheme="minorHAnsi" w:hAnsiTheme="minorHAnsi" w:cstheme="minorHAnsi"/>
          <w:sz w:val="22"/>
          <w:szCs w:val="22"/>
        </w:rPr>
        <w:t xml:space="preserve"> also </w:t>
      </w:r>
      <w:r w:rsidR="00585273" w:rsidRPr="005E1585">
        <w:rPr>
          <w:rFonts w:asciiTheme="minorHAnsi" w:hAnsiTheme="minorHAnsi" w:cstheme="minorHAnsi"/>
          <w:sz w:val="22"/>
          <w:szCs w:val="22"/>
        </w:rPr>
        <w:t>implies</w:t>
      </w:r>
      <w:r w:rsidRPr="005E1585">
        <w:rPr>
          <w:rFonts w:asciiTheme="minorHAnsi" w:hAnsiTheme="minorHAnsi" w:cstheme="minorHAnsi"/>
          <w:sz w:val="22"/>
          <w:szCs w:val="22"/>
        </w:rPr>
        <w:t xml:space="preserve"> a theorised order of burial as fact, presenting </w:t>
      </w:r>
      <w:r w:rsidR="0092449E">
        <w:rPr>
          <w:rFonts w:asciiTheme="minorHAnsi" w:hAnsiTheme="minorHAnsi" w:cstheme="minorHAnsi"/>
          <w:sz w:val="22"/>
          <w:szCs w:val="22"/>
        </w:rPr>
        <w:t>the complexities of the tomb myopically</w:t>
      </w:r>
      <w:r w:rsidRPr="005E1585">
        <w:rPr>
          <w:rFonts w:asciiTheme="minorHAnsi" w:hAnsiTheme="minorHAnsi" w:cstheme="minorHAnsi"/>
          <w:sz w:val="22"/>
          <w:szCs w:val="22"/>
        </w:rPr>
        <w:t>,</w:t>
      </w:r>
      <w:r w:rsidR="0092449E">
        <w:rPr>
          <w:rFonts w:asciiTheme="minorHAnsi" w:hAnsiTheme="minorHAnsi" w:cstheme="minorHAnsi"/>
          <w:sz w:val="22"/>
          <w:szCs w:val="22"/>
        </w:rPr>
        <w:t xml:space="preserve"> and</w:t>
      </w:r>
      <w:r w:rsidRPr="005E1585">
        <w:rPr>
          <w:rFonts w:asciiTheme="minorHAnsi" w:hAnsiTheme="minorHAnsi" w:cstheme="minorHAnsi"/>
          <w:sz w:val="22"/>
          <w:szCs w:val="22"/>
        </w:rPr>
        <w:t xml:space="preserve"> not entirely honouring the</w:t>
      </w:r>
      <w:r w:rsidR="00B863E0" w:rsidRPr="005E1585">
        <w:rPr>
          <w:rFonts w:asciiTheme="minorHAnsi" w:hAnsiTheme="minorHAnsi" w:cstheme="minorHAnsi"/>
          <w:sz w:val="22"/>
          <w:szCs w:val="22"/>
        </w:rPr>
        <w:t xml:space="preserve"> </w:t>
      </w:r>
      <w:r w:rsidR="00EF141C" w:rsidRPr="005E1585">
        <w:rPr>
          <w:rFonts w:asciiTheme="minorHAnsi" w:hAnsiTheme="minorHAnsi" w:cstheme="minorHAnsi"/>
          <w:sz w:val="22"/>
          <w:szCs w:val="22"/>
        </w:rPr>
        <w:t xml:space="preserve">responsibility of archaeologists to </w:t>
      </w:r>
      <w:r w:rsidR="00EF141C" w:rsidRPr="005E1585">
        <w:rPr>
          <w:rFonts w:asciiTheme="minorHAnsi" w:hAnsiTheme="minorHAnsi" w:cstheme="minorHAnsi"/>
          <w:sz w:val="22"/>
          <w:szCs w:val="22"/>
        </w:rPr>
        <w:t>‘present their materials to the public in a way that is respectful and informative’ (Krieger, 2014, p.933)</w:t>
      </w:r>
      <w:r w:rsidR="00EF141C" w:rsidRPr="005E1585">
        <w:rPr>
          <w:rFonts w:asciiTheme="minorHAnsi" w:hAnsiTheme="minorHAnsi" w:cstheme="minorHAnsi"/>
          <w:sz w:val="22"/>
          <w:szCs w:val="22"/>
        </w:rPr>
        <w:t>. In</w:t>
      </w:r>
      <w:r w:rsidR="004F3EF3" w:rsidRPr="005E1585">
        <w:rPr>
          <w:rFonts w:asciiTheme="minorHAnsi" w:hAnsiTheme="minorHAnsi" w:cstheme="minorHAnsi"/>
          <w:sz w:val="22"/>
          <w:szCs w:val="22"/>
        </w:rPr>
        <w:t xml:space="preserve"> </w:t>
      </w:r>
      <w:r w:rsidR="00585273" w:rsidRPr="005E1585">
        <w:rPr>
          <w:rFonts w:asciiTheme="minorHAnsi" w:hAnsiTheme="minorHAnsi" w:cstheme="minorHAnsi"/>
          <w:sz w:val="22"/>
          <w:szCs w:val="22"/>
        </w:rPr>
        <w:t xml:space="preserve">constructing </w:t>
      </w:r>
      <w:r w:rsidR="00EF141C" w:rsidRPr="005E1585">
        <w:rPr>
          <w:rFonts w:asciiTheme="minorHAnsi" w:hAnsiTheme="minorHAnsi" w:cstheme="minorHAnsi"/>
          <w:sz w:val="22"/>
          <w:szCs w:val="22"/>
        </w:rPr>
        <w:t>th</w:t>
      </w:r>
      <w:r w:rsidR="004F3EF3" w:rsidRPr="005E1585">
        <w:rPr>
          <w:rFonts w:asciiTheme="minorHAnsi" w:hAnsiTheme="minorHAnsi" w:cstheme="minorHAnsi"/>
          <w:sz w:val="22"/>
          <w:szCs w:val="22"/>
        </w:rPr>
        <w:t>is</w:t>
      </w:r>
      <w:r w:rsidR="00EF141C" w:rsidRPr="005E1585">
        <w:rPr>
          <w:rFonts w:asciiTheme="minorHAnsi" w:hAnsiTheme="minorHAnsi" w:cstheme="minorHAnsi"/>
          <w:sz w:val="22"/>
          <w:szCs w:val="22"/>
        </w:rPr>
        <w:t xml:space="preserve"> imagin</w:t>
      </w:r>
      <w:r w:rsidR="004F3EF3" w:rsidRPr="005E1585">
        <w:rPr>
          <w:rFonts w:asciiTheme="minorHAnsi" w:hAnsiTheme="minorHAnsi" w:cstheme="minorHAnsi"/>
          <w:sz w:val="22"/>
          <w:szCs w:val="22"/>
        </w:rPr>
        <w:t>in</w:t>
      </w:r>
      <w:r w:rsidR="00190A11">
        <w:rPr>
          <w:rFonts w:asciiTheme="minorHAnsi" w:hAnsiTheme="minorHAnsi" w:cstheme="minorHAnsi"/>
          <w:sz w:val="22"/>
          <w:szCs w:val="22"/>
        </w:rPr>
        <w:t>g</w:t>
      </w:r>
      <w:r w:rsidR="004F3EF3" w:rsidRPr="005E1585">
        <w:rPr>
          <w:rFonts w:asciiTheme="minorHAnsi" w:hAnsiTheme="minorHAnsi" w:cstheme="minorHAnsi"/>
          <w:sz w:val="22"/>
          <w:szCs w:val="22"/>
        </w:rPr>
        <w:t xml:space="preserve"> of the</w:t>
      </w:r>
      <w:r w:rsidR="00EF141C" w:rsidRPr="005E1585">
        <w:rPr>
          <w:rFonts w:asciiTheme="minorHAnsi" w:hAnsiTheme="minorHAnsi" w:cstheme="minorHAnsi"/>
          <w:sz w:val="22"/>
          <w:szCs w:val="22"/>
        </w:rPr>
        <w:t xml:space="preserve"> last days in the life of </w:t>
      </w:r>
      <w:r w:rsidR="004F3EF3" w:rsidRPr="005E1585">
        <w:rPr>
          <w:rFonts w:asciiTheme="minorHAnsi" w:hAnsiTheme="minorHAnsi" w:cstheme="minorHAnsi"/>
          <w:sz w:val="22"/>
          <w:szCs w:val="22"/>
        </w:rPr>
        <w:t>T</w:t>
      </w:r>
      <w:r w:rsidR="00EF141C" w:rsidRPr="005E1585">
        <w:rPr>
          <w:rFonts w:asciiTheme="minorHAnsi" w:hAnsiTheme="minorHAnsi" w:cstheme="minorHAnsi"/>
          <w:sz w:val="22"/>
          <w:szCs w:val="22"/>
        </w:rPr>
        <w:t>omb</w:t>
      </w:r>
      <w:r w:rsidR="004F3EF3" w:rsidRPr="005E1585">
        <w:rPr>
          <w:rFonts w:asciiTheme="minorHAnsi" w:hAnsiTheme="minorHAnsi" w:cstheme="minorHAnsi"/>
          <w:sz w:val="22"/>
          <w:szCs w:val="22"/>
        </w:rPr>
        <w:t xml:space="preserve"> 11, the plan</w:t>
      </w:r>
      <w:r w:rsidR="002120A3" w:rsidRPr="005E1585">
        <w:rPr>
          <w:rFonts w:asciiTheme="minorHAnsi" w:hAnsiTheme="minorHAnsi" w:cstheme="minorHAnsi"/>
          <w:sz w:val="22"/>
          <w:szCs w:val="22"/>
        </w:rPr>
        <w:t xml:space="preserve"> goes </w:t>
      </w:r>
      <w:r w:rsidR="004F3EF3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>‘beyond the mere descriptive, ventures into the unknown and the unverifiable.’ (Clarke, Cowie and Foxon, 1985, quoted in Goring, 1989, p.95)</w:t>
      </w:r>
      <w:r w:rsidR="00E374D4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>.</w:t>
      </w:r>
    </w:p>
    <w:p w14:paraId="51591952" w14:textId="53FA73BE" w:rsidR="00B03934" w:rsidRPr="005E1585" w:rsidRDefault="00E72899" w:rsidP="005E1585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sz w:val="22"/>
          <w:szCs w:val="22"/>
        </w:rPr>
      </w:pPr>
      <w:r w:rsidRPr="005E1585">
        <w:rPr>
          <w:rFonts w:asciiTheme="minorHAnsi" w:hAnsiTheme="minorHAnsi" w:cstheme="minorHAnsi"/>
          <w:sz w:val="22"/>
          <w:szCs w:val="22"/>
        </w:rPr>
        <w:t xml:space="preserve">The risk is that the image </w:t>
      </w:r>
      <w:r w:rsidR="00BB6938">
        <w:rPr>
          <w:rFonts w:asciiTheme="minorHAnsi" w:hAnsiTheme="minorHAnsi" w:cstheme="minorHAnsi"/>
          <w:sz w:val="22"/>
          <w:szCs w:val="22"/>
        </w:rPr>
        <w:t>instantly</w:t>
      </w:r>
      <w:r w:rsidR="00D235AF" w:rsidRPr="005E1585">
        <w:rPr>
          <w:rFonts w:asciiTheme="minorHAnsi" w:hAnsiTheme="minorHAnsi" w:cstheme="minorHAnsi"/>
          <w:sz w:val="22"/>
          <w:szCs w:val="22"/>
        </w:rPr>
        <w:t xml:space="preserve"> </w:t>
      </w:r>
      <w:r w:rsidRPr="005E1585">
        <w:rPr>
          <w:rFonts w:asciiTheme="minorHAnsi" w:hAnsiTheme="minorHAnsi" w:cstheme="minorHAnsi"/>
          <w:sz w:val="22"/>
          <w:szCs w:val="22"/>
        </w:rPr>
        <w:t xml:space="preserve">communicates the west bench body as </w:t>
      </w:r>
      <w:r w:rsidRPr="005E1585">
        <w:rPr>
          <w:rFonts w:asciiTheme="minorHAnsi" w:hAnsiTheme="minorHAnsi" w:cstheme="minorHAnsi"/>
          <w:sz w:val="22"/>
          <w:szCs w:val="22"/>
        </w:rPr>
        <w:t>either more important, or more of a sympathetic figure than those scattered throughout</w:t>
      </w:r>
      <w:r w:rsidR="00D235AF" w:rsidRPr="005E1585">
        <w:rPr>
          <w:rFonts w:asciiTheme="minorHAnsi" w:hAnsiTheme="minorHAnsi" w:cstheme="minorHAnsi"/>
          <w:sz w:val="22"/>
          <w:szCs w:val="22"/>
        </w:rPr>
        <w:t>.</w:t>
      </w:r>
      <w:r w:rsidR="00967287" w:rsidRPr="005E1585">
        <w:rPr>
          <w:rFonts w:asciiTheme="minorHAnsi" w:hAnsiTheme="minorHAnsi" w:cstheme="minorHAnsi"/>
          <w:sz w:val="22"/>
          <w:szCs w:val="22"/>
        </w:rPr>
        <w:t xml:space="preserve"> </w:t>
      </w:r>
      <w:r w:rsidR="00D23CF9" w:rsidRPr="005E1585">
        <w:rPr>
          <w:rFonts w:asciiTheme="minorHAnsi" w:hAnsiTheme="minorHAnsi" w:cstheme="minorHAnsi"/>
          <w:sz w:val="22"/>
          <w:szCs w:val="22"/>
        </w:rPr>
        <w:t>In contrast</w:t>
      </w:r>
      <w:r w:rsidR="00D235AF" w:rsidRPr="005E1585">
        <w:rPr>
          <w:rFonts w:asciiTheme="minorHAnsi" w:hAnsiTheme="minorHAnsi" w:cstheme="minorHAnsi"/>
          <w:sz w:val="22"/>
          <w:szCs w:val="22"/>
        </w:rPr>
        <w:t>,</w:t>
      </w:r>
      <w:r w:rsidR="00C34019" w:rsidRPr="005E1585">
        <w:rPr>
          <w:rFonts w:asciiTheme="minorHAnsi" w:hAnsiTheme="minorHAnsi" w:cstheme="minorHAnsi"/>
          <w:sz w:val="22"/>
          <w:szCs w:val="22"/>
        </w:rPr>
        <w:t xml:space="preserve"> </w:t>
      </w:r>
      <w:r w:rsidR="005D4192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details </w:t>
      </w:r>
      <w:r w:rsidR="00520EDC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lastRenderedPageBreak/>
        <w:t xml:space="preserve">such as </w:t>
      </w:r>
      <w:r w:rsidR="00612DED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‘three milk teeth’, ‘found on the east bench’ (Goring, 1989, p.101), </w:t>
      </w:r>
      <w:r w:rsidR="00520EDC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>while the infant remains were on the tomb floor,</w:t>
      </w:r>
      <w:r w:rsidR="00441884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suggest</w:t>
      </w:r>
      <w:r w:rsidR="00CC76A6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the practice </w:t>
      </w:r>
      <w:r w:rsidR="00441884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>of moving the bodies, perhaps according to stages of decomposition</w:t>
      </w:r>
      <w:r w:rsidR="00DB7ABF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>.</w:t>
      </w:r>
      <w:r w:rsidR="00967287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As this attitude to the dead </w:t>
      </w:r>
      <w:r w:rsidR="00686122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>may seem</w:t>
      </w:r>
      <w:r w:rsidR="00967287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bizarre, even morbid, to western audiences, the </w:t>
      </w:r>
      <w:r w:rsidR="00686122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>creator of the tomb plan</w:t>
      </w:r>
      <w:r w:rsidR="00967287" w:rsidRPr="005E1585">
        <w:rPr>
          <w:rFonts w:asciiTheme="minorHAnsi" w:hAnsiTheme="minorHAnsi" w:cstheme="minorHAnsi"/>
          <w:sz w:val="22"/>
          <w:szCs w:val="22"/>
          <w:shd w:val="clear" w:color="auto" w:fill="FFFFFF"/>
        </w:rPr>
        <w:t xml:space="preserve"> has a duty to highlight what are </w:t>
      </w:r>
      <w:r w:rsidR="00967287" w:rsidRPr="005E1585">
        <w:rPr>
          <w:rFonts w:asciiTheme="minorHAnsi" w:hAnsiTheme="minorHAnsi" w:cstheme="minorHAnsi"/>
          <w:sz w:val="22"/>
          <w:szCs w:val="22"/>
        </w:rPr>
        <w:t>‘rational deductions […] only in terms of our own experience’ (Goring, 1989, p.96), for instance, an anachronist assumption that disturbed bones suggest disrespect, and the undisturbed, a higher standing.</w:t>
      </w:r>
    </w:p>
    <w:p w14:paraId="70C9145F" w14:textId="364FFF59" w:rsidR="00FB7337" w:rsidRPr="005E1585" w:rsidRDefault="009E7281" w:rsidP="005E1585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sz w:val="22"/>
          <w:szCs w:val="22"/>
        </w:rPr>
      </w:pPr>
      <w:r w:rsidRPr="005E1585">
        <w:rPr>
          <w:rFonts w:asciiTheme="minorHAnsi" w:hAnsiTheme="minorHAnsi" w:cstheme="minorHAnsi"/>
          <w:sz w:val="22"/>
          <w:szCs w:val="22"/>
        </w:rPr>
        <w:t xml:space="preserve">Evidence for a flow of movement in the tomb </w:t>
      </w:r>
      <w:r w:rsidR="00967287" w:rsidRPr="005E1585">
        <w:rPr>
          <w:rFonts w:asciiTheme="minorHAnsi" w:hAnsiTheme="minorHAnsi" w:cstheme="minorHAnsi"/>
          <w:sz w:val="22"/>
          <w:szCs w:val="22"/>
        </w:rPr>
        <w:t>w</w:t>
      </w:r>
      <w:r w:rsidR="003A5988" w:rsidRPr="005E1585">
        <w:rPr>
          <w:rFonts w:asciiTheme="minorHAnsi" w:hAnsiTheme="minorHAnsi" w:cstheme="minorHAnsi"/>
          <w:sz w:val="22"/>
          <w:szCs w:val="22"/>
        </w:rPr>
        <w:t>ould</w:t>
      </w:r>
      <w:r w:rsidRPr="005E1585">
        <w:rPr>
          <w:rFonts w:asciiTheme="minorHAnsi" w:hAnsiTheme="minorHAnsi" w:cstheme="minorHAnsi"/>
          <w:sz w:val="22"/>
          <w:szCs w:val="22"/>
        </w:rPr>
        <w:t xml:space="preserve"> instead</w:t>
      </w:r>
      <w:r w:rsidR="003A5988" w:rsidRPr="005E1585">
        <w:rPr>
          <w:rFonts w:asciiTheme="minorHAnsi" w:hAnsiTheme="minorHAnsi" w:cstheme="minorHAnsi"/>
          <w:sz w:val="22"/>
          <w:szCs w:val="22"/>
        </w:rPr>
        <w:t xml:space="preserve"> imply, in fact, a </w:t>
      </w:r>
      <w:r w:rsidR="003A5988" w:rsidRPr="005E1585">
        <w:rPr>
          <w:rFonts w:asciiTheme="minorHAnsi" w:hAnsiTheme="minorHAnsi" w:cstheme="minorHAnsi"/>
          <w:i/>
          <w:iCs/>
          <w:sz w:val="22"/>
          <w:szCs w:val="22"/>
        </w:rPr>
        <w:t>dis</w:t>
      </w:r>
      <w:r w:rsidR="003A5988" w:rsidRPr="005E1585">
        <w:rPr>
          <w:rFonts w:asciiTheme="minorHAnsi" w:hAnsiTheme="minorHAnsi" w:cstheme="minorHAnsi"/>
          <w:sz w:val="22"/>
          <w:szCs w:val="22"/>
        </w:rPr>
        <w:t>advantage to the painted figure, as her burial was perhaps interrupted.</w:t>
      </w:r>
      <w:r w:rsidR="00705955" w:rsidRPr="005E1585">
        <w:rPr>
          <w:rFonts w:asciiTheme="minorHAnsi" w:hAnsiTheme="minorHAnsi" w:cstheme="minorHAnsi"/>
          <w:sz w:val="22"/>
          <w:szCs w:val="22"/>
        </w:rPr>
        <w:t xml:space="preserve"> </w:t>
      </w:r>
      <w:r w:rsidR="00C34019" w:rsidRPr="005E1585">
        <w:rPr>
          <w:rFonts w:asciiTheme="minorHAnsi" w:hAnsiTheme="minorHAnsi" w:cstheme="minorHAnsi"/>
          <w:sz w:val="22"/>
          <w:szCs w:val="22"/>
        </w:rPr>
        <w:t>Th</w:t>
      </w:r>
      <w:r w:rsidRPr="005E1585">
        <w:rPr>
          <w:rFonts w:asciiTheme="minorHAnsi" w:hAnsiTheme="minorHAnsi" w:cstheme="minorHAnsi"/>
          <w:sz w:val="22"/>
          <w:szCs w:val="22"/>
        </w:rPr>
        <w:t>e relevant</w:t>
      </w:r>
      <w:r w:rsidR="00C34019" w:rsidRPr="005E1585">
        <w:rPr>
          <w:rFonts w:asciiTheme="minorHAnsi" w:hAnsiTheme="minorHAnsi" w:cstheme="minorHAnsi"/>
          <w:sz w:val="22"/>
          <w:szCs w:val="22"/>
        </w:rPr>
        <w:t xml:space="preserve"> evidence could have been </w:t>
      </w:r>
      <w:r w:rsidR="00705955" w:rsidRPr="005E1585">
        <w:rPr>
          <w:rFonts w:asciiTheme="minorHAnsi" w:hAnsiTheme="minorHAnsi" w:cstheme="minorHAnsi"/>
          <w:sz w:val="22"/>
          <w:szCs w:val="22"/>
        </w:rPr>
        <w:t xml:space="preserve">better </w:t>
      </w:r>
      <w:r w:rsidR="00402AA3" w:rsidRPr="005E1585">
        <w:rPr>
          <w:rFonts w:asciiTheme="minorHAnsi" w:hAnsiTheme="minorHAnsi" w:cstheme="minorHAnsi"/>
          <w:sz w:val="22"/>
          <w:szCs w:val="22"/>
        </w:rPr>
        <w:t xml:space="preserve">presented to the audience through a key of some </w:t>
      </w:r>
      <w:r w:rsidR="00B67AED" w:rsidRPr="005E1585">
        <w:rPr>
          <w:rFonts w:asciiTheme="minorHAnsi" w:hAnsiTheme="minorHAnsi" w:cstheme="minorHAnsi"/>
          <w:sz w:val="22"/>
          <w:szCs w:val="22"/>
        </w:rPr>
        <w:t>kind or</w:t>
      </w:r>
      <w:r w:rsidR="00402AA3" w:rsidRPr="005E1585">
        <w:rPr>
          <w:rFonts w:asciiTheme="minorHAnsi" w:hAnsiTheme="minorHAnsi" w:cstheme="minorHAnsi"/>
          <w:sz w:val="22"/>
          <w:szCs w:val="22"/>
        </w:rPr>
        <w:t xml:space="preserve"> labelling the placement of </w:t>
      </w:r>
      <w:r w:rsidR="00705955" w:rsidRPr="005E1585">
        <w:rPr>
          <w:rFonts w:asciiTheme="minorHAnsi" w:hAnsiTheme="minorHAnsi" w:cstheme="minorHAnsi"/>
          <w:sz w:val="22"/>
          <w:szCs w:val="22"/>
        </w:rPr>
        <w:t xml:space="preserve">fragmented </w:t>
      </w:r>
      <w:r w:rsidR="00531A65" w:rsidRPr="005E1585">
        <w:rPr>
          <w:rFonts w:asciiTheme="minorHAnsi" w:hAnsiTheme="minorHAnsi" w:cstheme="minorHAnsi"/>
          <w:sz w:val="22"/>
          <w:szCs w:val="22"/>
        </w:rPr>
        <w:t>human remains</w:t>
      </w:r>
      <w:r w:rsidR="00800922" w:rsidRPr="005E1585">
        <w:rPr>
          <w:rFonts w:asciiTheme="minorHAnsi" w:hAnsiTheme="minorHAnsi" w:cstheme="minorHAnsi"/>
          <w:sz w:val="22"/>
          <w:szCs w:val="22"/>
        </w:rPr>
        <w:t>.</w:t>
      </w:r>
    </w:p>
    <w:p w14:paraId="6C3E810D" w14:textId="77777777" w:rsidR="009A1911" w:rsidRDefault="001A1AC7" w:rsidP="005E1585">
      <w:pPr>
        <w:spacing w:line="360" w:lineRule="auto"/>
        <w:ind w:firstLine="720"/>
        <w:rPr>
          <w:rFonts w:cstheme="minorHAnsi"/>
        </w:rPr>
      </w:pPr>
      <w:r w:rsidRPr="005E1585">
        <w:rPr>
          <w:rFonts w:cstheme="minorHAnsi"/>
        </w:rPr>
        <w:t xml:space="preserve">In none of the sources I encountered were the </w:t>
      </w:r>
      <w:r w:rsidR="00260838">
        <w:rPr>
          <w:rFonts w:cstheme="minorHAnsi"/>
        </w:rPr>
        <w:t>textile</w:t>
      </w:r>
      <w:r w:rsidRPr="005E1585">
        <w:rPr>
          <w:rFonts w:cstheme="minorHAnsi"/>
        </w:rPr>
        <w:t xml:space="preserve">s of the painting </w:t>
      </w:r>
      <w:r w:rsidR="004C1786" w:rsidRPr="005E1585">
        <w:rPr>
          <w:rFonts w:cstheme="minorHAnsi"/>
        </w:rPr>
        <w:t>given basis</w:t>
      </w:r>
      <w:r w:rsidRPr="005E1585">
        <w:rPr>
          <w:rFonts w:cstheme="minorHAnsi"/>
        </w:rPr>
        <w:t xml:space="preserve">. Though an appealing image, and perhaps a harmless </w:t>
      </w:r>
      <w:r w:rsidR="00260838">
        <w:rPr>
          <w:rFonts w:cstheme="minorHAnsi"/>
        </w:rPr>
        <w:t>one</w:t>
      </w:r>
      <w:r w:rsidRPr="005E1585">
        <w:rPr>
          <w:rFonts w:cstheme="minorHAnsi"/>
        </w:rPr>
        <w:t xml:space="preserve">, the responsibility of the researchers to </w:t>
      </w:r>
      <w:r w:rsidR="006214E4" w:rsidRPr="005E1585">
        <w:rPr>
          <w:rFonts w:cstheme="minorHAnsi"/>
        </w:rPr>
        <w:t xml:space="preserve">perpetuate </w:t>
      </w:r>
      <w:r w:rsidR="000B6906" w:rsidRPr="005E1585">
        <w:rPr>
          <w:rFonts w:cstheme="minorHAnsi"/>
        </w:rPr>
        <w:t>‘the preservation of archaeological context is a universal duty’ (Krieger, 2014, p.923)</w:t>
      </w:r>
      <w:r w:rsidR="004C1786" w:rsidRPr="005E1585">
        <w:rPr>
          <w:rFonts w:cstheme="minorHAnsi"/>
        </w:rPr>
        <w:t xml:space="preserve"> </w:t>
      </w:r>
      <w:r w:rsidR="006214E4" w:rsidRPr="005E1585">
        <w:rPr>
          <w:rFonts w:cstheme="minorHAnsi"/>
        </w:rPr>
        <w:t>can be distorted if liberties are taken.</w:t>
      </w:r>
    </w:p>
    <w:p w14:paraId="62EFEDA7" w14:textId="0B699324" w:rsidR="005333EB" w:rsidRPr="005E1585" w:rsidRDefault="00C94A4A" w:rsidP="005E1585">
      <w:pPr>
        <w:spacing w:line="360" w:lineRule="auto"/>
        <w:ind w:firstLine="720"/>
        <w:rPr>
          <w:rFonts w:cstheme="minorHAnsi"/>
        </w:rPr>
      </w:pPr>
      <w:r w:rsidRPr="005E1585">
        <w:rPr>
          <w:rFonts w:cstheme="minorHAnsi"/>
        </w:rPr>
        <w:t>If</w:t>
      </w:r>
      <w:r w:rsidR="006214E4" w:rsidRPr="005E1585">
        <w:rPr>
          <w:rFonts w:cstheme="minorHAnsi"/>
        </w:rPr>
        <w:t xml:space="preserve"> these</w:t>
      </w:r>
      <w:r w:rsidR="00233EA2" w:rsidRPr="005E1585">
        <w:rPr>
          <w:rFonts w:cstheme="minorHAnsi"/>
        </w:rPr>
        <w:t xml:space="preserve"> </w:t>
      </w:r>
      <w:r w:rsidR="004C1786" w:rsidRPr="005E1585">
        <w:rPr>
          <w:rFonts w:cstheme="minorHAnsi"/>
        </w:rPr>
        <w:t xml:space="preserve">were </w:t>
      </w:r>
      <w:r w:rsidR="00233EA2" w:rsidRPr="005E1585">
        <w:rPr>
          <w:rFonts w:cstheme="minorHAnsi"/>
        </w:rPr>
        <w:t xml:space="preserve">included to demonstrate the presence of the benches in the </w:t>
      </w:r>
      <w:r w:rsidR="008C5D4C" w:rsidRPr="005E1585">
        <w:rPr>
          <w:rFonts w:cstheme="minorHAnsi"/>
        </w:rPr>
        <w:t>tomb, then</w:t>
      </w:r>
      <w:r w:rsidR="00233EA2" w:rsidRPr="005E1585">
        <w:rPr>
          <w:rFonts w:cstheme="minorHAnsi"/>
        </w:rPr>
        <w:t xml:space="preserve"> </w:t>
      </w:r>
      <w:r w:rsidRPr="005E1585">
        <w:rPr>
          <w:rFonts w:cstheme="minorHAnsi"/>
        </w:rPr>
        <w:t xml:space="preserve">this </w:t>
      </w:r>
      <w:r w:rsidR="00233EA2" w:rsidRPr="005E1585">
        <w:rPr>
          <w:rFonts w:cstheme="minorHAnsi"/>
        </w:rPr>
        <w:t xml:space="preserve">is </w:t>
      </w:r>
      <w:r w:rsidRPr="005E1585">
        <w:rPr>
          <w:rFonts w:cstheme="minorHAnsi"/>
        </w:rPr>
        <w:t>compensating fo</w:t>
      </w:r>
      <w:r w:rsidR="00233EA2" w:rsidRPr="005E1585">
        <w:rPr>
          <w:rFonts w:cstheme="minorHAnsi"/>
        </w:rPr>
        <w:t>r</w:t>
      </w:r>
      <w:r w:rsidRPr="005E1585">
        <w:rPr>
          <w:rFonts w:cstheme="minorHAnsi"/>
        </w:rPr>
        <w:t xml:space="preserve"> a</w:t>
      </w:r>
      <w:r w:rsidR="00233EA2" w:rsidRPr="005E1585">
        <w:rPr>
          <w:rFonts w:cstheme="minorHAnsi"/>
        </w:rPr>
        <w:t>nother</w:t>
      </w:r>
      <w:r w:rsidRPr="005E1585">
        <w:rPr>
          <w:rFonts w:cstheme="minorHAnsi"/>
        </w:rPr>
        <w:t xml:space="preserve"> </w:t>
      </w:r>
      <w:r w:rsidR="00F854EA" w:rsidRPr="005E1585">
        <w:rPr>
          <w:rFonts w:cstheme="minorHAnsi"/>
        </w:rPr>
        <w:t>flaw of this drawing</w:t>
      </w:r>
      <w:r w:rsidR="00233EA2" w:rsidRPr="005E1585">
        <w:rPr>
          <w:rFonts w:cstheme="minorHAnsi"/>
        </w:rPr>
        <w:t>. I</w:t>
      </w:r>
      <w:r w:rsidR="00F854EA" w:rsidRPr="005E1585">
        <w:rPr>
          <w:rFonts w:cstheme="minorHAnsi"/>
        </w:rPr>
        <w:t>n a site where depth – what is on the floor and what is placed on the benches – is of interest, this should surely be communicated in any available image of the tomb</w:t>
      </w:r>
      <w:r w:rsidR="007F49FE" w:rsidRPr="005E1585">
        <w:rPr>
          <w:rFonts w:cstheme="minorHAnsi"/>
        </w:rPr>
        <w:t>. N</w:t>
      </w:r>
      <w:r w:rsidR="00F854EA" w:rsidRPr="005E1585">
        <w:rPr>
          <w:rFonts w:cstheme="minorHAnsi"/>
        </w:rPr>
        <w:t>o section</w:t>
      </w:r>
      <w:r w:rsidR="007F49FE" w:rsidRPr="005E1585">
        <w:rPr>
          <w:rFonts w:cstheme="minorHAnsi"/>
        </w:rPr>
        <w:t xml:space="preserve"> or scale</w:t>
      </w:r>
      <w:r w:rsidR="00F854EA" w:rsidRPr="005E1585">
        <w:rPr>
          <w:rFonts w:cstheme="minorHAnsi"/>
        </w:rPr>
        <w:t xml:space="preserve"> is provided</w:t>
      </w:r>
      <w:r w:rsidR="00FB7337" w:rsidRPr="005E1585">
        <w:rPr>
          <w:rFonts w:cstheme="minorHAnsi"/>
        </w:rPr>
        <w:t xml:space="preserve"> to illustrate depth</w:t>
      </w:r>
      <w:r w:rsidR="007F49FE" w:rsidRPr="005E1585">
        <w:rPr>
          <w:rFonts w:cstheme="minorHAnsi"/>
        </w:rPr>
        <w:t>, or even size</w:t>
      </w:r>
      <w:r w:rsidR="00FB7337" w:rsidRPr="005E1585">
        <w:rPr>
          <w:rFonts w:cstheme="minorHAnsi"/>
        </w:rPr>
        <w:t xml:space="preserve">. </w:t>
      </w:r>
      <w:r w:rsidR="00074BD9" w:rsidRPr="005E1585">
        <w:rPr>
          <w:rFonts w:cstheme="minorHAnsi"/>
        </w:rPr>
        <w:t>The information the audience receives about the bodies</w:t>
      </w:r>
      <w:r w:rsidR="007F49FE" w:rsidRPr="005E1585">
        <w:rPr>
          <w:rFonts w:cstheme="minorHAnsi"/>
        </w:rPr>
        <w:t xml:space="preserve"> is</w:t>
      </w:r>
      <w:r w:rsidR="00FB7337" w:rsidRPr="005E1585">
        <w:rPr>
          <w:rFonts w:cstheme="minorHAnsi"/>
        </w:rPr>
        <w:t xml:space="preserve"> </w:t>
      </w:r>
      <w:r w:rsidR="007F49FE" w:rsidRPr="005E1585">
        <w:rPr>
          <w:rFonts w:cstheme="minorHAnsi"/>
        </w:rPr>
        <w:t>consequently limited</w:t>
      </w:r>
      <w:r w:rsidR="00074BD9" w:rsidRPr="005E1585">
        <w:rPr>
          <w:rFonts w:cstheme="minorHAnsi"/>
        </w:rPr>
        <w:t>.</w:t>
      </w:r>
      <w:r w:rsidR="00684B47" w:rsidRPr="005E1585">
        <w:rPr>
          <w:rFonts w:cstheme="minorHAnsi"/>
        </w:rPr>
        <w:t xml:space="preserve"> For instance, </w:t>
      </w:r>
      <w:r w:rsidR="00074BD9" w:rsidRPr="005E1585">
        <w:rPr>
          <w:rFonts w:cstheme="minorHAnsi"/>
        </w:rPr>
        <w:t xml:space="preserve">Goring details how the </w:t>
      </w:r>
      <w:r w:rsidR="00DB2222" w:rsidRPr="005E1585">
        <w:rPr>
          <w:rFonts w:cstheme="minorHAnsi"/>
        </w:rPr>
        <w:t xml:space="preserve">intact </w:t>
      </w:r>
      <w:r w:rsidR="00074BD9" w:rsidRPr="005E1585">
        <w:rPr>
          <w:rFonts w:cstheme="minorHAnsi"/>
        </w:rPr>
        <w:t>woman’s upper body lay ‘</w:t>
      </w:r>
      <w:r w:rsidR="00B47E7C" w:rsidRPr="005E1585">
        <w:rPr>
          <w:rFonts w:cstheme="minorHAnsi"/>
        </w:rPr>
        <w:t>at a strangely high angle. This could not be explained by wrapping in a shroud’ (Goring, 1989, p.101)</w:t>
      </w:r>
      <w:r w:rsidR="00DB2222" w:rsidRPr="005E1585">
        <w:rPr>
          <w:rFonts w:cstheme="minorHAnsi"/>
        </w:rPr>
        <w:t xml:space="preserve">, </w:t>
      </w:r>
      <w:r w:rsidR="002C0BCD" w:rsidRPr="005E1585">
        <w:rPr>
          <w:rFonts w:cstheme="minorHAnsi"/>
        </w:rPr>
        <w:t xml:space="preserve">an intriguing detail </w:t>
      </w:r>
      <w:r w:rsidR="00E27C79" w:rsidRPr="005E1585">
        <w:rPr>
          <w:rFonts w:cstheme="minorHAnsi"/>
        </w:rPr>
        <w:t>which</w:t>
      </w:r>
      <w:r w:rsidR="002C0BCD" w:rsidRPr="005E1585">
        <w:rPr>
          <w:rFonts w:cstheme="minorHAnsi"/>
        </w:rPr>
        <w:t xml:space="preserve"> an audience</w:t>
      </w:r>
      <w:r w:rsidR="00150502" w:rsidRPr="005E1585">
        <w:rPr>
          <w:rFonts w:cstheme="minorHAnsi"/>
        </w:rPr>
        <w:t xml:space="preserve"> could not draw from the painted representation.</w:t>
      </w:r>
    </w:p>
    <w:p w14:paraId="70FE4113" w14:textId="3AD7A830" w:rsidR="00327FEC" w:rsidRPr="005E1585" w:rsidRDefault="005333EB" w:rsidP="005E1585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color w:val="000000"/>
          <w:sz w:val="22"/>
          <w:szCs w:val="22"/>
        </w:rPr>
      </w:pPr>
      <w:r w:rsidRPr="005E1585">
        <w:rPr>
          <w:rFonts w:asciiTheme="minorHAnsi" w:hAnsiTheme="minorHAnsi" w:cstheme="minorHAnsi"/>
          <w:color w:val="000000"/>
          <w:sz w:val="22"/>
          <w:szCs w:val="22"/>
        </w:rPr>
        <w:t xml:space="preserve">Though the </w:t>
      </w:r>
      <w:r w:rsidR="006B2D67" w:rsidRPr="005E1585">
        <w:rPr>
          <w:rFonts w:asciiTheme="minorHAnsi" w:hAnsiTheme="minorHAnsi" w:cstheme="minorHAnsi"/>
          <w:color w:val="000000"/>
          <w:sz w:val="22"/>
          <w:szCs w:val="22"/>
        </w:rPr>
        <w:t>tomb plan</w:t>
      </w:r>
      <w:r w:rsidRPr="005E1585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7B3157" w:rsidRPr="005E1585">
        <w:rPr>
          <w:rFonts w:asciiTheme="minorHAnsi" w:hAnsiTheme="minorHAnsi" w:cstheme="minorHAnsi"/>
          <w:color w:val="000000"/>
          <w:sz w:val="22"/>
          <w:szCs w:val="22"/>
        </w:rPr>
        <w:t xml:space="preserve">to some extent </w:t>
      </w:r>
      <w:r w:rsidR="00197A30" w:rsidRPr="005E1585">
        <w:rPr>
          <w:rFonts w:asciiTheme="minorHAnsi" w:hAnsiTheme="minorHAnsi" w:cstheme="minorHAnsi"/>
          <w:color w:val="000000"/>
          <w:sz w:val="22"/>
          <w:szCs w:val="22"/>
        </w:rPr>
        <w:t>represents all remains in the tomb, what it cannot do by nature as a depiction of a</w:t>
      </w:r>
      <w:r w:rsidR="005355FF" w:rsidRPr="005E1585">
        <w:rPr>
          <w:rFonts w:asciiTheme="minorHAnsi" w:hAnsiTheme="minorHAnsi" w:cstheme="minorHAnsi"/>
          <w:color w:val="000000"/>
          <w:sz w:val="22"/>
          <w:szCs w:val="22"/>
        </w:rPr>
        <w:t xml:space="preserve">n </w:t>
      </w:r>
      <w:r w:rsidR="00197A30" w:rsidRPr="005E1585">
        <w:rPr>
          <w:rFonts w:asciiTheme="minorHAnsi" w:hAnsiTheme="minorHAnsi" w:cstheme="minorHAnsi"/>
          <w:color w:val="000000"/>
          <w:sz w:val="22"/>
          <w:szCs w:val="22"/>
        </w:rPr>
        <w:t xml:space="preserve">isolated tomb, is </w:t>
      </w:r>
      <w:r w:rsidR="00440FA2" w:rsidRPr="005E1585">
        <w:rPr>
          <w:rFonts w:asciiTheme="minorHAnsi" w:hAnsiTheme="minorHAnsi" w:cstheme="minorHAnsi"/>
          <w:color w:val="000000"/>
          <w:sz w:val="22"/>
          <w:szCs w:val="22"/>
        </w:rPr>
        <w:t xml:space="preserve">situate </w:t>
      </w:r>
      <w:r w:rsidR="00194B90" w:rsidRPr="005E1585">
        <w:rPr>
          <w:rFonts w:asciiTheme="minorHAnsi" w:hAnsiTheme="minorHAnsi" w:cstheme="minorHAnsi"/>
          <w:color w:val="000000"/>
          <w:sz w:val="22"/>
          <w:szCs w:val="22"/>
        </w:rPr>
        <w:t>them</w:t>
      </w:r>
      <w:r w:rsidR="00440FA2" w:rsidRPr="005E1585">
        <w:rPr>
          <w:rFonts w:asciiTheme="minorHAnsi" w:hAnsiTheme="minorHAnsi" w:cstheme="minorHAnsi"/>
          <w:color w:val="000000"/>
          <w:sz w:val="22"/>
          <w:szCs w:val="22"/>
        </w:rPr>
        <w:t xml:space="preserve"> within a</w:t>
      </w:r>
      <w:r w:rsidR="00197A30" w:rsidRPr="005E1585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0E3EFF" w:rsidRPr="005E1585">
        <w:rPr>
          <w:rFonts w:asciiTheme="minorHAnsi" w:hAnsiTheme="minorHAnsi" w:cstheme="minorHAnsi"/>
          <w:color w:val="000000"/>
          <w:sz w:val="22"/>
          <w:szCs w:val="22"/>
        </w:rPr>
        <w:t xml:space="preserve">broader </w:t>
      </w:r>
      <w:r w:rsidR="00194B90" w:rsidRPr="005E1585">
        <w:rPr>
          <w:rFonts w:asciiTheme="minorHAnsi" w:hAnsiTheme="minorHAnsi" w:cstheme="minorHAnsi"/>
          <w:color w:val="000000"/>
          <w:sz w:val="22"/>
          <w:szCs w:val="22"/>
        </w:rPr>
        <w:t xml:space="preserve">societal </w:t>
      </w:r>
      <w:r w:rsidR="000E3EFF" w:rsidRPr="005E1585">
        <w:rPr>
          <w:rFonts w:asciiTheme="minorHAnsi" w:hAnsiTheme="minorHAnsi" w:cstheme="minorHAnsi"/>
          <w:color w:val="000000"/>
          <w:sz w:val="22"/>
          <w:szCs w:val="22"/>
        </w:rPr>
        <w:t>context</w:t>
      </w:r>
      <w:r w:rsidR="00440FA2" w:rsidRPr="005E1585">
        <w:rPr>
          <w:rFonts w:asciiTheme="minorHAnsi" w:hAnsiTheme="minorHAnsi" w:cstheme="minorHAnsi"/>
          <w:color w:val="000000"/>
          <w:sz w:val="22"/>
          <w:szCs w:val="22"/>
        </w:rPr>
        <w:t xml:space="preserve">. For instance, </w:t>
      </w:r>
      <w:r w:rsidR="00F5739F" w:rsidRPr="005E1585">
        <w:rPr>
          <w:rFonts w:asciiTheme="minorHAnsi" w:hAnsiTheme="minorHAnsi" w:cstheme="minorHAnsi"/>
          <w:color w:val="000000"/>
          <w:sz w:val="22"/>
          <w:szCs w:val="22"/>
        </w:rPr>
        <w:t>similarities of burial process observed at Vounous</w:t>
      </w:r>
      <w:r w:rsidR="00692E8E" w:rsidRPr="005E1585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215790" w:rsidRPr="005E1585">
        <w:rPr>
          <w:rFonts w:asciiTheme="minorHAnsi" w:hAnsiTheme="minorHAnsi" w:cstheme="minorHAnsi"/>
          <w:color w:val="000000"/>
          <w:sz w:val="22"/>
          <w:szCs w:val="22"/>
        </w:rPr>
        <w:t>(Bolger, 2002, p.81)</w:t>
      </w:r>
      <w:r w:rsidR="004B2AF4" w:rsidRPr="005E1585">
        <w:rPr>
          <w:rFonts w:asciiTheme="minorHAnsi" w:hAnsiTheme="minorHAnsi" w:cstheme="minorHAnsi"/>
          <w:color w:val="000000"/>
          <w:sz w:val="22"/>
          <w:szCs w:val="22"/>
        </w:rPr>
        <w:t>. The physical location of the tomb does this also, w</w:t>
      </w:r>
      <w:r w:rsidR="00C119B1" w:rsidRPr="005E1585">
        <w:rPr>
          <w:rFonts w:asciiTheme="minorHAnsi" w:hAnsiTheme="minorHAnsi" w:cstheme="minorHAnsi"/>
          <w:color w:val="000000"/>
          <w:sz w:val="22"/>
          <w:szCs w:val="22"/>
        </w:rPr>
        <w:t>hich</w:t>
      </w:r>
      <w:r w:rsidR="004919F4" w:rsidRPr="005E1585">
        <w:rPr>
          <w:rFonts w:asciiTheme="minorHAnsi" w:hAnsiTheme="minorHAnsi" w:cstheme="minorHAnsi"/>
          <w:color w:val="000000"/>
          <w:sz w:val="22"/>
          <w:szCs w:val="22"/>
        </w:rPr>
        <w:t xml:space="preserve"> has caused speculation that </w:t>
      </w:r>
      <w:r w:rsidR="004919F4" w:rsidRPr="005E1585">
        <w:rPr>
          <w:rFonts w:asciiTheme="minorHAnsi" w:hAnsiTheme="minorHAnsi" w:cstheme="minorHAnsi"/>
          <w:color w:val="000000"/>
          <w:sz w:val="22"/>
          <w:szCs w:val="22"/>
        </w:rPr>
        <w:t>‘Building X may have been deliberately placed next to these tombs as a statement of ancestral ties’ (Fisher et al., 2019, p. 480-481)</w:t>
      </w:r>
      <w:r w:rsidR="004919F4" w:rsidRPr="005E1585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="004919F4" w:rsidRPr="005E1585">
        <w:rPr>
          <w:rFonts w:asciiTheme="minorHAnsi" w:hAnsiTheme="minorHAnsi" w:cstheme="minorHAnsi"/>
          <w:sz w:val="22"/>
          <w:szCs w:val="22"/>
        </w:rPr>
        <w:t xml:space="preserve"> I</w:t>
      </w:r>
      <w:r w:rsidR="00C119B1" w:rsidRPr="005E1585">
        <w:rPr>
          <w:rFonts w:asciiTheme="minorHAnsi" w:hAnsiTheme="minorHAnsi" w:cstheme="minorHAnsi"/>
          <w:color w:val="000000"/>
          <w:sz w:val="22"/>
          <w:szCs w:val="22"/>
        </w:rPr>
        <w:t>f provided</w:t>
      </w:r>
      <w:r w:rsidR="004919F4" w:rsidRPr="005E1585">
        <w:rPr>
          <w:rFonts w:asciiTheme="minorHAnsi" w:hAnsiTheme="minorHAnsi" w:cstheme="minorHAnsi"/>
          <w:color w:val="000000"/>
          <w:sz w:val="22"/>
          <w:szCs w:val="22"/>
        </w:rPr>
        <w:t>,</w:t>
      </w:r>
      <w:r w:rsidR="00C119B1" w:rsidRPr="005E1585">
        <w:rPr>
          <w:rFonts w:asciiTheme="minorHAnsi" w:hAnsiTheme="minorHAnsi" w:cstheme="minorHAnsi"/>
          <w:color w:val="000000"/>
          <w:sz w:val="22"/>
          <w:szCs w:val="22"/>
        </w:rPr>
        <w:t xml:space="preserve"> in a map like figure 2, </w:t>
      </w:r>
      <w:r w:rsidR="004919F4" w:rsidRPr="005E1585">
        <w:rPr>
          <w:rFonts w:asciiTheme="minorHAnsi" w:hAnsiTheme="minorHAnsi" w:cstheme="minorHAnsi"/>
          <w:color w:val="000000"/>
          <w:sz w:val="22"/>
          <w:szCs w:val="22"/>
        </w:rPr>
        <w:t>this information could provide significant insight</w:t>
      </w:r>
      <w:r w:rsidR="00784098" w:rsidRPr="005E1585">
        <w:rPr>
          <w:rFonts w:asciiTheme="minorHAnsi" w:hAnsiTheme="minorHAnsi" w:cstheme="minorHAnsi"/>
          <w:color w:val="000000"/>
          <w:sz w:val="22"/>
          <w:szCs w:val="22"/>
        </w:rPr>
        <w:t xml:space="preserve"> into the perception of the buried group by their own descendants; information which the painted image seems largely uninterested in sharing with any audience, let alone </w:t>
      </w:r>
      <w:r w:rsidR="005E1585" w:rsidRPr="005E1585">
        <w:rPr>
          <w:rFonts w:asciiTheme="minorHAnsi" w:hAnsiTheme="minorHAnsi" w:cstheme="minorHAnsi"/>
          <w:color w:val="000000"/>
          <w:sz w:val="22"/>
          <w:szCs w:val="22"/>
        </w:rPr>
        <w:t>one beyond the field of archaeology.</w:t>
      </w:r>
    </w:p>
    <w:p w14:paraId="333BF596" w14:textId="5E5AF63F" w:rsidR="00F15D61" w:rsidRPr="005E1585" w:rsidRDefault="00D46947" w:rsidP="005E1585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  <w:r>
        <w:rPr>
          <w:rFonts w:ascii="Arial" w:hAnsi="Arial" w:cs="Arial"/>
          <w:noProof/>
          <w:color w:val="000000"/>
          <w:sz w:val="22"/>
          <w:szCs w:val="22"/>
          <w:bdr w:val="none" w:sz="0" w:space="0" w:color="auto" w:frame="1"/>
        </w:rPr>
        <w:lastRenderedPageBreak/>
        <w:drawing>
          <wp:inline distT="0" distB="0" distL="0" distR="0" wp14:anchorId="6311D673" wp14:editId="6B624425">
            <wp:extent cx="3343220" cy="2910177"/>
            <wp:effectExtent l="0" t="0" r="0" b="5080"/>
            <wp:docPr id="4" name="Picture 4" descr="A map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map of a build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20" cy="29101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A0A811" w14:textId="77777777" w:rsidR="009D0B12" w:rsidRDefault="009D0B12" w:rsidP="00867617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</w:p>
    <w:p w14:paraId="2E620CFA" w14:textId="2E105370" w:rsidR="000A1F39" w:rsidRDefault="000A1F39" w:rsidP="000A1F39">
      <w:pPr>
        <w:pStyle w:val="NormalWeb"/>
        <w:keepNext/>
        <w:spacing w:before="0" w:beforeAutospacing="0" w:after="0" w:afterAutospacing="0"/>
      </w:pPr>
    </w:p>
    <w:p w14:paraId="22DBD950" w14:textId="42519F42" w:rsidR="009D0B12" w:rsidRPr="000A1F39" w:rsidRDefault="000A1F39" w:rsidP="000A1F39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 (</w:t>
      </w:r>
      <w:r w:rsidRPr="00980D7B">
        <w:t>Fisher et al., 2019, p.480)</w:t>
      </w:r>
    </w:p>
    <w:p w14:paraId="175AEBD8" w14:textId="2F505E6D" w:rsidR="00964D72" w:rsidRDefault="00964D72" w:rsidP="00964D72">
      <w:pPr>
        <w:pStyle w:val="NormalWeb"/>
        <w:spacing w:before="0" w:beforeAutospacing="0" w:after="0" w:afterAutospacing="0"/>
      </w:pPr>
    </w:p>
    <w:p w14:paraId="0DBE03C3" w14:textId="1C0B4A10" w:rsidR="00F15D61" w:rsidRPr="00120E8A" w:rsidRDefault="005355FF" w:rsidP="005F23D5">
      <w:pPr>
        <w:pStyle w:val="NormalWeb"/>
        <w:spacing w:before="0" w:beforeAutospacing="0" w:after="0" w:afterAutospacing="0"/>
      </w:pPr>
      <w:r>
        <w:t>Word Count: 1</w:t>
      </w:r>
      <w:r w:rsidR="00D46947">
        <w:t>1</w:t>
      </w:r>
      <w:r w:rsidR="00120E8A">
        <w:t>00</w:t>
      </w:r>
    </w:p>
    <w:p w14:paraId="7CB03D0F" w14:textId="77777777" w:rsidR="00D236E9" w:rsidRDefault="00D236E9" w:rsidP="005F23D5">
      <w:pPr>
        <w:pStyle w:val="NormalWeb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1F72BE59" w14:textId="77777777" w:rsidR="00257FA8" w:rsidRPr="00257FA8" w:rsidRDefault="00257FA8" w:rsidP="00257F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9AF1910" w14:textId="77777777" w:rsidR="00257FA8" w:rsidRPr="00257FA8" w:rsidRDefault="00257FA8" w:rsidP="00257FA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683A51A" w14:textId="77777777" w:rsidR="00E067D1" w:rsidRDefault="00E067D1" w:rsidP="00914B52">
      <w:pPr>
        <w:pStyle w:val="NormalWeb"/>
        <w:spacing w:before="0" w:beforeAutospacing="0" w:after="0" w:afterAutospacing="0"/>
      </w:pPr>
    </w:p>
    <w:p w14:paraId="3B7530EC" w14:textId="77777777" w:rsidR="00561B16" w:rsidRDefault="00561B16"/>
    <w:p w14:paraId="5974CB03" w14:textId="77777777" w:rsidR="00924947" w:rsidRDefault="00924947"/>
    <w:p w14:paraId="74D059D4" w14:textId="77777777" w:rsidR="00924947" w:rsidRDefault="00924947"/>
    <w:p w14:paraId="0C04D495" w14:textId="77777777" w:rsidR="00924947" w:rsidRDefault="00924947"/>
    <w:p w14:paraId="56EE02B4" w14:textId="77777777" w:rsidR="00924947" w:rsidRDefault="00924947"/>
    <w:p w14:paraId="58DF9A9A" w14:textId="77777777" w:rsidR="00924947" w:rsidRDefault="00924947"/>
    <w:p w14:paraId="13034184" w14:textId="77777777" w:rsidR="00924947" w:rsidRDefault="00924947"/>
    <w:p w14:paraId="1D7D3134" w14:textId="77777777" w:rsidR="00924947" w:rsidRDefault="00924947"/>
    <w:p w14:paraId="1FD025CA" w14:textId="77777777" w:rsidR="00924947" w:rsidRDefault="00924947"/>
    <w:p w14:paraId="1C15A610" w14:textId="77777777" w:rsidR="00924947" w:rsidRDefault="00924947"/>
    <w:p w14:paraId="0F41DA48" w14:textId="77777777" w:rsidR="00924947" w:rsidRDefault="00924947"/>
    <w:p w14:paraId="312EC581" w14:textId="77777777" w:rsidR="00924947" w:rsidRDefault="00924947"/>
    <w:p w14:paraId="596C5560" w14:textId="77777777" w:rsidR="00924947" w:rsidRDefault="00924947"/>
    <w:p w14:paraId="6FA2D4B8" w14:textId="77777777" w:rsidR="00196C1E" w:rsidRDefault="00196C1E"/>
    <w:p w14:paraId="241048EF" w14:textId="315EC43B" w:rsidR="00561B16" w:rsidRPr="00A806FE" w:rsidRDefault="00561B16" w:rsidP="00A806FE">
      <w:pPr>
        <w:spacing w:line="360" w:lineRule="auto"/>
        <w:rPr>
          <w:rFonts w:cstheme="minorHAnsi"/>
          <w:u w:val="single"/>
        </w:rPr>
      </w:pPr>
      <w:r w:rsidRPr="00A806FE">
        <w:rPr>
          <w:rFonts w:cstheme="minorHAnsi"/>
          <w:u w:val="single"/>
        </w:rPr>
        <w:lastRenderedPageBreak/>
        <w:t>Bibliography</w:t>
      </w:r>
    </w:p>
    <w:p w14:paraId="1E2F650E" w14:textId="36EF40C1" w:rsidR="001E52B8" w:rsidRPr="00A806FE" w:rsidRDefault="001E52B8" w:rsidP="00A806FE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sz w:val="22"/>
          <w:szCs w:val="22"/>
        </w:rPr>
      </w:pPr>
      <w:r w:rsidRPr="00A806FE">
        <w:rPr>
          <w:rFonts w:asciiTheme="minorHAnsi" w:hAnsiTheme="minorHAnsi" w:cstheme="minorHAnsi"/>
          <w:color w:val="000000"/>
          <w:sz w:val="22"/>
          <w:szCs w:val="22"/>
        </w:rPr>
        <w:t>Bolger, D. (2002) ‘Gender and Mortuary Ritual in Chalcolithic Cyprus’,</w:t>
      </w:r>
      <w:r w:rsidRPr="00A806FE">
        <w:rPr>
          <w:rFonts w:asciiTheme="minorHAnsi" w:hAnsiTheme="minorHAnsi" w:cstheme="minorHAnsi"/>
          <w:i/>
          <w:iCs/>
          <w:color w:val="000000"/>
          <w:sz w:val="22"/>
          <w:szCs w:val="22"/>
        </w:rPr>
        <w:t xml:space="preserve"> Engendering Aphrodite - Women and Society in Ancient Cyprus,</w:t>
      </w:r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 7, Boston: American Schools of Oriental Research, pp.67-86. Available at: </w:t>
      </w:r>
      <w:hyperlink r:id="rId11" w:history="1">
        <w:r w:rsidRPr="00A806FE">
          <w:rPr>
            <w:rStyle w:val="Hyperlink"/>
            <w:rFonts w:asciiTheme="minorHAnsi" w:hAnsiTheme="minorHAnsi" w:cstheme="minorHAnsi"/>
            <w:color w:val="1155CC"/>
            <w:sz w:val="22"/>
            <w:szCs w:val="22"/>
          </w:rPr>
          <w:t>https://www.academia.edu/42700398/WOMEN_AND_SOCIETY_IN_ANCIENT_CYPRUS</w:t>
        </w:r>
      </w:hyperlink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B61358" w:rsidRPr="00A806FE">
        <w:rPr>
          <w:rFonts w:asciiTheme="minorHAnsi" w:hAnsiTheme="minorHAnsi" w:cstheme="minorHAnsi"/>
          <w:color w:val="000000"/>
          <w:sz w:val="22"/>
          <w:szCs w:val="22"/>
        </w:rPr>
        <w:t>(A</w:t>
      </w:r>
      <w:r w:rsidRPr="00A806FE">
        <w:rPr>
          <w:rFonts w:asciiTheme="minorHAnsi" w:hAnsiTheme="minorHAnsi" w:cstheme="minorHAnsi"/>
          <w:color w:val="000000"/>
          <w:sz w:val="22"/>
          <w:szCs w:val="22"/>
        </w:rPr>
        <w:t>ccessed: 15/03/25</w:t>
      </w:r>
      <w:r w:rsidR="00B61358" w:rsidRPr="00A806FE">
        <w:rPr>
          <w:rFonts w:asciiTheme="minorHAnsi" w:hAnsiTheme="minorHAnsi" w:cstheme="minorHAnsi"/>
          <w:color w:val="000000"/>
          <w:sz w:val="22"/>
          <w:szCs w:val="22"/>
        </w:rPr>
        <w:t>)</w:t>
      </w:r>
    </w:p>
    <w:p w14:paraId="3F2227C9" w14:textId="77777777" w:rsidR="00DC7250" w:rsidRPr="00A806FE" w:rsidRDefault="00DC7250" w:rsidP="00A806FE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color w:val="000000"/>
          <w:sz w:val="22"/>
          <w:szCs w:val="22"/>
        </w:rPr>
      </w:pPr>
    </w:p>
    <w:p w14:paraId="183F73E2" w14:textId="7FA75D65" w:rsidR="00DC7250" w:rsidRPr="00A806FE" w:rsidRDefault="00DC7250" w:rsidP="00A806FE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sz w:val="22"/>
          <w:szCs w:val="22"/>
        </w:rPr>
      </w:pPr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Fisher, K. D. and Manning, S. W. and Urban, T. M. (2019) ‘New Approaches to Late Bronze Age Urban Landscapes on Cyprus: Investigations at </w:t>
      </w:r>
      <w:proofErr w:type="spellStart"/>
      <w:r w:rsidRPr="00A806FE">
        <w:rPr>
          <w:rFonts w:asciiTheme="minorHAnsi" w:hAnsiTheme="minorHAnsi" w:cstheme="minorHAnsi"/>
          <w:color w:val="000000"/>
          <w:sz w:val="22"/>
          <w:szCs w:val="22"/>
        </w:rPr>
        <w:t>Kalavasos-Ayios</w:t>
      </w:r>
      <w:proofErr w:type="spellEnd"/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 Dhimitrios, 2012-2016’, </w:t>
      </w:r>
      <w:r w:rsidRPr="00A806FE">
        <w:rPr>
          <w:rFonts w:asciiTheme="minorHAnsi" w:hAnsiTheme="minorHAnsi" w:cstheme="minorHAnsi"/>
          <w:i/>
          <w:iCs/>
          <w:color w:val="000000"/>
          <w:sz w:val="22"/>
          <w:szCs w:val="22"/>
        </w:rPr>
        <w:t>American Journal of Archaeology</w:t>
      </w:r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, 123(3), pp.473-507. Available at: </w:t>
      </w:r>
      <w:hyperlink r:id="rId12" w:history="1">
        <w:r w:rsidRPr="00A806FE">
          <w:rPr>
            <w:rStyle w:val="Hyperlink"/>
            <w:rFonts w:asciiTheme="minorHAnsi" w:hAnsiTheme="minorHAnsi" w:cstheme="minorHAnsi"/>
            <w:color w:val="1155CC"/>
            <w:sz w:val="22"/>
            <w:szCs w:val="22"/>
          </w:rPr>
          <w:t>https://www.journals.uchicago.edu/doi/pdf/10.3764/aja.123.3.0473</w:t>
        </w:r>
      </w:hyperlink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B61358" w:rsidRPr="00A806FE">
        <w:rPr>
          <w:rFonts w:asciiTheme="minorHAnsi" w:hAnsiTheme="minorHAnsi" w:cstheme="minorHAnsi"/>
          <w:color w:val="000000"/>
          <w:sz w:val="22"/>
          <w:szCs w:val="22"/>
        </w:rPr>
        <w:t>(A</w:t>
      </w:r>
      <w:r w:rsidRPr="00A806FE">
        <w:rPr>
          <w:rFonts w:asciiTheme="minorHAnsi" w:hAnsiTheme="minorHAnsi" w:cstheme="minorHAnsi"/>
          <w:color w:val="000000"/>
          <w:sz w:val="22"/>
          <w:szCs w:val="22"/>
        </w:rPr>
        <w:t>ccessed: 14/03/25</w:t>
      </w:r>
      <w:r w:rsidR="00B61358" w:rsidRPr="00A806FE">
        <w:rPr>
          <w:rFonts w:asciiTheme="minorHAnsi" w:hAnsiTheme="minorHAnsi" w:cstheme="minorHAnsi"/>
          <w:color w:val="000000"/>
          <w:sz w:val="22"/>
          <w:szCs w:val="22"/>
        </w:rPr>
        <w:t>)</w:t>
      </w:r>
    </w:p>
    <w:p w14:paraId="1715084F" w14:textId="77777777" w:rsidR="00726B98" w:rsidRPr="00A806FE" w:rsidRDefault="00726B98" w:rsidP="00A806FE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color w:val="000000"/>
          <w:sz w:val="22"/>
          <w:szCs w:val="22"/>
        </w:rPr>
      </w:pPr>
    </w:p>
    <w:p w14:paraId="63610019" w14:textId="77777777" w:rsidR="00726B98" w:rsidRPr="00A806FE" w:rsidRDefault="00726B98" w:rsidP="00A806FE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color w:val="000000"/>
          <w:sz w:val="22"/>
          <w:szCs w:val="22"/>
        </w:rPr>
      </w:pPr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Goring, E. (1989) ‘Death in everyday life: aspects of burial practice in the Late Bronze Age’, in </w:t>
      </w:r>
      <w:proofErr w:type="spellStart"/>
      <w:r w:rsidRPr="00A806FE">
        <w:rPr>
          <w:rFonts w:asciiTheme="minorHAnsi" w:hAnsiTheme="minorHAnsi" w:cstheme="minorHAnsi"/>
          <w:color w:val="000000"/>
          <w:sz w:val="22"/>
          <w:szCs w:val="22"/>
        </w:rPr>
        <w:t>Peltenburg</w:t>
      </w:r>
      <w:proofErr w:type="spellEnd"/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, E. (ed.), </w:t>
      </w:r>
      <w:r w:rsidRPr="00A806FE">
        <w:rPr>
          <w:rFonts w:asciiTheme="minorHAnsi" w:hAnsiTheme="minorHAnsi" w:cstheme="minorHAnsi"/>
          <w:i/>
          <w:iCs/>
          <w:color w:val="000000"/>
          <w:sz w:val="22"/>
          <w:szCs w:val="22"/>
        </w:rPr>
        <w:t>Early Society in Cyprus</w:t>
      </w:r>
      <w:r w:rsidRPr="00A806FE">
        <w:rPr>
          <w:rFonts w:asciiTheme="minorHAnsi" w:hAnsiTheme="minorHAnsi" w:cstheme="minorHAnsi"/>
          <w:color w:val="000000"/>
          <w:sz w:val="22"/>
          <w:szCs w:val="22"/>
        </w:rPr>
        <w:t>. Edinburgh: Edinburgh University Press, pp.95-105.</w:t>
      </w:r>
    </w:p>
    <w:p w14:paraId="7BE037E0" w14:textId="77777777" w:rsidR="00B83536" w:rsidRPr="00A806FE" w:rsidRDefault="00B83536" w:rsidP="00A806FE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color w:val="000000"/>
          <w:sz w:val="22"/>
          <w:szCs w:val="22"/>
        </w:rPr>
      </w:pPr>
    </w:p>
    <w:p w14:paraId="3C8A3DE1" w14:textId="39F1D33C" w:rsidR="00B83536" w:rsidRPr="00A806FE" w:rsidRDefault="00B83536" w:rsidP="00A806FE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sz w:val="22"/>
          <w:szCs w:val="22"/>
        </w:rPr>
      </w:pPr>
      <w:r w:rsidRPr="00A806FE">
        <w:rPr>
          <w:rFonts w:asciiTheme="minorHAnsi" w:hAnsiTheme="minorHAnsi" w:cstheme="minorHAnsi"/>
          <w:color w:val="000000"/>
          <w:sz w:val="22"/>
          <w:szCs w:val="22"/>
        </w:rPr>
        <w:t> </w:t>
      </w:r>
      <w:proofErr w:type="spellStart"/>
      <w:r w:rsidRPr="00A806FE">
        <w:rPr>
          <w:rFonts w:asciiTheme="minorHAnsi" w:hAnsiTheme="minorHAnsi" w:cstheme="minorHAnsi"/>
          <w:color w:val="000000"/>
          <w:sz w:val="22"/>
          <w:szCs w:val="22"/>
        </w:rPr>
        <w:t>Kalavasos</w:t>
      </w:r>
      <w:proofErr w:type="spellEnd"/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 and Maroni Built Environments (KAMBE) Project, ‘</w:t>
      </w:r>
      <w:proofErr w:type="spellStart"/>
      <w:r w:rsidRPr="00A806FE">
        <w:rPr>
          <w:rFonts w:asciiTheme="minorHAnsi" w:hAnsiTheme="minorHAnsi" w:cstheme="minorHAnsi"/>
          <w:color w:val="000000"/>
          <w:sz w:val="22"/>
          <w:szCs w:val="22"/>
        </w:rPr>
        <w:t>Kalavasos-Ayios</w:t>
      </w:r>
      <w:proofErr w:type="spellEnd"/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 Dhimitrios’, The University of British Columbia. Available at: </w:t>
      </w:r>
      <w:hyperlink r:id="rId13" w:history="1">
        <w:r w:rsidRPr="00A806FE">
          <w:rPr>
            <w:rStyle w:val="Hyperlink"/>
            <w:rFonts w:asciiTheme="minorHAnsi" w:hAnsiTheme="minorHAnsi" w:cstheme="minorHAnsi"/>
            <w:color w:val="1155CC"/>
            <w:sz w:val="22"/>
            <w:szCs w:val="22"/>
          </w:rPr>
          <w:t>https://kambe.amne.ubc.ca/the-sites/kalavasos-ayios-dhimitrios/</w:t>
        </w:r>
      </w:hyperlink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 [accessed: 13/03/25]</w:t>
      </w:r>
    </w:p>
    <w:p w14:paraId="2104D13A" w14:textId="77777777" w:rsidR="00AC14A1" w:rsidRPr="00A806FE" w:rsidRDefault="00AC14A1" w:rsidP="00A806FE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color w:val="000000"/>
          <w:sz w:val="22"/>
          <w:szCs w:val="22"/>
        </w:rPr>
      </w:pPr>
    </w:p>
    <w:p w14:paraId="78A3B23D" w14:textId="22513902" w:rsidR="00FF2F04" w:rsidRPr="00A806FE" w:rsidRDefault="00FF2F04" w:rsidP="00A806FE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sz w:val="22"/>
          <w:szCs w:val="22"/>
        </w:rPr>
      </w:pPr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Krieger, W. H. (2014) ‘Marketing Archaeology’, Ethical Theory and Moral Practice, 17(5), pp.923-939. Available at: </w:t>
      </w:r>
      <w:hyperlink r:id="rId14" w:history="1">
        <w:r w:rsidRPr="00A806FE">
          <w:rPr>
            <w:rStyle w:val="Hyperlink"/>
            <w:rFonts w:asciiTheme="minorHAnsi" w:hAnsiTheme="minorHAnsi" w:cstheme="minorHAnsi"/>
            <w:color w:val="1155CC"/>
            <w:sz w:val="22"/>
            <w:szCs w:val="22"/>
          </w:rPr>
          <w:t>https://www.jstor.org/stable/24478722</w:t>
        </w:r>
      </w:hyperlink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 (Accessed: 15/03/25)</w:t>
      </w:r>
    </w:p>
    <w:p w14:paraId="44EFD353" w14:textId="77777777" w:rsidR="00A66556" w:rsidRPr="00A806FE" w:rsidRDefault="00A66556" w:rsidP="00A806FE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color w:val="000000"/>
          <w:sz w:val="22"/>
          <w:szCs w:val="22"/>
        </w:rPr>
      </w:pPr>
    </w:p>
    <w:p w14:paraId="5BB7B285" w14:textId="6DB146A3" w:rsidR="00A66556" w:rsidRPr="00A806FE" w:rsidRDefault="00A66556" w:rsidP="00A806FE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sz w:val="22"/>
          <w:szCs w:val="22"/>
        </w:rPr>
      </w:pPr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Pethen, H. (2022) ‘Public Presentation and Archaeological Experience’, </w:t>
      </w:r>
      <w:r w:rsidRPr="00A806FE">
        <w:rPr>
          <w:rFonts w:asciiTheme="minorHAnsi" w:hAnsiTheme="minorHAnsi" w:cstheme="minorHAnsi"/>
          <w:i/>
          <w:iCs/>
          <w:color w:val="000000"/>
          <w:sz w:val="22"/>
          <w:szCs w:val="22"/>
        </w:rPr>
        <w:t>Scribe in the House of Life: Hannah Pethen Ph.D</w:t>
      </w:r>
      <w:r w:rsidRPr="00A806FE">
        <w:rPr>
          <w:rFonts w:asciiTheme="minorHAnsi" w:hAnsiTheme="minorHAnsi" w:cstheme="minorHAnsi"/>
          <w:color w:val="000000"/>
          <w:sz w:val="22"/>
          <w:szCs w:val="22"/>
        </w:rPr>
        <w:t>.[blog].  Available at:</w:t>
      </w:r>
      <w:hyperlink r:id="rId15" w:history="1">
        <w:r w:rsidRPr="00A806FE">
          <w:rPr>
            <w:rStyle w:val="Hyperlink"/>
            <w:rFonts w:asciiTheme="minorHAnsi" w:hAnsiTheme="minorHAnsi" w:cstheme="minorHAnsi"/>
            <w:color w:val="1155CC"/>
            <w:sz w:val="22"/>
            <w:szCs w:val="22"/>
          </w:rPr>
          <w:t>https://hannahpethen.com/2022/01/26/public-presentation-and-archaeological-experience/</w:t>
        </w:r>
      </w:hyperlink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 (Accessed: 15/03/25)</w:t>
      </w:r>
    </w:p>
    <w:p w14:paraId="58BCAB56" w14:textId="77777777" w:rsidR="00726B98" w:rsidRPr="00A806FE" w:rsidRDefault="00726B98" w:rsidP="00A806FE">
      <w:pPr>
        <w:pStyle w:val="NormalWeb"/>
        <w:spacing w:before="0" w:beforeAutospacing="0" w:after="0" w:afterAutospacing="0" w:line="360" w:lineRule="auto"/>
        <w:rPr>
          <w:rFonts w:asciiTheme="minorHAnsi" w:hAnsiTheme="minorHAnsi" w:cstheme="minorHAnsi"/>
          <w:color w:val="000000"/>
          <w:sz w:val="22"/>
          <w:szCs w:val="22"/>
        </w:rPr>
      </w:pPr>
    </w:p>
    <w:p w14:paraId="24BA349C" w14:textId="206957C0" w:rsidR="00373C40" w:rsidRPr="00A806FE" w:rsidRDefault="00373C40" w:rsidP="00A806FE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sz w:val="22"/>
          <w:szCs w:val="22"/>
        </w:rPr>
      </w:pPr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Pudney, C. (2019) ‘Instrumentalised Public Archaeology: Cease and Desist?’, in </w:t>
      </w:r>
      <w:proofErr w:type="spellStart"/>
      <w:r w:rsidRPr="00A806FE">
        <w:rPr>
          <w:rFonts w:asciiTheme="minorHAnsi" w:hAnsiTheme="minorHAnsi" w:cstheme="minorHAnsi"/>
          <w:color w:val="000000"/>
          <w:sz w:val="22"/>
          <w:szCs w:val="22"/>
        </w:rPr>
        <w:t>Ezzeldin</w:t>
      </w:r>
      <w:proofErr w:type="spellEnd"/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, A., Williams, H., Pudney, C. (ed.) </w:t>
      </w:r>
      <w:r w:rsidRPr="00A806FE">
        <w:rPr>
          <w:rFonts w:asciiTheme="minorHAnsi" w:hAnsiTheme="minorHAnsi" w:cstheme="minorHAnsi"/>
          <w:i/>
          <w:iCs/>
          <w:color w:val="000000"/>
          <w:sz w:val="22"/>
          <w:szCs w:val="22"/>
        </w:rPr>
        <w:t>Public Archaeology - Arts of Engagement</w:t>
      </w:r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. Oxford: </w:t>
      </w:r>
      <w:proofErr w:type="spellStart"/>
      <w:r w:rsidRPr="00A806FE">
        <w:rPr>
          <w:rFonts w:asciiTheme="minorHAnsi" w:hAnsiTheme="minorHAnsi" w:cstheme="minorHAnsi"/>
          <w:color w:val="000000"/>
          <w:sz w:val="22"/>
          <w:szCs w:val="22"/>
        </w:rPr>
        <w:t>Archaeopress</w:t>
      </w:r>
      <w:proofErr w:type="spellEnd"/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 Publishing. pp.109-124. Available at: </w:t>
      </w:r>
      <w:hyperlink r:id="rId16" w:history="1">
        <w:r w:rsidRPr="00A806FE">
          <w:rPr>
            <w:rStyle w:val="Hyperlink"/>
            <w:rFonts w:asciiTheme="minorHAnsi" w:hAnsiTheme="minorHAnsi" w:cstheme="minorHAnsi"/>
            <w:color w:val="1155CC"/>
            <w:sz w:val="22"/>
            <w:szCs w:val="22"/>
          </w:rPr>
          <w:t>https://www.researchgate.net/publication/342178184_Public_Archaeology_Arts_of_Engagement</w:t>
        </w:r>
      </w:hyperlink>
      <w:r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 </w:t>
      </w:r>
      <w:r w:rsidR="00E95EED" w:rsidRPr="00A806FE">
        <w:rPr>
          <w:rFonts w:asciiTheme="minorHAnsi" w:hAnsiTheme="minorHAnsi" w:cstheme="minorHAnsi"/>
          <w:color w:val="000000"/>
          <w:sz w:val="22"/>
          <w:szCs w:val="22"/>
        </w:rPr>
        <w:t>(A</w:t>
      </w:r>
      <w:r w:rsidRPr="00A806FE">
        <w:rPr>
          <w:rFonts w:asciiTheme="minorHAnsi" w:hAnsiTheme="minorHAnsi" w:cstheme="minorHAnsi"/>
          <w:color w:val="000000"/>
          <w:sz w:val="22"/>
          <w:szCs w:val="22"/>
        </w:rPr>
        <w:t>ccessed: 15/03/25</w:t>
      </w:r>
      <w:r w:rsidR="00E95EED" w:rsidRPr="00A806FE">
        <w:rPr>
          <w:rFonts w:asciiTheme="minorHAnsi" w:hAnsiTheme="minorHAnsi" w:cstheme="minorHAnsi"/>
          <w:color w:val="000000"/>
          <w:sz w:val="22"/>
          <w:szCs w:val="22"/>
        </w:rPr>
        <w:t>)</w:t>
      </w:r>
    </w:p>
    <w:p w14:paraId="1D6F21BB" w14:textId="77777777" w:rsidR="00561B16" w:rsidRPr="00A806FE" w:rsidRDefault="00561B16" w:rsidP="00A806FE">
      <w:pPr>
        <w:spacing w:line="360" w:lineRule="auto"/>
        <w:rPr>
          <w:rFonts w:cstheme="minorHAnsi"/>
        </w:rPr>
      </w:pPr>
    </w:p>
    <w:p w14:paraId="2B3F04B7" w14:textId="2B2D9C7A" w:rsidR="009663A2" w:rsidRPr="00A806FE" w:rsidRDefault="009663A2" w:rsidP="00A806FE">
      <w:pPr>
        <w:spacing w:line="360" w:lineRule="auto"/>
        <w:rPr>
          <w:rFonts w:cstheme="minorHAnsi"/>
        </w:rPr>
      </w:pPr>
      <w:r w:rsidRPr="00A806FE">
        <w:rPr>
          <w:rFonts w:cstheme="minorHAnsi"/>
        </w:rPr>
        <w:tab/>
        <w:t xml:space="preserve">Tringham, R. (1991) </w:t>
      </w:r>
      <w:r w:rsidR="002801A3" w:rsidRPr="00A806FE">
        <w:rPr>
          <w:rFonts w:cstheme="minorHAnsi"/>
        </w:rPr>
        <w:t>‘</w:t>
      </w:r>
      <w:r w:rsidRPr="00A806FE">
        <w:rPr>
          <w:rFonts w:cstheme="minorHAnsi"/>
        </w:rPr>
        <w:t xml:space="preserve">Households with Faces: </w:t>
      </w:r>
      <w:r w:rsidR="00AD7436" w:rsidRPr="00A806FE">
        <w:rPr>
          <w:rFonts w:cstheme="minorHAnsi"/>
        </w:rPr>
        <w:t>the challenge of gender in prehistoric architectural remains</w:t>
      </w:r>
      <w:r w:rsidR="002801A3" w:rsidRPr="00A806FE">
        <w:rPr>
          <w:rFonts w:cstheme="minorHAnsi"/>
        </w:rPr>
        <w:t>’, in Conkey, M. and Gero, J. (eds</w:t>
      </w:r>
      <w:r w:rsidR="002801A3" w:rsidRPr="00A806FE">
        <w:rPr>
          <w:rFonts w:cstheme="minorHAnsi"/>
          <w:i/>
          <w:iCs/>
        </w:rPr>
        <w:t>.) Engendering Archaeology</w:t>
      </w:r>
      <w:r w:rsidR="002801A3" w:rsidRPr="00A806FE">
        <w:rPr>
          <w:rFonts w:cstheme="minorHAnsi"/>
        </w:rPr>
        <w:t xml:space="preserve">, </w:t>
      </w:r>
      <w:r w:rsidR="00235937" w:rsidRPr="00A806FE">
        <w:rPr>
          <w:rFonts w:cstheme="minorHAnsi"/>
        </w:rPr>
        <w:t xml:space="preserve">pp.93-131. Available at: </w:t>
      </w:r>
      <w:hyperlink r:id="rId17" w:history="1">
        <w:r w:rsidR="00FB21AF" w:rsidRPr="00A806FE">
          <w:rPr>
            <w:rStyle w:val="Hyperlink"/>
            <w:rFonts w:cstheme="minorHAnsi"/>
          </w:rPr>
          <w:t>https://www.academia.edu/29034867/Households_with_Faces_the_challenge_of_gender_in_prehistoric_architectural_remains_1991_</w:t>
        </w:r>
      </w:hyperlink>
      <w:r w:rsidR="00FB21AF" w:rsidRPr="00A806FE">
        <w:rPr>
          <w:rFonts w:cstheme="minorHAnsi"/>
        </w:rPr>
        <w:t xml:space="preserve"> (Accessed: 16/03/25)</w:t>
      </w:r>
    </w:p>
    <w:p w14:paraId="6425BD4C" w14:textId="77777777" w:rsidR="00FB21AF" w:rsidRPr="00A806FE" w:rsidRDefault="00FB21AF" w:rsidP="00A806FE">
      <w:pPr>
        <w:spacing w:line="360" w:lineRule="auto"/>
        <w:rPr>
          <w:rFonts w:cstheme="minorHAnsi"/>
        </w:rPr>
      </w:pPr>
    </w:p>
    <w:p w14:paraId="1E795C7A" w14:textId="77777777" w:rsidR="00924947" w:rsidRPr="00A806FE" w:rsidRDefault="00924947" w:rsidP="00A806FE">
      <w:pPr>
        <w:spacing w:line="360" w:lineRule="auto"/>
        <w:rPr>
          <w:rFonts w:cstheme="minorHAnsi"/>
          <w:u w:val="single"/>
        </w:rPr>
      </w:pPr>
    </w:p>
    <w:p w14:paraId="3BFD2B16" w14:textId="77777777" w:rsidR="00924947" w:rsidRPr="00A806FE" w:rsidRDefault="00924947" w:rsidP="00A806FE">
      <w:pPr>
        <w:spacing w:line="360" w:lineRule="auto"/>
        <w:rPr>
          <w:rFonts w:cstheme="minorHAnsi"/>
          <w:u w:val="single"/>
        </w:rPr>
      </w:pPr>
    </w:p>
    <w:p w14:paraId="6F021A8C" w14:textId="77777777" w:rsidR="00924947" w:rsidRPr="00A806FE" w:rsidRDefault="00924947" w:rsidP="00A806FE">
      <w:pPr>
        <w:spacing w:line="360" w:lineRule="auto"/>
        <w:rPr>
          <w:rFonts w:cstheme="minorHAnsi"/>
          <w:u w:val="single"/>
        </w:rPr>
      </w:pPr>
    </w:p>
    <w:p w14:paraId="1976FF1F" w14:textId="77777777" w:rsidR="00924947" w:rsidRPr="00A806FE" w:rsidRDefault="00924947" w:rsidP="00A806FE">
      <w:pPr>
        <w:spacing w:line="360" w:lineRule="auto"/>
        <w:rPr>
          <w:rFonts w:cstheme="minorHAnsi"/>
          <w:u w:val="single"/>
        </w:rPr>
      </w:pPr>
    </w:p>
    <w:p w14:paraId="1C4E7DCF" w14:textId="77777777" w:rsidR="00924947" w:rsidRPr="00A806FE" w:rsidRDefault="00924947" w:rsidP="00A806FE">
      <w:pPr>
        <w:spacing w:line="360" w:lineRule="auto"/>
        <w:rPr>
          <w:rFonts w:cstheme="minorHAnsi"/>
          <w:u w:val="single"/>
        </w:rPr>
      </w:pPr>
    </w:p>
    <w:p w14:paraId="6A386DDD" w14:textId="77777777" w:rsidR="00924947" w:rsidRDefault="00924947" w:rsidP="00A806FE">
      <w:pPr>
        <w:spacing w:line="360" w:lineRule="auto"/>
        <w:rPr>
          <w:rFonts w:cstheme="minorHAnsi"/>
          <w:u w:val="single"/>
        </w:rPr>
      </w:pPr>
    </w:p>
    <w:p w14:paraId="4560B29E" w14:textId="77777777" w:rsidR="00B11EB8" w:rsidRDefault="00B11EB8" w:rsidP="00A806FE">
      <w:pPr>
        <w:spacing w:line="360" w:lineRule="auto"/>
        <w:rPr>
          <w:rFonts w:cstheme="minorHAnsi"/>
          <w:u w:val="single"/>
        </w:rPr>
      </w:pPr>
    </w:p>
    <w:p w14:paraId="0D02CB1D" w14:textId="77777777" w:rsidR="00B11EB8" w:rsidRDefault="00B11EB8" w:rsidP="00A806FE">
      <w:pPr>
        <w:spacing w:line="360" w:lineRule="auto"/>
        <w:rPr>
          <w:rFonts w:cstheme="minorHAnsi"/>
          <w:u w:val="single"/>
        </w:rPr>
      </w:pPr>
    </w:p>
    <w:p w14:paraId="334DCCD1" w14:textId="77777777" w:rsidR="00B11EB8" w:rsidRDefault="00B11EB8" w:rsidP="00A806FE">
      <w:pPr>
        <w:spacing w:line="360" w:lineRule="auto"/>
        <w:rPr>
          <w:rFonts w:cstheme="minorHAnsi"/>
          <w:u w:val="single"/>
        </w:rPr>
      </w:pPr>
    </w:p>
    <w:p w14:paraId="71749C76" w14:textId="77777777" w:rsidR="00B11EB8" w:rsidRDefault="00B11EB8" w:rsidP="00A806FE">
      <w:pPr>
        <w:spacing w:line="360" w:lineRule="auto"/>
        <w:rPr>
          <w:rFonts w:cstheme="minorHAnsi"/>
          <w:u w:val="single"/>
        </w:rPr>
      </w:pPr>
    </w:p>
    <w:p w14:paraId="133FCF69" w14:textId="77777777" w:rsidR="00B11EB8" w:rsidRDefault="00B11EB8" w:rsidP="00A806FE">
      <w:pPr>
        <w:spacing w:line="360" w:lineRule="auto"/>
        <w:rPr>
          <w:rFonts w:cstheme="minorHAnsi"/>
          <w:u w:val="single"/>
        </w:rPr>
      </w:pPr>
    </w:p>
    <w:p w14:paraId="5691E2ED" w14:textId="77777777" w:rsidR="00B11EB8" w:rsidRDefault="00B11EB8" w:rsidP="00A806FE">
      <w:pPr>
        <w:spacing w:line="360" w:lineRule="auto"/>
        <w:rPr>
          <w:rFonts w:cstheme="minorHAnsi"/>
          <w:u w:val="single"/>
        </w:rPr>
      </w:pPr>
    </w:p>
    <w:p w14:paraId="73512B3A" w14:textId="77777777" w:rsidR="00B11EB8" w:rsidRDefault="00B11EB8" w:rsidP="00A806FE">
      <w:pPr>
        <w:spacing w:line="360" w:lineRule="auto"/>
        <w:rPr>
          <w:rFonts w:cstheme="minorHAnsi"/>
          <w:u w:val="single"/>
        </w:rPr>
      </w:pPr>
    </w:p>
    <w:p w14:paraId="375C37BB" w14:textId="77777777" w:rsidR="00B11EB8" w:rsidRDefault="00B11EB8" w:rsidP="00A806FE">
      <w:pPr>
        <w:spacing w:line="360" w:lineRule="auto"/>
        <w:rPr>
          <w:rFonts w:cstheme="minorHAnsi"/>
          <w:u w:val="single"/>
        </w:rPr>
      </w:pPr>
    </w:p>
    <w:p w14:paraId="1E595887" w14:textId="77777777" w:rsidR="00B11EB8" w:rsidRDefault="00B11EB8" w:rsidP="00A806FE">
      <w:pPr>
        <w:spacing w:line="360" w:lineRule="auto"/>
        <w:rPr>
          <w:rFonts w:cstheme="minorHAnsi"/>
          <w:u w:val="single"/>
        </w:rPr>
      </w:pPr>
    </w:p>
    <w:p w14:paraId="4DD6937A" w14:textId="77777777" w:rsidR="00B11EB8" w:rsidRDefault="00B11EB8" w:rsidP="00A806FE">
      <w:pPr>
        <w:spacing w:line="360" w:lineRule="auto"/>
        <w:rPr>
          <w:rFonts w:cstheme="minorHAnsi"/>
          <w:u w:val="single"/>
        </w:rPr>
      </w:pPr>
    </w:p>
    <w:p w14:paraId="493DDDC4" w14:textId="77777777" w:rsidR="00B11EB8" w:rsidRDefault="00B11EB8" w:rsidP="00A806FE">
      <w:pPr>
        <w:spacing w:line="360" w:lineRule="auto"/>
        <w:rPr>
          <w:rFonts w:cstheme="minorHAnsi"/>
          <w:u w:val="single"/>
        </w:rPr>
      </w:pPr>
    </w:p>
    <w:p w14:paraId="4D859DF4" w14:textId="77777777" w:rsidR="00B11EB8" w:rsidRDefault="00B11EB8" w:rsidP="00A806FE">
      <w:pPr>
        <w:spacing w:line="360" w:lineRule="auto"/>
        <w:rPr>
          <w:rFonts w:cstheme="minorHAnsi"/>
          <w:u w:val="single"/>
        </w:rPr>
      </w:pPr>
    </w:p>
    <w:p w14:paraId="78BC9A8D" w14:textId="77777777" w:rsidR="00B11EB8" w:rsidRDefault="00B11EB8" w:rsidP="00A806FE">
      <w:pPr>
        <w:spacing w:line="360" w:lineRule="auto"/>
        <w:rPr>
          <w:rFonts w:cstheme="minorHAnsi"/>
          <w:u w:val="single"/>
        </w:rPr>
      </w:pPr>
    </w:p>
    <w:p w14:paraId="73789913" w14:textId="77777777" w:rsidR="00B11EB8" w:rsidRDefault="00B11EB8" w:rsidP="00A806FE">
      <w:pPr>
        <w:spacing w:line="360" w:lineRule="auto"/>
        <w:rPr>
          <w:rFonts w:cstheme="minorHAnsi"/>
          <w:u w:val="single"/>
        </w:rPr>
      </w:pPr>
    </w:p>
    <w:p w14:paraId="2112F190" w14:textId="77777777" w:rsidR="00B11EB8" w:rsidRDefault="00B11EB8" w:rsidP="00A806FE">
      <w:pPr>
        <w:spacing w:line="360" w:lineRule="auto"/>
        <w:rPr>
          <w:rFonts w:cstheme="minorHAnsi"/>
          <w:u w:val="single"/>
        </w:rPr>
      </w:pPr>
    </w:p>
    <w:p w14:paraId="507F14D9" w14:textId="77777777" w:rsidR="00B11EB8" w:rsidRPr="00A806FE" w:rsidRDefault="00B11EB8" w:rsidP="00A806FE">
      <w:pPr>
        <w:spacing w:line="360" w:lineRule="auto"/>
        <w:rPr>
          <w:rFonts w:cstheme="minorHAnsi"/>
          <w:u w:val="single"/>
        </w:rPr>
      </w:pPr>
    </w:p>
    <w:p w14:paraId="385F8D7E" w14:textId="11DBBA1D" w:rsidR="00373C40" w:rsidRPr="00A806FE" w:rsidRDefault="00286D9C" w:rsidP="00A806FE">
      <w:pPr>
        <w:spacing w:line="360" w:lineRule="auto"/>
        <w:rPr>
          <w:rFonts w:cstheme="minorHAnsi"/>
          <w:u w:val="single"/>
        </w:rPr>
      </w:pPr>
      <w:r w:rsidRPr="00A806FE">
        <w:rPr>
          <w:rFonts w:cstheme="minorHAnsi"/>
          <w:u w:val="single"/>
        </w:rPr>
        <w:lastRenderedPageBreak/>
        <w:t>L</w:t>
      </w:r>
      <w:r w:rsidR="00DB5993" w:rsidRPr="00A806FE">
        <w:rPr>
          <w:rFonts w:cstheme="minorHAnsi"/>
          <w:u w:val="single"/>
        </w:rPr>
        <w:t>ist of Figures</w:t>
      </w:r>
    </w:p>
    <w:p w14:paraId="6C91A2E8" w14:textId="77777777" w:rsidR="00DB5993" w:rsidRPr="00A806FE" w:rsidRDefault="00DB5993" w:rsidP="00A806FE">
      <w:pPr>
        <w:spacing w:line="360" w:lineRule="auto"/>
        <w:ind w:firstLine="720"/>
        <w:rPr>
          <w:rFonts w:cstheme="minorHAnsi"/>
        </w:rPr>
      </w:pPr>
      <w:r w:rsidRPr="00A806FE">
        <w:rPr>
          <w:rFonts w:cstheme="minorHAnsi"/>
        </w:rPr>
        <w:t>Figure 1 - Goring. E. (1996) ‘</w:t>
      </w:r>
      <w:proofErr w:type="spellStart"/>
      <w:r w:rsidRPr="00A806FE">
        <w:rPr>
          <w:rFonts w:cstheme="minorHAnsi"/>
        </w:rPr>
        <w:t>Jewelry</w:t>
      </w:r>
      <w:proofErr w:type="spellEnd"/>
      <w:r w:rsidRPr="00A806FE">
        <w:rPr>
          <w:rFonts w:cstheme="minorHAnsi"/>
        </w:rPr>
        <w:t xml:space="preserve"> from an Intact Tomb’, in Calinescu, A. (ed.) </w:t>
      </w:r>
      <w:r w:rsidRPr="00A806FE">
        <w:rPr>
          <w:rFonts w:cstheme="minorHAnsi"/>
          <w:i/>
          <w:iCs/>
        </w:rPr>
        <w:t xml:space="preserve">Ancient </w:t>
      </w:r>
      <w:proofErr w:type="spellStart"/>
      <w:r w:rsidRPr="00A806FE">
        <w:rPr>
          <w:rFonts w:cstheme="minorHAnsi"/>
          <w:i/>
          <w:iCs/>
        </w:rPr>
        <w:t>Jewelry</w:t>
      </w:r>
      <w:proofErr w:type="spellEnd"/>
      <w:r w:rsidRPr="00A806FE">
        <w:rPr>
          <w:rFonts w:cstheme="minorHAnsi"/>
          <w:i/>
          <w:iCs/>
        </w:rPr>
        <w:t xml:space="preserve"> and Archaeology. </w:t>
      </w:r>
      <w:r w:rsidRPr="00A806FE">
        <w:rPr>
          <w:rFonts w:cstheme="minorHAnsi"/>
        </w:rPr>
        <w:t>pp.26-34.</w:t>
      </w:r>
      <w:r w:rsidRPr="00A806FE">
        <w:rPr>
          <w:rFonts w:cstheme="minorHAnsi"/>
          <w:i/>
          <w:iCs/>
        </w:rPr>
        <w:t xml:space="preserve"> </w:t>
      </w:r>
      <w:r w:rsidRPr="00A806FE">
        <w:rPr>
          <w:rFonts w:cstheme="minorHAnsi"/>
        </w:rPr>
        <w:t xml:space="preserve">Indianapolis: Indiana University Press. Available at: </w:t>
      </w:r>
      <w:hyperlink r:id="rId18" w:history="1">
        <w:r w:rsidRPr="00A806FE">
          <w:rPr>
            <w:rStyle w:val="Hyperlink"/>
            <w:rFonts w:cstheme="minorHAnsi"/>
          </w:rPr>
          <w:t>https://www.academia.edu/42860458/Jewelry_from_an_intact_tomb_evidence_from_Late_Bronze_Age_Cyprus</w:t>
        </w:r>
      </w:hyperlink>
      <w:r w:rsidRPr="00A806FE">
        <w:rPr>
          <w:rFonts w:cstheme="minorHAnsi"/>
        </w:rPr>
        <w:t xml:space="preserve"> (Accessed: 15/03/25)</w:t>
      </w:r>
    </w:p>
    <w:p w14:paraId="502159CB" w14:textId="14CDD2EB" w:rsidR="00DB5993" w:rsidRPr="00A806FE" w:rsidRDefault="000A1F39" w:rsidP="00A806FE">
      <w:pPr>
        <w:pStyle w:val="NormalWeb"/>
        <w:spacing w:before="0" w:beforeAutospacing="0" w:after="0" w:afterAutospacing="0" w:line="360" w:lineRule="auto"/>
        <w:ind w:firstLine="720"/>
        <w:rPr>
          <w:rFonts w:asciiTheme="minorHAnsi" w:hAnsiTheme="minorHAnsi" w:cstheme="minorHAnsi"/>
          <w:sz w:val="22"/>
          <w:szCs w:val="22"/>
        </w:rPr>
      </w:pPr>
      <w:r w:rsidRPr="00A806FE">
        <w:rPr>
          <w:rFonts w:asciiTheme="minorHAnsi" w:hAnsiTheme="minorHAnsi" w:cstheme="minorHAnsi"/>
          <w:sz w:val="22"/>
          <w:szCs w:val="22"/>
        </w:rPr>
        <w:t xml:space="preserve">Figure 2 - </w:t>
      </w:r>
      <w:r w:rsidR="00DC5E36"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Fisher, K. D. and Manning, S. W. and Urban, T. M. (2019) ‘New Approaches to Late Bronze Age Urban Landscapes on Cyprus: Investigations at </w:t>
      </w:r>
      <w:proofErr w:type="spellStart"/>
      <w:r w:rsidR="00DC5E36" w:rsidRPr="00A806FE">
        <w:rPr>
          <w:rFonts w:asciiTheme="minorHAnsi" w:hAnsiTheme="minorHAnsi" w:cstheme="minorHAnsi"/>
          <w:color w:val="000000"/>
          <w:sz w:val="22"/>
          <w:szCs w:val="22"/>
        </w:rPr>
        <w:t>Kalavasos-Ayios</w:t>
      </w:r>
      <w:proofErr w:type="spellEnd"/>
      <w:r w:rsidR="00DC5E36"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 Dhimitrios, 2012-2016’, </w:t>
      </w:r>
      <w:r w:rsidR="00DC5E36" w:rsidRPr="00A806FE">
        <w:rPr>
          <w:rFonts w:asciiTheme="minorHAnsi" w:hAnsiTheme="minorHAnsi" w:cstheme="minorHAnsi"/>
          <w:i/>
          <w:iCs/>
          <w:color w:val="000000"/>
          <w:sz w:val="22"/>
          <w:szCs w:val="22"/>
        </w:rPr>
        <w:t>American Journal of Archaeology</w:t>
      </w:r>
      <w:r w:rsidR="00DC5E36"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, 123(3), p.480. Available at: </w:t>
      </w:r>
      <w:hyperlink r:id="rId19" w:history="1">
        <w:r w:rsidR="00DC5E36" w:rsidRPr="00A806FE">
          <w:rPr>
            <w:rStyle w:val="Hyperlink"/>
            <w:rFonts w:asciiTheme="minorHAnsi" w:hAnsiTheme="minorHAnsi" w:cstheme="minorHAnsi"/>
            <w:color w:val="1155CC"/>
            <w:sz w:val="22"/>
            <w:szCs w:val="22"/>
          </w:rPr>
          <w:t>https://www.journals.uchicago.edu/doi/pdf/10.3764/aja.123.3.0473</w:t>
        </w:r>
      </w:hyperlink>
      <w:r w:rsidR="00DC5E36" w:rsidRPr="00A806FE">
        <w:rPr>
          <w:rFonts w:asciiTheme="minorHAnsi" w:hAnsiTheme="minorHAnsi" w:cstheme="minorHAnsi"/>
          <w:color w:val="000000"/>
          <w:sz w:val="22"/>
          <w:szCs w:val="22"/>
        </w:rPr>
        <w:t xml:space="preserve"> (Accessed: 14/03/25)</w:t>
      </w:r>
    </w:p>
    <w:sectPr w:rsidR="00DB5993" w:rsidRPr="00A806FE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CDD17C" w14:textId="77777777" w:rsidR="00921FB4" w:rsidRDefault="00921FB4" w:rsidP="00921FB4">
      <w:pPr>
        <w:spacing w:after="0" w:line="240" w:lineRule="auto"/>
      </w:pPr>
      <w:r>
        <w:separator/>
      </w:r>
    </w:p>
  </w:endnote>
  <w:endnote w:type="continuationSeparator" w:id="0">
    <w:p w14:paraId="51AD1B0D" w14:textId="77777777" w:rsidR="00921FB4" w:rsidRDefault="00921FB4" w:rsidP="00921F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10AF1E" w14:textId="77777777" w:rsidR="00921FB4" w:rsidRDefault="00921FB4" w:rsidP="00921FB4">
      <w:pPr>
        <w:spacing w:after="0" w:line="240" w:lineRule="auto"/>
      </w:pPr>
      <w:r>
        <w:separator/>
      </w:r>
    </w:p>
  </w:footnote>
  <w:footnote w:type="continuationSeparator" w:id="0">
    <w:p w14:paraId="50D23323" w14:textId="77777777" w:rsidR="00921FB4" w:rsidRDefault="00921FB4" w:rsidP="00921FB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6EF8CE" w14:textId="347DFBEA" w:rsidR="00921FB4" w:rsidRDefault="00921FB4">
    <w:pPr>
      <w:pStyle w:val="Header"/>
    </w:pPr>
    <w:r>
      <w:t>Lucy Harding 2204345 Image Analysis</w:t>
    </w:r>
    <w:r w:rsidR="0046173F">
      <w:t xml:space="preserve"> HPAH6081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EA1"/>
    <w:rsid w:val="00001083"/>
    <w:rsid w:val="00012E24"/>
    <w:rsid w:val="000228D0"/>
    <w:rsid w:val="00026D47"/>
    <w:rsid w:val="0003144A"/>
    <w:rsid w:val="00034394"/>
    <w:rsid w:val="00040ECF"/>
    <w:rsid w:val="000442C5"/>
    <w:rsid w:val="00052457"/>
    <w:rsid w:val="00074BD9"/>
    <w:rsid w:val="00075CA8"/>
    <w:rsid w:val="00087D77"/>
    <w:rsid w:val="0009297F"/>
    <w:rsid w:val="0009521F"/>
    <w:rsid w:val="00096B8B"/>
    <w:rsid w:val="000A0224"/>
    <w:rsid w:val="000A11D2"/>
    <w:rsid w:val="000A1F39"/>
    <w:rsid w:val="000A4018"/>
    <w:rsid w:val="000A57B1"/>
    <w:rsid w:val="000B20DB"/>
    <w:rsid w:val="000B2539"/>
    <w:rsid w:val="000B45F3"/>
    <w:rsid w:val="000B6482"/>
    <w:rsid w:val="000B6906"/>
    <w:rsid w:val="000C3DC1"/>
    <w:rsid w:val="000D3A66"/>
    <w:rsid w:val="000E2431"/>
    <w:rsid w:val="000E3EFF"/>
    <w:rsid w:val="00102320"/>
    <w:rsid w:val="00105BA1"/>
    <w:rsid w:val="0010745C"/>
    <w:rsid w:val="00115056"/>
    <w:rsid w:val="00120E8A"/>
    <w:rsid w:val="00124A14"/>
    <w:rsid w:val="00132205"/>
    <w:rsid w:val="00150502"/>
    <w:rsid w:val="001522F9"/>
    <w:rsid w:val="00162910"/>
    <w:rsid w:val="00181DB8"/>
    <w:rsid w:val="00183EA4"/>
    <w:rsid w:val="00185348"/>
    <w:rsid w:val="00190A11"/>
    <w:rsid w:val="00193A65"/>
    <w:rsid w:val="00194B90"/>
    <w:rsid w:val="00196C1E"/>
    <w:rsid w:val="00197A30"/>
    <w:rsid w:val="001A1AC7"/>
    <w:rsid w:val="001C6E17"/>
    <w:rsid w:val="001D15A3"/>
    <w:rsid w:val="001D41BF"/>
    <w:rsid w:val="001E52B8"/>
    <w:rsid w:val="001E7F0E"/>
    <w:rsid w:val="002071C8"/>
    <w:rsid w:val="002075D9"/>
    <w:rsid w:val="002120A3"/>
    <w:rsid w:val="00215790"/>
    <w:rsid w:val="002226B2"/>
    <w:rsid w:val="00233EA2"/>
    <w:rsid w:val="00235937"/>
    <w:rsid w:val="00235D28"/>
    <w:rsid w:val="00247D26"/>
    <w:rsid w:val="00250BB8"/>
    <w:rsid w:val="00257FA8"/>
    <w:rsid w:val="00260838"/>
    <w:rsid w:val="0027358B"/>
    <w:rsid w:val="002801A3"/>
    <w:rsid w:val="00280CEC"/>
    <w:rsid w:val="002821C6"/>
    <w:rsid w:val="00282646"/>
    <w:rsid w:val="002846C0"/>
    <w:rsid w:val="0028556E"/>
    <w:rsid w:val="00286D9C"/>
    <w:rsid w:val="0028769A"/>
    <w:rsid w:val="00290B31"/>
    <w:rsid w:val="00290BCE"/>
    <w:rsid w:val="00292594"/>
    <w:rsid w:val="0029270C"/>
    <w:rsid w:val="002B14CE"/>
    <w:rsid w:val="002B2524"/>
    <w:rsid w:val="002C0BCD"/>
    <w:rsid w:val="002C58E5"/>
    <w:rsid w:val="002D47D2"/>
    <w:rsid w:val="002D780A"/>
    <w:rsid w:val="002E09CA"/>
    <w:rsid w:val="002E0CC7"/>
    <w:rsid w:val="002E498E"/>
    <w:rsid w:val="002F2BE8"/>
    <w:rsid w:val="002F2C25"/>
    <w:rsid w:val="002F33CD"/>
    <w:rsid w:val="002F5364"/>
    <w:rsid w:val="003011E9"/>
    <w:rsid w:val="00304CC0"/>
    <w:rsid w:val="00314752"/>
    <w:rsid w:val="00327FEC"/>
    <w:rsid w:val="00346243"/>
    <w:rsid w:val="00355C5A"/>
    <w:rsid w:val="00367C42"/>
    <w:rsid w:val="003703C3"/>
    <w:rsid w:val="00373C40"/>
    <w:rsid w:val="00374C69"/>
    <w:rsid w:val="003774FE"/>
    <w:rsid w:val="00387209"/>
    <w:rsid w:val="00390EE0"/>
    <w:rsid w:val="00392580"/>
    <w:rsid w:val="003A04D9"/>
    <w:rsid w:val="003A13C8"/>
    <w:rsid w:val="003A5988"/>
    <w:rsid w:val="003B1A9A"/>
    <w:rsid w:val="003B6273"/>
    <w:rsid w:val="003C0D73"/>
    <w:rsid w:val="003C7F65"/>
    <w:rsid w:val="003E1D70"/>
    <w:rsid w:val="003E33B8"/>
    <w:rsid w:val="003E443E"/>
    <w:rsid w:val="003F2E4F"/>
    <w:rsid w:val="003F60BC"/>
    <w:rsid w:val="004028B7"/>
    <w:rsid w:val="00402AA3"/>
    <w:rsid w:val="004050A0"/>
    <w:rsid w:val="00415AB9"/>
    <w:rsid w:val="004246B6"/>
    <w:rsid w:val="00427A73"/>
    <w:rsid w:val="004342AB"/>
    <w:rsid w:val="004401F5"/>
    <w:rsid w:val="00440FA2"/>
    <w:rsid w:val="00441884"/>
    <w:rsid w:val="00442C2F"/>
    <w:rsid w:val="00445ED3"/>
    <w:rsid w:val="00451B33"/>
    <w:rsid w:val="00452493"/>
    <w:rsid w:val="00452B44"/>
    <w:rsid w:val="0046173F"/>
    <w:rsid w:val="00463A45"/>
    <w:rsid w:val="0046430B"/>
    <w:rsid w:val="004750C4"/>
    <w:rsid w:val="00476DE4"/>
    <w:rsid w:val="004772C6"/>
    <w:rsid w:val="00481F4F"/>
    <w:rsid w:val="00490B26"/>
    <w:rsid w:val="004919F4"/>
    <w:rsid w:val="0049272F"/>
    <w:rsid w:val="00494680"/>
    <w:rsid w:val="00494C81"/>
    <w:rsid w:val="00495F7E"/>
    <w:rsid w:val="004A2948"/>
    <w:rsid w:val="004A6B16"/>
    <w:rsid w:val="004A6B1A"/>
    <w:rsid w:val="004B220D"/>
    <w:rsid w:val="004B2AF4"/>
    <w:rsid w:val="004B3EFA"/>
    <w:rsid w:val="004C1786"/>
    <w:rsid w:val="004C2B1E"/>
    <w:rsid w:val="004D4800"/>
    <w:rsid w:val="004D6B85"/>
    <w:rsid w:val="004E0B7C"/>
    <w:rsid w:val="004E2A2B"/>
    <w:rsid w:val="004E42A5"/>
    <w:rsid w:val="004F110A"/>
    <w:rsid w:val="004F2A45"/>
    <w:rsid w:val="004F3EF3"/>
    <w:rsid w:val="0050189D"/>
    <w:rsid w:val="00501CD9"/>
    <w:rsid w:val="00517881"/>
    <w:rsid w:val="00520EDC"/>
    <w:rsid w:val="00523068"/>
    <w:rsid w:val="00531A65"/>
    <w:rsid w:val="005333EB"/>
    <w:rsid w:val="00534065"/>
    <w:rsid w:val="005355FF"/>
    <w:rsid w:val="005379AC"/>
    <w:rsid w:val="005466CF"/>
    <w:rsid w:val="00561B16"/>
    <w:rsid w:val="005658E6"/>
    <w:rsid w:val="00576EEA"/>
    <w:rsid w:val="00577797"/>
    <w:rsid w:val="00582221"/>
    <w:rsid w:val="005834FA"/>
    <w:rsid w:val="00585273"/>
    <w:rsid w:val="00592CF2"/>
    <w:rsid w:val="00593238"/>
    <w:rsid w:val="005A1B5E"/>
    <w:rsid w:val="005A1C61"/>
    <w:rsid w:val="005B03EF"/>
    <w:rsid w:val="005B642E"/>
    <w:rsid w:val="005C0B9C"/>
    <w:rsid w:val="005C7EA1"/>
    <w:rsid w:val="005D08FC"/>
    <w:rsid w:val="005D4192"/>
    <w:rsid w:val="005E1585"/>
    <w:rsid w:val="005F23D5"/>
    <w:rsid w:val="005F6D68"/>
    <w:rsid w:val="00606B2D"/>
    <w:rsid w:val="00606B51"/>
    <w:rsid w:val="0061076D"/>
    <w:rsid w:val="00612C8C"/>
    <w:rsid w:val="00612DED"/>
    <w:rsid w:val="00616459"/>
    <w:rsid w:val="006214E4"/>
    <w:rsid w:val="00622182"/>
    <w:rsid w:val="00624FBA"/>
    <w:rsid w:val="00632FD4"/>
    <w:rsid w:val="00640561"/>
    <w:rsid w:val="0064626E"/>
    <w:rsid w:val="00677CEB"/>
    <w:rsid w:val="006808B7"/>
    <w:rsid w:val="0068187A"/>
    <w:rsid w:val="00684B47"/>
    <w:rsid w:val="00686122"/>
    <w:rsid w:val="00690481"/>
    <w:rsid w:val="006916B6"/>
    <w:rsid w:val="00692E8E"/>
    <w:rsid w:val="00692F77"/>
    <w:rsid w:val="006A5C15"/>
    <w:rsid w:val="006B2401"/>
    <w:rsid w:val="006B2D67"/>
    <w:rsid w:val="006C6DF1"/>
    <w:rsid w:val="006C74FA"/>
    <w:rsid w:val="006D25F5"/>
    <w:rsid w:val="006D4CC3"/>
    <w:rsid w:val="006E7709"/>
    <w:rsid w:val="00700096"/>
    <w:rsid w:val="00705955"/>
    <w:rsid w:val="007124CE"/>
    <w:rsid w:val="00714F96"/>
    <w:rsid w:val="00720542"/>
    <w:rsid w:val="00726B98"/>
    <w:rsid w:val="00752409"/>
    <w:rsid w:val="00753134"/>
    <w:rsid w:val="0075579F"/>
    <w:rsid w:val="00756D22"/>
    <w:rsid w:val="00761536"/>
    <w:rsid w:val="007658CE"/>
    <w:rsid w:val="00765B15"/>
    <w:rsid w:val="00771677"/>
    <w:rsid w:val="00784098"/>
    <w:rsid w:val="00797D1E"/>
    <w:rsid w:val="007A3F25"/>
    <w:rsid w:val="007A45D9"/>
    <w:rsid w:val="007A4E05"/>
    <w:rsid w:val="007B3157"/>
    <w:rsid w:val="007B3BFC"/>
    <w:rsid w:val="007C649A"/>
    <w:rsid w:val="007D1F55"/>
    <w:rsid w:val="007D2752"/>
    <w:rsid w:val="007E10A6"/>
    <w:rsid w:val="007E53F2"/>
    <w:rsid w:val="007E72B9"/>
    <w:rsid w:val="007F13FB"/>
    <w:rsid w:val="007F31F6"/>
    <w:rsid w:val="007F4872"/>
    <w:rsid w:val="007F49FE"/>
    <w:rsid w:val="007F7E5F"/>
    <w:rsid w:val="008007B3"/>
    <w:rsid w:val="00800922"/>
    <w:rsid w:val="00805CCA"/>
    <w:rsid w:val="00810A50"/>
    <w:rsid w:val="00811AE6"/>
    <w:rsid w:val="00822421"/>
    <w:rsid w:val="0082718E"/>
    <w:rsid w:val="00832DAC"/>
    <w:rsid w:val="00836AE4"/>
    <w:rsid w:val="00850824"/>
    <w:rsid w:val="00851D10"/>
    <w:rsid w:val="00861057"/>
    <w:rsid w:val="00862DC5"/>
    <w:rsid w:val="00867617"/>
    <w:rsid w:val="008801B9"/>
    <w:rsid w:val="008836C2"/>
    <w:rsid w:val="00893A1F"/>
    <w:rsid w:val="008A247C"/>
    <w:rsid w:val="008A2A12"/>
    <w:rsid w:val="008A3B4E"/>
    <w:rsid w:val="008A6AE8"/>
    <w:rsid w:val="008B5AFF"/>
    <w:rsid w:val="008C2057"/>
    <w:rsid w:val="008C2724"/>
    <w:rsid w:val="008C5D4C"/>
    <w:rsid w:val="008D063D"/>
    <w:rsid w:val="008E2EB8"/>
    <w:rsid w:val="00900E15"/>
    <w:rsid w:val="009029FF"/>
    <w:rsid w:val="00914B52"/>
    <w:rsid w:val="009170AF"/>
    <w:rsid w:val="00921FB4"/>
    <w:rsid w:val="0092449E"/>
    <w:rsid w:val="00924947"/>
    <w:rsid w:val="009271C2"/>
    <w:rsid w:val="00943BA1"/>
    <w:rsid w:val="00952893"/>
    <w:rsid w:val="00952DBA"/>
    <w:rsid w:val="00954884"/>
    <w:rsid w:val="00956561"/>
    <w:rsid w:val="0096155F"/>
    <w:rsid w:val="00964D72"/>
    <w:rsid w:val="009663A2"/>
    <w:rsid w:val="00967287"/>
    <w:rsid w:val="00986303"/>
    <w:rsid w:val="00993788"/>
    <w:rsid w:val="00995C96"/>
    <w:rsid w:val="009A1911"/>
    <w:rsid w:val="009A1D41"/>
    <w:rsid w:val="009B4B48"/>
    <w:rsid w:val="009C24B9"/>
    <w:rsid w:val="009C7BC5"/>
    <w:rsid w:val="009D0B12"/>
    <w:rsid w:val="009D17EB"/>
    <w:rsid w:val="009D5D58"/>
    <w:rsid w:val="009E7281"/>
    <w:rsid w:val="009F2130"/>
    <w:rsid w:val="00A05AC7"/>
    <w:rsid w:val="00A33AC8"/>
    <w:rsid w:val="00A34F21"/>
    <w:rsid w:val="00A34F2A"/>
    <w:rsid w:val="00A36D83"/>
    <w:rsid w:val="00A44BCD"/>
    <w:rsid w:val="00A52145"/>
    <w:rsid w:val="00A5231C"/>
    <w:rsid w:val="00A540AD"/>
    <w:rsid w:val="00A64848"/>
    <w:rsid w:val="00A65980"/>
    <w:rsid w:val="00A66556"/>
    <w:rsid w:val="00A71C53"/>
    <w:rsid w:val="00A806FE"/>
    <w:rsid w:val="00A84FC7"/>
    <w:rsid w:val="00A8615E"/>
    <w:rsid w:val="00A868C0"/>
    <w:rsid w:val="00A923D1"/>
    <w:rsid w:val="00AA23D1"/>
    <w:rsid w:val="00AA61E8"/>
    <w:rsid w:val="00AB2DEB"/>
    <w:rsid w:val="00AB34D8"/>
    <w:rsid w:val="00AB6D01"/>
    <w:rsid w:val="00AB7782"/>
    <w:rsid w:val="00AC14A1"/>
    <w:rsid w:val="00AC6BAA"/>
    <w:rsid w:val="00AC7D71"/>
    <w:rsid w:val="00AD02BB"/>
    <w:rsid w:val="00AD448A"/>
    <w:rsid w:val="00AD7436"/>
    <w:rsid w:val="00AE0AFB"/>
    <w:rsid w:val="00AE1ACA"/>
    <w:rsid w:val="00AE76FF"/>
    <w:rsid w:val="00AF160F"/>
    <w:rsid w:val="00B03934"/>
    <w:rsid w:val="00B04801"/>
    <w:rsid w:val="00B05EF4"/>
    <w:rsid w:val="00B11EB8"/>
    <w:rsid w:val="00B3460E"/>
    <w:rsid w:val="00B34A0F"/>
    <w:rsid w:val="00B47E7C"/>
    <w:rsid w:val="00B50C4C"/>
    <w:rsid w:val="00B50FB1"/>
    <w:rsid w:val="00B522AC"/>
    <w:rsid w:val="00B52F72"/>
    <w:rsid w:val="00B61358"/>
    <w:rsid w:val="00B67AED"/>
    <w:rsid w:val="00B7539F"/>
    <w:rsid w:val="00B75F0D"/>
    <w:rsid w:val="00B775AF"/>
    <w:rsid w:val="00B80305"/>
    <w:rsid w:val="00B83536"/>
    <w:rsid w:val="00B863E0"/>
    <w:rsid w:val="00B86E57"/>
    <w:rsid w:val="00B91DE2"/>
    <w:rsid w:val="00BA247B"/>
    <w:rsid w:val="00BB3579"/>
    <w:rsid w:val="00BB6938"/>
    <w:rsid w:val="00BC6DE1"/>
    <w:rsid w:val="00BC7A4E"/>
    <w:rsid w:val="00BD409C"/>
    <w:rsid w:val="00BD5153"/>
    <w:rsid w:val="00BE4BA4"/>
    <w:rsid w:val="00BE6CC4"/>
    <w:rsid w:val="00BF2439"/>
    <w:rsid w:val="00BF3F0F"/>
    <w:rsid w:val="00C00D03"/>
    <w:rsid w:val="00C10005"/>
    <w:rsid w:val="00C119B1"/>
    <w:rsid w:val="00C131DB"/>
    <w:rsid w:val="00C2463C"/>
    <w:rsid w:val="00C24C7F"/>
    <w:rsid w:val="00C25E58"/>
    <w:rsid w:val="00C30DE4"/>
    <w:rsid w:val="00C32877"/>
    <w:rsid w:val="00C34019"/>
    <w:rsid w:val="00C35878"/>
    <w:rsid w:val="00C37C3E"/>
    <w:rsid w:val="00C41980"/>
    <w:rsid w:val="00C5542C"/>
    <w:rsid w:val="00C82DDB"/>
    <w:rsid w:val="00C94A4A"/>
    <w:rsid w:val="00CB0F06"/>
    <w:rsid w:val="00CC02BF"/>
    <w:rsid w:val="00CC76A6"/>
    <w:rsid w:val="00CD059B"/>
    <w:rsid w:val="00CD5E6A"/>
    <w:rsid w:val="00CD750B"/>
    <w:rsid w:val="00CE3D82"/>
    <w:rsid w:val="00CE5DE3"/>
    <w:rsid w:val="00CF6DA5"/>
    <w:rsid w:val="00D113CB"/>
    <w:rsid w:val="00D119AE"/>
    <w:rsid w:val="00D16CC4"/>
    <w:rsid w:val="00D1765D"/>
    <w:rsid w:val="00D20F02"/>
    <w:rsid w:val="00D235AF"/>
    <w:rsid w:val="00D236E9"/>
    <w:rsid w:val="00D23CF9"/>
    <w:rsid w:val="00D2566E"/>
    <w:rsid w:val="00D25FDB"/>
    <w:rsid w:val="00D31331"/>
    <w:rsid w:val="00D34EF6"/>
    <w:rsid w:val="00D43497"/>
    <w:rsid w:val="00D4486A"/>
    <w:rsid w:val="00D46947"/>
    <w:rsid w:val="00D50866"/>
    <w:rsid w:val="00D57896"/>
    <w:rsid w:val="00D623BF"/>
    <w:rsid w:val="00D7360C"/>
    <w:rsid w:val="00D74EDD"/>
    <w:rsid w:val="00D836F3"/>
    <w:rsid w:val="00D867E2"/>
    <w:rsid w:val="00DA4799"/>
    <w:rsid w:val="00DA77A8"/>
    <w:rsid w:val="00DB2222"/>
    <w:rsid w:val="00DB5993"/>
    <w:rsid w:val="00DB7ABF"/>
    <w:rsid w:val="00DC1B4F"/>
    <w:rsid w:val="00DC4DF9"/>
    <w:rsid w:val="00DC5919"/>
    <w:rsid w:val="00DC5E36"/>
    <w:rsid w:val="00DC646B"/>
    <w:rsid w:val="00DC7250"/>
    <w:rsid w:val="00DD3335"/>
    <w:rsid w:val="00DE43DC"/>
    <w:rsid w:val="00E00EFB"/>
    <w:rsid w:val="00E067D1"/>
    <w:rsid w:val="00E27C79"/>
    <w:rsid w:val="00E3633B"/>
    <w:rsid w:val="00E374D4"/>
    <w:rsid w:val="00E37D01"/>
    <w:rsid w:val="00E416D7"/>
    <w:rsid w:val="00E46E04"/>
    <w:rsid w:val="00E5608F"/>
    <w:rsid w:val="00E57301"/>
    <w:rsid w:val="00E63A6C"/>
    <w:rsid w:val="00E71D56"/>
    <w:rsid w:val="00E72899"/>
    <w:rsid w:val="00E732BE"/>
    <w:rsid w:val="00E74322"/>
    <w:rsid w:val="00E75CCE"/>
    <w:rsid w:val="00E8182F"/>
    <w:rsid w:val="00E859A1"/>
    <w:rsid w:val="00E9262A"/>
    <w:rsid w:val="00E933FE"/>
    <w:rsid w:val="00E95EED"/>
    <w:rsid w:val="00E97344"/>
    <w:rsid w:val="00E9767C"/>
    <w:rsid w:val="00EA17F9"/>
    <w:rsid w:val="00EA2725"/>
    <w:rsid w:val="00EB2350"/>
    <w:rsid w:val="00EB3DAE"/>
    <w:rsid w:val="00ED0E58"/>
    <w:rsid w:val="00ED34D5"/>
    <w:rsid w:val="00EF141C"/>
    <w:rsid w:val="00EF4024"/>
    <w:rsid w:val="00EF4101"/>
    <w:rsid w:val="00EF71FA"/>
    <w:rsid w:val="00EF752C"/>
    <w:rsid w:val="00EF7DCE"/>
    <w:rsid w:val="00F00C6B"/>
    <w:rsid w:val="00F076C7"/>
    <w:rsid w:val="00F13399"/>
    <w:rsid w:val="00F146CA"/>
    <w:rsid w:val="00F15D61"/>
    <w:rsid w:val="00F46B17"/>
    <w:rsid w:val="00F53013"/>
    <w:rsid w:val="00F56BDB"/>
    <w:rsid w:val="00F5739F"/>
    <w:rsid w:val="00F67926"/>
    <w:rsid w:val="00F72D97"/>
    <w:rsid w:val="00F854EA"/>
    <w:rsid w:val="00FA7BEB"/>
    <w:rsid w:val="00FB21AF"/>
    <w:rsid w:val="00FB7274"/>
    <w:rsid w:val="00FB7337"/>
    <w:rsid w:val="00FB782C"/>
    <w:rsid w:val="00FD275A"/>
    <w:rsid w:val="00FE4827"/>
    <w:rsid w:val="00FF2F04"/>
    <w:rsid w:val="00FF72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F7DCB9"/>
  <w15:chartTrackingRefBased/>
  <w15:docId w15:val="{7AD6A565-92D3-4853-BC98-13CFEBD203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73C4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373C4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921F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1FB4"/>
  </w:style>
  <w:style w:type="paragraph" w:styleId="Footer">
    <w:name w:val="footer"/>
    <w:basedOn w:val="Normal"/>
    <w:link w:val="FooterChar"/>
    <w:uiPriority w:val="99"/>
    <w:unhideWhenUsed/>
    <w:rsid w:val="00921FB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1FB4"/>
  </w:style>
  <w:style w:type="character" w:styleId="UnresolvedMention">
    <w:name w:val="Unresolved Mention"/>
    <w:basedOn w:val="DefaultParagraphFont"/>
    <w:uiPriority w:val="99"/>
    <w:semiHidden/>
    <w:unhideWhenUsed/>
    <w:rsid w:val="00286D9C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8C2057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76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7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0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4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71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76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21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86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1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988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07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641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5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549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5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81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17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553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21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52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88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3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58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3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8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902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99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61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47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0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5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79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65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93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420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85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41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9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82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6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hdphoto" Target="media/hdphoto1.wdp"/><Relationship Id="rId13" Type="http://schemas.openxmlformats.org/officeDocument/2006/relationships/hyperlink" Target="https://kambe.amne.ubc.ca/the-sites/kalavasos-ayios-dhimitrios/" TargetMode="External"/><Relationship Id="rId18" Type="http://schemas.openxmlformats.org/officeDocument/2006/relationships/hyperlink" Target="https://www.academia.edu/42860458/Jewelry_from_an_intact_tomb_evidence_from_Late_Bronze_Age_Cyprus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hyperlink" Target="https://www.journals.uchicago.edu/doi/pdf/10.3764/aja.123.3.0473" TargetMode="External"/><Relationship Id="rId17" Type="http://schemas.openxmlformats.org/officeDocument/2006/relationships/hyperlink" Target="https://www.academia.edu/29034867/Households_with_Faces_the_challenge_of_gender_in_prehistoric_architectural_remains_1991_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researchgate.net/publication/342178184_Public_Archaeology_Arts_of_Engagement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academia.edu/42700398/WOMEN_AND_SOCIETY_IN_ANCIENT_CYPRU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hannahpethen.com/2022/01/26/public-presentation-and-archaeological-experience/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journals.uchicago.edu/doi/pdf/10.3764/aja.123.3.0473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www.jstor.org/stable/24478722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051EAD-EA04-497B-9862-A97DC2E73A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1337</TotalTime>
  <Pages>7</Pages>
  <Words>1591</Words>
  <Characters>9072</Characters>
  <Application>Microsoft Office Word</Application>
  <DocSecurity>0</DocSecurity>
  <Lines>75</Lines>
  <Paragraphs>21</Paragraphs>
  <ScaleCrop>false</ScaleCrop>
  <Company/>
  <LinksUpToDate>false</LinksUpToDate>
  <CharactersWithSpaces>10642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Harding (2204345)</dc:creator>
  <cp:keywords/>
  <dc:description/>
  <cp:lastModifiedBy>Lucy Harding (2204345)</cp:lastModifiedBy>
  <cp:revision>498</cp:revision>
  <dcterms:created xsi:type="dcterms:W3CDTF">2025-03-12T00:33:00Z</dcterms:created>
  <dcterms:modified xsi:type="dcterms:W3CDTF">2025-03-16T19:55:00Z</dcterms:modified>
</cp:coreProperties>
</file>