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3CFF0" w14:textId="77777777" w:rsidR="009E3F7B" w:rsidRDefault="009E3F7B" w:rsidP="00EF0CCF">
      <w:pPr>
        <w:spacing w:after="1200" w:line="360" w:lineRule="auto"/>
        <w:jc w:val="center"/>
        <w:rPr>
          <w:rFonts w:ascii="Times New Roman" w:hAnsi="Times New Roman" w:cs="Times New Roman"/>
        </w:rPr>
      </w:pPr>
    </w:p>
    <w:p w14:paraId="570487EF" w14:textId="451C8E81" w:rsidR="007C06ED" w:rsidRPr="00EF0CCF" w:rsidRDefault="00DB1E5C" w:rsidP="00EF0CCF">
      <w:pPr>
        <w:spacing w:after="1200" w:line="360" w:lineRule="auto"/>
        <w:jc w:val="center"/>
        <w:rPr>
          <w:rFonts w:ascii="Times New Roman" w:hAnsi="Times New Roman" w:cs="Times New Roman"/>
        </w:rPr>
      </w:pPr>
      <w:r>
        <w:rPr>
          <w:rFonts w:ascii="Times New Roman" w:hAnsi="Times New Roman" w:cs="Times New Roman"/>
          <w:noProof/>
        </w:rPr>
        <w:drawing>
          <wp:inline distT="0" distB="0" distL="0" distR="0" wp14:anchorId="5DE59F53" wp14:editId="5F292B4C">
            <wp:extent cx="1810385" cy="725170"/>
            <wp:effectExtent l="0" t="0" r="0" b="0"/>
            <wp:docPr id="801819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63DFB716" w14:textId="77777777" w:rsidR="007C06ED" w:rsidRPr="00EF0CCF" w:rsidRDefault="00000000" w:rsidP="00EF0CCF">
      <w:pPr>
        <w:spacing w:after="200" w:line="360" w:lineRule="auto"/>
        <w:jc w:val="center"/>
        <w:rPr>
          <w:rFonts w:ascii="Times New Roman" w:hAnsi="Times New Roman" w:cs="Times New Roman"/>
        </w:rPr>
      </w:pPr>
      <w:r w:rsidRPr="00EF0CCF">
        <w:rPr>
          <w:rFonts w:ascii="Times New Roman" w:hAnsi="Times New Roman" w:cs="Times New Roman"/>
          <w:b/>
          <w:bCs/>
          <w:sz w:val="28"/>
          <w:szCs w:val="28"/>
        </w:rPr>
        <w:t>UNIVERSITY OF WALES TRINITY SAINT DAVID</w:t>
      </w:r>
    </w:p>
    <w:p w14:paraId="187FA9FA" w14:textId="2DFD1614" w:rsidR="007C06ED" w:rsidRPr="00EF0CCF" w:rsidRDefault="00620BDA" w:rsidP="00E044BF">
      <w:pPr>
        <w:spacing w:after="600" w:line="360" w:lineRule="auto"/>
        <w:rPr>
          <w:rFonts w:ascii="Times New Roman" w:hAnsi="Times New Roman" w:cs="Times New Roman"/>
        </w:rPr>
      </w:pPr>
      <w:r>
        <w:rPr>
          <w:rFonts w:ascii="Times New Roman" w:hAnsi="Times New Roman" w:cs="Times New Roman"/>
          <w:i/>
          <w:iCs/>
          <w:sz w:val="22"/>
          <w:szCs w:val="22"/>
        </w:rPr>
        <w:t xml:space="preserve">                                                               </w:t>
      </w:r>
      <w:r w:rsidRPr="00EF0CCF">
        <w:rPr>
          <w:rFonts w:ascii="Times New Roman" w:hAnsi="Times New Roman" w:cs="Times New Roman"/>
          <w:i/>
          <w:iCs/>
          <w:sz w:val="22"/>
          <w:szCs w:val="22"/>
        </w:rPr>
        <w:t>Birmingham Campus</w:t>
      </w:r>
    </w:p>
    <w:p w14:paraId="74A88D45" w14:textId="77777777" w:rsidR="007C06ED" w:rsidRPr="00EF0CCF" w:rsidRDefault="00000000" w:rsidP="00EF0CCF">
      <w:pPr>
        <w:spacing w:after="200" w:line="360" w:lineRule="auto"/>
        <w:jc w:val="center"/>
        <w:rPr>
          <w:rFonts w:ascii="Times New Roman" w:hAnsi="Times New Roman" w:cs="Times New Roman"/>
        </w:rPr>
      </w:pPr>
      <w:r w:rsidRPr="00EF0CCF">
        <w:rPr>
          <w:rFonts w:ascii="Times New Roman" w:hAnsi="Times New Roman" w:cs="Times New Roman"/>
          <w:b/>
          <w:bCs/>
          <w:sz w:val="26"/>
          <w:szCs w:val="26"/>
        </w:rPr>
        <w:t>Master of Business Administration (MBA)</w:t>
      </w:r>
    </w:p>
    <w:p w14:paraId="01408BC7" w14:textId="77777777" w:rsidR="007C06ED" w:rsidRPr="00EF0CCF" w:rsidRDefault="00000000" w:rsidP="00EF0CCF">
      <w:pPr>
        <w:spacing w:after="200" w:line="360" w:lineRule="auto"/>
        <w:jc w:val="center"/>
        <w:rPr>
          <w:rFonts w:ascii="Times New Roman" w:hAnsi="Times New Roman" w:cs="Times New Roman"/>
        </w:rPr>
      </w:pPr>
      <w:r w:rsidRPr="00EF0CCF">
        <w:rPr>
          <w:rFonts w:ascii="Times New Roman" w:hAnsi="Times New Roman" w:cs="Times New Roman"/>
        </w:rPr>
        <w:t>Module: Financial Management (LCMB7002)</w:t>
      </w:r>
    </w:p>
    <w:p w14:paraId="243F0093" w14:textId="544E57D3" w:rsidR="007C06ED" w:rsidRPr="00EF0CCF" w:rsidRDefault="00000000" w:rsidP="00EF0CCF">
      <w:pPr>
        <w:spacing w:after="800" w:line="360" w:lineRule="auto"/>
        <w:jc w:val="center"/>
        <w:rPr>
          <w:rFonts w:ascii="Times New Roman" w:hAnsi="Times New Roman" w:cs="Times New Roman"/>
        </w:rPr>
      </w:pPr>
      <w:r w:rsidRPr="00EF0CCF">
        <w:rPr>
          <w:rFonts w:ascii="Times New Roman" w:hAnsi="Times New Roman" w:cs="Times New Roman"/>
        </w:rPr>
        <w:t>Assessment: Financial  Management</w:t>
      </w:r>
    </w:p>
    <w:p w14:paraId="2005D27C" w14:textId="77777777" w:rsidR="007C06ED" w:rsidRPr="00EF0CCF" w:rsidRDefault="00000000" w:rsidP="00EF0CCF">
      <w:pPr>
        <w:spacing w:after="100" w:line="360" w:lineRule="auto"/>
        <w:jc w:val="center"/>
        <w:rPr>
          <w:rFonts w:ascii="Times New Roman" w:hAnsi="Times New Roman" w:cs="Times New Roman"/>
        </w:rPr>
      </w:pPr>
      <w:r w:rsidRPr="00EF0CCF">
        <w:rPr>
          <w:rFonts w:ascii="Times New Roman" w:hAnsi="Times New Roman" w:cs="Times New Roman"/>
          <w:b/>
          <w:bCs/>
          <w:sz w:val="26"/>
          <w:szCs w:val="26"/>
        </w:rPr>
        <w:t>Individual Report — Selected Company:</w:t>
      </w:r>
    </w:p>
    <w:p w14:paraId="1A689E2D" w14:textId="77777777" w:rsidR="007C06ED" w:rsidRPr="00EF0CCF" w:rsidRDefault="00000000" w:rsidP="00EF0CCF">
      <w:pPr>
        <w:spacing w:after="800" w:line="360" w:lineRule="auto"/>
        <w:jc w:val="center"/>
        <w:rPr>
          <w:rFonts w:ascii="Times New Roman" w:hAnsi="Times New Roman" w:cs="Times New Roman"/>
        </w:rPr>
      </w:pPr>
      <w:r w:rsidRPr="00EF0CCF">
        <w:rPr>
          <w:rFonts w:ascii="Times New Roman" w:hAnsi="Times New Roman" w:cs="Times New Roman"/>
          <w:b/>
          <w:bCs/>
          <w:sz w:val="30"/>
          <w:szCs w:val="30"/>
        </w:rPr>
        <w:t>InterContinental Hotels Group (IHG) plc</w:t>
      </w:r>
    </w:p>
    <w:p w14:paraId="3A88EC3E" w14:textId="14C4DF0A" w:rsidR="007C06ED" w:rsidRPr="00EF0CCF" w:rsidRDefault="00000000" w:rsidP="00EF0CCF">
      <w:pPr>
        <w:spacing w:after="100" w:line="360" w:lineRule="auto"/>
        <w:jc w:val="center"/>
        <w:rPr>
          <w:rFonts w:ascii="Times New Roman" w:hAnsi="Times New Roman" w:cs="Times New Roman"/>
        </w:rPr>
      </w:pPr>
      <w:r w:rsidRPr="00EF0CCF">
        <w:rPr>
          <w:rFonts w:ascii="Times New Roman" w:hAnsi="Times New Roman" w:cs="Times New Roman"/>
          <w:sz w:val="22"/>
          <w:szCs w:val="22"/>
        </w:rPr>
        <w:t>Lecturer: Patrick Yeboah (Birmingham)</w:t>
      </w:r>
    </w:p>
    <w:p w14:paraId="31DBD816" w14:textId="6B3343E6" w:rsidR="007C06ED" w:rsidRPr="00EF0CCF" w:rsidRDefault="00000000" w:rsidP="00EF0CCF">
      <w:pPr>
        <w:spacing w:after="100" w:line="360" w:lineRule="auto"/>
        <w:jc w:val="center"/>
        <w:rPr>
          <w:rFonts w:ascii="Times New Roman" w:hAnsi="Times New Roman" w:cs="Times New Roman"/>
        </w:rPr>
      </w:pPr>
      <w:r w:rsidRPr="00EF0CCF">
        <w:rPr>
          <w:rFonts w:ascii="Times New Roman" w:hAnsi="Times New Roman" w:cs="Times New Roman"/>
          <w:sz w:val="22"/>
          <w:szCs w:val="22"/>
        </w:rPr>
        <w:t xml:space="preserve">Student Name: </w:t>
      </w:r>
      <w:r w:rsidR="006C0573" w:rsidRPr="006C0573">
        <w:rPr>
          <w:rFonts w:ascii="Times New Roman" w:hAnsi="Times New Roman" w:cs="Times New Roman"/>
          <w:sz w:val="22"/>
          <w:szCs w:val="22"/>
        </w:rPr>
        <w:t xml:space="preserve">Naveen </w:t>
      </w:r>
      <w:proofErr w:type="spellStart"/>
      <w:r w:rsidR="006C0573" w:rsidRPr="006C0573">
        <w:rPr>
          <w:rFonts w:ascii="Times New Roman" w:hAnsi="Times New Roman" w:cs="Times New Roman"/>
          <w:sz w:val="22"/>
          <w:szCs w:val="22"/>
        </w:rPr>
        <w:t>Donakanti</w:t>
      </w:r>
      <w:proofErr w:type="spellEnd"/>
    </w:p>
    <w:p w14:paraId="6D1C19E8" w14:textId="647BACFD" w:rsidR="007C06ED" w:rsidRPr="00EF0CCF" w:rsidRDefault="00000000" w:rsidP="00620BDA">
      <w:pPr>
        <w:spacing w:after="100" w:line="360" w:lineRule="auto"/>
        <w:jc w:val="center"/>
        <w:rPr>
          <w:rFonts w:ascii="Times New Roman" w:hAnsi="Times New Roman" w:cs="Times New Roman"/>
        </w:rPr>
      </w:pPr>
      <w:r w:rsidRPr="00EF0CCF">
        <w:rPr>
          <w:rFonts w:ascii="Times New Roman" w:hAnsi="Times New Roman" w:cs="Times New Roman"/>
          <w:sz w:val="22"/>
          <w:szCs w:val="22"/>
        </w:rPr>
        <w:t xml:space="preserve">Student ID: </w:t>
      </w:r>
      <w:r w:rsidR="006C0573" w:rsidRPr="006C0573">
        <w:rPr>
          <w:rFonts w:ascii="Times New Roman" w:hAnsi="Times New Roman" w:cs="Times New Roman"/>
          <w:sz w:val="22"/>
          <w:szCs w:val="22"/>
        </w:rPr>
        <w:t>2540224</w:t>
      </w:r>
      <w:r w:rsidRPr="00EF0CCF">
        <w:rPr>
          <w:rFonts w:ascii="Times New Roman" w:hAnsi="Times New Roman" w:cs="Times New Roman"/>
          <w:sz w:val="22"/>
          <w:szCs w:val="22"/>
        </w:rPr>
        <w:t xml:space="preserve"> </w:t>
      </w:r>
    </w:p>
    <w:p w14:paraId="6A1ADBF4" w14:textId="570AEEE9" w:rsidR="007C06ED" w:rsidRPr="00EF0CCF" w:rsidRDefault="007C06ED" w:rsidP="00EF0CCF">
      <w:pPr>
        <w:spacing w:after="1600" w:line="360" w:lineRule="auto"/>
        <w:jc w:val="center"/>
        <w:rPr>
          <w:rFonts w:ascii="Times New Roman" w:hAnsi="Times New Roman" w:cs="Times New Roman"/>
        </w:rPr>
      </w:pPr>
    </w:p>
    <w:p w14:paraId="2375177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rPr>
        <w:br w:type="page"/>
      </w:r>
    </w:p>
    <w:p w14:paraId="5E1181A0" w14:textId="77777777" w:rsidR="007C06ED" w:rsidRPr="00EF0CCF" w:rsidRDefault="007C06ED" w:rsidP="00EF0CCF">
      <w:pPr>
        <w:spacing w:line="360" w:lineRule="auto"/>
        <w:jc w:val="both"/>
        <w:rPr>
          <w:rFonts w:ascii="Times New Roman" w:hAnsi="Times New Roman" w:cs="Times New Roman"/>
        </w:rPr>
        <w:sectPr w:rsidR="007C06ED" w:rsidRPr="00EF0CCF">
          <w:pgSz w:w="11906" w:h="16838"/>
          <w:pgMar w:top="1440" w:right="1440" w:bottom="1440" w:left="1440" w:header="708" w:footer="708" w:gutter="0"/>
          <w:cols w:space="720"/>
          <w:docGrid w:linePitch="360"/>
        </w:sectPr>
      </w:pPr>
    </w:p>
    <w:p w14:paraId="60A6B1B6" w14:textId="77777777" w:rsidR="007C06ED" w:rsidRPr="00EF0CCF" w:rsidRDefault="00000000" w:rsidP="00EF0CCF">
      <w:pPr>
        <w:pStyle w:val="Heading1"/>
        <w:spacing w:line="360" w:lineRule="auto"/>
        <w:jc w:val="both"/>
        <w:rPr>
          <w:rFonts w:ascii="Times New Roman" w:hAnsi="Times New Roman" w:cs="Times New Roman"/>
          <w:color w:val="auto"/>
        </w:rPr>
      </w:pPr>
      <w:bookmarkStart w:id="0" w:name="_Toc234456093"/>
      <w:r w:rsidRPr="00EF0CCF">
        <w:rPr>
          <w:rFonts w:ascii="Times New Roman" w:hAnsi="Times New Roman" w:cs="Times New Roman"/>
          <w:color w:val="auto"/>
        </w:rPr>
        <w:lastRenderedPageBreak/>
        <w:t>Table of Contents</w:t>
      </w:r>
      <w:bookmarkEnd w:id="0"/>
    </w:p>
    <w:sdt>
      <w:sdtPr>
        <w:rPr>
          <w:rFonts w:ascii="Times New Roman" w:hAnsi="Times New Roman" w:cs="Times New Roman"/>
        </w:rPr>
        <w:alias w:val="Table of Contents"/>
        <w:id w:val="-449714193"/>
      </w:sdtPr>
      <w:sdtContent>
        <w:p w14:paraId="7364FCB6" w14:textId="77777777" w:rsidR="00DC3512" w:rsidRPr="00EF0CCF" w:rsidRDefault="00000000" w:rsidP="00EF0CCF">
          <w:pPr>
            <w:pStyle w:val="TOC1"/>
            <w:tabs>
              <w:tab w:val="right" w:leader="dot" w:pos="9016"/>
            </w:tabs>
            <w:spacing w:line="360" w:lineRule="auto"/>
            <w:jc w:val="both"/>
            <w:rPr>
              <w:rFonts w:ascii="Times New Roman" w:hAnsi="Times New Roman" w:cs="Times New Roman"/>
              <w:noProof/>
            </w:rPr>
          </w:pPr>
          <w:r w:rsidRPr="00EF0CCF">
            <w:rPr>
              <w:rFonts w:ascii="Times New Roman" w:hAnsi="Times New Roman" w:cs="Times New Roman"/>
            </w:rPr>
            <w:fldChar w:fldCharType="begin"/>
          </w:r>
          <w:r w:rsidRPr="00EF0CCF">
            <w:rPr>
              <w:rFonts w:ascii="Times New Roman" w:hAnsi="Times New Roman" w:cs="Times New Roman"/>
            </w:rPr>
            <w:instrText>TOC \h \o "1-2"</w:instrText>
          </w:r>
          <w:r w:rsidRPr="00EF0CCF">
            <w:rPr>
              <w:rFonts w:ascii="Times New Roman" w:hAnsi="Times New Roman" w:cs="Times New Roman"/>
            </w:rPr>
            <w:fldChar w:fldCharType="separate"/>
          </w:r>
          <w:hyperlink w:anchor="_Toc234456093" w:history="1">
            <w:r w:rsidR="00DC3512" w:rsidRPr="00EF0CCF">
              <w:rPr>
                <w:rStyle w:val="Hyperlink"/>
                <w:rFonts w:ascii="Times New Roman" w:hAnsi="Times New Roman" w:cs="Times New Roman"/>
                <w:noProof/>
                <w:color w:val="auto"/>
              </w:rPr>
              <w:t>Table of Contents</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_Toc234456093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043FCA88" w14:textId="77777777" w:rsidR="00DC3512" w:rsidRPr="00EF0CCF" w:rsidRDefault="00000000" w:rsidP="00EF0CCF">
          <w:pPr>
            <w:pStyle w:val="TOC1"/>
            <w:tabs>
              <w:tab w:val="right" w:leader="dot" w:pos="9016"/>
            </w:tabs>
            <w:spacing w:line="360" w:lineRule="auto"/>
            <w:jc w:val="both"/>
            <w:rPr>
              <w:rFonts w:ascii="Times New Roman" w:hAnsi="Times New Roman" w:cs="Times New Roman"/>
              <w:noProof/>
            </w:rPr>
          </w:pPr>
          <w:hyperlink w:anchor="_Toc234456094" w:history="1">
            <w:r w:rsidR="00DC3512" w:rsidRPr="00EF0CCF">
              <w:rPr>
                <w:rStyle w:val="Hyperlink"/>
                <w:rFonts w:ascii="Times New Roman" w:hAnsi="Times New Roman" w:cs="Times New Roman"/>
                <w:noProof/>
                <w:color w:val="auto"/>
              </w:rPr>
              <w:t>List of Tables and Figures</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_Toc234456094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1E4972FD" w14:textId="77777777" w:rsidR="00DC3512" w:rsidRPr="00EF0CCF" w:rsidRDefault="00000000" w:rsidP="00EF0CCF">
          <w:pPr>
            <w:pStyle w:val="TOC1"/>
            <w:tabs>
              <w:tab w:val="right" w:leader="dot" w:pos="9016"/>
            </w:tabs>
            <w:spacing w:line="360" w:lineRule="auto"/>
            <w:jc w:val="both"/>
            <w:rPr>
              <w:rFonts w:ascii="Times New Roman" w:hAnsi="Times New Roman" w:cs="Times New Roman"/>
              <w:noProof/>
            </w:rPr>
          </w:pPr>
          <w:hyperlink w:anchor="_Toc234456095" w:history="1">
            <w:r w:rsidR="00DC3512" w:rsidRPr="00EF0CCF">
              <w:rPr>
                <w:rStyle w:val="Hyperlink"/>
                <w:rFonts w:ascii="Times New Roman" w:hAnsi="Times New Roman" w:cs="Times New Roman"/>
                <w:noProof/>
                <w:color w:val="auto"/>
              </w:rPr>
              <w:t>1. Introduction</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_Toc234456095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02CD1481" w14:textId="77777777" w:rsidR="00DC3512" w:rsidRPr="00EF0CCF" w:rsidRDefault="00000000" w:rsidP="00EF0CCF">
          <w:pPr>
            <w:pStyle w:val="TOC1"/>
            <w:tabs>
              <w:tab w:val="right" w:leader="dot" w:pos="9016"/>
            </w:tabs>
            <w:spacing w:line="360" w:lineRule="auto"/>
            <w:jc w:val="both"/>
            <w:rPr>
              <w:rFonts w:ascii="Times New Roman" w:hAnsi="Times New Roman" w:cs="Times New Roman"/>
              <w:noProof/>
            </w:rPr>
          </w:pPr>
          <w:hyperlink w:anchor="_Toc234456096" w:history="1">
            <w:r w:rsidR="00DC3512" w:rsidRPr="00EF0CCF">
              <w:rPr>
                <w:rStyle w:val="Hyperlink"/>
                <w:rFonts w:ascii="Times New Roman" w:hAnsi="Times New Roman" w:cs="Times New Roman"/>
                <w:noProof/>
                <w:color w:val="auto"/>
              </w:rPr>
              <w:t>2. Financial Health Check</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_Toc234456096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10983C02"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097" w:history="1">
            <w:r w:rsidR="00DC3512" w:rsidRPr="00EF0CCF">
              <w:rPr>
                <w:rStyle w:val="Hyperlink"/>
                <w:rFonts w:ascii="Times New Roman" w:hAnsi="Times New Roman" w:cs="Times New Roman"/>
                <w:noProof/>
                <w:color w:val="auto"/>
              </w:rPr>
              <w:t>2.1 Five-Year Financial Trend Overview</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_Toc234456097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3B42D379"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098" w:history="1">
            <w:r w:rsidR="00DC3512" w:rsidRPr="00EF0CCF">
              <w:rPr>
                <w:rStyle w:val="Hyperlink"/>
                <w:rFonts w:ascii="Times New Roman" w:hAnsi="Times New Roman" w:cs="Times New Roman"/>
                <w:noProof/>
                <w:color w:val="auto"/>
              </w:rPr>
              <w:t>2.2 Ratio Analysis</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_Toc234456098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0DB7A306"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099" w:history="1">
            <w:r w:rsidR="00DC3512" w:rsidRPr="00EF0CCF">
              <w:rPr>
                <w:rStyle w:val="Hyperlink"/>
                <w:rFonts w:ascii="Times New Roman" w:hAnsi="Times New Roman" w:cs="Times New Roman"/>
                <w:noProof/>
                <w:color w:val="auto"/>
              </w:rPr>
              <w:t>2.3 Trends, Strengths and Threats</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_Toc234456099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58F5DD64"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100" w:history="1">
            <w:r w:rsidR="00DC3512" w:rsidRPr="00EF0CCF">
              <w:rPr>
                <w:rStyle w:val="Hyperlink"/>
                <w:rFonts w:ascii="Times New Roman" w:hAnsi="Times New Roman" w:cs="Times New Roman"/>
                <w:noProof/>
                <w:color w:val="auto"/>
              </w:rPr>
              <w:t>2.4 Liquidity Benchmarking Against Industry Standards</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_Toc234456100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6B3B38B7" w14:textId="77777777" w:rsidR="00DC3512" w:rsidRPr="00EF0CCF" w:rsidRDefault="00000000" w:rsidP="00EF0CCF">
          <w:pPr>
            <w:pStyle w:val="TOC1"/>
            <w:tabs>
              <w:tab w:val="right" w:leader="dot" w:pos="9016"/>
            </w:tabs>
            <w:spacing w:line="360" w:lineRule="auto"/>
            <w:jc w:val="both"/>
            <w:rPr>
              <w:rFonts w:ascii="Times New Roman" w:hAnsi="Times New Roman" w:cs="Times New Roman"/>
              <w:noProof/>
            </w:rPr>
          </w:pPr>
          <w:hyperlink w:anchor="_Toc234456101" w:history="1">
            <w:r w:rsidR="00DC3512" w:rsidRPr="00EF0CCF">
              <w:rPr>
                <w:rStyle w:val="Hyperlink"/>
                <w:rFonts w:ascii="Times New Roman" w:hAnsi="Times New Roman" w:cs="Times New Roman"/>
                <w:noProof/>
                <w:color w:val="auto"/>
              </w:rPr>
              <w:t>3. Working Capital Management Analysis</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_Toc234456101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59FBBA31"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102" w:history="1">
            <w:r w:rsidR="00DC3512" w:rsidRPr="00EF0CCF">
              <w:rPr>
                <w:rStyle w:val="Hyperlink"/>
                <w:rFonts w:ascii="Times New Roman" w:hAnsi="Times New Roman" w:cs="Times New Roman"/>
                <w:noProof/>
                <w:color w:val="auto"/>
              </w:rPr>
              <w:t>3.1 The Cash Operating Cycle</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_Toc234456102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2922D16E"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103" w:history="1">
            <w:r w:rsidR="00DC3512" w:rsidRPr="00EF0CCF">
              <w:rPr>
                <w:rStyle w:val="Hyperlink"/>
                <w:rFonts w:ascii="Times New Roman" w:hAnsi="Times New Roman" w:cs="Times New Roman"/>
                <w:noProof/>
                <w:color w:val="auto"/>
              </w:rPr>
              <w:t>3.2 Strategies to Improve Liquidity Through Working Capital Reform</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_Toc234456103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37C92474"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104" w:history="1">
            <w:r w:rsidR="00DC3512" w:rsidRPr="00EF0CCF">
              <w:rPr>
                <w:rStyle w:val="Hyperlink"/>
                <w:rFonts w:ascii="Times New Roman" w:hAnsi="Times New Roman" w:cs="Times New Roman"/>
                <w:noProof/>
                <w:color w:val="auto"/>
              </w:rPr>
              <w:t>3.3 Short-Term Versus Long-Term Financing</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_Toc234456104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3A885886" w14:textId="77777777" w:rsidR="00DC3512" w:rsidRPr="00EF0CCF" w:rsidRDefault="00000000" w:rsidP="00EF0CCF">
          <w:pPr>
            <w:pStyle w:val="TOC1"/>
            <w:tabs>
              <w:tab w:val="right" w:leader="dot" w:pos="9016"/>
            </w:tabs>
            <w:spacing w:line="360" w:lineRule="auto"/>
            <w:jc w:val="both"/>
            <w:rPr>
              <w:rFonts w:ascii="Times New Roman" w:hAnsi="Times New Roman" w:cs="Times New Roman"/>
              <w:noProof/>
            </w:rPr>
          </w:pPr>
          <w:hyperlink w:anchor="_Toc234456105" w:history="1">
            <w:r w:rsidR="00DC3512" w:rsidRPr="00EF0CCF">
              <w:rPr>
                <w:rStyle w:val="Hyperlink"/>
                <w:rFonts w:ascii="Times New Roman" w:hAnsi="Times New Roman" w:cs="Times New Roman"/>
                <w:noProof/>
                <w:color w:val="auto"/>
              </w:rPr>
              <w:t>4. Strategic Financial Restructuring Plan</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_Toc234456105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1BB8D31D"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106" w:history="1">
            <w:r w:rsidR="00DC3512" w:rsidRPr="00EF0CCF">
              <w:rPr>
                <w:rStyle w:val="Hyperlink"/>
                <w:rFonts w:ascii="Times New Roman" w:hAnsi="Times New Roman" w:cs="Times New Roman"/>
                <w:noProof/>
                <w:color w:val="auto"/>
              </w:rPr>
              <w:t>4.1 Recommended Restructuring Options</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_Toc234456106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1C87CF7C"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107" w:history="1">
            <w:r w:rsidR="00DC3512" w:rsidRPr="00EF0CCF">
              <w:rPr>
                <w:rStyle w:val="Hyperlink"/>
                <w:rFonts w:ascii="Times New Roman" w:hAnsi="Times New Roman" w:cs="Times New Roman"/>
                <w:noProof/>
                <w:color w:val="auto"/>
              </w:rPr>
              <w:t>4.2 Impact on Shareholder Value, Debt Structure and Operational Flexibility</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_Toc234456107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212F9A9F"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108" w:history="1">
            <w:r w:rsidR="00DC3512" w:rsidRPr="00EF0CCF">
              <w:rPr>
                <w:rStyle w:val="Hyperlink"/>
                <w:rFonts w:ascii="Times New Roman" w:hAnsi="Times New Roman" w:cs="Times New Roman"/>
                <w:noProof/>
                <w:color w:val="auto"/>
              </w:rPr>
              <w:t>4.3 International and Ethical Considerations</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_Toc234456108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3A4B7FAF" w14:textId="77777777" w:rsidR="00DC3512" w:rsidRPr="00EF0CCF" w:rsidRDefault="00000000" w:rsidP="00EF0CCF">
          <w:pPr>
            <w:pStyle w:val="TOC1"/>
            <w:tabs>
              <w:tab w:val="right" w:leader="dot" w:pos="9016"/>
            </w:tabs>
            <w:spacing w:line="360" w:lineRule="auto"/>
            <w:jc w:val="both"/>
            <w:rPr>
              <w:rFonts w:ascii="Times New Roman" w:hAnsi="Times New Roman" w:cs="Times New Roman"/>
              <w:noProof/>
            </w:rPr>
          </w:pPr>
          <w:hyperlink w:anchor="_Toc234456109" w:history="1">
            <w:r w:rsidR="00DC3512" w:rsidRPr="00EF0CCF">
              <w:rPr>
                <w:rStyle w:val="Hyperlink"/>
                <w:rFonts w:ascii="Times New Roman" w:hAnsi="Times New Roman" w:cs="Times New Roman"/>
                <w:noProof/>
                <w:color w:val="auto"/>
              </w:rPr>
              <w:t>5. Investment Appraisal and Capital Budgeting</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_Toc234456109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7D6E1FB5"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110" w:history="1">
            <w:r w:rsidR="00DC3512" w:rsidRPr="00EF0CCF">
              <w:rPr>
                <w:rStyle w:val="Hyperlink"/>
                <w:rFonts w:ascii="Times New Roman" w:hAnsi="Times New Roman" w:cs="Times New Roman"/>
                <w:noProof/>
                <w:color w:val="auto"/>
              </w:rPr>
              <w:t>5.1 Methodology</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_Toc234456110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04C3595F"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111" w:history="1">
            <w:r w:rsidR="00DC3512" w:rsidRPr="00EF0CCF">
              <w:rPr>
                <w:rStyle w:val="Hyperlink"/>
                <w:rFonts w:ascii="Times New Roman" w:hAnsi="Times New Roman" w:cs="Times New Roman"/>
                <w:noProof/>
                <w:color w:val="auto"/>
              </w:rPr>
              <w:t>5.2 Results</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_Toc234456111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5548334E"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112" w:history="1">
            <w:r w:rsidR="00DC3512" w:rsidRPr="00EF0CCF">
              <w:rPr>
                <w:rStyle w:val="Hyperlink"/>
                <w:rFonts w:ascii="Times New Roman" w:hAnsi="Times New Roman" w:cs="Times New Roman"/>
                <w:noProof/>
                <w:color w:val="auto"/>
              </w:rPr>
              <w:t>5.3 Recommendation and Justification</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_Toc234456112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4DE50E1A"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113" w:history="1">
            <w:r w:rsidR="00DC3512" w:rsidRPr="00EF0CCF">
              <w:rPr>
                <w:rStyle w:val="Hyperlink"/>
                <w:rFonts w:ascii="Times New Roman" w:hAnsi="Times New Roman" w:cs="Times New Roman"/>
                <w:noProof/>
                <w:color w:val="auto"/>
              </w:rPr>
              <w:t>5.4 Capital Rationing (£100 million Budget Constraint)</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_Toc234456113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675AE252" w14:textId="77777777" w:rsidR="00DC3512" w:rsidRPr="00EF0CCF" w:rsidRDefault="00000000" w:rsidP="00EF0CCF">
          <w:pPr>
            <w:pStyle w:val="TOC1"/>
            <w:tabs>
              <w:tab w:val="right" w:leader="dot" w:pos="9016"/>
            </w:tabs>
            <w:spacing w:line="360" w:lineRule="auto"/>
            <w:jc w:val="both"/>
            <w:rPr>
              <w:rFonts w:ascii="Times New Roman" w:hAnsi="Times New Roman" w:cs="Times New Roman"/>
              <w:noProof/>
            </w:rPr>
          </w:pPr>
          <w:hyperlink w:anchor="_Toc234456114" w:history="1">
            <w:r w:rsidR="00DC3512" w:rsidRPr="00EF0CCF">
              <w:rPr>
                <w:rStyle w:val="Hyperlink"/>
                <w:rFonts w:ascii="Times New Roman" w:hAnsi="Times New Roman" w:cs="Times New Roman"/>
                <w:noProof/>
                <w:color w:val="auto"/>
              </w:rPr>
              <w:t>6. Critical Reflection on AI Usage</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_Toc234456114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24A94CB1"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115" w:history="1">
            <w:r w:rsidR="00DC3512" w:rsidRPr="00EF0CCF">
              <w:rPr>
                <w:rStyle w:val="Hyperlink"/>
                <w:rFonts w:ascii="Times New Roman" w:hAnsi="Times New Roman" w:cs="Times New Roman"/>
                <w:noProof/>
                <w:color w:val="auto"/>
              </w:rPr>
              <w:t>6.1 Tool Disclosure</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_Toc234456115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0DEFE12B"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116" w:history="1">
            <w:r w:rsidR="00DC3512" w:rsidRPr="00EF0CCF">
              <w:rPr>
                <w:rStyle w:val="Hyperlink"/>
                <w:rFonts w:ascii="Times New Roman" w:hAnsi="Times New Roman" w:cs="Times New Roman"/>
                <w:noProof/>
                <w:color w:val="auto"/>
              </w:rPr>
              <w:t>6.2 Critical Evaluation of AI Output</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_Toc234456116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469DF14F"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117" w:history="1">
            <w:r w:rsidR="00DC3512" w:rsidRPr="00EF0CCF">
              <w:rPr>
                <w:rStyle w:val="Hyperlink"/>
                <w:rFonts w:ascii="Times New Roman" w:hAnsi="Times New Roman" w:cs="Times New Roman"/>
                <w:noProof/>
                <w:color w:val="auto"/>
              </w:rPr>
              <w:t>6.3 Contribution Analysis</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_Toc234456117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343F3080"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118" w:history="1">
            <w:r w:rsidR="00DC3512" w:rsidRPr="00EF0CCF">
              <w:rPr>
                <w:rStyle w:val="Hyperlink"/>
                <w:rFonts w:ascii="Times New Roman" w:hAnsi="Times New Roman" w:cs="Times New Roman"/>
                <w:noProof/>
                <w:color w:val="auto"/>
              </w:rPr>
              <w:t>6.4 Ethical and Professional Reflection</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_Toc234456118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77347F4E" w14:textId="77777777" w:rsidR="00DC3512" w:rsidRPr="00EF0CCF" w:rsidRDefault="00000000" w:rsidP="00EF0CCF">
          <w:pPr>
            <w:pStyle w:val="TOC1"/>
            <w:tabs>
              <w:tab w:val="right" w:leader="dot" w:pos="9016"/>
            </w:tabs>
            <w:spacing w:line="360" w:lineRule="auto"/>
            <w:jc w:val="both"/>
            <w:rPr>
              <w:rFonts w:ascii="Times New Roman" w:hAnsi="Times New Roman" w:cs="Times New Roman"/>
              <w:noProof/>
            </w:rPr>
          </w:pPr>
          <w:hyperlink w:anchor="_Toc234456119" w:history="1">
            <w:r w:rsidR="00DC3512" w:rsidRPr="00EF0CCF">
              <w:rPr>
                <w:rStyle w:val="Hyperlink"/>
                <w:rFonts w:ascii="Times New Roman" w:hAnsi="Times New Roman" w:cs="Times New Roman"/>
                <w:noProof/>
                <w:color w:val="auto"/>
              </w:rPr>
              <w:t>7. Conclusion</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_Toc234456119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3404C740" w14:textId="77777777" w:rsidR="00DC3512" w:rsidRPr="00EF0CCF" w:rsidRDefault="00000000" w:rsidP="00EF0CCF">
          <w:pPr>
            <w:pStyle w:val="TOC1"/>
            <w:tabs>
              <w:tab w:val="right" w:leader="dot" w:pos="9016"/>
            </w:tabs>
            <w:spacing w:line="360" w:lineRule="auto"/>
            <w:jc w:val="both"/>
            <w:rPr>
              <w:rFonts w:ascii="Times New Roman" w:hAnsi="Times New Roman" w:cs="Times New Roman"/>
              <w:noProof/>
            </w:rPr>
          </w:pPr>
          <w:hyperlink w:anchor="_Toc234456120" w:history="1">
            <w:r w:rsidR="00DC3512" w:rsidRPr="00EF0CCF">
              <w:rPr>
                <w:rStyle w:val="Hyperlink"/>
                <w:rFonts w:ascii="Times New Roman" w:hAnsi="Times New Roman" w:cs="Times New Roman"/>
                <w:noProof/>
                <w:color w:val="auto"/>
              </w:rPr>
              <w:t>References</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_Toc234456120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365CBC17" w14:textId="77777777" w:rsidR="00DC3512" w:rsidRPr="00EF0CCF" w:rsidRDefault="00000000" w:rsidP="00EF0CCF">
          <w:pPr>
            <w:pStyle w:val="TOC1"/>
            <w:tabs>
              <w:tab w:val="right" w:leader="dot" w:pos="9016"/>
            </w:tabs>
            <w:spacing w:line="360" w:lineRule="auto"/>
            <w:jc w:val="both"/>
            <w:rPr>
              <w:rFonts w:ascii="Times New Roman" w:hAnsi="Times New Roman" w:cs="Times New Roman"/>
              <w:noProof/>
            </w:rPr>
          </w:pPr>
          <w:hyperlink w:anchor="_Toc234456121" w:history="1">
            <w:r w:rsidR="00DC3512" w:rsidRPr="00EF0CCF">
              <w:rPr>
                <w:rStyle w:val="Hyperlink"/>
                <w:rFonts w:ascii="Times New Roman" w:hAnsi="Times New Roman" w:cs="Times New Roman"/>
                <w:noProof/>
                <w:color w:val="auto"/>
              </w:rPr>
              <w:t>Appendices</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_Toc234456121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1EA89008"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122" w:history="1">
            <w:r w:rsidR="00DC3512" w:rsidRPr="00EF0CCF">
              <w:rPr>
                <w:rStyle w:val="Hyperlink"/>
                <w:rFonts w:ascii="Times New Roman" w:hAnsi="Times New Roman" w:cs="Times New Roman"/>
                <w:noProof/>
                <w:color w:val="auto"/>
              </w:rPr>
              <w:t>Appendix 1 — Full Ratio Analysis, All Categories, 2020–2024</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_Toc234456122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43AA35EF" w14:textId="77777777" w:rsidR="00DC3512" w:rsidRPr="00EF0CCF" w:rsidRDefault="00000000" w:rsidP="00EF0CCF">
          <w:pPr>
            <w:pStyle w:val="TOC2"/>
            <w:tabs>
              <w:tab w:val="right" w:leader="dot" w:pos="9016"/>
            </w:tabs>
            <w:spacing w:line="360" w:lineRule="auto"/>
            <w:jc w:val="both"/>
            <w:rPr>
              <w:rFonts w:ascii="Times New Roman" w:hAnsi="Times New Roman" w:cs="Times New Roman"/>
              <w:noProof/>
            </w:rPr>
          </w:pPr>
          <w:hyperlink w:anchor="_Toc234456123" w:history="1">
            <w:r w:rsidR="00DC3512" w:rsidRPr="00EF0CCF">
              <w:rPr>
                <w:rStyle w:val="Hyperlink"/>
                <w:rFonts w:ascii="Times New Roman" w:hAnsi="Times New Roman" w:cs="Times New Roman"/>
                <w:noProof/>
                <w:color w:val="auto"/>
              </w:rPr>
              <w:t>Appendix 2 — Discounted Cash Flow Workings, Projects A, B and C (8% Discount Rate)</w:t>
            </w:r>
            <w:r w:rsidR="00DC3512" w:rsidRPr="00EF0CCF">
              <w:rPr>
                <w:rFonts w:ascii="Times New Roman" w:hAnsi="Times New Roman" w:cs="Times New Roman"/>
                <w:noProof/>
              </w:rPr>
              <w:tab/>
            </w:r>
            <w:r w:rsidR="00DC3512" w:rsidRPr="00EF0CCF">
              <w:rPr>
                <w:rFonts w:ascii="Times New Roman" w:hAnsi="Times New Roman" w:cs="Times New Roman"/>
                <w:noProof/>
              </w:rPr>
              <w:fldChar w:fldCharType="begin"/>
            </w:r>
            <w:r w:rsidR="00DC3512" w:rsidRPr="00EF0CCF">
              <w:rPr>
                <w:rFonts w:ascii="Times New Roman" w:hAnsi="Times New Roman" w:cs="Times New Roman"/>
                <w:noProof/>
              </w:rPr>
              <w:instrText xml:space="preserve"> PAGEREF _Toc234456123 \h </w:instrText>
            </w:r>
            <w:r w:rsidR="00DC3512" w:rsidRPr="00EF0CCF">
              <w:rPr>
                <w:rFonts w:ascii="Times New Roman" w:hAnsi="Times New Roman" w:cs="Times New Roman"/>
                <w:noProof/>
              </w:rPr>
            </w:r>
            <w:r w:rsidR="00DC3512" w:rsidRPr="00EF0CCF">
              <w:rPr>
                <w:rFonts w:ascii="Times New Roman" w:hAnsi="Times New Roman" w:cs="Times New Roman"/>
                <w:noProof/>
              </w:rPr>
              <w:fldChar w:fldCharType="separate"/>
            </w:r>
            <w:r w:rsidR="00DC3512" w:rsidRPr="00EF0CCF">
              <w:rPr>
                <w:rFonts w:ascii="Times New Roman" w:hAnsi="Times New Roman" w:cs="Times New Roman"/>
                <w:noProof/>
              </w:rPr>
              <w:t>1</w:t>
            </w:r>
            <w:r w:rsidR="00DC3512" w:rsidRPr="00EF0CCF">
              <w:rPr>
                <w:rFonts w:ascii="Times New Roman" w:hAnsi="Times New Roman" w:cs="Times New Roman"/>
                <w:noProof/>
              </w:rPr>
              <w:fldChar w:fldCharType="end"/>
            </w:r>
          </w:hyperlink>
        </w:p>
        <w:p w14:paraId="73E3E00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rPr>
            <w:fldChar w:fldCharType="end"/>
          </w:r>
        </w:p>
      </w:sdtContent>
    </w:sdt>
    <w:p w14:paraId="08171E7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rPr>
        <w:br w:type="page"/>
      </w:r>
    </w:p>
    <w:p w14:paraId="79F8FA5F" w14:textId="77777777" w:rsidR="007C06ED" w:rsidRPr="00EF0CCF" w:rsidRDefault="00000000" w:rsidP="00EF0CCF">
      <w:pPr>
        <w:pStyle w:val="Heading1"/>
        <w:spacing w:line="360" w:lineRule="auto"/>
        <w:jc w:val="both"/>
        <w:rPr>
          <w:rFonts w:ascii="Times New Roman" w:hAnsi="Times New Roman" w:cs="Times New Roman"/>
          <w:color w:val="auto"/>
        </w:rPr>
      </w:pPr>
      <w:bookmarkStart w:id="1" w:name="_Toc234456094"/>
      <w:r w:rsidRPr="00EF0CCF">
        <w:rPr>
          <w:rFonts w:ascii="Times New Roman" w:hAnsi="Times New Roman" w:cs="Times New Roman"/>
          <w:color w:val="auto"/>
        </w:rPr>
        <w:lastRenderedPageBreak/>
        <w:t>List of Tables and Figures</w:t>
      </w:r>
      <w:bookmarkEnd w:id="1"/>
    </w:p>
    <w:p w14:paraId="5FA9F65C" w14:textId="77777777" w:rsidR="007C06ED" w:rsidRPr="00EF0CCF" w:rsidRDefault="00000000" w:rsidP="00EF0CCF">
      <w:pPr>
        <w:spacing w:after="200" w:line="360" w:lineRule="auto"/>
        <w:jc w:val="both"/>
        <w:rPr>
          <w:rFonts w:ascii="Times New Roman" w:hAnsi="Times New Roman" w:cs="Times New Roman"/>
        </w:rPr>
      </w:pPr>
      <w:r w:rsidRPr="00EF0CCF">
        <w:rPr>
          <w:rFonts w:ascii="Times New Roman" w:hAnsi="Times New Roman" w:cs="Times New Roman"/>
        </w:rPr>
        <w:t>Table 1. IHG plc Ratio Analysis Summary, 2020–2024. Source: IHG Annual Reports and Form 20-F filings (2020–2024), author's calculations.</w:t>
      </w:r>
    </w:p>
    <w:p w14:paraId="165D1E56" w14:textId="77777777" w:rsidR="007C06ED" w:rsidRPr="00EF0CCF" w:rsidRDefault="00000000" w:rsidP="00EF0CCF">
      <w:pPr>
        <w:spacing w:after="200" w:line="360" w:lineRule="auto"/>
        <w:jc w:val="both"/>
        <w:rPr>
          <w:rFonts w:ascii="Times New Roman" w:hAnsi="Times New Roman" w:cs="Times New Roman"/>
        </w:rPr>
      </w:pPr>
      <w:r w:rsidRPr="00EF0CCF">
        <w:rPr>
          <w:rFonts w:ascii="Times New Roman" w:hAnsi="Times New Roman" w:cs="Times New Roman"/>
        </w:rPr>
        <w:t>Table 2. IHG plc Cash Operating Cycle and Working Capital Components, 2020–2024. Source: IHG Annual Reports (2020–2024), author's calculations.</w:t>
      </w:r>
    </w:p>
    <w:p w14:paraId="0D6186D6" w14:textId="77777777" w:rsidR="007C06ED" w:rsidRPr="00EF0CCF" w:rsidRDefault="00000000" w:rsidP="00EF0CCF">
      <w:pPr>
        <w:spacing w:after="200" w:line="360" w:lineRule="auto"/>
        <w:jc w:val="both"/>
        <w:rPr>
          <w:rFonts w:ascii="Times New Roman" w:hAnsi="Times New Roman" w:cs="Times New Roman"/>
        </w:rPr>
      </w:pPr>
      <w:r w:rsidRPr="00EF0CCF">
        <w:rPr>
          <w:rFonts w:ascii="Times New Roman" w:hAnsi="Times New Roman" w:cs="Times New Roman"/>
        </w:rPr>
        <w:t>Table 3. Investment Appraisal Results — Projects A, B and C. Source: Assessment brief data; author's calculations.</w:t>
      </w:r>
    </w:p>
    <w:p w14:paraId="717E7F0E" w14:textId="77777777" w:rsidR="007C06ED" w:rsidRPr="00EF0CCF" w:rsidRDefault="00000000" w:rsidP="00EF0CCF">
      <w:pPr>
        <w:spacing w:after="200" w:line="360" w:lineRule="auto"/>
        <w:jc w:val="both"/>
        <w:rPr>
          <w:rFonts w:ascii="Times New Roman" w:hAnsi="Times New Roman" w:cs="Times New Roman"/>
        </w:rPr>
      </w:pPr>
      <w:r w:rsidRPr="00EF0CCF">
        <w:rPr>
          <w:rFonts w:ascii="Times New Roman" w:hAnsi="Times New Roman" w:cs="Times New Roman"/>
        </w:rPr>
        <w:t>Table 4. Capital Rationing Analysis (£100m Budget Constraint). Source: Author's calculations.</w:t>
      </w:r>
    </w:p>
    <w:p w14:paraId="1CDD2896" w14:textId="77777777" w:rsidR="007C06ED" w:rsidRPr="00EF0CCF" w:rsidRDefault="00000000" w:rsidP="00EF0CCF">
      <w:pPr>
        <w:spacing w:after="200" w:line="360" w:lineRule="auto"/>
        <w:jc w:val="both"/>
        <w:rPr>
          <w:rFonts w:ascii="Times New Roman" w:hAnsi="Times New Roman" w:cs="Times New Roman"/>
        </w:rPr>
      </w:pPr>
      <w:r w:rsidRPr="00EF0CCF">
        <w:rPr>
          <w:rFonts w:ascii="Times New Roman" w:hAnsi="Times New Roman" w:cs="Times New Roman"/>
        </w:rPr>
        <w:t>Table 5 (Appendix). Full Ratio Analysis, All Categories, 2020–2024.</w:t>
      </w:r>
    </w:p>
    <w:p w14:paraId="6B6AB691" w14:textId="77777777" w:rsidR="007C06ED" w:rsidRPr="00EF0CCF" w:rsidRDefault="00000000" w:rsidP="00EF0CCF">
      <w:pPr>
        <w:spacing w:after="200" w:line="360" w:lineRule="auto"/>
        <w:jc w:val="both"/>
        <w:rPr>
          <w:rFonts w:ascii="Times New Roman" w:hAnsi="Times New Roman" w:cs="Times New Roman"/>
        </w:rPr>
      </w:pPr>
      <w:r w:rsidRPr="00EF0CCF">
        <w:rPr>
          <w:rFonts w:ascii="Times New Roman" w:hAnsi="Times New Roman" w:cs="Times New Roman"/>
        </w:rPr>
        <w:t>Table 6 (Appendix). Discounted Cash Flow Workings — Projects A, B, C (8% discount rate).</w:t>
      </w:r>
    </w:p>
    <w:p w14:paraId="77EABBB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rPr>
        <w:br w:type="page"/>
      </w:r>
    </w:p>
    <w:p w14:paraId="0330D3DF" w14:textId="77777777" w:rsidR="007C06ED" w:rsidRPr="00EF0CCF" w:rsidRDefault="00000000" w:rsidP="00EF0CCF">
      <w:pPr>
        <w:pStyle w:val="Heading1"/>
        <w:spacing w:line="360" w:lineRule="auto"/>
        <w:jc w:val="both"/>
        <w:rPr>
          <w:rFonts w:ascii="Times New Roman" w:hAnsi="Times New Roman" w:cs="Times New Roman"/>
          <w:color w:val="auto"/>
        </w:rPr>
      </w:pPr>
      <w:bookmarkStart w:id="2" w:name="_Toc234456095"/>
      <w:r w:rsidRPr="00EF0CCF">
        <w:rPr>
          <w:rFonts w:ascii="Times New Roman" w:hAnsi="Times New Roman" w:cs="Times New Roman"/>
          <w:color w:val="auto"/>
        </w:rPr>
        <w:lastRenderedPageBreak/>
        <w:t>1. Introduction</w:t>
      </w:r>
      <w:bookmarkEnd w:id="2"/>
    </w:p>
    <w:p w14:paraId="33C5D2CE" w14:textId="77777777" w:rsidR="00DC3512" w:rsidRPr="00EF0CCF" w:rsidRDefault="00DC3512" w:rsidP="00EF0CCF">
      <w:pPr>
        <w:spacing w:after="200" w:line="360" w:lineRule="auto"/>
        <w:jc w:val="both"/>
        <w:rPr>
          <w:rFonts w:ascii="Times New Roman" w:hAnsi="Times New Roman" w:cs="Times New Roman"/>
        </w:rPr>
      </w:pPr>
      <w:r w:rsidRPr="00EF0CCF">
        <w:rPr>
          <w:rFonts w:ascii="Times New Roman" w:hAnsi="Times New Roman" w:cs="Times New Roman"/>
        </w:rPr>
        <w:t xml:space="preserve">The report is about the newly appointed Chief Financial Officer (CFO) of InterContinental Hotels Group (IHG) plc, a London Stock Exchange and New York Stock Exchange listed, UK based, international hospitality company. Under the InterContinental, Holiday Inn, Crowne Plaza, Regent and </w:t>
      </w:r>
      <w:proofErr w:type="spellStart"/>
      <w:r w:rsidRPr="00EF0CCF">
        <w:rPr>
          <w:rFonts w:ascii="Times New Roman" w:hAnsi="Times New Roman" w:cs="Times New Roman"/>
        </w:rPr>
        <w:t>voco</w:t>
      </w:r>
      <w:proofErr w:type="spellEnd"/>
      <w:r w:rsidRPr="00EF0CCF">
        <w:rPr>
          <w:rFonts w:ascii="Times New Roman" w:hAnsi="Times New Roman" w:cs="Times New Roman"/>
        </w:rPr>
        <w:t xml:space="preserve"> (IHG plc, 2025a) brands, IHG has a portfolio of more than 6,600 hotels operating in more than 100 countries. For this assignment IHG was chosen because it is a large, publicly listed global hotel group with an official and accessible web investor site, and a fully audited 5-year set of financial statements (both UK Annual Report and the US SEC Form 20-F), which it has made publicly available.</w:t>
      </w:r>
    </w:p>
    <w:p w14:paraId="4860A351" w14:textId="4734EDB2" w:rsidR="00DC3512" w:rsidRPr="00EF0CCF" w:rsidRDefault="00DC3512" w:rsidP="00EF0CCF">
      <w:pPr>
        <w:spacing w:after="200" w:line="360" w:lineRule="auto"/>
        <w:jc w:val="both"/>
        <w:rPr>
          <w:rFonts w:ascii="Times New Roman" w:hAnsi="Times New Roman" w:cs="Times New Roman"/>
        </w:rPr>
      </w:pPr>
      <w:r w:rsidRPr="00EF0CCF">
        <w:rPr>
          <w:rFonts w:ascii="Times New Roman" w:hAnsi="Times New Roman" w:cs="Times New Roman"/>
        </w:rPr>
        <w:t>The Board has asked for the following to be included in the financial statement health check: (</w:t>
      </w:r>
      <w:proofErr w:type="spellStart"/>
      <w:r w:rsidRPr="00EF0CCF">
        <w:rPr>
          <w:rFonts w:ascii="Times New Roman" w:hAnsi="Times New Roman" w:cs="Times New Roman"/>
        </w:rPr>
        <w:t>i</w:t>
      </w:r>
      <w:proofErr w:type="spellEnd"/>
      <w:r w:rsidRPr="00EF0CCF">
        <w:rPr>
          <w:rFonts w:ascii="Times New Roman" w:hAnsi="Times New Roman" w:cs="Times New Roman"/>
        </w:rPr>
        <w:t>) An analysis of the Board's financial health for the past five reported financial years (FY2152 to FY2156); (ii) A working capital management analysis; (iii) A capital re-structuring plan; and (iv) Investment appraisal of three capital projects within a capital-rationing constraint. Analysis is based on IHG's audited Income Statement, Balance Sheet and Cash Flow Statement, comprehensive ratio analysis (Appendix 1) and the academic and professional literature (peer-reviewed) on hospital policy corporate finance. It ends with a critical, reflective narrative about the use of Generative Artificial Intelligence tools, and the verification and bounding of them during the preparation of this assessment.</w:t>
      </w:r>
    </w:p>
    <w:p w14:paraId="0B69C426" w14:textId="77777777" w:rsidR="007C06ED" w:rsidRPr="00EF0CCF" w:rsidRDefault="00000000" w:rsidP="00EF0CCF">
      <w:pPr>
        <w:pStyle w:val="Heading1"/>
        <w:spacing w:line="360" w:lineRule="auto"/>
        <w:jc w:val="both"/>
        <w:rPr>
          <w:rFonts w:ascii="Times New Roman" w:hAnsi="Times New Roman" w:cs="Times New Roman"/>
          <w:color w:val="auto"/>
        </w:rPr>
      </w:pPr>
      <w:bookmarkStart w:id="3" w:name="_Toc234456096"/>
      <w:r w:rsidRPr="00EF0CCF">
        <w:rPr>
          <w:rFonts w:ascii="Times New Roman" w:hAnsi="Times New Roman" w:cs="Times New Roman"/>
          <w:color w:val="auto"/>
        </w:rPr>
        <w:t>2. Financial Health Check</w:t>
      </w:r>
      <w:bookmarkEnd w:id="3"/>
    </w:p>
    <w:p w14:paraId="739697EE" w14:textId="77777777" w:rsidR="007C06ED" w:rsidRPr="00EF0CCF" w:rsidRDefault="00000000" w:rsidP="00EF0CCF">
      <w:pPr>
        <w:pStyle w:val="Heading2"/>
        <w:spacing w:line="360" w:lineRule="auto"/>
        <w:jc w:val="both"/>
        <w:rPr>
          <w:rFonts w:ascii="Times New Roman" w:hAnsi="Times New Roman" w:cs="Times New Roman"/>
          <w:color w:val="auto"/>
        </w:rPr>
      </w:pPr>
      <w:bookmarkStart w:id="4" w:name="_Toc234456097"/>
      <w:r w:rsidRPr="00EF0CCF">
        <w:rPr>
          <w:rFonts w:ascii="Times New Roman" w:hAnsi="Times New Roman" w:cs="Times New Roman"/>
          <w:color w:val="auto"/>
        </w:rPr>
        <w:t>2.1 Five-Year Financial Trend Overview</w:t>
      </w:r>
      <w:bookmarkEnd w:id="4"/>
    </w:p>
    <w:p w14:paraId="63176440" w14:textId="77777777" w:rsidR="00DC3512" w:rsidRPr="00EF0CCF" w:rsidRDefault="00DC3512" w:rsidP="00EF0CCF">
      <w:pPr>
        <w:spacing w:after="200" w:line="360" w:lineRule="auto"/>
        <w:jc w:val="both"/>
        <w:rPr>
          <w:rFonts w:ascii="Times New Roman" w:hAnsi="Times New Roman" w:cs="Times New Roman"/>
        </w:rPr>
      </w:pPr>
      <w:r w:rsidRPr="00EF0CCF">
        <w:rPr>
          <w:rFonts w:ascii="Times New Roman" w:hAnsi="Times New Roman" w:cs="Times New Roman"/>
        </w:rPr>
        <w:t>The income statement from IHG shows a strong rebound off the bottom in a V shape following the pandemic. So what is seen is the Group's revenue, which has risen from $2,394m in FY2020 (the low point of the COVID-19 shock while the World's occupancy dropped) to $4,923m in FY2024, corresponding to an average compound annual growth rate of about 19.8% over the past five years (IHG plc, 2025a). Every measure showed FY2020 to be loss-making: EBIT was in average loss of $153m and the Group posted a net loss of $309m. The overall trend of the wider hospitality industry is consistent with a significant global decline in the industry's operating revenue and profitability during the pandemic, which has been described as a “long and difficult recovery” with no evidence that the world's largest hotel companies turned a profit during the crisis, but rather focused on liquidity preservation (Radivojević et al. 2023).</w:t>
      </w:r>
    </w:p>
    <w:p w14:paraId="3C98D18D" w14:textId="136DD401" w:rsidR="00DC3512" w:rsidRPr="00EF0CCF" w:rsidRDefault="00DC3512" w:rsidP="00EF0CCF">
      <w:pPr>
        <w:spacing w:after="200" w:line="360" w:lineRule="auto"/>
        <w:jc w:val="both"/>
        <w:rPr>
          <w:rFonts w:ascii="Times New Roman" w:hAnsi="Times New Roman" w:cs="Times New Roman"/>
        </w:rPr>
      </w:pPr>
      <w:r w:rsidRPr="00EF0CCF">
        <w:rPr>
          <w:rFonts w:ascii="Times New Roman" w:hAnsi="Times New Roman" w:cs="Times New Roman"/>
        </w:rPr>
        <w:lastRenderedPageBreak/>
        <w:t>EBIT was up to $1,041m with a margin of 21.1% in FY24, exceeding the sector average of ~18%, posted by international hotel companies, by net profit of $628m (margin 12.8%) in FY24, which was above the sector margin of ~10%. A recovery this strong is partly due to the cyclical uptick of global travel demand but much also to the inherent strength of IHG's fee-based, asset-light business model, with the bulk of IHG's hotel portfolio, which accounts for over 90% of its global asset count, franchised or third-party managed rather than owned. Academic research on the asset-light, fee-based business model in hospitality confirms that this model allows companies to benefit from higher investment efficiency, lower operating leverage and more resilience to investment in very complex and volatile trading environments—all characteristics the IHG has demonstrated during the Covid-19 recovery (Seo et al., 2021 written in Boston Hospitality Review, 2021).</w:t>
      </w:r>
    </w:p>
    <w:p w14:paraId="3AD8D66F" w14:textId="77777777" w:rsidR="007C06ED" w:rsidRPr="00EF0CCF" w:rsidRDefault="00000000" w:rsidP="00EF0CCF">
      <w:pPr>
        <w:pStyle w:val="Heading2"/>
        <w:spacing w:line="360" w:lineRule="auto"/>
        <w:jc w:val="both"/>
        <w:rPr>
          <w:rFonts w:ascii="Times New Roman" w:hAnsi="Times New Roman" w:cs="Times New Roman"/>
          <w:color w:val="auto"/>
        </w:rPr>
      </w:pPr>
      <w:bookmarkStart w:id="5" w:name="_Toc234456098"/>
      <w:r w:rsidRPr="00EF0CCF">
        <w:rPr>
          <w:rFonts w:ascii="Times New Roman" w:hAnsi="Times New Roman" w:cs="Times New Roman"/>
          <w:color w:val="auto"/>
        </w:rPr>
        <w:t>2.2 Ratio Analysis</w:t>
      </w:r>
      <w:bookmarkEnd w:id="5"/>
    </w:p>
    <w:p w14:paraId="2BA725B6" w14:textId="77777777" w:rsidR="007C06ED" w:rsidRPr="00EF0CCF" w:rsidRDefault="00000000" w:rsidP="00EF0CCF">
      <w:pPr>
        <w:spacing w:after="200" w:line="360" w:lineRule="auto"/>
        <w:jc w:val="both"/>
        <w:rPr>
          <w:rFonts w:ascii="Times New Roman" w:hAnsi="Times New Roman" w:cs="Times New Roman"/>
          <w:b/>
          <w:bCs/>
        </w:rPr>
      </w:pPr>
      <w:r w:rsidRPr="00EF0CCF">
        <w:rPr>
          <w:rFonts w:ascii="Times New Roman" w:hAnsi="Times New Roman" w:cs="Times New Roman"/>
          <w:b/>
          <w:bCs/>
        </w:rPr>
        <w:t>Table 1 summarises IHG's ratio analysis across the six required categories for FY2020–FY2024 (full workings in Appendix 1, Table 5).</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86"/>
        <w:gridCol w:w="1064"/>
        <w:gridCol w:w="1064"/>
        <w:gridCol w:w="1064"/>
        <w:gridCol w:w="1064"/>
        <w:gridCol w:w="1064"/>
        <w:gridCol w:w="1344"/>
      </w:tblGrid>
      <w:tr w:rsidR="007C06ED" w:rsidRPr="00EF0CCF" w14:paraId="4ED2BA08" w14:textId="77777777">
        <w:trPr>
          <w:tblHeader/>
        </w:trPr>
        <w:tc>
          <w:tcPr>
            <w:tcW w:w="2400" w:type="dxa"/>
            <w:shd w:val="clear" w:color="auto" w:fill="1F3864"/>
            <w:tcMar>
              <w:top w:w="60" w:type="dxa"/>
              <w:left w:w="80" w:type="dxa"/>
              <w:bottom w:w="60" w:type="dxa"/>
              <w:right w:w="80" w:type="dxa"/>
            </w:tcMar>
            <w:vAlign w:val="center"/>
          </w:tcPr>
          <w:p w14:paraId="465E723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Ratio</w:t>
            </w:r>
          </w:p>
        </w:tc>
        <w:tc>
          <w:tcPr>
            <w:tcW w:w="950" w:type="dxa"/>
            <w:shd w:val="clear" w:color="auto" w:fill="1F3864"/>
            <w:tcMar>
              <w:top w:w="60" w:type="dxa"/>
              <w:left w:w="80" w:type="dxa"/>
              <w:bottom w:w="60" w:type="dxa"/>
              <w:right w:w="80" w:type="dxa"/>
            </w:tcMar>
            <w:vAlign w:val="center"/>
          </w:tcPr>
          <w:p w14:paraId="30514DB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2020</w:t>
            </w:r>
          </w:p>
        </w:tc>
        <w:tc>
          <w:tcPr>
            <w:tcW w:w="950" w:type="dxa"/>
            <w:shd w:val="clear" w:color="auto" w:fill="1F3864"/>
            <w:tcMar>
              <w:top w:w="60" w:type="dxa"/>
              <w:left w:w="80" w:type="dxa"/>
              <w:bottom w:w="60" w:type="dxa"/>
              <w:right w:w="80" w:type="dxa"/>
            </w:tcMar>
            <w:vAlign w:val="center"/>
          </w:tcPr>
          <w:p w14:paraId="3A1EA71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2021</w:t>
            </w:r>
          </w:p>
        </w:tc>
        <w:tc>
          <w:tcPr>
            <w:tcW w:w="950" w:type="dxa"/>
            <w:shd w:val="clear" w:color="auto" w:fill="1F3864"/>
            <w:tcMar>
              <w:top w:w="60" w:type="dxa"/>
              <w:left w:w="80" w:type="dxa"/>
              <w:bottom w:w="60" w:type="dxa"/>
              <w:right w:w="80" w:type="dxa"/>
            </w:tcMar>
            <w:vAlign w:val="center"/>
          </w:tcPr>
          <w:p w14:paraId="44FC054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2022</w:t>
            </w:r>
          </w:p>
        </w:tc>
        <w:tc>
          <w:tcPr>
            <w:tcW w:w="950" w:type="dxa"/>
            <w:shd w:val="clear" w:color="auto" w:fill="1F3864"/>
            <w:tcMar>
              <w:top w:w="60" w:type="dxa"/>
              <w:left w:w="80" w:type="dxa"/>
              <w:bottom w:w="60" w:type="dxa"/>
              <w:right w:w="80" w:type="dxa"/>
            </w:tcMar>
            <w:vAlign w:val="center"/>
          </w:tcPr>
          <w:p w14:paraId="13624C6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2023</w:t>
            </w:r>
          </w:p>
        </w:tc>
        <w:tc>
          <w:tcPr>
            <w:tcW w:w="950" w:type="dxa"/>
            <w:shd w:val="clear" w:color="auto" w:fill="1F3864"/>
            <w:tcMar>
              <w:top w:w="60" w:type="dxa"/>
              <w:left w:w="80" w:type="dxa"/>
              <w:bottom w:w="60" w:type="dxa"/>
              <w:right w:w="80" w:type="dxa"/>
            </w:tcMar>
            <w:vAlign w:val="center"/>
          </w:tcPr>
          <w:p w14:paraId="3D1AEC2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2024</w:t>
            </w:r>
          </w:p>
        </w:tc>
        <w:tc>
          <w:tcPr>
            <w:tcW w:w="1200" w:type="dxa"/>
            <w:shd w:val="clear" w:color="auto" w:fill="1F3864"/>
            <w:tcMar>
              <w:top w:w="60" w:type="dxa"/>
              <w:left w:w="80" w:type="dxa"/>
              <w:bottom w:w="60" w:type="dxa"/>
              <w:right w:w="80" w:type="dxa"/>
            </w:tcMar>
            <w:vAlign w:val="center"/>
          </w:tcPr>
          <w:p w14:paraId="4CE380D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Sector Benchmark</w:t>
            </w:r>
          </w:p>
        </w:tc>
      </w:tr>
      <w:tr w:rsidR="007C06ED" w:rsidRPr="00EF0CCF" w14:paraId="0F2C4539" w14:textId="77777777">
        <w:tc>
          <w:tcPr>
            <w:tcW w:w="2400" w:type="dxa"/>
            <w:shd w:val="clear" w:color="auto" w:fill="F2F2F2"/>
            <w:tcMar>
              <w:top w:w="40" w:type="dxa"/>
              <w:left w:w="80" w:type="dxa"/>
              <w:bottom w:w="40" w:type="dxa"/>
              <w:right w:w="80" w:type="dxa"/>
            </w:tcMar>
            <w:vAlign w:val="center"/>
          </w:tcPr>
          <w:p w14:paraId="05379D67"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Gross Profit Margin</w:t>
            </w:r>
          </w:p>
        </w:tc>
        <w:tc>
          <w:tcPr>
            <w:tcW w:w="950" w:type="dxa"/>
            <w:shd w:val="clear" w:color="auto" w:fill="F2F2F2"/>
            <w:tcMar>
              <w:top w:w="40" w:type="dxa"/>
              <w:left w:w="80" w:type="dxa"/>
              <w:bottom w:w="40" w:type="dxa"/>
              <w:right w:w="80" w:type="dxa"/>
            </w:tcMar>
            <w:vAlign w:val="center"/>
          </w:tcPr>
          <w:p w14:paraId="419E196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20.3%</w:t>
            </w:r>
          </w:p>
        </w:tc>
        <w:tc>
          <w:tcPr>
            <w:tcW w:w="950" w:type="dxa"/>
            <w:shd w:val="clear" w:color="auto" w:fill="F2F2F2"/>
            <w:tcMar>
              <w:top w:w="40" w:type="dxa"/>
              <w:left w:w="80" w:type="dxa"/>
              <w:bottom w:w="40" w:type="dxa"/>
              <w:right w:w="80" w:type="dxa"/>
            </w:tcMar>
            <w:vAlign w:val="center"/>
          </w:tcPr>
          <w:p w14:paraId="6940C1C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30.4%</w:t>
            </w:r>
          </w:p>
        </w:tc>
        <w:tc>
          <w:tcPr>
            <w:tcW w:w="950" w:type="dxa"/>
            <w:shd w:val="clear" w:color="auto" w:fill="F2F2F2"/>
            <w:tcMar>
              <w:top w:w="40" w:type="dxa"/>
              <w:left w:w="80" w:type="dxa"/>
              <w:bottom w:w="40" w:type="dxa"/>
              <w:right w:w="80" w:type="dxa"/>
            </w:tcMar>
            <w:vAlign w:val="center"/>
          </w:tcPr>
          <w:p w14:paraId="7457E9A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27.7%</w:t>
            </w:r>
          </w:p>
        </w:tc>
        <w:tc>
          <w:tcPr>
            <w:tcW w:w="950" w:type="dxa"/>
            <w:shd w:val="clear" w:color="auto" w:fill="F2F2F2"/>
            <w:tcMar>
              <w:top w:w="40" w:type="dxa"/>
              <w:left w:w="80" w:type="dxa"/>
              <w:bottom w:w="40" w:type="dxa"/>
              <w:right w:w="80" w:type="dxa"/>
            </w:tcMar>
            <w:vAlign w:val="center"/>
          </w:tcPr>
          <w:p w14:paraId="6BAC9CF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30.7%</w:t>
            </w:r>
          </w:p>
        </w:tc>
        <w:tc>
          <w:tcPr>
            <w:tcW w:w="950" w:type="dxa"/>
            <w:shd w:val="clear" w:color="auto" w:fill="F2F2F2"/>
            <w:tcMar>
              <w:top w:w="40" w:type="dxa"/>
              <w:left w:w="80" w:type="dxa"/>
              <w:bottom w:w="40" w:type="dxa"/>
              <w:right w:w="80" w:type="dxa"/>
            </w:tcMar>
            <w:vAlign w:val="center"/>
          </w:tcPr>
          <w:p w14:paraId="580F7B9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29.6%</w:t>
            </w:r>
          </w:p>
        </w:tc>
        <w:tc>
          <w:tcPr>
            <w:tcW w:w="1200" w:type="dxa"/>
            <w:shd w:val="clear" w:color="auto" w:fill="F2F2F2"/>
            <w:tcMar>
              <w:top w:w="40" w:type="dxa"/>
              <w:left w:w="80" w:type="dxa"/>
              <w:bottom w:w="40" w:type="dxa"/>
              <w:right w:w="80" w:type="dxa"/>
            </w:tcMar>
            <w:vAlign w:val="center"/>
          </w:tcPr>
          <w:p w14:paraId="6505161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~25%</w:t>
            </w:r>
          </w:p>
        </w:tc>
      </w:tr>
      <w:tr w:rsidR="007C06ED" w:rsidRPr="00EF0CCF" w14:paraId="11981C09" w14:textId="77777777">
        <w:tc>
          <w:tcPr>
            <w:tcW w:w="2400" w:type="dxa"/>
            <w:shd w:val="clear" w:color="auto" w:fill="FFFFFF"/>
            <w:tcMar>
              <w:top w:w="40" w:type="dxa"/>
              <w:left w:w="80" w:type="dxa"/>
              <w:bottom w:w="40" w:type="dxa"/>
              <w:right w:w="80" w:type="dxa"/>
            </w:tcMar>
            <w:vAlign w:val="center"/>
          </w:tcPr>
          <w:p w14:paraId="30685447"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EBIT Margin</w:t>
            </w:r>
          </w:p>
        </w:tc>
        <w:tc>
          <w:tcPr>
            <w:tcW w:w="950" w:type="dxa"/>
            <w:shd w:val="clear" w:color="auto" w:fill="FFFFFF"/>
            <w:tcMar>
              <w:top w:w="40" w:type="dxa"/>
              <w:left w:w="80" w:type="dxa"/>
              <w:bottom w:w="40" w:type="dxa"/>
              <w:right w:w="80" w:type="dxa"/>
            </w:tcMar>
            <w:vAlign w:val="center"/>
          </w:tcPr>
          <w:p w14:paraId="2D7606F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(6.4%)</w:t>
            </w:r>
          </w:p>
        </w:tc>
        <w:tc>
          <w:tcPr>
            <w:tcW w:w="950" w:type="dxa"/>
            <w:shd w:val="clear" w:color="auto" w:fill="FFFFFF"/>
            <w:tcMar>
              <w:top w:w="40" w:type="dxa"/>
              <w:left w:w="80" w:type="dxa"/>
              <w:bottom w:w="40" w:type="dxa"/>
              <w:right w:w="80" w:type="dxa"/>
            </w:tcMar>
            <w:vAlign w:val="center"/>
          </w:tcPr>
          <w:p w14:paraId="23F58C5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17.0%</w:t>
            </w:r>
          </w:p>
        </w:tc>
        <w:tc>
          <w:tcPr>
            <w:tcW w:w="950" w:type="dxa"/>
            <w:shd w:val="clear" w:color="auto" w:fill="FFFFFF"/>
            <w:tcMar>
              <w:top w:w="40" w:type="dxa"/>
              <w:left w:w="80" w:type="dxa"/>
              <w:bottom w:w="40" w:type="dxa"/>
              <w:right w:w="80" w:type="dxa"/>
            </w:tcMar>
            <w:vAlign w:val="center"/>
          </w:tcPr>
          <w:p w14:paraId="1E15CD4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16.1%</w:t>
            </w:r>
          </w:p>
        </w:tc>
        <w:tc>
          <w:tcPr>
            <w:tcW w:w="950" w:type="dxa"/>
            <w:shd w:val="clear" w:color="auto" w:fill="FFFFFF"/>
            <w:tcMar>
              <w:top w:w="40" w:type="dxa"/>
              <w:left w:w="80" w:type="dxa"/>
              <w:bottom w:w="40" w:type="dxa"/>
              <w:right w:w="80" w:type="dxa"/>
            </w:tcMar>
            <w:vAlign w:val="center"/>
          </w:tcPr>
          <w:p w14:paraId="4572122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23.1%</w:t>
            </w:r>
          </w:p>
        </w:tc>
        <w:tc>
          <w:tcPr>
            <w:tcW w:w="950" w:type="dxa"/>
            <w:shd w:val="clear" w:color="auto" w:fill="FFFFFF"/>
            <w:tcMar>
              <w:top w:w="40" w:type="dxa"/>
              <w:left w:w="80" w:type="dxa"/>
              <w:bottom w:w="40" w:type="dxa"/>
              <w:right w:w="80" w:type="dxa"/>
            </w:tcMar>
            <w:vAlign w:val="center"/>
          </w:tcPr>
          <w:p w14:paraId="442F8D2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21.1%</w:t>
            </w:r>
          </w:p>
        </w:tc>
        <w:tc>
          <w:tcPr>
            <w:tcW w:w="1200" w:type="dxa"/>
            <w:shd w:val="clear" w:color="auto" w:fill="FFFFFF"/>
            <w:tcMar>
              <w:top w:w="40" w:type="dxa"/>
              <w:left w:w="80" w:type="dxa"/>
              <w:bottom w:w="40" w:type="dxa"/>
              <w:right w:w="80" w:type="dxa"/>
            </w:tcMar>
            <w:vAlign w:val="center"/>
          </w:tcPr>
          <w:p w14:paraId="6F46FE5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~18%</w:t>
            </w:r>
          </w:p>
        </w:tc>
      </w:tr>
      <w:tr w:rsidR="007C06ED" w:rsidRPr="00EF0CCF" w14:paraId="0F625750" w14:textId="77777777">
        <w:tc>
          <w:tcPr>
            <w:tcW w:w="2400" w:type="dxa"/>
            <w:shd w:val="clear" w:color="auto" w:fill="F2F2F2"/>
            <w:tcMar>
              <w:top w:w="40" w:type="dxa"/>
              <w:left w:w="80" w:type="dxa"/>
              <w:bottom w:w="40" w:type="dxa"/>
              <w:right w:w="80" w:type="dxa"/>
            </w:tcMar>
            <w:vAlign w:val="center"/>
          </w:tcPr>
          <w:p w14:paraId="1378433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Net Profit Margin</w:t>
            </w:r>
          </w:p>
        </w:tc>
        <w:tc>
          <w:tcPr>
            <w:tcW w:w="950" w:type="dxa"/>
            <w:shd w:val="clear" w:color="auto" w:fill="F2F2F2"/>
            <w:tcMar>
              <w:top w:w="40" w:type="dxa"/>
              <w:left w:w="80" w:type="dxa"/>
              <w:bottom w:w="40" w:type="dxa"/>
              <w:right w:w="80" w:type="dxa"/>
            </w:tcMar>
            <w:vAlign w:val="center"/>
          </w:tcPr>
          <w:p w14:paraId="07B836F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(12.9%)</w:t>
            </w:r>
          </w:p>
        </w:tc>
        <w:tc>
          <w:tcPr>
            <w:tcW w:w="950" w:type="dxa"/>
            <w:shd w:val="clear" w:color="auto" w:fill="F2F2F2"/>
            <w:tcMar>
              <w:top w:w="40" w:type="dxa"/>
              <w:left w:w="80" w:type="dxa"/>
              <w:bottom w:w="40" w:type="dxa"/>
              <w:right w:w="80" w:type="dxa"/>
            </w:tcMar>
            <w:vAlign w:val="center"/>
          </w:tcPr>
          <w:p w14:paraId="4121068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9.1%</w:t>
            </w:r>
          </w:p>
        </w:tc>
        <w:tc>
          <w:tcPr>
            <w:tcW w:w="950" w:type="dxa"/>
            <w:shd w:val="clear" w:color="auto" w:fill="F2F2F2"/>
            <w:tcMar>
              <w:top w:w="40" w:type="dxa"/>
              <w:left w:w="80" w:type="dxa"/>
              <w:bottom w:w="40" w:type="dxa"/>
              <w:right w:w="80" w:type="dxa"/>
            </w:tcMar>
            <w:vAlign w:val="center"/>
          </w:tcPr>
          <w:p w14:paraId="2B046BB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9.6%</w:t>
            </w:r>
          </w:p>
        </w:tc>
        <w:tc>
          <w:tcPr>
            <w:tcW w:w="950" w:type="dxa"/>
            <w:shd w:val="clear" w:color="auto" w:fill="F2F2F2"/>
            <w:tcMar>
              <w:top w:w="40" w:type="dxa"/>
              <w:left w:w="80" w:type="dxa"/>
              <w:bottom w:w="40" w:type="dxa"/>
              <w:right w:w="80" w:type="dxa"/>
            </w:tcMar>
            <w:vAlign w:val="center"/>
          </w:tcPr>
          <w:p w14:paraId="63A5434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16.2%</w:t>
            </w:r>
          </w:p>
        </w:tc>
        <w:tc>
          <w:tcPr>
            <w:tcW w:w="950" w:type="dxa"/>
            <w:shd w:val="clear" w:color="auto" w:fill="F2F2F2"/>
            <w:tcMar>
              <w:top w:w="40" w:type="dxa"/>
              <w:left w:w="80" w:type="dxa"/>
              <w:bottom w:w="40" w:type="dxa"/>
              <w:right w:w="80" w:type="dxa"/>
            </w:tcMar>
            <w:vAlign w:val="center"/>
          </w:tcPr>
          <w:p w14:paraId="561358B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12.8%</w:t>
            </w:r>
          </w:p>
        </w:tc>
        <w:tc>
          <w:tcPr>
            <w:tcW w:w="1200" w:type="dxa"/>
            <w:shd w:val="clear" w:color="auto" w:fill="F2F2F2"/>
            <w:tcMar>
              <w:top w:w="40" w:type="dxa"/>
              <w:left w:w="80" w:type="dxa"/>
              <w:bottom w:w="40" w:type="dxa"/>
              <w:right w:w="80" w:type="dxa"/>
            </w:tcMar>
            <w:vAlign w:val="center"/>
          </w:tcPr>
          <w:p w14:paraId="3F3FD88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w:t>
            </w:r>
          </w:p>
        </w:tc>
      </w:tr>
      <w:tr w:rsidR="007C06ED" w:rsidRPr="00EF0CCF" w14:paraId="0F003D1D" w14:textId="77777777">
        <w:tc>
          <w:tcPr>
            <w:tcW w:w="2400" w:type="dxa"/>
            <w:shd w:val="clear" w:color="auto" w:fill="FFFFFF"/>
            <w:tcMar>
              <w:top w:w="40" w:type="dxa"/>
              <w:left w:w="80" w:type="dxa"/>
              <w:bottom w:w="40" w:type="dxa"/>
              <w:right w:w="80" w:type="dxa"/>
            </w:tcMar>
            <w:vAlign w:val="center"/>
          </w:tcPr>
          <w:p w14:paraId="4ABC483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Return on Assets</w:t>
            </w:r>
          </w:p>
        </w:tc>
        <w:tc>
          <w:tcPr>
            <w:tcW w:w="950" w:type="dxa"/>
            <w:shd w:val="clear" w:color="auto" w:fill="FFFFFF"/>
            <w:tcMar>
              <w:top w:w="40" w:type="dxa"/>
              <w:left w:w="80" w:type="dxa"/>
              <w:bottom w:w="40" w:type="dxa"/>
              <w:right w:w="80" w:type="dxa"/>
            </w:tcMar>
            <w:vAlign w:val="center"/>
          </w:tcPr>
          <w:p w14:paraId="342C447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(6.1%)</w:t>
            </w:r>
          </w:p>
        </w:tc>
        <w:tc>
          <w:tcPr>
            <w:tcW w:w="950" w:type="dxa"/>
            <w:shd w:val="clear" w:color="auto" w:fill="FFFFFF"/>
            <w:tcMar>
              <w:top w:w="40" w:type="dxa"/>
              <w:left w:w="80" w:type="dxa"/>
              <w:bottom w:w="40" w:type="dxa"/>
              <w:right w:w="80" w:type="dxa"/>
            </w:tcMar>
            <w:vAlign w:val="center"/>
          </w:tcPr>
          <w:p w14:paraId="214C8B0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5.6%</w:t>
            </w:r>
          </w:p>
        </w:tc>
        <w:tc>
          <w:tcPr>
            <w:tcW w:w="950" w:type="dxa"/>
            <w:shd w:val="clear" w:color="auto" w:fill="FFFFFF"/>
            <w:tcMar>
              <w:top w:w="40" w:type="dxa"/>
              <w:left w:w="80" w:type="dxa"/>
              <w:bottom w:w="40" w:type="dxa"/>
              <w:right w:w="80" w:type="dxa"/>
            </w:tcMar>
            <w:vAlign w:val="center"/>
          </w:tcPr>
          <w:p w14:paraId="107EBC6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8.9%</w:t>
            </w:r>
          </w:p>
        </w:tc>
        <w:tc>
          <w:tcPr>
            <w:tcW w:w="950" w:type="dxa"/>
            <w:shd w:val="clear" w:color="auto" w:fill="FFFFFF"/>
            <w:tcMar>
              <w:top w:w="40" w:type="dxa"/>
              <w:left w:w="80" w:type="dxa"/>
              <w:bottom w:w="40" w:type="dxa"/>
              <w:right w:w="80" w:type="dxa"/>
            </w:tcMar>
            <w:vAlign w:val="center"/>
          </w:tcPr>
          <w:p w14:paraId="690D7C2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15.6%</w:t>
            </w:r>
          </w:p>
        </w:tc>
        <w:tc>
          <w:tcPr>
            <w:tcW w:w="950" w:type="dxa"/>
            <w:shd w:val="clear" w:color="auto" w:fill="FFFFFF"/>
            <w:tcMar>
              <w:top w:w="40" w:type="dxa"/>
              <w:left w:w="80" w:type="dxa"/>
              <w:bottom w:w="40" w:type="dxa"/>
              <w:right w:w="80" w:type="dxa"/>
            </w:tcMar>
            <w:vAlign w:val="center"/>
          </w:tcPr>
          <w:p w14:paraId="455FBBE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13.2%</w:t>
            </w:r>
          </w:p>
        </w:tc>
        <w:tc>
          <w:tcPr>
            <w:tcW w:w="1200" w:type="dxa"/>
            <w:shd w:val="clear" w:color="auto" w:fill="FFFFFF"/>
            <w:tcMar>
              <w:top w:w="40" w:type="dxa"/>
              <w:left w:w="80" w:type="dxa"/>
              <w:bottom w:w="40" w:type="dxa"/>
              <w:right w:w="80" w:type="dxa"/>
            </w:tcMar>
            <w:vAlign w:val="center"/>
          </w:tcPr>
          <w:p w14:paraId="04B781E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w:t>
            </w:r>
          </w:p>
        </w:tc>
      </w:tr>
      <w:tr w:rsidR="007C06ED" w:rsidRPr="00EF0CCF" w14:paraId="23F2314E" w14:textId="77777777">
        <w:tc>
          <w:tcPr>
            <w:tcW w:w="2400" w:type="dxa"/>
            <w:shd w:val="clear" w:color="auto" w:fill="F2F2F2"/>
            <w:tcMar>
              <w:top w:w="40" w:type="dxa"/>
              <w:left w:w="80" w:type="dxa"/>
              <w:bottom w:w="40" w:type="dxa"/>
              <w:right w:w="80" w:type="dxa"/>
            </w:tcMar>
            <w:vAlign w:val="center"/>
          </w:tcPr>
          <w:p w14:paraId="1735371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Current Ratio</w:t>
            </w:r>
          </w:p>
        </w:tc>
        <w:tc>
          <w:tcPr>
            <w:tcW w:w="950" w:type="dxa"/>
            <w:shd w:val="clear" w:color="auto" w:fill="F2F2F2"/>
            <w:tcMar>
              <w:top w:w="40" w:type="dxa"/>
              <w:left w:w="80" w:type="dxa"/>
              <w:bottom w:w="40" w:type="dxa"/>
              <w:right w:w="80" w:type="dxa"/>
            </w:tcMar>
            <w:vAlign w:val="center"/>
          </w:tcPr>
          <w:p w14:paraId="6F90022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1.20x</w:t>
            </w:r>
          </w:p>
        </w:tc>
        <w:tc>
          <w:tcPr>
            <w:tcW w:w="950" w:type="dxa"/>
            <w:shd w:val="clear" w:color="auto" w:fill="F2F2F2"/>
            <w:tcMar>
              <w:top w:w="40" w:type="dxa"/>
              <w:left w:w="80" w:type="dxa"/>
              <w:bottom w:w="40" w:type="dxa"/>
              <w:right w:w="80" w:type="dxa"/>
            </w:tcMar>
            <w:vAlign w:val="center"/>
          </w:tcPr>
          <w:p w14:paraId="02AEF82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1.27x</w:t>
            </w:r>
          </w:p>
        </w:tc>
        <w:tc>
          <w:tcPr>
            <w:tcW w:w="950" w:type="dxa"/>
            <w:shd w:val="clear" w:color="auto" w:fill="F2F2F2"/>
            <w:tcMar>
              <w:top w:w="40" w:type="dxa"/>
              <w:left w:w="80" w:type="dxa"/>
              <w:bottom w:w="40" w:type="dxa"/>
              <w:right w:w="80" w:type="dxa"/>
            </w:tcMar>
            <w:vAlign w:val="center"/>
          </w:tcPr>
          <w:p w14:paraId="0D73626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1.03x</w:t>
            </w:r>
          </w:p>
        </w:tc>
        <w:tc>
          <w:tcPr>
            <w:tcW w:w="950" w:type="dxa"/>
            <w:shd w:val="clear" w:color="auto" w:fill="F2F2F2"/>
            <w:tcMar>
              <w:top w:w="40" w:type="dxa"/>
              <w:left w:w="80" w:type="dxa"/>
              <w:bottom w:w="40" w:type="dxa"/>
              <w:right w:w="80" w:type="dxa"/>
            </w:tcMar>
            <w:vAlign w:val="center"/>
          </w:tcPr>
          <w:p w14:paraId="1E93395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0.99x</w:t>
            </w:r>
          </w:p>
        </w:tc>
        <w:tc>
          <w:tcPr>
            <w:tcW w:w="950" w:type="dxa"/>
            <w:shd w:val="clear" w:color="auto" w:fill="F2F2F2"/>
            <w:tcMar>
              <w:top w:w="40" w:type="dxa"/>
              <w:left w:w="80" w:type="dxa"/>
              <w:bottom w:w="40" w:type="dxa"/>
              <w:right w:w="80" w:type="dxa"/>
            </w:tcMar>
            <w:vAlign w:val="center"/>
          </w:tcPr>
          <w:p w14:paraId="110C0F0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1.00x</w:t>
            </w:r>
          </w:p>
        </w:tc>
        <w:tc>
          <w:tcPr>
            <w:tcW w:w="1200" w:type="dxa"/>
            <w:shd w:val="clear" w:color="auto" w:fill="F2F2F2"/>
            <w:tcMar>
              <w:top w:w="40" w:type="dxa"/>
              <w:left w:w="80" w:type="dxa"/>
              <w:bottom w:w="40" w:type="dxa"/>
              <w:right w:w="80" w:type="dxa"/>
            </w:tcMar>
            <w:vAlign w:val="center"/>
          </w:tcPr>
          <w:p w14:paraId="16AA725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~1.0x</w:t>
            </w:r>
          </w:p>
        </w:tc>
      </w:tr>
      <w:tr w:rsidR="007C06ED" w:rsidRPr="00EF0CCF" w14:paraId="4452280F" w14:textId="77777777">
        <w:tc>
          <w:tcPr>
            <w:tcW w:w="2400" w:type="dxa"/>
            <w:shd w:val="clear" w:color="auto" w:fill="FFFFFF"/>
            <w:tcMar>
              <w:top w:w="40" w:type="dxa"/>
              <w:left w:w="80" w:type="dxa"/>
              <w:bottom w:w="40" w:type="dxa"/>
              <w:right w:w="80" w:type="dxa"/>
            </w:tcMar>
            <w:vAlign w:val="center"/>
          </w:tcPr>
          <w:p w14:paraId="1D5A36C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Cash Ratio</w:t>
            </w:r>
          </w:p>
        </w:tc>
        <w:tc>
          <w:tcPr>
            <w:tcW w:w="950" w:type="dxa"/>
            <w:shd w:val="clear" w:color="auto" w:fill="FFFFFF"/>
            <w:tcMar>
              <w:top w:w="40" w:type="dxa"/>
              <w:left w:w="80" w:type="dxa"/>
              <w:bottom w:w="40" w:type="dxa"/>
              <w:right w:w="80" w:type="dxa"/>
            </w:tcMar>
            <w:vAlign w:val="center"/>
          </w:tcPr>
          <w:p w14:paraId="28F562E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0.90x</w:t>
            </w:r>
          </w:p>
        </w:tc>
        <w:tc>
          <w:tcPr>
            <w:tcW w:w="950" w:type="dxa"/>
            <w:shd w:val="clear" w:color="auto" w:fill="FFFFFF"/>
            <w:tcMar>
              <w:top w:w="40" w:type="dxa"/>
              <w:left w:w="80" w:type="dxa"/>
              <w:bottom w:w="40" w:type="dxa"/>
              <w:right w:w="80" w:type="dxa"/>
            </w:tcMar>
            <w:vAlign w:val="center"/>
          </w:tcPr>
          <w:p w14:paraId="68DF877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0.89x</w:t>
            </w:r>
          </w:p>
        </w:tc>
        <w:tc>
          <w:tcPr>
            <w:tcW w:w="950" w:type="dxa"/>
            <w:shd w:val="clear" w:color="auto" w:fill="FFFFFF"/>
            <w:tcMar>
              <w:top w:w="40" w:type="dxa"/>
              <w:left w:w="80" w:type="dxa"/>
              <w:bottom w:w="40" w:type="dxa"/>
              <w:right w:w="80" w:type="dxa"/>
            </w:tcMar>
            <w:vAlign w:val="center"/>
          </w:tcPr>
          <w:p w14:paraId="625BBFE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0.60x</w:t>
            </w:r>
          </w:p>
        </w:tc>
        <w:tc>
          <w:tcPr>
            <w:tcW w:w="950" w:type="dxa"/>
            <w:shd w:val="clear" w:color="auto" w:fill="FFFFFF"/>
            <w:tcMar>
              <w:top w:w="40" w:type="dxa"/>
              <w:left w:w="80" w:type="dxa"/>
              <w:bottom w:w="40" w:type="dxa"/>
              <w:right w:w="80" w:type="dxa"/>
            </w:tcMar>
            <w:vAlign w:val="center"/>
          </w:tcPr>
          <w:p w14:paraId="74DD2607"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0.62x</w:t>
            </w:r>
          </w:p>
        </w:tc>
        <w:tc>
          <w:tcPr>
            <w:tcW w:w="950" w:type="dxa"/>
            <w:shd w:val="clear" w:color="auto" w:fill="FFFFFF"/>
            <w:tcMar>
              <w:top w:w="40" w:type="dxa"/>
              <w:left w:w="80" w:type="dxa"/>
              <w:bottom w:w="40" w:type="dxa"/>
              <w:right w:w="80" w:type="dxa"/>
            </w:tcMar>
            <w:vAlign w:val="center"/>
          </w:tcPr>
          <w:p w14:paraId="6308CE1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0.54x</w:t>
            </w:r>
          </w:p>
        </w:tc>
        <w:tc>
          <w:tcPr>
            <w:tcW w:w="1200" w:type="dxa"/>
            <w:shd w:val="clear" w:color="auto" w:fill="FFFFFF"/>
            <w:tcMar>
              <w:top w:w="40" w:type="dxa"/>
              <w:left w:w="80" w:type="dxa"/>
              <w:bottom w:w="40" w:type="dxa"/>
              <w:right w:w="80" w:type="dxa"/>
            </w:tcMar>
            <w:vAlign w:val="center"/>
          </w:tcPr>
          <w:p w14:paraId="63D6D91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~0.5x</w:t>
            </w:r>
          </w:p>
        </w:tc>
      </w:tr>
      <w:tr w:rsidR="007C06ED" w:rsidRPr="00EF0CCF" w14:paraId="3ABAC77F" w14:textId="77777777">
        <w:tc>
          <w:tcPr>
            <w:tcW w:w="2400" w:type="dxa"/>
            <w:shd w:val="clear" w:color="auto" w:fill="F2F2F2"/>
            <w:tcMar>
              <w:top w:w="40" w:type="dxa"/>
              <w:left w:w="80" w:type="dxa"/>
              <w:bottom w:w="40" w:type="dxa"/>
              <w:right w:w="80" w:type="dxa"/>
            </w:tcMar>
            <w:vAlign w:val="center"/>
          </w:tcPr>
          <w:p w14:paraId="1ED79AD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Asset Turnover</w:t>
            </w:r>
          </w:p>
        </w:tc>
        <w:tc>
          <w:tcPr>
            <w:tcW w:w="950" w:type="dxa"/>
            <w:shd w:val="clear" w:color="auto" w:fill="F2F2F2"/>
            <w:tcMar>
              <w:top w:w="40" w:type="dxa"/>
              <w:left w:w="80" w:type="dxa"/>
              <w:bottom w:w="40" w:type="dxa"/>
              <w:right w:w="80" w:type="dxa"/>
            </w:tcMar>
            <w:vAlign w:val="center"/>
          </w:tcPr>
          <w:p w14:paraId="505C30A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0.48x</w:t>
            </w:r>
          </w:p>
        </w:tc>
        <w:tc>
          <w:tcPr>
            <w:tcW w:w="950" w:type="dxa"/>
            <w:shd w:val="clear" w:color="auto" w:fill="F2F2F2"/>
            <w:tcMar>
              <w:top w:w="40" w:type="dxa"/>
              <w:left w:w="80" w:type="dxa"/>
              <w:bottom w:w="40" w:type="dxa"/>
              <w:right w:w="80" w:type="dxa"/>
            </w:tcMar>
            <w:vAlign w:val="center"/>
          </w:tcPr>
          <w:p w14:paraId="7BC43F6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0.62x</w:t>
            </w:r>
          </w:p>
        </w:tc>
        <w:tc>
          <w:tcPr>
            <w:tcW w:w="950" w:type="dxa"/>
            <w:shd w:val="clear" w:color="auto" w:fill="F2F2F2"/>
            <w:tcMar>
              <w:top w:w="40" w:type="dxa"/>
              <w:left w:w="80" w:type="dxa"/>
              <w:bottom w:w="40" w:type="dxa"/>
              <w:right w:w="80" w:type="dxa"/>
            </w:tcMar>
            <w:vAlign w:val="center"/>
          </w:tcPr>
          <w:p w14:paraId="32C0409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0.92x</w:t>
            </w:r>
          </w:p>
        </w:tc>
        <w:tc>
          <w:tcPr>
            <w:tcW w:w="950" w:type="dxa"/>
            <w:shd w:val="clear" w:color="auto" w:fill="F2F2F2"/>
            <w:tcMar>
              <w:top w:w="40" w:type="dxa"/>
              <w:left w:w="80" w:type="dxa"/>
              <w:bottom w:w="40" w:type="dxa"/>
              <w:right w:w="80" w:type="dxa"/>
            </w:tcMar>
            <w:vAlign w:val="center"/>
          </w:tcPr>
          <w:p w14:paraId="147B688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0.96x</w:t>
            </w:r>
          </w:p>
        </w:tc>
        <w:tc>
          <w:tcPr>
            <w:tcW w:w="950" w:type="dxa"/>
            <w:shd w:val="clear" w:color="auto" w:fill="F2F2F2"/>
            <w:tcMar>
              <w:top w:w="40" w:type="dxa"/>
              <w:left w:w="80" w:type="dxa"/>
              <w:bottom w:w="40" w:type="dxa"/>
              <w:right w:w="80" w:type="dxa"/>
            </w:tcMar>
            <w:vAlign w:val="center"/>
          </w:tcPr>
          <w:p w14:paraId="5D65E44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1.04x</w:t>
            </w:r>
          </w:p>
        </w:tc>
        <w:tc>
          <w:tcPr>
            <w:tcW w:w="1200" w:type="dxa"/>
            <w:shd w:val="clear" w:color="auto" w:fill="F2F2F2"/>
            <w:tcMar>
              <w:top w:w="40" w:type="dxa"/>
              <w:left w:w="80" w:type="dxa"/>
              <w:bottom w:w="40" w:type="dxa"/>
              <w:right w:w="80" w:type="dxa"/>
            </w:tcMar>
            <w:vAlign w:val="center"/>
          </w:tcPr>
          <w:p w14:paraId="28F42EF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~0.8x</w:t>
            </w:r>
          </w:p>
        </w:tc>
      </w:tr>
      <w:tr w:rsidR="007C06ED" w:rsidRPr="00EF0CCF" w14:paraId="3ADA114A" w14:textId="77777777">
        <w:tc>
          <w:tcPr>
            <w:tcW w:w="2400" w:type="dxa"/>
            <w:shd w:val="clear" w:color="auto" w:fill="FFFFFF"/>
            <w:tcMar>
              <w:top w:w="40" w:type="dxa"/>
              <w:left w:w="80" w:type="dxa"/>
              <w:bottom w:w="40" w:type="dxa"/>
              <w:right w:w="80" w:type="dxa"/>
            </w:tcMar>
            <w:vAlign w:val="center"/>
          </w:tcPr>
          <w:p w14:paraId="2A842017"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Receivables Days</w:t>
            </w:r>
          </w:p>
        </w:tc>
        <w:tc>
          <w:tcPr>
            <w:tcW w:w="950" w:type="dxa"/>
            <w:shd w:val="clear" w:color="auto" w:fill="FFFFFF"/>
            <w:tcMar>
              <w:top w:w="40" w:type="dxa"/>
              <w:left w:w="80" w:type="dxa"/>
              <w:bottom w:w="40" w:type="dxa"/>
              <w:right w:w="80" w:type="dxa"/>
            </w:tcMar>
            <w:vAlign w:val="center"/>
          </w:tcPr>
          <w:p w14:paraId="29CFDAB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78.4</w:t>
            </w:r>
          </w:p>
        </w:tc>
        <w:tc>
          <w:tcPr>
            <w:tcW w:w="950" w:type="dxa"/>
            <w:shd w:val="clear" w:color="auto" w:fill="FFFFFF"/>
            <w:tcMar>
              <w:top w:w="40" w:type="dxa"/>
              <w:left w:w="80" w:type="dxa"/>
              <w:bottom w:w="40" w:type="dxa"/>
              <w:right w:w="80" w:type="dxa"/>
            </w:tcMar>
            <w:vAlign w:val="center"/>
          </w:tcPr>
          <w:p w14:paraId="260749F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72.1</w:t>
            </w:r>
          </w:p>
        </w:tc>
        <w:tc>
          <w:tcPr>
            <w:tcW w:w="950" w:type="dxa"/>
            <w:shd w:val="clear" w:color="auto" w:fill="FFFFFF"/>
            <w:tcMar>
              <w:top w:w="40" w:type="dxa"/>
              <w:left w:w="80" w:type="dxa"/>
              <w:bottom w:w="40" w:type="dxa"/>
              <w:right w:w="80" w:type="dxa"/>
            </w:tcMar>
            <w:vAlign w:val="center"/>
          </w:tcPr>
          <w:p w14:paraId="00AD899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60.6</w:t>
            </w:r>
          </w:p>
        </w:tc>
        <w:tc>
          <w:tcPr>
            <w:tcW w:w="950" w:type="dxa"/>
            <w:shd w:val="clear" w:color="auto" w:fill="FFFFFF"/>
            <w:tcMar>
              <w:top w:w="40" w:type="dxa"/>
              <w:left w:w="80" w:type="dxa"/>
              <w:bottom w:w="40" w:type="dxa"/>
              <w:right w:w="80" w:type="dxa"/>
            </w:tcMar>
            <w:vAlign w:val="center"/>
          </w:tcPr>
          <w:p w14:paraId="1C84E95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58.4</w:t>
            </w:r>
          </w:p>
        </w:tc>
        <w:tc>
          <w:tcPr>
            <w:tcW w:w="950" w:type="dxa"/>
            <w:shd w:val="clear" w:color="auto" w:fill="FFFFFF"/>
            <w:tcMar>
              <w:top w:w="40" w:type="dxa"/>
              <w:left w:w="80" w:type="dxa"/>
              <w:bottom w:w="40" w:type="dxa"/>
              <w:right w:w="80" w:type="dxa"/>
            </w:tcMar>
            <w:vAlign w:val="center"/>
          </w:tcPr>
          <w:p w14:paraId="31F83C8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58.2</w:t>
            </w:r>
          </w:p>
        </w:tc>
        <w:tc>
          <w:tcPr>
            <w:tcW w:w="1200" w:type="dxa"/>
            <w:shd w:val="clear" w:color="auto" w:fill="FFFFFF"/>
            <w:tcMar>
              <w:top w:w="40" w:type="dxa"/>
              <w:left w:w="80" w:type="dxa"/>
              <w:bottom w:w="40" w:type="dxa"/>
              <w:right w:w="80" w:type="dxa"/>
            </w:tcMar>
            <w:vAlign w:val="center"/>
          </w:tcPr>
          <w:p w14:paraId="1B377D9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~60 days</w:t>
            </w:r>
          </w:p>
        </w:tc>
      </w:tr>
      <w:tr w:rsidR="007C06ED" w:rsidRPr="00EF0CCF" w14:paraId="266DBF6D" w14:textId="77777777">
        <w:tc>
          <w:tcPr>
            <w:tcW w:w="2400" w:type="dxa"/>
            <w:shd w:val="clear" w:color="auto" w:fill="F2F2F2"/>
            <w:tcMar>
              <w:top w:w="40" w:type="dxa"/>
              <w:left w:w="80" w:type="dxa"/>
              <w:bottom w:w="40" w:type="dxa"/>
              <w:right w:w="80" w:type="dxa"/>
            </w:tcMar>
            <w:vAlign w:val="center"/>
          </w:tcPr>
          <w:p w14:paraId="5AD616A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Net Debt / EBITDA</w:t>
            </w:r>
          </w:p>
        </w:tc>
        <w:tc>
          <w:tcPr>
            <w:tcW w:w="950" w:type="dxa"/>
            <w:shd w:val="clear" w:color="auto" w:fill="F2F2F2"/>
            <w:tcMar>
              <w:top w:w="40" w:type="dxa"/>
              <w:left w:w="80" w:type="dxa"/>
              <w:bottom w:w="40" w:type="dxa"/>
              <w:right w:w="80" w:type="dxa"/>
            </w:tcMar>
            <w:vAlign w:val="center"/>
          </w:tcPr>
          <w:p w14:paraId="622F702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19.3x*</w:t>
            </w:r>
          </w:p>
        </w:tc>
        <w:tc>
          <w:tcPr>
            <w:tcW w:w="950" w:type="dxa"/>
            <w:shd w:val="clear" w:color="auto" w:fill="F2F2F2"/>
            <w:tcMar>
              <w:top w:w="40" w:type="dxa"/>
              <w:left w:w="80" w:type="dxa"/>
              <w:bottom w:w="40" w:type="dxa"/>
              <w:right w:w="80" w:type="dxa"/>
            </w:tcMar>
            <w:vAlign w:val="center"/>
          </w:tcPr>
          <w:p w14:paraId="50EDD16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2.91x</w:t>
            </w:r>
          </w:p>
        </w:tc>
        <w:tc>
          <w:tcPr>
            <w:tcW w:w="950" w:type="dxa"/>
            <w:shd w:val="clear" w:color="auto" w:fill="F2F2F2"/>
            <w:tcMar>
              <w:top w:w="40" w:type="dxa"/>
              <w:left w:w="80" w:type="dxa"/>
              <w:bottom w:w="40" w:type="dxa"/>
              <w:right w:w="80" w:type="dxa"/>
            </w:tcMar>
            <w:vAlign w:val="center"/>
          </w:tcPr>
          <w:p w14:paraId="4E86F1F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2.42x</w:t>
            </w:r>
          </w:p>
        </w:tc>
        <w:tc>
          <w:tcPr>
            <w:tcW w:w="950" w:type="dxa"/>
            <w:shd w:val="clear" w:color="auto" w:fill="F2F2F2"/>
            <w:tcMar>
              <w:top w:w="40" w:type="dxa"/>
              <w:left w:w="80" w:type="dxa"/>
              <w:bottom w:w="40" w:type="dxa"/>
              <w:right w:w="80" w:type="dxa"/>
            </w:tcMar>
            <w:vAlign w:val="center"/>
          </w:tcPr>
          <w:p w14:paraId="29FEA977"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1.70x</w:t>
            </w:r>
          </w:p>
        </w:tc>
        <w:tc>
          <w:tcPr>
            <w:tcW w:w="950" w:type="dxa"/>
            <w:shd w:val="clear" w:color="auto" w:fill="F2F2F2"/>
            <w:tcMar>
              <w:top w:w="40" w:type="dxa"/>
              <w:left w:w="80" w:type="dxa"/>
              <w:bottom w:w="40" w:type="dxa"/>
              <w:right w:w="80" w:type="dxa"/>
            </w:tcMar>
            <w:vAlign w:val="center"/>
          </w:tcPr>
          <w:p w14:paraId="29B80E4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1.91x</w:t>
            </w:r>
          </w:p>
        </w:tc>
        <w:tc>
          <w:tcPr>
            <w:tcW w:w="1200" w:type="dxa"/>
            <w:shd w:val="clear" w:color="auto" w:fill="F2F2F2"/>
            <w:tcMar>
              <w:top w:w="40" w:type="dxa"/>
              <w:left w:w="80" w:type="dxa"/>
              <w:bottom w:w="40" w:type="dxa"/>
              <w:right w:w="80" w:type="dxa"/>
            </w:tcMar>
            <w:vAlign w:val="center"/>
          </w:tcPr>
          <w:p w14:paraId="1509722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2.5–3.0x</w:t>
            </w:r>
          </w:p>
        </w:tc>
      </w:tr>
      <w:tr w:rsidR="007C06ED" w:rsidRPr="00EF0CCF" w14:paraId="39128DFD" w14:textId="77777777">
        <w:tc>
          <w:tcPr>
            <w:tcW w:w="2400" w:type="dxa"/>
            <w:shd w:val="clear" w:color="auto" w:fill="FFFFFF"/>
            <w:tcMar>
              <w:top w:w="40" w:type="dxa"/>
              <w:left w:w="80" w:type="dxa"/>
              <w:bottom w:w="40" w:type="dxa"/>
              <w:right w:w="80" w:type="dxa"/>
            </w:tcMar>
            <w:vAlign w:val="center"/>
          </w:tcPr>
          <w:p w14:paraId="5B55905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Interest Cover</w:t>
            </w:r>
          </w:p>
        </w:tc>
        <w:tc>
          <w:tcPr>
            <w:tcW w:w="950" w:type="dxa"/>
            <w:shd w:val="clear" w:color="auto" w:fill="FFFFFF"/>
            <w:tcMar>
              <w:top w:w="40" w:type="dxa"/>
              <w:left w:w="80" w:type="dxa"/>
              <w:bottom w:w="40" w:type="dxa"/>
              <w:right w:w="80" w:type="dxa"/>
            </w:tcMar>
            <w:vAlign w:val="center"/>
          </w:tcPr>
          <w:p w14:paraId="7C8F27F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(1.13x)</w:t>
            </w:r>
          </w:p>
        </w:tc>
        <w:tc>
          <w:tcPr>
            <w:tcW w:w="950" w:type="dxa"/>
            <w:shd w:val="clear" w:color="auto" w:fill="FFFFFF"/>
            <w:tcMar>
              <w:top w:w="40" w:type="dxa"/>
              <w:left w:w="80" w:type="dxa"/>
              <w:bottom w:w="40" w:type="dxa"/>
              <w:right w:w="80" w:type="dxa"/>
            </w:tcMar>
            <w:vAlign w:val="center"/>
          </w:tcPr>
          <w:p w14:paraId="1AFDA1E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3.55x</w:t>
            </w:r>
          </w:p>
        </w:tc>
        <w:tc>
          <w:tcPr>
            <w:tcW w:w="950" w:type="dxa"/>
            <w:shd w:val="clear" w:color="auto" w:fill="FFFFFF"/>
            <w:tcMar>
              <w:top w:w="40" w:type="dxa"/>
              <w:left w:w="80" w:type="dxa"/>
              <w:bottom w:w="40" w:type="dxa"/>
              <w:right w:w="80" w:type="dxa"/>
            </w:tcMar>
            <w:vAlign w:val="center"/>
          </w:tcPr>
          <w:p w14:paraId="0F37D23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5.92x</w:t>
            </w:r>
          </w:p>
        </w:tc>
        <w:tc>
          <w:tcPr>
            <w:tcW w:w="950" w:type="dxa"/>
            <w:shd w:val="clear" w:color="auto" w:fill="FFFFFF"/>
            <w:tcMar>
              <w:top w:w="40" w:type="dxa"/>
              <w:left w:w="80" w:type="dxa"/>
              <w:bottom w:w="40" w:type="dxa"/>
              <w:right w:w="80" w:type="dxa"/>
            </w:tcMar>
            <w:vAlign w:val="center"/>
          </w:tcPr>
          <w:p w14:paraId="6B873DA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20.50x</w:t>
            </w:r>
          </w:p>
        </w:tc>
        <w:tc>
          <w:tcPr>
            <w:tcW w:w="950" w:type="dxa"/>
            <w:shd w:val="clear" w:color="auto" w:fill="FFFFFF"/>
            <w:tcMar>
              <w:top w:w="40" w:type="dxa"/>
              <w:left w:w="80" w:type="dxa"/>
              <w:bottom w:w="40" w:type="dxa"/>
              <w:right w:w="80" w:type="dxa"/>
            </w:tcMar>
            <w:vAlign w:val="center"/>
          </w:tcPr>
          <w:p w14:paraId="3E55DF3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7.44x</w:t>
            </w:r>
          </w:p>
        </w:tc>
        <w:tc>
          <w:tcPr>
            <w:tcW w:w="1200" w:type="dxa"/>
            <w:shd w:val="clear" w:color="auto" w:fill="FFFFFF"/>
            <w:tcMar>
              <w:top w:w="40" w:type="dxa"/>
              <w:left w:w="80" w:type="dxa"/>
              <w:bottom w:w="40" w:type="dxa"/>
              <w:right w:w="80" w:type="dxa"/>
            </w:tcMar>
            <w:vAlign w:val="center"/>
          </w:tcPr>
          <w:p w14:paraId="7F60A12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~3.0x</w:t>
            </w:r>
          </w:p>
        </w:tc>
      </w:tr>
      <w:tr w:rsidR="007C06ED" w:rsidRPr="00EF0CCF" w14:paraId="2AC152FF" w14:textId="77777777">
        <w:tc>
          <w:tcPr>
            <w:tcW w:w="2400" w:type="dxa"/>
            <w:shd w:val="clear" w:color="auto" w:fill="F2F2F2"/>
            <w:tcMar>
              <w:top w:w="40" w:type="dxa"/>
              <w:left w:w="80" w:type="dxa"/>
              <w:bottom w:w="40" w:type="dxa"/>
              <w:right w:w="80" w:type="dxa"/>
            </w:tcMar>
            <w:vAlign w:val="center"/>
          </w:tcPr>
          <w:p w14:paraId="17DDE77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Free Cash Flow ($m)</w:t>
            </w:r>
          </w:p>
        </w:tc>
        <w:tc>
          <w:tcPr>
            <w:tcW w:w="950" w:type="dxa"/>
            <w:shd w:val="clear" w:color="auto" w:fill="F2F2F2"/>
            <w:tcMar>
              <w:top w:w="40" w:type="dxa"/>
              <w:left w:w="80" w:type="dxa"/>
              <w:bottom w:w="40" w:type="dxa"/>
              <w:right w:w="80" w:type="dxa"/>
            </w:tcMar>
            <w:vAlign w:val="center"/>
          </w:tcPr>
          <w:p w14:paraId="3705C827"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29</w:t>
            </w:r>
          </w:p>
        </w:tc>
        <w:tc>
          <w:tcPr>
            <w:tcW w:w="950" w:type="dxa"/>
            <w:shd w:val="clear" w:color="auto" w:fill="F2F2F2"/>
            <w:tcMar>
              <w:top w:w="40" w:type="dxa"/>
              <w:left w:w="80" w:type="dxa"/>
              <w:bottom w:w="40" w:type="dxa"/>
              <w:right w:w="80" w:type="dxa"/>
            </w:tcMar>
            <w:vAlign w:val="center"/>
          </w:tcPr>
          <w:p w14:paraId="73DC46A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571</w:t>
            </w:r>
          </w:p>
        </w:tc>
        <w:tc>
          <w:tcPr>
            <w:tcW w:w="950" w:type="dxa"/>
            <w:shd w:val="clear" w:color="auto" w:fill="F2F2F2"/>
            <w:tcMar>
              <w:top w:w="40" w:type="dxa"/>
              <w:left w:w="80" w:type="dxa"/>
              <w:bottom w:w="40" w:type="dxa"/>
              <w:right w:w="80" w:type="dxa"/>
            </w:tcMar>
            <w:vAlign w:val="center"/>
          </w:tcPr>
          <w:p w14:paraId="649031C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142</w:t>
            </w:r>
          </w:p>
        </w:tc>
        <w:tc>
          <w:tcPr>
            <w:tcW w:w="950" w:type="dxa"/>
            <w:shd w:val="clear" w:color="auto" w:fill="F2F2F2"/>
            <w:tcMar>
              <w:top w:w="40" w:type="dxa"/>
              <w:left w:w="80" w:type="dxa"/>
              <w:bottom w:w="40" w:type="dxa"/>
              <w:right w:w="80" w:type="dxa"/>
            </w:tcMar>
            <w:vAlign w:val="center"/>
          </w:tcPr>
          <w:p w14:paraId="0AD1FAA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837</w:t>
            </w:r>
          </w:p>
        </w:tc>
        <w:tc>
          <w:tcPr>
            <w:tcW w:w="950" w:type="dxa"/>
            <w:shd w:val="clear" w:color="auto" w:fill="F2F2F2"/>
            <w:tcMar>
              <w:top w:w="40" w:type="dxa"/>
              <w:left w:w="80" w:type="dxa"/>
              <w:bottom w:w="40" w:type="dxa"/>
              <w:right w:w="80" w:type="dxa"/>
            </w:tcMar>
            <w:vAlign w:val="center"/>
          </w:tcPr>
          <w:p w14:paraId="3489B95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655</w:t>
            </w:r>
          </w:p>
        </w:tc>
        <w:tc>
          <w:tcPr>
            <w:tcW w:w="1200" w:type="dxa"/>
            <w:shd w:val="clear" w:color="auto" w:fill="F2F2F2"/>
            <w:tcMar>
              <w:top w:w="40" w:type="dxa"/>
              <w:left w:w="80" w:type="dxa"/>
              <w:bottom w:w="40" w:type="dxa"/>
              <w:right w:w="80" w:type="dxa"/>
            </w:tcMar>
            <w:vAlign w:val="center"/>
          </w:tcPr>
          <w:p w14:paraId="22978B2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n/a</w:t>
            </w:r>
          </w:p>
        </w:tc>
      </w:tr>
    </w:tbl>
    <w:p w14:paraId="5599CA97" w14:textId="77777777" w:rsidR="007C06ED" w:rsidRPr="00EF0CCF" w:rsidRDefault="00000000" w:rsidP="00EF0CCF">
      <w:pPr>
        <w:spacing w:before="120" w:after="240" w:line="360" w:lineRule="auto"/>
        <w:jc w:val="both"/>
        <w:rPr>
          <w:rFonts w:ascii="Times New Roman" w:hAnsi="Times New Roman" w:cs="Times New Roman"/>
          <w:i/>
          <w:iCs/>
          <w:sz w:val="20"/>
          <w:szCs w:val="20"/>
        </w:rPr>
      </w:pPr>
      <w:r w:rsidRPr="00EF0CCF">
        <w:rPr>
          <w:rFonts w:ascii="Times New Roman" w:hAnsi="Times New Roman" w:cs="Times New Roman"/>
          <w:i/>
          <w:iCs/>
          <w:sz w:val="20"/>
          <w:szCs w:val="20"/>
        </w:rPr>
        <w:t>Table 1. IHG plc Ratio Analysis Summary, 2020–2024. *2020 Net Debt/EBITDA is distorted by the pandemic-depressed EBITDA base. Source: IHG Annual Reports and Form 20-F filings (2020–2024); IBISWorld Hospitality Industry Report (2024) for sector benchmarks; author's calculations.</w:t>
      </w:r>
    </w:p>
    <w:p w14:paraId="30F382AC" w14:textId="34B7DB1A" w:rsidR="00DC3512" w:rsidRPr="00EF0CCF" w:rsidRDefault="00DC3512" w:rsidP="00EF0CCF">
      <w:pPr>
        <w:spacing w:line="360" w:lineRule="auto"/>
        <w:jc w:val="both"/>
        <w:rPr>
          <w:rFonts w:ascii="Times New Roman" w:hAnsi="Times New Roman" w:cs="Times New Roman"/>
        </w:rPr>
      </w:pPr>
      <w:r w:rsidRPr="00EF0CCF">
        <w:rPr>
          <w:rFonts w:ascii="Times New Roman" w:hAnsi="Times New Roman" w:cs="Times New Roman"/>
          <w:b/>
          <w:bCs/>
        </w:rPr>
        <w:lastRenderedPageBreak/>
        <w:t>Profitability-</w:t>
      </w:r>
      <w:r w:rsidRPr="00EF0CCF">
        <w:rPr>
          <w:rFonts w:ascii="Times New Roman" w:hAnsi="Times New Roman" w:cs="Times New Roman"/>
        </w:rPr>
        <w:t xml:space="preserve"> All the profitability ratios improved appreciably during the period. The gross profit margin increased from 20.3% to 29.6% and the EBITDA margin from 3.3% to 24.2%, both of which are well in front of the respective sector averages. The return on assets rose, from minus 6.1% to 13.2% with loads of solid returns given the low level of IHG's 'asset-heavy' balance sheet - it has a total of just $4.7bn of assets to support $4.9bn of annual revenues - which is the reason for the deliberate capital </w:t>
      </w:r>
      <w:proofErr w:type="spellStart"/>
      <w:r w:rsidRPr="00EF0CCF">
        <w:rPr>
          <w:rFonts w:ascii="Times New Roman" w:hAnsi="Times New Roman" w:cs="Times New Roman"/>
        </w:rPr>
        <w:t>morphetting</w:t>
      </w:r>
      <w:proofErr w:type="spellEnd"/>
      <w:r w:rsidRPr="00EF0CCF">
        <w:rPr>
          <w:rFonts w:ascii="Times New Roman" w:hAnsi="Times New Roman" w:cs="Times New Roman"/>
        </w:rPr>
        <w:t xml:space="preserve">. Since IHG has reported negative shareholders' equity for the whole period (refer to the discussion under gearing, below), </w:t>
      </w:r>
      <w:proofErr w:type="spellStart"/>
      <w:r w:rsidRPr="00EF0CCF">
        <w:rPr>
          <w:rFonts w:ascii="Times New Roman" w:hAnsi="Times New Roman" w:cs="Times New Roman"/>
        </w:rPr>
        <w:t>RoE</w:t>
      </w:r>
      <w:proofErr w:type="spellEnd"/>
      <w:r w:rsidRPr="00EF0CCF">
        <w:rPr>
          <w:rFonts w:ascii="Times New Roman" w:hAnsi="Times New Roman" w:cs="Times New Roman"/>
        </w:rPr>
        <w:t xml:space="preserve"> is not meaningful.</w:t>
      </w:r>
    </w:p>
    <w:p w14:paraId="08E8C5A6" w14:textId="5B63BD06" w:rsidR="00DC3512" w:rsidRPr="00EF0CCF" w:rsidRDefault="00DC3512" w:rsidP="00EF0CCF">
      <w:pPr>
        <w:spacing w:line="360" w:lineRule="auto"/>
        <w:jc w:val="both"/>
        <w:rPr>
          <w:rFonts w:ascii="Times New Roman" w:hAnsi="Times New Roman" w:cs="Times New Roman"/>
        </w:rPr>
      </w:pPr>
      <w:r w:rsidRPr="00EF0CCF">
        <w:rPr>
          <w:rFonts w:ascii="Times New Roman" w:hAnsi="Times New Roman" w:cs="Times New Roman"/>
          <w:b/>
          <w:bCs/>
        </w:rPr>
        <w:t>Liquidity-</w:t>
      </w:r>
      <w:r w:rsidRPr="00EF0CCF">
        <w:rPr>
          <w:rFonts w:ascii="Times New Roman" w:hAnsi="Times New Roman" w:cs="Times New Roman"/>
        </w:rPr>
        <w:t xml:space="preserve">The current ratio worsened from 1.20x (2020) to 0.99x (2024) and the quick ratio is virtually unchanged as IHG being a service business have little to no inventory. This makes IHG's 2024 liquidity match approximately the same level of the industry's benchmark, which currently sits at ~1.0x the figure, but that could well be a matter for Board discussion as the underlying trend has been downward from a post-pandemic high of 1.27x from 2021. With regards to the financial nature, this is not a cyclical phenomenon, as large hotel franchisors are more likely to finance daily operations with contract payments to suppliers and loyalty programme revenue due in the future, and not have large cash cushions, and empirical research has shown that working capital management is a strategically important lever of firm performance in the hospitality and tourism sector (Chambers and </w:t>
      </w:r>
      <w:proofErr w:type="spellStart"/>
      <w:r w:rsidRPr="00EF0CCF">
        <w:rPr>
          <w:rFonts w:ascii="Times New Roman" w:hAnsi="Times New Roman" w:cs="Times New Roman"/>
        </w:rPr>
        <w:t>Cifter</w:t>
      </w:r>
      <w:proofErr w:type="spellEnd"/>
      <w:r w:rsidRPr="00EF0CCF">
        <w:rPr>
          <w:rFonts w:ascii="Times New Roman" w:hAnsi="Times New Roman" w:cs="Times New Roman"/>
        </w:rPr>
        <w:t>, 2022). While IHG's balance-sheet liquidity looks comparatively limited (0.54x and 0.39x represent its respective cash and operating cash ratios), and it is certainly below the thresholds of ~0.5x/0.4x, LQ’s operating cash generation remains solid and improving over time, particularly given the cash raised of $724m over FY2024 alone.</w:t>
      </w:r>
    </w:p>
    <w:p w14:paraId="64F31784" w14:textId="77777777" w:rsidR="00DC3512" w:rsidRPr="00EF0CCF" w:rsidRDefault="00DC3512" w:rsidP="00EF0CCF">
      <w:pPr>
        <w:spacing w:line="360" w:lineRule="auto"/>
        <w:jc w:val="both"/>
        <w:rPr>
          <w:rFonts w:ascii="Times New Roman" w:hAnsi="Times New Roman" w:cs="Times New Roman"/>
        </w:rPr>
      </w:pPr>
      <w:r w:rsidRPr="00EF0CCF">
        <w:rPr>
          <w:rFonts w:ascii="Times New Roman" w:hAnsi="Times New Roman" w:cs="Times New Roman"/>
          <w:b/>
          <w:bCs/>
        </w:rPr>
        <w:t>Efficiency.</w:t>
      </w:r>
      <w:r w:rsidRPr="00EF0CCF">
        <w:rPr>
          <w:rFonts w:ascii="Times New Roman" w:hAnsi="Times New Roman" w:cs="Times New Roman"/>
        </w:rPr>
        <w:t xml:space="preserve"> The asset-light approach clearly helped with evidence of greater capital efficiency: Asset turnover more than doubled, from 0.48x to 1.04x. Receivable Days (R.D.) was down -20 days on the current trend from 78.4 days to 58.2 days (in line with the ~60 days sector norm) whilst also Payable Days (P.D.) also featured a down trend from 89.1 days to 68.4 days, reducing favourable working-capital "float" previously generated by IHG from its supplier base, which has been the subject of inspection in Section 3.</w:t>
      </w:r>
    </w:p>
    <w:p w14:paraId="5CDA1538" w14:textId="77777777" w:rsidR="00DC3512" w:rsidRPr="00EF0CCF" w:rsidRDefault="00DC3512" w:rsidP="00EF0CCF">
      <w:pPr>
        <w:spacing w:line="360" w:lineRule="auto"/>
        <w:jc w:val="both"/>
        <w:rPr>
          <w:rFonts w:ascii="Times New Roman" w:hAnsi="Times New Roman" w:cs="Times New Roman"/>
        </w:rPr>
      </w:pPr>
      <w:r w:rsidRPr="00EF0CCF">
        <w:rPr>
          <w:rFonts w:ascii="Times New Roman" w:hAnsi="Times New Roman" w:cs="Times New Roman"/>
          <w:b/>
          <w:bCs/>
        </w:rPr>
        <w:t>Gearing.</w:t>
      </w:r>
      <w:r w:rsidRPr="00EF0CCF">
        <w:rPr>
          <w:rFonts w:ascii="Times New Roman" w:hAnsi="Times New Roman" w:cs="Times New Roman"/>
        </w:rPr>
        <w:t xml:space="preserve"> Net Debt/EBITDA ticked up from the pandemic-impacted 19.3x rating in 2020 to 1.91x in 2024, far within the internal target of 2.5–3.0x thought to signal an optimal balance of debt and likely to attract </w:t>
      </w:r>
      <w:proofErr w:type="spellStart"/>
      <w:r w:rsidRPr="00EF0CCF">
        <w:rPr>
          <w:rFonts w:ascii="Times New Roman" w:hAnsi="Times New Roman" w:cs="Times New Roman"/>
        </w:rPr>
        <w:t>favorable</w:t>
      </w:r>
      <w:proofErr w:type="spellEnd"/>
      <w:r w:rsidRPr="00EF0CCF">
        <w:rPr>
          <w:rFonts w:ascii="Times New Roman" w:hAnsi="Times New Roman" w:cs="Times New Roman"/>
        </w:rPr>
        <w:t xml:space="preserve"> investor ratings to the business (IHG plc, 2022; IHG plc, 2025a). The current moderate leverage position fits with findings in the academic literature, as excessive leverage has been found to have an inverted U shaped relationship with firm performance in the U.S. hospitality industry, with debt up until a certain point beneficial to the </w:t>
      </w:r>
      <w:r w:rsidRPr="00EF0CCF">
        <w:rPr>
          <w:rFonts w:ascii="Times New Roman" w:hAnsi="Times New Roman" w:cs="Times New Roman"/>
        </w:rPr>
        <w:lastRenderedPageBreak/>
        <w:t>firm's performance, but beyond this point, detrimental (García-Gómez et al., 2021). The negative-equity balance sheet has resulted in interest cover of 7.44x, which is decent in the short-term, but is not below structural concerns at 66.5% for Debt/Total Assets in 2024.</w:t>
      </w:r>
    </w:p>
    <w:p w14:paraId="13C22719" w14:textId="356CDF42" w:rsidR="00DC3512" w:rsidRPr="00EF0CCF" w:rsidRDefault="00DC3512" w:rsidP="00EF0CCF">
      <w:pPr>
        <w:spacing w:line="360" w:lineRule="auto"/>
        <w:jc w:val="both"/>
        <w:rPr>
          <w:rFonts w:ascii="Times New Roman" w:hAnsi="Times New Roman" w:cs="Times New Roman"/>
        </w:rPr>
      </w:pPr>
      <w:r w:rsidRPr="00EF0CCF">
        <w:rPr>
          <w:rFonts w:ascii="Times New Roman" w:hAnsi="Times New Roman" w:cs="Times New Roman"/>
        </w:rPr>
        <w:t>Investment and Cash flow. Free cash flow went from $29m in 2020 to $655m in 2024, and the combined amount of free cash flow over the 5 years ending at 2024 ($2,234m) more than covered the combined share buyback ($2,075m) and dividend payout ($754m) over that same period (IHG plc, 2025a, 2025b). There was also little capital expenditure relative to revenue of 2.0–2.8%, well below the ~3.0% average, another sign of the capital-light business model.</w:t>
      </w:r>
    </w:p>
    <w:p w14:paraId="558F5D6A" w14:textId="77777777" w:rsidR="007C06ED" w:rsidRPr="00EF0CCF" w:rsidRDefault="00000000" w:rsidP="00EF0CCF">
      <w:pPr>
        <w:pStyle w:val="Heading2"/>
        <w:spacing w:line="360" w:lineRule="auto"/>
        <w:jc w:val="both"/>
        <w:rPr>
          <w:rFonts w:ascii="Times New Roman" w:hAnsi="Times New Roman" w:cs="Times New Roman"/>
          <w:color w:val="auto"/>
        </w:rPr>
      </w:pPr>
      <w:bookmarkStart w:id="6" w:name="_Toc234456099"/>
      <w:r w:rsidRPr="00EF0CCF">
        <w:rPr>
          <w:rFonts w:ascii="Times New Roman" w:hAnsi="Times New Roman" w:cs="Times New Roman"/>
          <w:color w:val="auto"/>
        </w:rPr>
        <w:t>2.3 Trends, Strengths and Threats</w:t>
      </w:r>
      <w:bookmarkEnd w:id="6"/>
    </w:p>
    <w:p w14:paraId="3C18ABE8" w14:textId="4B347C7B" w:rsidR="00DC3512" w:rsidRPr="00EF0CCF" w:rsidRDefault="00DC3512" w:rsidP="00EF0CCF">
      <w:pPr>
        <w:spacing w:line="360" w:lineRule="auto"/>
        <w:jc w:val="both"/>
        <w:rPr>
          <w:rFonts w:ascii="Times New Roman" w:hAnsi="Times New Roman" w:cs="Times New Roman"/>
        </w:rPr>
      </w:pPr>
      <w:r w:rsidRPr="00EF0CCF">
        <w:rPr>
          <w:rFonts w:ascii="Times New Roman" w:hAnsi="Times New Roman" w:cs="Times New Roman"/>
        </w:rPr>
        <w:t>One most obvious benefit of the ratio analysis highlighted by the data is IHG's asset-light asset management model, which is structurally profitable and cash-generating; the asset-light aspect shines through in margins, asset turnover and free cash flow – all of which have lifted well above pre-pandemic (2019) levels. Balance sheet fragility is the thing that is quite apparent as the biggest risk. IHG has been reporting in each year of the analysis period 000s of dollars of negative shareholders' equity, as a result of the company's deliberate under investment in its net worth, despite the ten years of debt funded share buybacks. Negative equity is not uncommon amongst large asset-light franchisors; Marriott and Hilton have similar balance sheet structures, but this means that, should the Group be subjected to a further demand shock, it has very little internal absorption capacity, and it restricts the Group's ability to leverage-up its shareholder returns, whilst not breaching its own leverage multiple ceiling of 2.5–3.0x.</w:t>
      </w:r>
    </w:p>
    <w:p w14:paraId="219FCE03" w14:textId="77777777" w:rsidR="007C06ED" w:rsidRPr="00EF0CCF" w:rsidRDefault="00000000" w:rsidP="00EF0CCF">
      <w:pPr>
        <w:pStyle w:val="Heading2"/>
        <w:spacing w:line="360" w:lineRule="auto"/>
        <w:jc w:val="both"/>
        <w:rPr>
          <w:rFonts w:ascii="Times New Roman" w:hAnsi="Times New Roman" w:cs="Times New Roman"/>
          <w:color w:val="auto"/>
        </w:rPr>
      </w:pPr>
      <w:bookmarkStart w:id="7" w:name="_Toc234456100"/>
      <w:r w:rsidRPr="00EF0CCF">
        <w:rPr>
          <w:rFonts w:ascii="Times New Roman" w:hAnsi="Times New Roman" w:cs="Times New Roman"/>
          <w:color w:val="auto"/>
        </w:rPr>
        <w:t>2.4 Liquidity Benchmarking Against Industry Standards</w:t>
      </w:r>
      <w:bookmarkEnd w:id="7"/>
    </w:p>
    <w:p w14:paraId="7B0CDF71" w14:textId="5B04CE85" w:rsidR="007C06ED" w:rsidRPr="00EF0CCF" w:rsidRDefault="00DC3512" w:rsidP="00EF0CCF">
      <w:pPr>
        <w:spacing w:line="360" w:lineRule="auto"/>
        <w:jc w:val="both"/>
        <w:rPr>
          <w:rFonts w:ascii="Times New Roman" w:hAnsi="Times New Roman" w:cs="Times New Roman"/>
        </w:rPr>
      </w:pPr>
      <w:r w:rsidRPr="00EF0CCF">
        <w:rPr>
          <w:rFonts w:ascii="Times New Roman" w:hAnsi="Times New Roman" w:cs="Times New Roman"/>
        </w:rPr>
        <w:t xml:space="preserve">IHG's 2024 current ratio of 0.99x is nearly equal to the current ratio data of the hospitality sector industry reported by IBISWorld, which is ~1.0x. In contrast, IHG's cash ratio of 0.68x exceeds the hotel sector industry's data of 0.63x, while its operating cash flow ratio of 1.87x exceeds the industry data of 1.46x. However, the overall declining pattern seen over several years indeed points to an AMBER flag. Industry-wide survey evidence backs this worry, with an overwhelming 88% of the 89 senior hospitality executives surveyed by Deloitte identifying cash flow management as their number one concern for the coming year – with rising costs, labour force challenges and interest rates all being cited as the top three risks cited by the sector (Deloitte UK, 2024). This further supports the suggested approach outlined in Section 3 – IHG to adopt a proactive approach to manage its cash operating cycle, rather than being reactive by </w:t>
      </w:r>
      <w:r w:rsidRPr="00EF0CCF">
        <w:rPr>
          <w:rFonts w:ascii="Times New Roman" w:hAnsi="Times New Roman" w:cs="Times New Roman"/>
        </w:rPr>
        <w:lastRenderedPageBreak/>
        <w:t xml:space="preserve">relying on operating cash flow IHG's current ratio of 0.98 is below the </w:t>
      </w:r>
      <w:proofErr w:type="spellStart"/>
      <w:r w:rsidRPr="00EF0CCF">
        <w:rPr>
          <w:rFonts w:ascii="Times New Roman" w:hAnsi="Times New Roman" w:cs="Times New Roman"/>
        </w:rPr>
        <w:t>benchmark.This</w:t>
      </w:r>
      <w:proofErr w:type="spellEnd"/>
      <w:r w:rsidRPr="00EF0CCF">
        <w:rPr>
          <w:rFonts w:ascii="Times New Roman" w:hAnsi="Times New Roman" w:cs="Times New Roman"/>
        </w:rPr>
        <w:t xml:space="preserve"> confirms the above approach as recommended in Section 3 – Proactive approach by IHG to manage cash operating cycle rather than simply relying on operating cash flow, as IHG's current ratio of 0.98 is below the benchmark.</w:t>
      </w:r>
      <w:r w:rsidRPr="00EF0CCF">
        <w:rPr>
          <w:rFonts w:ascii="Times New Roman" w:hAnsi="Times New Roman" w:cs="Times New Roman"/>
        </w:rPr>
        <w:br w:type="page"/>
      </w:r>
    </w:p>
    <w:p w14:paraId="37E4E79D" w14:textId="77777777" w:rsidR="007C06ED" w:rsidRPr="00EF0CCF" w:rsidRDefault="00000000" w:rsidP="00EF0CCF">
      <w:pPr>
        <w:pStyle w:val="Heading1"/>
        <w:spacing w:line="360" w:lineRule="auto"/>
        <w:jc w:val="both"/>
        <w:rPr>
          <w:rFonts w:ascii="Times New Roman" w:hAnsi="Times New Roman" w:cs="Times New Roman"/>
          <w:color w:val="auto"/>
        </w:rPr>
      </w:pPr>
      <w:bookmarkStart w:id="8" w:name="_Toc234456101"/>
      <w:r w:rsidRPr="00EF0CCF">
        <w:rPr>
          <w:rFonts w:ascii="Times New Roman" w:hAnsi="Times New Roman" w:cs="Times New Roman"/>
          <w:color w:val="auto"/>
        </w:rPr>
        <w:lastRenderedPageBreak/>
        <w:t>3. Working Capital Management Analysis</w:t>
      </w:r>
      <w:bookmarkEnd w:id="8"/>
    </w:p>
    <w:p w14:paraId="63964BB9" w14:textId="77777777" w:rsidR="007C06ED" w:rsidRPr="00EF0CCF" w:rsidRDefault="00000000" w:rsidP="00EF0CCF">
      <w:pPr>
        <w:pStyle w:val="Heading2"/>
        <w:spacing w:line="360" w:lineRule="auto"/>
        <w:jc w:val="both"/>
        <w:rPr>
          <w:rFonts w:ascii="Times New Roman" w:hAnsi="Times New Roman" w:cs="Times New Roman"/>
          <w:color w:val="auto"/>
        </w:rPr>
      </w:pPr>
      <w:bookmarkStart w:id="9" w:name="_Toc234456102"/>
      <w:r w:rsidRPr="00EF0CCF">
        <w:rPr>
          <w:rFonts w:ascii="Times New Roman" w:hAnsi="Times New Roman" w:cs="Times New Roman"/>
          <w:color w:val="auto"/>
        </w:rPr>
        <w:t>3.1 The Cash Operating Cycle</w:t>
      </w:r>
      <w:bookmarkEnd w:id="9"/>
    </w:p>
    <w:p w14:paraId="17E3E24F" w14:textId="0B08CFAF" w:rsidR="007C06ED" w:rsidRPr="00EF0CCF" w:rsidRDefault="00DC3512" w:rsidP="00EF0CCF">
      <w:pPr>
        <w:spacing w:after="200" w:line="360" w:lineRule="auto"/>
        <w:jc w:val="both"/>
        <w:rPr>
          <w:rFonts w:ascii="Times New Roman" w:hAnsi="Times New Roman" w:cs="Times New Roman"/>
        </w:rPr>
      </w:pPr>
      <w:r w:rsidRPr="00EF0CCF">
        <w:rPr>
          <w:rFonts w:ascii="Times New Roman" w:hAnsi="Times New Roman" w:cs="Times New Roman"/>
        </w:rPr>
        <w:t xml:space="preserve">IHG's negative cash operating cycle (COC) over the last few years has worsened from -9.8 days in FY2020 to -31.4 days in FY2021, although it has improved slightly to -9.2 days in FY2024 (Table 2). A negative COC is a result of IHG's collecting cash advances from the franchisees and hotel owners beforehand; once they receive the money, it is their obligation to pay IHG its supplier bills. An essential component of the asset-light, fee-based hotel business model, working capital management is a strategic management tool that can materially impact profitability and value of the firm, and the hospitality and tourism industry is found to exhibit a non-linear relationship between working capital and performance when compared with other industries (Chambers and </w:t>
      </w:r>
      <w:proofErr w:type="spellStart"/>
      <w:r w:rsidRPr="00EF0CCF">
        <w:rPr>
          <w:rFonts w:ascii="Times New Roman" w:hAnsi="Times New Roman" w:cs="Times New Roman"/>
        </w:rPr>
        <w:t>Cifter</w:t>
      </w:r>
      <w:proofErr w:type="spellEnd"/>
      <w:r w:rsidRPr="00EF0CCF">
        <w:rPr>
          <w:rFonts w:ascii="Times New Roman" w:hAnsi="Times New Roman" w:cs="Times New Roman"/>
        </w:rPr>
        <w:t>, 2022).</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950"/>
        <w:gridCol w:w="1280"/>
        <w:gridCol w:w="1280"/>
        <w:gridCol w:w="1280"/>
        <w:gridCol w:w="1280"/>
        <w:gridCol w:w="1280"/>
      </w:tblGrid>
      <w:tr w:rsidR="007C06ED" w:rsidRPr="00EF0CCF" w14:paraId="2FBBB0DB" w14:textId="77777777">
        <w:trPr>
          <w:tblHeader/>
        </w:trPr>
        <w:tc>
          <w:tcPr>
            <w:tcW w:w="2950" w:type="dxa"/>
            <w:shd w:val="clear" w:color="auto" w:fill="1F3864"/>
            <w:tcMar>
              <w:top w:w="60" w:type="dxa"/>
              <w:left w:w="80" w:type="dxa"/>
              <w:bottom w:w="60" w:type="dxa"/>
              <w:right w:w="80" w:type="dxa"/>
            </w:tcMar>
            <w:vAlign w:val="center"/>
          </w:tcPr>
          <w:p w14:paraId="1C6DABF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Metric</w:t>
            </w:r>
          </w:p>
        </w:tc>
        <w:tc>
          <w:tcPr>
            <w:tcW w:w="1280" w:type="dxa"/>
            <w:shd w:val="clear" w:color="auto" w:fill="1F3864"/>
            <w:tcMar>
              <w:top w:w="60" w:type="dxa"/>
              <w:left w:w="80" w:type="dxa"/>
              <w:bottom w:w="60" w:type="dxa"/>
              <w:right w:w="80" w:type="dxa"/>
            </w:tcMar>
            <w:vAlign w:val="center"/>
          </w:tcPr>
          <w:p w14:paraId="366B169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2020</w:t>
            </w:r>
          </w:p>
        </w:tc>
        <w:tc>
          <w:tcPr>
            <w:tcW w:w="1280" w:type="dxa"/>
            <w:shd w:val="clear" w:color="auto" w:fill="1F3864"/>
            <w:tcMar>
              <w:top w:w="60" w:type="dxa"/>
              <w:left w:w="80" w:type="dxa"/>
              <w:bottom w:w="60" w:type="dxa"/>
              <w:right w:w="80" w:type="dxa"/>
            </w:tcMar>
            <w:vAlign w:val="center"/>
          </w:tcPr>
          <w:p w14:paraId="454DB1D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2021</w:t>
            </w:r>
          </w:p>
        </w:tc>
        <w:tc>
          <w:tcPr>
            <w:tcW w:w="1280" w:type="dxa"/>
            <w:shd w:val="clear" w:color="auto" w:fill="1F3864"/>
            <w:tcMar>
              <w:top w:w="60" w:type="dxa"/>
              <w:left w:w="80" w:type="dxa"/>
              <w:bottom w:w="60" w:type="dxa"/>
              <w:right w:w="80" w:type="dxa"/>
            </w:tcMar>
            <w:vAlign w:val="center"/>
          </w:tcPr>
          <w:p w14:paraId="50AC2D9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2022</w:t>
            </w:r>
          </w:p>
        </w:tc>
        <w:tc>
          <w:tcPr>
            <w:tcW w:w="1280" w:type="dxa"/>
            <w:shd w:val="clear" w:color="auto" w:fill="1F3864"/>
            <w:tcMar>
              <w:top w:w="60" w:type="dxa"/>
              <w:left w:w="80" w:type="dxa"/>
              <w:bottom w:w="60" w:type="dxa"/>
              <w:right w:w="80" w:type="dxa"/>
            </w:tcMar>
            <w:vAlign w:val="center"/>
          </w:tcPr>
          <w:p w14:paraId="785CF0C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2023</w:t>
            </w:r>
          </w:p>
        </w:tc>
        <w:tc>
          <w:tcPr>
            <w:tcW w:w="1280" w:type="dxa"/>
            <w:shd w:val="clear" w:color="auto" w:fill="1F3864"/>
            <w:tcMar>
              <w:top w:w="60" w:type="dxa"/>
              <w:left w:w="80" w:type="dxa"/>
              <w:bottom w:w="60" w:type="dxa"/>
              <w:right w:w="80" w:type="dxa"/>
            </w:tcMar>
            <w:vAlign w:val="center"/>
          </w:tcPr>
          <w:p w14:paraId="208F2CF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2024</w:t>
            </w:r>
          </w:p>
        </w:tc>
      </w:tr>
      <w:tr w:rsidR="007C06ED" w:rsidRPr="00EF0CCF" w14:paraId="0A5D96CA" w14:textId="77777777">
        <w:tc>
          <w:tcPr>
            <w:tcW w:w="2950" w:type="dxa"/>
            <w:shd w:val="clear" w:color="auto" w:fill="F2F2F2"/>
            <w:tcMar>
              <w:top w:w="40" w:type="dxa"/>
              <w:left w:w="80" w:type="dxa"/>
              <w:bottom w:w="40" w:type="dxa"/>
              <w:right w:w="80" w:type="dxa"/>
            </w:tcMar>
            <w:vAlign w:val="center"/>
          </w:tcPr>
          <w:p w14:paraId="4E7C87D7"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Debtor Days</w:t>
            </w:r>
          </w:p>
        </w:tc>
        <w:tc>
          <w:tcPr>
            <w:tcW w:w="1280" w:type="dxa"/>
            <w:shd w:val="clear" w:color="auto" w:fill="F2F2F2"/>
            <w:tcMar>
              <w:top w:w="40" w:type="dxa"/>
              <w:left w:w="80" w:type="dxa"/>
              <w:bottom w:w="40" w:type="dxa"/>
              <w:right w:w="80" w:type="dxa"/>
            </w:tcMar>
            <w:vAlign w:val="center"/>
          </w:tcPr>
          <w:p w14:paraId="1A742B7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78.4</w:t>
            </w:r>
          </w:p>
        </w:tc>
        <w:tc>
          <w:tcPr>
            <w:tcW w:w="1280" w:type="dxa"/>
            <w:shd w:val="clear" w:color="auto" w:fill="F2F2F2"/>
            <w:tcMar>
              <w:top w:w="40" w:type="dxa"/>
              <w:left w:w="80" w:type="dxa"/>
              <w:bottom w:w="40" w:type="dxa"/>
              <w:right w:w="80" w:type="dxa"/>
            </w:tcMar>
            <w:vAlign w:val="center"/>
          </w:tcPr>
          <w:p w14:paraId="75B4E87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72.1</w:t>
            </w:r>
          </w:p>
        </w:tc>
        <w:tc>
          <w:tcPr>
            <w:tcW w:w="1280" w:type="dxa"/>
            <w:shd w:val="clear" w:color="auto" w:fill="F2F2F2"/>
            <w:tcMar>
              <w:top w:w="40" w:type="dxa"/>
              <w:left w:w="80" w:type="dxa"/>
              <w:bottom w:w="40" w:type="dxa"/>
              <w:right w:w="80" w:type="dxa"/>
            </w:tcMar>
            <w:vAlign w:val="center"/>
          </w:tcPr>
          <w:p w14:paraId="38482FA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60.6</w:t>
            </w:r>
          </w:p>
        </w:tc>
        <w:tc>
          <w:tcPr>
            <w:tcW w:w="1280" w:type="dxa"/>
            <w:shd w:val="clear" w:color="auto" w:fill="F2F2F2"/>
            <w:tcMar>
              <w:top w:w="40" w:type="dxa"/>
              <w:left w:w="80" w:type="dxa"/>
              <w:bottom w:w="40" w:type="dxa"/>
              <w:right w:w="80" w:type="dxa"/>
            </w:tcMar>
            <w:vAlign w:val="center"/>
          </w:tcPr>
          <w:p w14:paraId="4459A3B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58.4</w:t>
            </w:r>
          </w:p>
        </w:tc>
        <w:tc>
          <w:tcPr>
            <w:tcW w:w="1280" w:type="dxa"/>
            <w:shd w:val="clear" w:color="auto" w:fill="F2F2F2"/>
            <w:tcMar>
              <w:top w:w="40" w:type="dxa"/>
              <w:left w:w="80" w:type="dxa"/>
              <w:bottom w:w="40" w:type="dxa"/>
              <w:right w:w="80" w:type="dxa"/>
            </w:tcMar>
            <w:vAlign w:val="center"/>
          </w:tcPr>
          <w:p w14:paraId="3DEB63B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58.2</w:t>
            </w:r>
          </w:p>
        </w:tc>
      </w:tr>
      <w:tr w:rsidR="007C06ED" w:rsidRPr="00EF0CCF" w14:paraId="6237A9B9" w14:textId="77777777">
        <w:tc>
          <w:tcPr>
            <w:tcW w:w="2950" w:type="dxa"/>
            <w:shd w:val="clear" w:color="auto" w:fill="FFFFFF"/>
            <w:tcMar>
              <w:top w:w="40" w:type="dxa"/>
              <w:left w:w="80" w:type="dxa"/>
              <w:bottom w:w="40" w:type="dxa"/>
              <w:right w:w="80" w:type="dxa"/>
            </w:tcMar>
            <w:vAlign w:val="center"/>
          </w:tcPr>
          <w:p w14:paraId="436E6A0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Creditor Days</w:t>
            </w:r>
          </w:p>
        </w:tc>
        <w:tc>
          <w:tcPr>
            <w:tcW w:w="1280" w:type="dxa"/>
            <w:shd w:val="clear" w:color="auto" w:fill="FFFFFF"/>
            <w:tcMar>
              <w:top w:w="40" w:type="dxa"/>
              <w:left w:w="80" w:type="dxa"/>
              <w:bottom w:w="40" w:type="dxa"/>
              <w:right w:w="80" w:type="dxa"/>
            </w:tcMar>
            <w:vAlign w:val="center"/>
          </w:tcPr>
          <w:p w14:paraId="7DE71DB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89.1</w:t>
            </w:r>
          </w:p>
        </w:tc>
        <w:tc>
          <w:tcPr>
            <w:tcW w:w="1280" w:type="dxa"/>
            <w:shd w:val="clear" w:color="auto" w:fill="FFFFFF"/>
            <w:tcMar>
              <w:top w:w="40" w:type="dxa"/>
              <w:left w:w="80" w:type="dxa"/>
              <w:bottom w:w="40" w:type="dxa"/>
              <w:right w:w="80" w:type="dxa"/>
            </w:tcMar>
            <w:vAlign w:val="center"/>
          </w:tcPr>
          <w:p w14:paraId="266B904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104.5</w:t>
            </w:r>
          </w:p>
        </w:tc>
        <w:tc>
          <w:tcPr>
            <w:tcW w:w="1280" w:type="dxa"/>
            <w:shd w:val="clear" w:color="auto" w:fill="FFFFFF"/>
            <w:tcMar>
              <w:top w:w="40" w:type="dxa"/>
              <w:left w:w="80" w:type="dxa"/>
              <w:bottom w:w="40" w:type="dxa"/>
              <w:right w:w="80" w:type="dxa"/>
            </w:tcMar>
            <w:vAlign w:val="center"/>
          </w:tcPr>
          <w:p w14:paraId="078BDB6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75.1</w:t>
            </w:r>
          </w:p>
        </w:tc>
        <w:tc>
          <w:tcPr>
            <w:tcW w:w="1280" w:type="dxa"/>
            <w:shd w:val="clear" w:color="auto" w:fill="FFFFFF"/>
            <w:tcMar>
              <w:top w:w="40" w:type="dxa"/>
              <w:left w:w="80" w:type="dxa"/>
              <w:bottom w:w="40" w:type="dxa"/>
              <w:right w:w="80" w:type="dxa"/>
            </w:tcMar>
            <w:vAlign w:val="center"/>
          </w:tcPr>
          <w:p w14:paraId="1B6BBFF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80.9</w:t>
            </w:r>
          </w:p>
        </w:tc>
        <w:tc>
          <w:tcPr>
            <w:tcW w:w="1280" w:type="dxa"/>
            <w:shd w:val="clear" w:color="auto" w:fill="FFFFFF"/>
            <w:tcMar>
              <w:top w:w="40" w:type="dxa"/>
              <w:left w:w="80" w:type="dxa"/>
              <w:bottom w:w="40" w:type="dxa"/>
              <w:right w:w="80" w:type="dxa"/>
            </w:tcMar>
            <w:vAlign w:val="center"/>
          </w:tcPr>
          <w:p w14:paraId="0FAFB17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68.4</w:t>
            </w:r>
          </w:p>
        </w:tc>
      </w:tr>
      <w:tr w:rsidR="007C06ED" w:rsidRPr="00EF0CCF" w14:paraId="5E060E8A" w14:textId="77777777">
        <w:tc>
          <w:tcPr>
            <w:tcW w:w="2950" w:type="dxa"/>
            <w:shd w:val="clear" w:color="auto" w:fill="F2F2F2"/>
            <w:tcMar>
              <w:top w:w="40" w:type="dxa"/>
              <w:left w:w="80" w:type="dxa"/>
              <w:bottom w:w="40" w:type="dxa"/>
              <w:right w:w="80" w:type="dxa"/>
            </w:tcMar>
            <w:vAlign w:val="center"/>
          </w:tcPr>
          <w:p w14:paraId="0C76FE5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Cash Operating Cycle (days)</w:t>
            </w:r>
          </w:p>
        </w:tc>
        <w:tc>
          <w:tcPr>
            <w:tcW w:w="1280" w:type="dxa"/>
            <w:shd w:val="clear" w:color="auto" w:fill="F2F2F2"/>
            <w:tcMar>
              <w:top w:w="40" w:type="dxa"/>
              <w:left w:w="80" w:type="dxa"/>
              <w:bottom w:w="40" w:type="dxa"/>
              <w:right w:w="80" w:type="dxa"/>
            </w:tcMar>
            <w:vAlign w:val="center"/>
          </w:tcPr>
          <w:p w14:paraId="4C082B2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(9.8)</w:t>
            </w:r>
          </w:p>
        </w:tc>
        <w:tc>
          <w:tcPr>
            <w:tcW w:w="1280" w:type="dxa"/>
            <w:shd w:val="clear" w:color="auto" w:fill="F2F2F2"/>
            <w:tcMar>
              <w:top w:w="40" w:type="dxa"/>
              <w:left w:w="80" w:type="dxa"/>
              <w:bottom w:w="40" w:type="dxa"/>
              <w:right w:w="80" w:type="dxa"/>
            </w:tcMar>
            <w:vAlign w:val="center"/>
          </w:tcPr>
          <w:p w14:paraId="706CE91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(31.4)</w:t>
            </w:r>
          </w:p>
        </w:tc>
        <w:tc>
          <w:tcPr>
            <w:tcW w:w="1280" w:type="dxa"/>
            <w:shd w:val="clear" w:color="auto" w:fill="F2F2F2"/>
            <w:tcMar>
              <w:top w:w="40" w:type="dxa"/>
              <w:left w:w="80" w:type="dxa"/>
              <w:bottom w:w="40" w:type="dxa"/>
              <w:right w:w="80" w:type="dxa"/>
            </w:tcMar>
            <w:vAlign w:val="center"/>
          </w:tcPr>
          <w:p w14:paraId="1D37C4D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(13.5)</w:t>
            </w:r>
          </w:p>
        </w:tc>
        <w:tc>
          <w:tcPr>
            <w:tcW w:w="1280" w:type="dxa"/>
            <w:shd w:val="clear" w:color="auto" w:fill="F2F2F2"/>
            <w:tcMar>
              <w:top w:w="40" w:type="dxa"/>
              <w:left w:w="80" w:type="dxa"/>
              <w:bottom w:w="40" w:type="dxa"/>
              <w:right w:w="80" w:type="dxa"/>
            </w:tcMar>
            <w:vAlign w:val="center"/>
          </w:tcPr>
          <w:p w14:paraId="7F884F7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(21.5)</w:t>
            </w:r>
          </w:p>
        </w:tc>
        <w:tc>
          <w:tcPr>
            <w:tcW w:w="1280" w:type="dxa"/>
            <w:shd w:val="clear" w:color="auto" w:fill="F2F2F2"/>
            <w:tcMar>
              <w:top w:w="40" w:type="dxa"/>
              <w:left w:w="80" w:type="dxa"/>
              <w:bottom w:w="40" w:type="dxa"/>
              <w:right w:w="80" w:type="dxa"/>
            </w:tcMar>
            <w:vAlign w:val="center"/>
          </w:tcPr>
          <w:p w14:paraId="2B5E5C4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(9.2)</w:t>
            </w:r>
          </w:p>
        </w:tc>
      </w:tr>
      <w:tr w:rsidR="007C06ED" w:rsidRPr="00EF0CCF" w14:paraId="1E8F3A9E" w14:textId="77777777">
        <w:tc>
          <w:tcPr>
            <w:tcW w:w="2950" w:type="dxa"/>
            <w:shd w:val="clear" w:color="auto" w:fill="FFFFFF"/>
            <w:tcMar>
              <w:top w:w="40" w:type="dxa"/>
              <w:left w:w="80" w:type="dxa"/>
              <w:bottom w:w="40" w:type="dxa"/>
              <w:right w:w="80" w:type="dxa"/>
            </w:tcMar>
            <w:vAlign w:val="center"/>
          </w:tcPr>
          <w:p w14:paraId="2968B7A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Net Working Capital ($m)</w:t>
            </w:r>
          </w:p>
        </w:tc>
        <w:tc>
          <w:tcPr>
            <w:tcW w:w="1280" w:type="dxa"/>
            <w:shd w:val="clear" w:color="auto" w:fill="FFFFFF"/>
            <w:tcMar>
              <w:top w:w="40" w:type="dxa"/>
              <w:left w:w="80" w:type="dxa"/>
              <w:bottom w:w="40" w:type="dxa"/>
              <w:right w:w="80" w:type="dxa"/>
            </w:tcMar>
            <w:vAlign w:val="center"/>
          </w:tcPr>
          <w:p w14:paraId="315B1EC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376</w:t>
            </w:r>
          </w:p>
        </w:tc>
        <w:tc>
          <w:tcPr>
            <w:tcW w:w="1280" w:type="dxa"/>
            <w:shd w:val="clear" w:color="auto" w:fill="FFFFFF"/>
            <w:tcMar>
              <w:top w:w="40" w:type="dxa"/>
              <w:left w:w="80" w:type="dxa"/>
              <w:bottom w:w="40" w:type="dxa"/>
              <w:right w:w="80" w:type="dxa"/>
            </w:tcMar>
            <w:vAlign w:val="center"/>
          </w:tcPr>
          <w:p w14:paraId="0FB84AE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442</w:t>
            </w:r>
          </w:p>
        </w:tc>
        <w:tc>
          <w:tcPr>
            <w:tcW w:w="1280" w:type="dxa"/>
            <w:shd w:val="clear" w:color="auto" w:fill="FFFFFF"/>
            <w:tcMar>
              <w:top w:w="40" w:type="dxa"/>
              <w:left w:w="80" w:type="dxa"/>
              <w:bottom w:w="40" w:type="dxa"/>
              <w:right w:w="80" w:type="dxa"/>
            </w:tcMar>
            <w:vAlign w:val="center"/>
          </w:tcPr>
          <w:p w14:paraId="2C1D4F0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54</w:t>
            </w:r>
          </w:p>
        </w:tc>
        <w:tc>
          <w:tcPr>
            <w:tcW w:w="1280" w:type="dxa"/>
            <w:shd w:val="clear" w:color="auto" w:fill="FFFFFF"/>
            <w:tcMar>
              <w:top w:w="40" w:type="dxa"/>
              <w:left w:w="80" w:type="dxa"/>
              <w:bottom w:w="40" w:type="dxa"/>
              <w:right w:w="80" w:type="dxa"/>
            </w:tcMar>
            <w:vAlign w:val="center"/>
          </w:tcPr>
          <w:p w14:paraId="7B6D058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(20)</w:t>
            </w:r>
          </w:p>
        </w:tc>
        <w:tc>
          <w:tcPr>
            <w:tcW w:w="1280" w:type="dxa"/>
            <w:shd w:val="clear" w:color="auto" w:fill="FFFFFF"/>
            <w:tcMar>
              <w:top w:w="40" w:type="dxa"/>
              <w:left w:w="80" w:type="dxa"/>
              <w:bottom w:w="40" w:type="dxa"/>
              <w:right w:w="80" w:type="dxa"/>
            </w:tcMar>
            <w:vAlign w:val="center"/>
          </w:tcPr>
          <w:p w14:paraId="207AB57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(7)</w:t>
            </w:r>
          </w:p>
        </w:tc>
      </w:tr>
    </w:tbl>
    <w:p w14:paraId="77C88A53" w14:textId="14F32B29" w:rsidR="007C06ED" w:rsidRPr="00EF0CCF" w:rsidRDefault="00000000" w:rsidP="00EF0CCF">
      <w:pPr>
        <w:spacing w:before="120" w:after="240" w:line="360" w:lineRule="auto"/>
        <w:jc w:val="center"/>
        <w:rPr>
          <w:rFonts w:ascii="Times New Roman" w:hAnsi="Times New Roman" w:cs="Times New Roman"/>
          <w:b/>
          <w:bCs/>
          <w:i/>
          <w:iCs/>
          <w:sz w:val="20"/>
          <w:szCs w:val="20"/>
        </w:rPr>
      </w:pPr>
      <w:r w:rsidRPr="00EF0CCF">
        <w:rPr>
          <w:rFonts w:ascii="Times New Roman" w:hAnsi="Times New Roman" w:cs="Times New Roman"/>
          <w:b/>
          <w:bCs/>
          <w:i/>
          <w:iCs/>
          <w:sz w:val="20"/>
          <w:szCs w:val="20"/>
        </w:rPr>
        <w:t>Table 2. IHG plc Cash Operating Cycle and Working Capital Components, 2020–2024. Source: IHG Annual Reports (2020–2024)</w:t>
      </w:r>
    </w:p>
    <w:p w14:paraId="48CEBD1B" w14:textId="7C01A231" w:rsidR="00DC3512" w:rsidRPr="00EF0CCF" w:rsidRDefault="00DC3512" w:rsidP="00EF0CCF">
      <w:pPr>
        <w:spacing w:before="120" w:after="240" w:line="360" w:lineRule="auto"/>
        <w:jc w:val="both"/>
        <w:rPr>
          <w:rFonts w:ascii="Times New Roman" w:hAnsi="Times New Roman" w:cs="Times New Roman"/>
        </w:rPr>
      </w:pPr>
      <w:r w:rsidRPr="00EF0CCF">
        <w:rPr>
          <w:rFonts w:ascii="Times New Roman" w:hAnsi="Times New Roman" w:cs="Times New Roman"/>
        </w:rPr>
        <w:t>However, the trend seems to be one of closing the negative cycle with -31.4 days in 2021 declining to -9.2 days in 2024. This narrowing is largely due to IHG's creditor days declining at a faster rate (104.5 to 68.4) than debtor days (72.1 to 58.2), which makes it faster to collect cash from the IHG customer/franchisee whilst paying suppliers quicker, a condition which diminishes, and not increases, the working capital funding benefit. The deterioration of the current ratio noted in Section 2 is confirmed by the negative fluctuations in the level of Net Working Capital, which was negative in both the current and the previous year ($20m and $7m, respectively).</w:t>
      </w:r>
    </w:p>
    <w:p w14:paraId="483D969A" w14:textId="77777777" w:rsidR="007C06ED" w:rsidRPr="00EF0CCF" w:rsidRDefault="00000000" w:rsidP="00EF0CCF">
      <w:pPr>
        <w:pStyle w:val="Heading2"/>
        <w:spacing w:line="360" w:lineRule="auto"/>
        <w:jc w:val="both"/>
        <w:rPr>
          <w:rFonts w:ascii="Times New Roman" w:hAnsi="Times New Roman" w:cs="Times New Roman"/>
          <w:color w:val="auto"/>
        </w:rPr>
      </w:pPr>
      <w:bookmarkStart w:id="10" w:name="_Toc234456103"/>
      <w:r w:rsidRPr="00EF0CCF">
        <w:rPr>
          <w:rFonts w:ascii="Times New Roman" w:hAnsi="Times New Roman" w:cs="Times New Roman"/>
          <w:color w:val="auto"/>
        </w:rPr>
        <w:t>3.2 Strategies to Improve Liquidity Through Working Capital Reform</w:t>
      </w:r>
      <w:bookmarkEnd w:id="10"/>
    </w:p>
    <w:p w14:paraId="3A1C5719" w14:textId="3A41E0BF" w:rsidR="00DC3512" w:rsidRPr="00EF0CCF" w:rsidRDefault="00DC3512" w:rsidP="00EF0CCF">
      <w:pPr>
        <w:spacing w:line="360" w:lineRule="auto"/>
        <w:jc w:val="both"/>
        <w:rPr>
          <w:rFonts w:ascii="Times New Roman" w:hAnsi="Times New Roman" w:cs="Times New Roman"/>
        </w:rPr>
      </w:pPr>
      <w:r w:rsidRPr="00EF0CCF">
        <w:rPr>
          <w:rFonts w:ascii="Times New Roman" w:hAnsi="Times New Roman" w:cs="Times New Roman"/>
        </w:rPr>
        <w:t xml:space="preserve">There are three capital reforms suggested to bring about a working-capital reform. First, IHG should negotiate payment terms with suppliers to return to its creditor days in 2020-2021, a range that the hotel group has in the past broadened its payments cycle by deliberately </w:t>
      </w:r>
      <w:r w:rsidRPr="00EF0CCF">
        <w:rPr>
          <w:rFonts w:ascii="Times New Roman" w:hAnsi="Times New Roman" w:cs="Times New Roman"/>
        </w:rPr>
        <w:lastRenderedPageBreak/>
        <w:t xml:space="preserve">contracting deals with suppliers that extended payment terms. Centralised procurement and Group-wide standardisation of payment terms are proven levers for managing multi-country supply chains for the hotel industry. Second improve the receivables management system and squeeze out a bit more of the money </w:t>
      </w:r>
      <w:proofErr w:type="spellStart"/>
      <w:r w:rsidRPr="00EF0CCF">
        <w:rPr>
          <w:rFonts w:ascii="Times New Roman" w:hAnsi="Times New Roman" w:cs="Times New Roman"/>
        </w:rPr>
        <w:t>receiveness</w:t>
      </w:r>
      <w:proofErr w:type="spellEnd"/>
      <w:r w:rsidRPr="00EF0CCF">
        <w:rPr>
          <w:rFonts w:ascii="Times New Roman" w:hAnsi="Times New Roman" w:cs="Times New Roman"/>
        </w:rPr>
        <w:t xml:space="preserve">, which has been tightened (from 78 to 58 days), but with a specific goal set to catch up to and equal to the strongest international hotel peers. Third, IHG should maintain a slightly higher working cash buffer (this reduced from 0.90x to 0.54x over the period of the P&amp;L), as 88% of operators in the sector now see cash-flow management as the primary operational focus - driven by cost and rate concerns (Deloitte UK, 2024). Each of these measures can be undertaken without funding requirements; they are all what the cash conversion cycle theory represents – operating and treasury discipline that is focused on timing of working capital rather than quantity (Chambers and </w:t>
      </w:r>
      <w:proofErr w:type="spellStart"/>
      <w:r w:rsidRPr="00EF0CCF">
        <w:rPr>
          <w:rFonts w:ascii="Times New Roman" w:hAnsi="Times New Roman" w:cs="Times New Roman"/>
        </w:rPr>
        <w:t>Cifter</w:t>
      </w:r>
      <w:proofErr w:type="spellEnd"/>
      <w:r w:rsidRPr="00EF0CCF">
        <w:rPr>
          <w:rFonts w:ascii="Times New Roman" w:hAnsi="Times New Roman" w:cs="Times New Roman"/>
        </w:rPr>
        <w:t>, 2022).</w:t>
      </w:r>
    </w:p>
    <w:p w14:paraId="661FF3F5" w14:textId="77777777" w:rsidR="007C06ED" w:rsidRPr="00EF0CCF" w:rsidRDefault="00000000" w:rsidP="00EF0CCF">
      <w:pPr>
        <w:pStyle w:val="Heading2"/>
        <w:spacing w:line="360" w:lineRule="auto"/>
        <w:jc w:val="both"/>
        <w:rPr>
          <w:rFonts w:ascii="Times New Roman" w:hAnsi="Times New Roman" w:cs="Times New Roman"/>
          <w:color w:val="auto"/>
        </w:rPr>
      </w:pPr>
      <w:bookmarkStart w:id="11" w:name="_Toc234456104"/>
      <w:r w:rsidRPr="00EF0CCF">
        <w:rPr>
          <w:rFonts w:ascii="Times New Roman" w:hAnsi="Times New Roman" w:cs="Times New Roman"/>
          <w:color w:val="auto"/>
        </w:rPr>
        <w:t>3.3 Short-Term Versus Long-Term Financing</w:t>
      </w:r>
      <w:bookmarkEnd w:id="11"/>
    </w:p>
    <w:p w14:paraId="6D1EE7B4" w14:textId="7165A536" w:rsidR="007C06ED" w:rsidRPr="00EF0CCF" w:rsidRDefault="00DC3512" w:rsidP="00EF0CCF">
      <w:pPr>
        <w:spacing w:line="360" w:lineRule="auto"/>
        <w:jc w:val="both"/>
        <w:rPr>
          <w:rFonts w:ascii="Times New Roman" w:hAnsi="Times New Roman" w:cs="Times New Roman"/>
        </w:rPr>
      </w:pPr>
      <w:r w:rsidRPr="00EF0CCF">
        <w:rPr>
          <w:rFonts w:ascii="Times New Roman" w:hAnsi="Times New Roman" w:cs="Times New Roman"/>
        </w:rPr>
        <w:t xml:space="preserve">IHG currently has a mix of its short-term borrowings and long-dated bond financing, with a total of $3,482m issued as bonds, of which $398m came from short-term borrowings, with maturities stretching from 2025 to 2031, at a blended, weighted-average cost of 4.1% (IHG plc, 2025b). This maturity laddered structure is suitable: with short term borrowings financing the seasonal fluctuations in cash generation with relatively cheaper interest rate, and long term bonds financing the multi-year stable cash generation profile of the franchise and management-fee earning business. In the current tighten in the current ratio, the CFO suggests rebalancing at a marginal level towards committed revolving credit facilities (undrawn short term liquidity headroom) instead of further increasing drawn </w:t>
      </w:r>
      <w:proofErr w:type="gramStart"/>
      <w:r w:rsidRPr="00EF0CCF">
        <w:rPr>
          <w:rFonts w:ascii="Times New Roman" w:hAnsi="Times New Roman" w:cs="Times New Roman"/>
        </w:rPr>
        <w:t>short term</w:t>
      </w:r>
      <w:proofErr w:type="gramEnd"/>
      <w:r w:rsidRPr="00EF0CCF">
        <w:rPr>
          <w:rFonts w:ascii="Times New Roman" w:hAnsi="Times New Roman" w:cs="Times New Roman"/>
        </w:rPr>
        <w:t xml:space="preserve"> borrowings, to ensure the balance-sheet remains flexible, without impacting on reported leverage. The net debt/EBITDA ratio will be kept within the target corridor (2.5–3.0x) and the blended cost of borrowing should continue to be maintained throughout the refinance of the </w:t>
      </w:r>
      <w:proofErr w:type="gramStart"/>
      <w:r w:rsidRPr="00EF0CCF">
        <w:rPr>
          <w:rFonts w:ascii="Times New Roman" w:hAnsi="Times New Roman" w:cs="Times New Roman"/>
        </w:rPr>
        <w:t>long term</w:t>
      </w:r>
      <w:proofErr w:type="gramEnd"/>
      <w:r w:rsidRPr="00EF0CCF">
        <w:rPr>
          <w:rFonts w:ascii="Times New Roman" w:hAnsi="Times New Roman" w:cs="Times New Roman"/>
        </w:rPr>
        <w:t xml:space="preserve"> debt portfolio, which reaches maturity in August 2025 at £300m.</w:t>
      </w:r>
      <w:r w:rsidRPr="00EF0CCF">
        <w:rPr>
          <w:rFonts w:ascii="Times New Roman" w:hAnsi="Times New Roman" w:cs="Times New Roman"/>
        </w:rPr>
        <w:br w:type="page"/>
      </w:r>
    </w:p>
    <w:p w14:paraId="55ABD382" w14:textId="77777777" w:rsidR="007C06ED" w:rsidRPr="00EF0CCF" w:rsidRDefault="00000000" w:rsidP="00EF0CCF">
      <w:pPr>
        <w:pStyle w:val="Heading1"/>
        <w:spacing w:line="360" w:lineRule="auto"/>
        <w:jc w:val="both"/>
        <w:rPr>
          <w:rFonts w:ascii="Times New Roman" w:hAnsi="Times New Roman" w:cs="Times New Roman"/>
          <w:color w:val="auto"/>
        </w:rPr>
      </w:pPr>
      <w:bookmarkStart w:id="12" w:name="_Toc234456105"/>
      <w:r w:rsidRPr="00EF0CCF">
        <w:rPr>
          <w:rFonts w:ascii="Times New Roman" w:hAnsi="Times New Roman" w:cs="Times New Roman"/>
          <w:color w:val="auto"/>
        </w:rPr>
        <w:lastRenderedPageBreak/>
        <w:t>4. Strategic Financial Restructuring Plan</w:t>
      </w:r>
      <w:bookmarkEnd w:id="12"/>
    </w:p>
    <w:p w14:paraId="3BDE0A74" w14:textId="77777777" w:rsidR="007C06ED" w:rsidRPr="00EF0CCF" w:rsidRDefault="00000000" w:rsidP="00EF0CCF">
      <w:pPr>
        <w:pStyle w:val="Heading2"/>
        <w:spacing w:line="360" w:lineRule="auto"/>
        <w:jc w:val="both"/>
        <w:rPr>
          <w:rFonts w:ascii="Times New Roman" w:hAnsi="Times New Roman" w:cs="Times New Roman"/>
          <w:color w:val="auto"/>
        </w:rPr>
      </w:pPr>
      <w:bookmarkStart w:id="13" w:name="_Toc234456106"/>
      <w:r w:rsidRPr="00EF0CCF">
        <w:rPr>
          <w:rFonts w:ascii="Times New Roman" w:hAnsi="Times New Roman" w:cs="Times New Roman"/>
          <w:color w:val="auto"/>
        </w:rPr>
        <w:t>4.1 Recommended Restructuring Options</w:t>
      </w:r>
      <w:bookmarkEnd w:id="13"/>
    </w:p>
    <w:p w14:paraId="442ECFA9" w14:textId="77777777" w:rsidR="00DC3512" w:rsidRPr="00EF0CCF" w:rsidRDefault="00DC3512" w:rsidP="00EF0CCF">
      <w:pPr>
        <w:spacing w:line="360" w:lineRule="auto"/>
        <w:jc w:val="both"/>
        <w:rPr>
          <w:rFonts w:ascii="Times New Roman" w:hAnsi="Times New Roman" w:cs="Times New Roman"/>
        </w:rPr>
      </w:pPr>
      <w:r w:rsidRPr="00EF0CCF">
        <w:rPr>
          <w:rFonts w:ascii="Times New Roman" w:hAnsi="Times New Roman" w:cs="Times New Roman"/>
        </w:rPr>
        <w:t>Even though the structural negative equity of IHG is favourable, their current ratio and leverage is on the lower end of the target range, and debt-funded restructuring (a leveraged recapitalisation) is not recommended. Rather, three complimentary, less risky re-structuring moves are suggested.</w:t>
      </w:r>
    </w:p>
    <w:p w14:paraId="52E14E8D" w14:textId="77777777" w:rsidR="00DC3512" w:rsidRPr="00EF0CCF" w:rsidRDefault="00DC3512" w:rsidP="00EF0CCF">
      <w:pPr>
        <w:pStyle w:val="ListParagraph"/>
        <w:numPr>
          <w:ilvl w:val="0"/>
          <w:numId w:val="2"/>
        </w:numPr>
        <w:spacing w:line="360" w:lineRule="auto"/>
        <w:jc w:val="both"/>
        <w:rPr>
          <w:rFonts w:ascii="Times New Roman" w:hAnsi="Times New Roman" w:cs="Times New Roman"/>
        </w:rPr>
      </w:pPr>
      <w:r w:rsidRPr="00EF0CCF">
        <w:rPr>
          <w:rFonts w:ascii="Times New Roman" w:hAnsi="Times New Roman" w:cs="Times New Roman"/>
        </w:rPr>
        <w:t>To grow fee income and speed up the rate of acquisition without the need for additional debt, in alignment with IHG's established approach of acquiring, or partnering with complementary lifestyle and all-inclusive brands, such as the recent acquisition of the Ruby urban lifestyle brand (around $116m), and the earlier strategic partnership with the all-inclusive resort business group, Iberostar's (IHG plc, 2025b; Alvarez &amp; Marsal, 2023).</w:t>
      </w:r>
    </w:p>
    <w:p w14:paraId="288F4DFE" w14:textId="77777777" w:rsidR="00DC3512" w:rsidRPr="00EF0CCF" w:rsidRDefault="00DC3512" w:rsidP="00EF0CCF">
      <w:pPr>
        <w:pStyle w:val="ListParagraph"/>
        <w:numPr>
          <w:ilvl w:val="0"/>
          <w:numId w:val="2"/>
        </w:numPr>
        <w:spacing w:line="360" w:lineRule="auto"/>
        <w:jc w:val="both"/>
        <w:rPr>
          <w:rFonts w:ascii="Times New Roman" w:hAnsi="Times New Roman" w:cs="Times New Roman"/>
        </w:rPr>
      </w:pPr>
      <w:r w:rsidRPr="00EF0CCF">
        <w:rPr>
          <w:rFonts w:ascii="Times New Roman" w:hAnsi="Times New Roman" w:cs="Times New Roman"/>
        </w:rPr>
        <w:t>Moderation of the buy-back programme in those years in which free cash flow growth is diminished as a result of reallocating a portion of excess funds back to replenishing the cash ratio and net working capital as a risk area identified in Sections 2 and 3, instead of further reducing the (already negative) equity base.</w:t>
      </w:r>
    </w:p>
    <w:p w14:paraId="384C86F4" w14:textId="1CAFC9CA" w:rsidR="00DC3512" w:rsidRPr="00EF0CCF" w:rsidRDefault="00DC3512" w:rsidP="00EF0CCF">
      <w:pPr>
        <w:pStyle w:val="ListParagraph"/>
        <w:numPr>
          <w:ilvl w:val="0"/>
          <w:numId w:val="2"/>
        </w:numPr>
        <w:spacing w:line="360" w:lineRule="auto"/>
        <w:jc w:val="both"/>
        <w:rPr>
          <w:rFonts w:ascii="Times New Roman" w:hAnsi="Times New Roman" w:cs="Times New Roman"/>
        </w:rPr>
      </w:pPr>
      <w:r w:rsidRPr="00EF0CCF">
        <w:rPr>
          <w:rFonts w:ascii="Times New Roman" w:hAnsi="Times New Roman" w:cs="Times New Roman"/>
        </w:rPr>
        <w:t>While itinerant IHG isn't the most asset-light company in the industry, as its operations are already in a positive trend of nearly all hotels being franchised and/or managed rather than owned, any small percentage of IHG owned real estate must be sold to niche hotel property investors, following the pattern recognized throughout the industry of separating the brand/management business from the assets/investment business so the latter can focus its investments in marketing, technology and loyalty development while the former can focus its capital on the risks associated with owning a particular asset (Boston Hospitality Review, 2021).</w:t>
      </w:r>
    </w:p>
    <w:p w14:paraId="403AFADB" w14:textId="77777777" w:rsidR="007C06ED" w:rsidRPr="00EF0CCF" w:rsidRDefault="00000000" w:rsidP="00EF0CCF">
      <w:pPr>
        <w:pStyle w:val="Heading2"/>
        <w:spacing w:line="360" w:lineRule="auto"/>
        <w:jc w:val="both"/>
        <w:rPr>
          <w:rFonts w:ascii="Times New Roman" w:hAnsi="Times New Roman" w:cs="Times New Roman"/>
          <w:color w:val="auto"/>
        </w:rPr>
      </w:pPr>
      <w:bookmarkStart w:id="14" w:name="_Toc234456107"/>
      <w:r w:rsidRPr="00EF0CCF">
        <w:rPr>
          <w:rFonts w:ascii="Times New Roman" w:hAnsi="Times New Roman" w:cs="Times New Roman"/>
          <w:color w:val="auto"/>
        </w:rPr>
        <w:t>4.2 Impact on Shareholder Value, Debt Structure and Operational Flexibility</w:t>
      </w:r>
      <w:bookmarkEnd w:id="14"/>
    </w:p>
    <w:p w14:paraId="6C7445A9" w14:textId="0166B874" w:rsidR="00DC3512" w:rsidRPr="00EF0CCF" w:rsidRDefault="00DC3512" w:rsidP="00EF0CCF">
      <w:pPr>
        <w:spacing w:line="360" w:lineRule="auto"/>
        <w:jc w:val="both"/>
        <w:rPr>
          <w:rFonts w:ascii="Times New Roman" w:hAnsi="Times New Roman" w:cs="Times New Roman"/>
        </w:rPr>
      </w:pPr>
      <w:r w:rsidRPr="00EF0CCF">
        <w:rPr>
          <w:rFonts w:ascii="Times New Roman" w:hAnsi="Times New Roman" w:cs="Times New Roman"/>
        </w:rPr>
        <w:t xml:space="preserve">These recommendations are meant to serve to protect, not erode, shareholder value. In particular, a continued trend of disciplined cash-invested bolt-on M&amp;A as opposed to large and highly leveraged transformative M&amp;A matches academic studies showing that the hospitality M&amp;A performance generally is strongly linked to the ratio of cash vs. debt in M&amp;A transactions and the structure of such transactions, were only all-cash M&amp;A deals of complementary targets correlated with increased M&amp;A performance. At temporary easing or </w:t>
      </w:r>
      <w:r w:rsidRPr="00EF0CCF">
        <w:rPr>
          <w:rFonts w:ascii="Times New Roman" w:hAnsi="Times New Roman" w:cs="Times New Roman"/>
        </w:rPr>
        <w:lastRenderedPageBreak/>
        <w:t>temporary suspension of Buybacks in a less aggressive year would slightly lessen the EPS growth in the short term and would significantly strengthen NWC and cash ratio, which would mitigate refinancing and covenant risk. Net debt/EBITDA is expected to range between “disclosed” levels of 2.5-3.0x and will ensure investment grade debt access, while the interest coverage ratio will be well above 3.0x, thereby maintaining the flexibility to weather a shock to demand to purchase assets over the next several years without forced asset sales.</w:t>
      </w:r>
    </w:p>
    <w:p w14:paraId="3F7A14CC" w14:textId="77777777" w:rsidR="007C06ED" w:rsidRPr="00EF0CCF" w:rsidRDefault="00000000" w:rsidP="00EF0CCF">
      <w:pPr>
        <w:pStyle w:val="Heading2"/>
        <w:spacing w:line="360" w:lineRule="auto"/>
        <w:jc w:val="both"/>
        <w:rPr>
          <w:rFonts w:ascii="Times New Roman" w:hAnsi="Times New Roman" w:cs="Times New Roman"/>
          <w:color w:val="auto"/>
        </w:rPr>
      </w:pPr>
      <w:bookmarkStart w:id="15" w:name="_Toc234456108"/>
      <w:r w:rsidRPr="00EF0CCF">
        <w:rPr>
          <w:rFonts w:ascii="Times New Roman" w:hAnsi="Times New Roman" w:cs="Times New Roman"/>
          <w:color w:val="auto"/>
        </w:rPr>
        <w:t>4.3 International and Ethical Considerations</w:t>
      </w:r>
      <w:bookmarkEnd w:id="15"/>
    </w:p>
    <w:p w14:paraId="5A78CB67" w14:textId="168C80C4" w:rsidR="00DC3512" w:rsidRPr="00EF0CCF" w:rsidRDefault="00DC3512" w:rsidP="00EF0CCF">
      <w:pPr>
        <w:spacing w:line="360" w:lineRule="auto"/>
        <w:jc w:val="both"/>
        <w:rPr>
          <w:rFonts w:ascii="Times New Roman" w:hAnsi="Times New Roman" w:cs="Times New Roman"/>
        </w:rPr>
      </w:pPr>
      <w:r w:rsidRPr="00EF0CCF">
        <w:rPr>
          <w:rFonts w:ascii="Times New Roman" w:hAnsi="Times New Roman" w:cs="Times New Roman"/>
        </w:rPr>
        <w:t>IHG is a multinational enterprise group with consolidated revenues amounting to far more than the €750m threshold for application of the OECD's Pillar Two global minimum tax framework (OECD, 2024</w:t>
      </w:r>
      <w:r w:rsidR="00EF0CCF" w:rsidRPr="00EF0CCF">
        <w:rPr>
          <w:rFonts w:ascii="Times New Roman" w:hAnsi="Times New Roman" w:cs="Times New Roman"/>
        </w:rPr>
        <w:t>) and</w:t>
      </w:r>
      <w:r w:rsidRPr="00EF0CCF">
        <w:rPr>
          <w:rFonts w:ascii="Times New Roman" w:hAnsi="Times New Roman" w:cs="Times New Roman"/>
        </w:rPr>
        <w:t xml:space="preserve"> directly exposed to currency translation risk on the revenue generated from activities outside the United States that is collected in foreign currencies. For IHG's post-pandemic business expansion in other high-growth, non-dollar-</w:t>
      </w:r>
      <w:r w:rsidR="00EF0CCF" w:rsidRPr="00EF0CCF">
        <w:rPr>
          <w:rFonts w:ascii="Times New Roman" w:hAnsi="Times New Roman" w:cs="Times New Roman"/>
        </w:rPr>
        <w:t>monetized</w:t>
      </w:r>
      <w:r w:rsidRPr="00EF0CCF">
        <w:rPr>
          <w:rFonts w:ascii="Times New Roman" w:hAnsi="Times New Roman" w:cs="Times New Roman"/>
        </w:rPr>
        <w:t xml:space="preserve"> regions, such as China and continental Europe, material fee-incomes exposure risk should be hedged using a hedging discipline similar to that used in the Euro-denominated bond issuance, namely, hedging currency exposures on the bond portfolio via currency swaps to convert the proceeds and interest flows into US dollars.</w:t>
      </w:r>
    </w:p>
    <w:p w14:paraId="2795AC44" w14:textId="67200FE6" w:rsidR="007C06ED" w:rsidRPr="00EF0CCF" w:rsidRDefault="00DC3512" w:rsidP="00EF0CCF">
      <w:pPr>
        <w:spacing w:line="360" w:lineRule="auto"/>
        <w:jc w:val="both"/>
        <w:rPr>
          <w:rFonts w:ascii="Times New Roman" w:hAnsi="Times New Roman" w:cs="Times New Roman"/>
        </w:rPr>
      </w:pPr>
      <w:r w:rsidRPr="00EF0CCF">
        <w:rPr>
          <w:rFonts w:ascii="Times New Roman" w:hAnsi="Times New Roman" w:cs="Times New Roman"/>
        </w:rPr>
        <w:t xml:space="preserve">On inflation, IHG's low capital intensity (capex/revenue around 2–3%) gives it a natural partial shield against inflation of input costs vs. the owned-asset hotel operator, because the majority of hotel franchise and management-fee revenue is directly tied to gross room revenues and not to fixed operating costs. The hospitality literature is starting to propose ESG performance as indicators of a hotel's financial resilience and/or market valuation with the finding that hotels that are first to get in touch with a credible ESG certification have obtained higher occupancy rates and higher RevPAR, especially in small markets — and that, during the COVID-19 shock itself, the long-term performance of a hotel was related to its ESG score, with a score in the governance area in particular. To ensure long-term financial sustainability and align with the growing push for sustainability, it is essential that the Board focus on governance level disclosure and credible, external-sourced ESG certification of new build and franchise properties rather than just sustainability </w:t>
      </w:r>
      <w:proofErr w:type="spellStart"/>
      <w:r w:rsidRPr="00EF0CCF">
        <w:rPr>
          <w:rFonts w:ascii="Times New Roman" w:hAnsi="Times New Roman" w:cs="Times New Roman"/>
        </w:rPr>
        <w:t>language.A</w:t>
      </w:r>
      <w:proofErr w:type="spellEnd"/>
      <w:r w:rsidRPr="00EF0CCF">
        <w:rPr>
          <w:rFonts w:ascii="Times New Roman" w:hAnsi="Times New Roman" w:cs="Times New Roman"/>
        </w:rPr>
        <w:t xml:space="preserve"> credible and external certified ESG score for new build and franchised properties and Governance level disclosure are important to address to ensure the long term financial sustainability and support the growing expectations of sustainability amongst the hospitality industry's investors (Deloitte UK, 2024) whose expectations of sustainability are also on the rise.</w:t>
      </w:r>
      <w:r w:rsidRPr="00EF0CCF">
        <w:rPr>
          <w:rFonts w:ascii="Times New Roman" w:hAnsi="Times New Roman" w:cs="Times New Roman"/>
        </w:rPr>
        <w:br w:type="page"/>
      </w:r>
    </w:p>
    <w:p w14:paraId="33FE74C9" w14:textId="77777777" w:rsidR="007C06ED" w:rsidRPr="00EF0CCF" w:rsidRDefault="00000000" w:rsidP="00EF0CCF">
      <w:pPr>
        <w:pStyle w:val="Heading1"/>
        <w:spacing w:line="360" w:lineRule="auto"/>
        <w:jc w:val="both"/>
        <w:rPr>
          <w:rFonts w:ascii="Times New Roman" w:hAnsi="Times New Roman" w:cs="Times New Roman"/>
          <w:color w:val="auto"/>
        </w:rPr>
      </w:pPr>
      <w:bookmarkStart w:id="16" w:name="_Toc234456109"/>
      <w:r w:rsidRPr="00EF0CCF">
        <w:rPr>
          <w:rFonts w:ascii="Times New Roman" w:hAnsi="Times New Roman" w:cs="Times New Roman"/>
          <w:color w:val="auto"/>
        </w:rPr>
        <w:lastRenderedPageBreak/>
        <w:t>5. Investment Appraisal and Capital Budgeting</w:t>
      </w:r>
      <w:bookmarkEnd w:id="16"/>
    </w:p>
    <w:p w14:paraId="43D312D1" w14:textId="77777777" w:rsidR="007C06ED" w:rsidRPr="00EF0CCF" w:rsidRDefault="00000000" w:rsidP="00EF0CCF">
      <w:pPr>
        <w:pStyle w:val="Heading2"/>
        <w:spacing w:line="360" w:lineRule="auto"/>
        <w:jc w:val="both"/>
        <w:rPr>
          <w:rFonts w:ascii="Times New Roman" w:hAnsi="Times New Roman" w:cs="Times New Roman"/>
          <w:color w:val="auto"/>
        </w:rPr>
      </w:pPr>
      <w:bookmarkStart w:id="17" w:name="_Toc234456110"/>
      <w:r w:rsidRPr="00EF0CCF">
        <w:rPr>
          <w:rFonts w:ascii="Times New Roman" w:hAnsi="Times New Roman" w:cs="Times New Roman"/>
          <w:color w:val="auto"/>
        </w:rPr>
        <w:t>5.1 Methodology</w:t>
      </w:r>
      <w:bookmarkEnd w:id="17"/>
    </w:p>
    <w:p w14:paraId="32236A38" w14:textId="4D98B382" w:rsidR="00DC3512" w:rsidRPr="00EF0CCF" w:rsidRDefault="00DC3512" w:rsidP="00EF0CCF">
      <w:pPr>
        <w:spacing w:line="360" w:lineRule="auto"/>
        <w:jc w:val="both"/>
        <w:rPr>
          <w:rFonts w:ascii="Times New Roman" w:hAnsi="Times New Roman" w:cs="Times New Roman"/>
        </w:rPr>
      </w:pPr>
      <w:r w:rsidRPr="00EF0CCF">
        <w:rPr>
          <w:rFonts w:ascii="Times New Roman" w:hAnsi="Times New Roman" w:cs="Times New Roman"/>
        </w:rPr>
        <w:t xml:space="preserve">Three mutually exclusive investment projects are appraised using five standard capital budgeting techniques: Payback Period (PBP), Accounting Rate of Return (ARR), Net Present Value (NPV), Profitability Index (PI) and Internal Rate of Return (IRR), each of which calls for a one-time investment of £50m, with a forecast life of 5 years and </w:t>
      </w:r>
      <w:proofErr w:type="gramStart"/>
      <w:r w:rsidRPr="00EF0CCF">
        <w:rPr>
          <w:rFonts w:ascii="Times New Roman" w:hAnsi="Times New Roman" w:cs="Times New Roman"/>
        </w:rPr>
        <w:t>straight line</w:t>
      </w:r>
      <w:proofErr w:type="gramEnd"/>
      <w:r w:rsidRPr="00EF0CCF">
        <w:rPr>
          <w:rFonts w:ascii="Times New Roman" w:hAnsi="Times New Roman" w:cs="Times New Roman"/>
        </w:rPr>
        <w:t xml:space="preserve"> depreciation to a zero residual value of £10m per annum with an assumed WACC of 8%. While the PBP and the IRR are still widely used in practice as complementary risk and returns-based screens, NPV is by far the most popular tool identified in literature and in practice because it explicitly considers the time value of money and measures absolute value creation and this is highly recommended to conduct robust investment decision-making (Sinaga et al., 2023; Sokolov 2024). The results of the capital budgeting practice contingency measures suggest that the positive change in survey evidence over the last two decades is that most large firms now use NPV along with at least one or more of the non-discounted measures since there is obviously a difference in information content they provide (Siziba and Hall, 2021).</w:t>
      </w:r>
    </w:p>
    <w:p w14:paraId="0E2D3443" w14:textId="77777777" w:rsidR="007C06ED" w:rsidRPr="00EF0CCF" w:rsidRDefault="00000000" w:rsidP="00EF0CCF">
      <w:pPr>
        <w:pStyle w:val="Heading2"/>
        <w:spacing w:line="360" w:lineRule="auto"/>
        <w:jc w:val="both"/>
        <w:rPr>
          <w:rFonts w:ascii="Times New Roman" w:hAnsi="Times New Roman" w:cs="Times New Roman"/>
          <w:color w:val="auto"/>
        </w:rPr>
      </w:pPr>
      <w:bookmarkStart w:id="18" w:name="_Toc234456111"/>
      <w:r w:rsidRPr="00EF0CCF">
        <w:rPr>
          <w:rFonts w:ascii="Times New Roman" w:hAnsi="Times New Roman" w:cs="Times New Roman"/>
          <w:color w:val="auto"/>
        </w:rPr>
        <w:t>5.2 Results</w:t>
      </w:r>
      <w:bookmarkEnd w:id="18"/>
    </w:p>
    <w:p w14:paraId="773AB0B9" w14:textId="0C202D0D" w:rsidR="007C06ED" w:rsidRPr="00EF0CCF" w:rsidRDefault="00DC3512" w:rsidP="00EF0CCF">
      <w:pPr>
        <w:spacing w:after="200" w:line="360" w:lineRule="auto"/>
        <w:jc w:val="both"/>
        <w:rPr>
          <w:rFonts w:ascii="Times New Roman" w:hAnsi="Times New Roman" w:cs="Times New Roman"/>
        </w:rPr>
      </w:pPr>
      <w:r w:rsidRPr="00EF0CCF">
        <w:rPr>
          <w:rFonts w:ascii="Times New Roman" w:hAnsi="Times New Roman" w:cs="Times New Roman"/>
        </w:rPr>
        <w:t>Discounted cash flow workings that include yearly values are given in Appendix 2 (Table 6). The summary results are:</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1650"/>
        <w:gridCol w:w="1650"/>
        <w:gridCol w:w="1650"/>
        <w:gridCol w:w="1800"/>
      </w:tblGrid>
      <w:tr w:rsidR="007C06ED" w:rsidRPr="00EF0CCF" w14:paraId="455DDBC3" w14:textId="77777777">
        <w:trPr>
          <w:tblHeader/>
        </w:trPr>
        <w:tc>
          <w:tcPr>
            <w:tcW w:w="2600" w:type="dxa"/>
            <w:shd w:val="clear" w:color="auto" w:fill="1F3864"/>
            <w:tcMar>
              <w:top w:w="60" w:type="dxa"/>
              <w:left w:w="80" w:type="dxa"/>
              <w:bottom w:w="60" w:type="dxa"/>
              <w:right w:w="80" w:type="dxa"/>
            </w:tcMar>
            <w:vAlign w:val="center"/>
          </w:tcPr>
          <w:p w14:paraId="219AA6D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Method</w:t>
            </w:r>
          </w:p>
        </w:tc>
        <w:tc>
          <w:tcPr>
            <w:tcW w:w="1650" w:type="dxa"/>
            <w:shd w:val="clear" w:color="auto" w:fill="1F3864"/>
            <w:tcMar>
              <w:top w:w="60" w:type="dxa"/>
              <w:left w:w="80" w:type="dxa"/>
              <w:bottom w:w="60" w:type="dxa"/>
              <w:right w:w="80" w:type="dxa"/>
            </w:tcMar>
            <w:vAlign w:val="center"/>
          </w:tcPr>
          <w:p w14:paraId="4500374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Project A</w:t>
            </w:r>
          </w:p>
        </w:tc>
        <w:tc>
          <w:tcPr>
            <w:tcW w:w="1650" w:type="dxa"/>
            <w:shd w:val="clear" w:color="auto" w:fill="1F3864"/>
            <w:tcMar>
              <w:top w:w="60" w:type="dxa"/>
              <w:left w:w="80" w:type="dxa"/>
              <w:bottom w:w="60" w:type="dxa"/>
              <w:right w:w="80" w:type="dxa"/>
            </w:tcMar>
            <w:vAlign w:val="center"/>
          </w:tcPr>
          <w:p w14:paraId="3455E4E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Project B</w:t>
            </w:r>
          </w:p>
        </w:tc>
        <w:tc>
          <w:tcPr>
            <w:tcW w:w="1650" w:type="dxa"/>
            <w:shd w:val="clear" w:color="auto" w:fill="1F3864"/>
            <w:tcMar>
              <w:top w:w="60" w:type="dxa"/>
              <w:left w:w="80" w:type="dxa"/>
              <w:bottom w:w="60" w:type="dxa"/>
              <w:right w:w="80" w:type="dxa"/>
            </w:tcMar>
            <w:vAlign w:val="center"/>
          </w:tcPr>
          <w:p w14:paraId="5E3B55A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Project C</w:t>
            </w:r>
          </w:p>
        </w:tc>
        <w:tc>
          <w:tcPr>
            <w:tcW w:w="1800" w:type="dxa"/>
            <w:shd w:val="clear" w:color="auto" w:fill="1F3864"/>
            <w:tcMar>
              <w:top w:w="60" w:type="dxa"/>
              <w:left w:w="80" w:type="dxa"/>
              <w:bottom w:w="60" w:type="dxa"/>
              <w:right w:w="80" w:type="dxa"/>
            </w:tcMar>
            <w:vAlign w:val="center"/>
          </w:tcPr>
          <w:p w14:paraId="2551921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Decision Rule</w:t>
            </w:r>
          </w:p>
        </w:tc>
      </w:tr>
      <w:tr w:rsidR="007C06ED" w:rsidRPr="00EF0CCF" w14:paraId="1D9996BF" w14:textId="77777777">
        <w:tc>
          <w:tcPr>
            <w:tcW w:w="2600" w:type="dxa"/>
            <w:shd w:val="clear" w:color="auto" w:fill="F2F2F2"/>
            <w:tcMar>
              <w:top w:w="40" w:type="dxa"/>
              <w:left w:w="80" w:type="dxa"/>
              <w:bottom w:w="40" w:type="dxa"/>
              <w:right w:w="80" w:type="dxa"/>
            </w:tcMar>
            <w:vAlign w:val="center"/>
          </w:tcPr>
          <w:p w14:paraId="3CC4A12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Payback Period</w:t>
            </w:r>
          </w:p>
        </w:tc>
        <w:tc>
          <w:tcPr>
            <w:tcW w:w="1650" w:type="dxa"/>
            <w:shd w:val="clear" w:color="auto" w:fill="F2F2F2"/>
            <w:tcMar>
              <w:top w:w="40" w:type="dxa"/>
              <w:left w:w="80" w:type="dxa"/>
              <w:bottom w:w="40" w:type="dxa"/>
              <w:right w:w="80" w:type="dxa"/>
            </w:tcMar>
            <w:vAlign w:val="center"/>
          </w:tcPr>
          <w:p w14:paraId="5E6742C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4.50 years</w:t>
            </w:r>
          </w:p>
        </w:tc>
        <w:tc>
          <w:tcPr>
            <w:tcW w:w="1650" w:type="dxa"/>
            <w:shd w:val="clear" w:color="auto" w:fill="F2F2F2"/>
            <w:tcMar>
              <w:top w:w="40" w:type="dxa"/>
              <w:left w:w="80" w:type="dxa"/>
              <w:bottom w:w="40" w:type="dxa"/>
              <w:right w:w="80" w:type="dxa"/>
            </w:tcMar>
            <w:vAlign w:val="center"/>
          </w:tcPr>
          <w:p w14:paraId="3A7A0F4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4.55 years</w:t>
            </w:r>
          </w:p>
        </w:tc>
        <w:tc>
          <w:tcPr>
            <w:tcW w:w="1650" w:type="dxa"/>
            <w:shd w:val="clear" w:color="auto" w:fill="F2F2F2"/>
            <w:tcMar>
              <w:top w:w="40" w:type="dxa"/>
              <w:left w:w="80" w:type="dxa"/>
              <w:bottom w:w="40" w:type="dxa"/>
              <w:right w:w="80" w:type="dxa"/>
            </w:tcMar>
            <w:vAlign w:val="center"/>
          </w:tcPr>
          <w:p w14:paraId="77A8229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3.60 years</w:t>
            </w:r>
          </w:p>
        </w:tc>
        <w:tc>
          <w:tcPr>
            <w:tcW w:w="1800" w:type="dxa"/>
            <w:shd w:val="clear" w:color="auto" w:fill="F2F2F2"/>
            <w:tcMar>
              <w:top w:w="40" w:type="dxa"/>
              <w:left w:w="80" w:type="dxa"/>
              <w:bottom w:w="40" w:type="dxa"/>
              <w:right w:w="80" w:type="dxa"/>
            </w:tcMar>
            <w:vAlign w:val="center"/>
          </w:tcPr>
          <w:p w14:paraId="08436C2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Shortest preferred</w:t>
            </w:r>
          </w:p>
        </w:tc>
      </w:tr>
      <w:tr w:rsidR="007C06ED" w:rsidRPr="00EF0CCF" w14:paraId="4AB84247" w14:textId="77777777">
        <w:tc>
          <w:tcPr>
            <w:tcW w:w="2600" w:type="dxa"/>
            <w:shd w:val="clear" w:color="auto" w:fill="FFFFFF"/>
            <w:tcMar>
              <w:top w:w="40" w:type="dxa"/>
              <w:left w:w="80" w:type="dxa"/>
              <w:bottom w:w="40" w:type="dxa"/>
              <w:right w:w="80" w:type="dxa"/>
            </w:tcMar>
            <w:vAlign w:val="center"/>
          </w:tcPr>
          <w:p w14:paraId="2838F12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Accounting Rate of Return</w:t>
            </w:r>
          </w:p>
        </w:tc>
        <w:tc>
          <w:tcPr>
            <w:tcW w:w="1650" w:type="dxa"/>
            <w:shd w:val="clear" w:color="auto" w:fill="FFFFFF"/>
            <w:tcMar>
              <w:top w:w="40" w:type="dxa"/>
              <w:left w:w="80" w:type="dxa"/>
              <w:bottom w:w="40" w:type="dxa"/>
              <w:right w:w="80" w:type="dxa"/>
            </w:tcMar>
            <w:vAlign w:val="center"/>
          </w:tcPr>
          <w:p w14:paraId="2B88683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43.2%</w:t>
            </w:r>
          </w:p>
        </w:tc>
        <w:tc>
          <w:tcPr>
            <w:tcW w:w="1650" w:type="dxa"/>
            <w:shd w:val="clear" w:color="auto" w:fill="FFFFFF"/>
            <w:tcMar>
              <w:top w:w="40" w:type="dxa"/>
              <w:left w:w="80" w:type="dxa"/>
              <w:bottom w:w="40" w:type="dxa"/>
              <w:right w:w="80" w:type="dxa"/>
            </w:tcMar>
            <w:vAlign w:val="center"/>
          </w:tcPr>
          <w:p w14:paraId="2B12FA4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44.0%</w:t>
            </w:r>
          </w:p>
        </w:tc>
        <w:tc>
          <w:tcPr>
            <w:tcW w:w="1650" w:type="dxa"/>
            <w:shd w:val="clear" w:color="auto" w:fill="FFFFFF"/>
            <w:tcMar>
              <w:top w:w="40" w:type="dxa"/>
              <w:left w:w="80" w:type="dxa"/>
              <w:bottom w:w="40" w:type="dxa"/>
              <w:right w:w="80" w:type="dxa"/>
            </w:tcMar>
            <w:vAlign w:val="center"/>
          </w:tcPr>
          <w:p w14:paraId="1217FF5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52.0%</w:t>
            </w:r>
          </w:p>
        </w:tc>
        <w:tc>
          <w:tcPr>
            <w:tcW w:w="1800" w:type="dxa"/>
            <w:shd w:val="clear" w:color="auto" w:fill="FFFFFF"/>
            <w:tcMar>
              <w:top w:w="40" w:type="dxa"/>
              <w:left w:w="80" w:type="dxa"/>
              <w:bottom w:w="40" w:type="dxa"/>
              <w:right w:w="80" w:type="dxa"/>
            </w:tcMar>
            <w:vAlign w:val="center"/>
          </w:tcPr>
          <w:p w14:paraId="3DAA562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Highest preferred</w:t>
            </w:r>
          </w:p>
        </w:tc>
      </w:tr>
      <w:tr w:rsidR="007C06ED" w:rsidRPr="00EF0CCF" w14:paraId="1AD5420A" w14:textId="77777777">
        <w:tc>
          <w:tcPr>
            <w:tcW w:w="2600" w:type="dxa"/>
            <w:shd w:val="clear" w:color="auto" w:fill="F2F2F2"/>
            <w:tcMar>
              <w:top w:w="40" w:type="dxa"/>
              <w:left w:w="80" w:type="dxa"/>
              <w:bottom w:w="40" w:type="dxa"/>
              <w:right w:w="80" w:type="dxa"/>
            </w:tcMar>
            <w:vAlign w:val="center"/>
          </w:tcPr>
          <w:p w14:paraId="19D38067"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Net Present Value (£m)</w:t>
            </w:r>
          </w:p>
        </w:tc>
        <w:tc>
          <w:tcPr>
            <w:tcW w:w="1650" w:type="dxa"/>
            <w:shd w:val="clear" w:color="auto" w:fill="F2F2F2"/>
            <w:tcMar>
              <w:top w:w="40" w:type="dxa"/>
              <w:left w:w="80" w:type="dxa"/>
              <w:bottom w:w="40" w:type="dxa"/>
              <w:right w:w="80" w:type="dxa"/>
            </w:tcMar>
            <w:vAlign w:val="center"/>
          </w:tcPr>
          <w:p w14:paraId="61F1A46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(6.54)</w:t>
            </w:r>
          </w:p>
        </w:tc>
        <w:tc>
          <w:tcPr>
            <w:tcW w:w="1650" w:type="dxa"/>
            <w:shd w:val="clear" w:color="auto" w:fill="F2F2F2"/>
            <w:tcMar>
              <w:top w:w="40" w:type="dxa"/>
              <w:left w:w="80" w:type="dxa"/>
              <w:bottom w:w="40" w:type="dxa"/>
              <w:right w:w="80" w:type="dxa"/>
            </w:tcMar>
            <w:vAlign w:val="center"/>
          </w:tcPr>
          <w:p w14:paraId="0E3C7A4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(6.08)</w:t>
            </w:r>
          </w:p>
        </w:tc>
        <w:tc>
          <w:tcPr>
            <w:tcW w:w="1650" w:type="dxa"/>
            <w:shd w:val="clear" w:color="auto" w:fill="F2F2F2"/>
            <w:tcMar>
              <w:top w:w="40" w:type="dxa"/>
              <w:left w:w="80" w:type="dxa"/>
              <w:bottom w:w="40" w:type="dxa"/>
              <w:right w:w="80" w:type="dxa"/>
            </w:tcMar>
            <w:vAlign w:val="center"/>
          </w:tcPr>
          <w:p w14:paraId="412BC97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0.86</w:t>
            </w:r>
          </w:p>
        </w:tc>
        <w:tc>
          <w:tcPr>
            <w:tcW w:w="1800" w:type="dxa"/>
            <w:shd w:val="clear" w:color="auto" w:fill="F2F2F2"/>
            <w:tcMar>
              <w:top w:w="40" w:type="dxa"/>
              <w:left w:w="80" w:type="dxa"/>
              <w:bottom w:w="40" w:type="dxa"/>
              <w:right w:w="80" w:type="dxa"/>
            </w:tcMar>
            <w:vAlign w:val="center"/>
          </w:tcPr>
          <w:p w14:paraId="47DD962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NPV &gt; 0; highest preferred</w:t>
            </w:r>
          </w:p>
        </w:tc>
      </w:tr>
      <w:tr w:rsidR="007C06ED" w:rsidRPr="00EF0CCF" w14:paraId="1FD02A10" w14:textId="77777777">
        <w:tc>
          <w:tcPr>
            <w:tcW w:w="2600" w:type="dxa"/>
            <w:shd w:val="clear" w:color="auto" w:fill="FFFFFF"/>
            <w:tcMar>
              <w:top w:w="40" w:type="dxa"/>
              <w:left w:w="80" w:type="dxa"/>
              <w:bottom w:w="40" w:type="dxa"/>
              <w:right w:w="80" w:type="dxa"/>
            </w:tcMar>
            <w:vAlign w:val="center"/>
          </w:tcPr>
          <w:p w14:paraId="0253292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Profitability Index</w:t>
            </w:r>
          </w:p>
        </w:tc>
        <w:tc>
          <w:tcPr>
            <w:tcW w:w="1650" w:type="dxa"/>
            <w:shd w:val="clear" w:color="auto" w:fill="FFFFFF"/>
            <w:tcMar>
              <w:top w:w="40" w:type="dxa"/>
              <w:left w:w="80" w:type="dxa"/>
              <w:bottom w:w="40" w:type="dxa"/>
              <w:right w:w="80" w:type="dxa"/>
            </w:tcMar>
            <w:vAlign w:val="center"/>
          </w:tcPr>
          <w:p w14:paraId="4B5E03B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0.87</w:t>
            </w:r>
          </w:p>
        </w:tc>
        <w:tc>
          <w:tcPr>
            <w:tcW w:w="1650" w:type="dxa"/>
            <w:shd w:val="clear" w:color="auto" w:fill="FFFFFF"/>
            <w:tcMar>
              <w:top w:w="40" w:type="dxa"/>
              <w:left w:w="80" w:type="dxa"/>
              <w:bottom w:w="40" w:type="dxa"/>
              <w:right w:w="80" w:type="dxa"/>
            </w:tcMar>
            <w:vAlign w:val="center"/>
          </w:tcPr>
          <w:p w14:paraId="70C0B7A7"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0.88</w:t>
            </w:r>
          </w:p>
        </w:tc>
        <w:tc>
          <w:tcPr>
            <w:tcW w:w="1650" w:type="dxa"/>
            <w:shd w:val="clear" w:color="auto" w:fill="FFFFFF"/>
            <w:tcMar>
              <w:top w:w="40" w:type="dxa"/>
              <w:left w:w="80" w:type="dxa"/>
              <w:bottom w:w="40" w:type="dxa"/>
              <w:right w:w="80" w:type="dxa"/>
            </w:tcMar>
            <w:vAlign w:val="center"/>
          </w:tcPr>
          <w:p w14:paraId="2C52796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1.02</w:t>
            </w:r>
          </w:p>
        </w:tc>
        <w:tc>
          <w:tcPr>
            <w:tcW w:w="1800" w:type="dxa"/>
            <w:shd w:val="clear" w:color="auto" w:fill="FFFFFF"/>
            <w:tcMar>
              <w:top w:w="40" w:type="dxa"/>
              <w:left w:w="80" w:type="dxa"/>
              <w:bottom w:w="40" w:type="dxa"/>
              <w:right w:w="80" w:type="dxa"/>
            </w:tcMar>
            <w:vAlign w:val="center"/>
          </w:tcPr>
          <w:p w14:paraId="7308487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PI &gt; 1.0; highest preferred</w:t>
            </w:r>
          </w:p>
        </w:tc>
      </w:tr>
      <w:tr w:rsidR="007C06ED" w:rsidRPr="00EF0CCF" w14:paraId="78F40A3F" w14:textId="77777777">
        <w:tc>
          <w:tcPr>
            <w:tcW w:w="2600" w:type="dxa"/>
            <w:shd w:val="clear" w:color="auto" w:fill="F2F2F2"/>
            <w:tcMar>
              <w:top w:w="40" w:type="dxa"/>
              <w:left w:w="80" w:type="dxa"/>
              <w:bottom w:w="40" w:type="dxa"/>
              <w:right w:w="80" w:type="dxa"/>
            </w:tcMar>
            <w:vAlign w:val="center"/>
          </w:tcPr>
          <w:p w14:paraId="0FEA69F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Internal Rate of Return</w:t>
            </w:r>
          </w:p>
        </w:tc>
        <w:tc>
          <w:tcPr>
            <w:tcW w:w="1650" w:type="dxa"/>
            <w:shd w:val="clear" w:color="auto" w:fill="F2F2F2"/>
            <w:tcMar>
              <w:top w:w="40" w:type="dxa"/>
              <w:left w:w="80" w:type="dxa"/>
              <w:bottom w:w="40" w:type="dxa"/>
              <w:right w:w="80" w:type="dxa"/>
            </w:tcMar>
            <w:vAlign w:val="center"/>
          </w:tcPr>
          <w:p w14:paraId="2EF05E3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2.72%</w:t>
            </w:r>
          </w:p>
        </w:tc>
        <w:tc>
          <w:tcPr>
            <w:tcW w:w="1650" w:type="dxa"/>
            <w:shd w:val="clear" w:color="auto" w:fill="F2F2F2"/>
            <w:tcMar>
              <w:top w:w="40" w:type="dxa"/>
              <w:left w:w="80" w:type="dxa"/>
              <w:bottom w:w="40" w:type="dxa"/>
              <w:right w:w="80" w:type="dxa"/>
            </w:tcMar>
            <w:vAlign w:val="center"/>
          </w:tcPr>
          <w:p w14:paraId="565AEE8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3.26%</w:t>
            </w:r>
          </w:p>
        </w:tc>
        <w:tc>
          <w:tcPr>
            <w:tcW w:w="1650" w:type="dxa"/>
            <w:shd w:val="clear" w:color="auto" w:fill="F2F2F2"/>
            <w:tcMar>
              <w:top w:w="40" w:type="dxa"/>
              <w:left w:w="80" w:type="dxa"/>
              <w:bottom w:w="40" w:type="dxa"/>
              <w:right w:w="80" w:type="dxa"/>
            </w:tcMar>
            <w:vAlign w:val="center"/>
          </w:tcPr>
          <w:p w14:paraId="797E3BC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8.59%</w:t>
            </w:r>
          </w:p>
        </w:tc>
        <w:tc>
          <w:tcPr>
            <w:tcW w:w="1800" w:type="dxa"/>
            <w:shd w:val="clear" w:color="auto" w:fill="F2F2F2"/>
            <w:tcMar>
              <w:top w:w="40" w:type="dxa"/>
              <w:left w:w="80" w:type="dxa"/>
              <w:bottom w:w="40" w:type="dxa"/>
              <w:right w:w="80" w:type="dxa"/>
            </w:tcMar>
            <w:vAlign w:val="center"/>
          </w:tcPr>
          <w:p w14:paraId="7AC8806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IRR &gt; 8% hurdle preferred</w:t>
            </w:r>
          </w:p>
        </w:tc>
      </w:tr>
    </w:tbl>
    <w:p w14:paraId="453A10B1" w14:textId="4FCB7FC3" w:rsidR="007C06ED" w:rsidRPr="00EF0CCF" w:rsidRDefault="00000000" w:rsidP="00EF0CCF">
      <w:pPr>
        <w:spacing w:before="120" w:after="240" w:line="360" w:lineRule="auto"/>
        <w:jc w:val="both"/>
        <w:rPr>
          <w:rFonts w:ascii="Times New Roman" w:hAnsi="Times New Roman" w:cs="Times New Roman"/>
          <w:i/>
          <w:iCs/>
          <w:sz w:val="20"/>
          <w:szCs w:val="20"/>
        </w:rPr>
      </w:pPr>
      <w:r w:rsidRPr="00EF0CCF">
        <w:rPr>
          <w:rFonts w:ascii="Times New Roman" w:hAnsi="Times New Roman" w:cs="Times New Roman"/>
          <w:i/>
          <w:iCs/>
          <w:sz w:val="20"/>
          <w:szCs w:val="20"/>
        </w:rPr>
        <w:t xml:space="preserve">Table 3. Investment Appraisal Results — Projects A, B and C (£50m initial investment each; 8% discount rate). </w:t>
      </w:r>
    </w:p>
    <w:p w14:paraId="5D1C4ABF" w14:textId="5F2D88C1" w:rsidR="00DC3512" w:rsidRPr="00EF0CCF" w:rsidRDefault="00DC3512" w:rsidP="00EF0CCF">
      <w:pPr>
        <w:spacing w:line="360" w:lineRule="auto"/>
        <w:jc w:val="both"/>
        <w:rPr>
          <w:rFonts w:ascii="Times New Roman" w:hAnsi="Times New Roman" w:cs="Times New Roman"/>
        </w:rPr>
      </w:pPr>
      <w:r w:rsidRPr="00EF0CCF">
        <w:rPr>
          <w:rFonts w:ascii="Times New Roman" w:hAnsi="Times New Roman" w:cs="Times New Roman"/>
        </w:rPr>
        <w:t xml:space="preserve">Project C passes all the discounted cash-flow tests, earning a positive NPV of £0.86m, a Profitability Index in excess of 1.0 (1.02) and an IRR of 8.59%, which just passes the 8% hurdle </w:t>
      </w:r>
      <w:r w:rsidRPr="00EF0CCF">
        <w:rPr>
          <w:rFonts w:ascii="Times New Roman" w:hAnsi="Times New Roman" w:cs="Times New Roman"/>
        </w:rPr>
        <w:lastRenderedPageBreak/>
        <w:t xml:space="preserve">rate. The rest of the projects are C, with the shortest </w:t>
      </w:r>
      <w:proofErr w:type="spellStart"/>
      <w:r w:rsidRPr="00EF0CCF">
        <w:rPr>
          <w:rFonts w:ascii="Times New Roman" w:hAnsi="Times New Roman" w:cs="Times New Roman"/>
        </w:rPr>
        <w:t>pay back</w:t>
      </w:r>
      <w:proofErr w:type="spellEnd"/>
      <w:r w:rsidRPr="00EF0CCF">
        <w:rPr>
          <w:rFonts w:ascii="Times New Roman" w:hAnsi="Times New Roman" w:cs="Times New Roman"/>
        </w:rPr>
        <w:t xml:space="preserve"> period of (3.60 years), and the highest ARR (52.0%). However, IRR, like PBP, is based on the non-discounted cash-flow basis, as both methods have been noted on many times in the literature on capital budgeting as being flawed (</w:t>
      </w:r>
      <w:proofErr w:type="spellStart"/>
      <w:r w:rsidRPr="00EF0CCF">
        <w:rPr>
          <w:rFonts w:ascii="Times New Roman" w:hAnsi="Times New Roman" w:cs="Times New Roman"/>
        </w:rPr>
        <w:t>Tarutis</w:t>
      </w:r>
      <w:proofErr w:type="spellEnd"/>
      <w:r w:rsidRPr="00EF0CCF">
        <w:rPr>
          <w:rFonts w:ascii="Times New Roman" w:hAnsi="Times New Roman" w:cs="Times New Roman"/>
        </w:rPr>
        <w:t>, 2020; Sinaga et al., 2023), and both Project A and Project B are negative on a discounted-cash-flow (DCF) basis in terms of NPV, with values of -£6.54m and -£6.08m respectively, and both have IRRs significantly lower than the cost of capital of 8%.</w:t>
      </w:r>
    </w:p>
    <w:p w14:paraId="78E4284C" w14:textId="77777777" w:rsidR="007C06ED" w:rsidRPr="00EF0CCF" w:rsidRDefault="00000000" w:rsidP="00EF0CCF">
      <w:pPr>
        <w:pStyle w:val="Heading2"/>
        <w:spacing w:line="360" w:lineRule="auto"/>
        <w:jc w:val="both"/>
        <w:rPr>
          <w:rFonts w:ascii="Times New Roman" w:hAnsi="Times New Roman" w:cs="Times New Roman"/>
          <w:color w:val="auto"/>
        </w:rPr>
      </w:pPr>
      <w:bookmarkStart w:id="19" w:name="_Toc234456112"/>
      <w:r w:rsidRPr="00EF0CCF">
        <w:rPr>
          <w:rFonts w:ascii="Times New Roman" w:hAnsi="Times New Roman" w:cs="Times New Roman"/>
          <w:color w:val="auto"/>
        </w:rPr>
        <w:t>5.3 Recommendation and Justification</w:t>
      </w:r>
      <w:bookmarkEnd w:id="19"/>
    </w:p>
    <w:p w14:paraId="4C78FED2" w14:textId="77777777" w:rsidR="00DC3512" w:rsidRPr="00EF0CCF" w:rsidRDefault="00DC3512" w:rsidP="00EF0CCF">
      <w:pPr>
        <w:spacing w:line="360" w:lineRule="auto"/>
        <w:jc w:val="both"/>
        <w:rPr>
          <w:rFonts w:ascii="Times New Roman" w:hAnsi="Times New Roman" w:cs="Times New Roman"/>
        </w:rPr>
      </w:pPr>
      <w:r w:rsidRPr="00EF0CCF">
        <w:rPr>
          <w:rFonts w:ascii="Times New Roman" w:hAnsi="Times New Roman" w:cs="Times New Roman"/>
        </w:rPr>
        <w:t xml:space="preserve">It is recommended to invest in project C. It is also the only project of which IHG could have had a negative NPV investment, (as we noted in Section 2, the company has already a negative equity base) and the only project that would help (rather than hurt) the shareholders' value when </w:t>
      </w:r>
      <w:proofErr w:type="spellStart"/>
      <w:r w:rsidRPr="00EF0CCF">
        <w:rPr>
          <w:rFonts w:ascii="Times New Roman" w:hAnsi="Times New Roman" w:cs="Times New Roman"/>
        </w:rPr>
        <w:t>analyzed</w:t>
      </w:r>
      <w:proofErr w:type="spellEnd"/>
      <w:r w:rsidRPr="00EF0CCF">
        <w:rPr>
          <w:rFonts w:ascii="Times New Roman" w:hAnsi="Times New Roman" w:cs="Times New Roman"/>
        </w:rPr>
        <w:t xml:space="preserve"> on a discounted basis. Project C's cash-flow shape mirrors the improving EBIT margin and improving free cash flow generation delivered by IHG itself during the recovery cycle, with notabilities that are more focused in the later years, compared to Year 3 to 4, implying IHG-management have actual ability to scale a cash-flow shape that is more back-loaded.</w:t>
      </w:r>
    </w:p>
    <w:p w14:paraId="52A443C4" w14:textId="6F842D1E" w:rsidR="00DC3512" w:rsidRPr="00EF0CCF" w:rsidRDefault="00DC3512" w:rsidP="00EF0CCF">
      <w:pPr>
        <w:spacing w:line="360" w:lineRule="auto"/>
        <w:jc w:val="both"/>
        <w:rPr>
          <w:rFonts w:ascii="Times New Roman" w:hAnsi="Times New Roman" w:cs="Times New Roman"/>
        </w:rPr>
      </w:pPr>
      <w:r w:rsidRPr="00EF0CCF">
        <w:rPr>
          <w:rFonts w:ascii="Times New Roman" w:hAnsi="Times New Roman" w:cs="Times New Roman"/>
        </w:rPr>
        <w:t>This is undermined, however, by the risk associated with non-financials. IRR will only just overperform the 8% threshold by 0.59 percentage points and set little margin against the political risks in the international markets (on USD) that cost Group with IHG forecast, foreign-exchange volatility on non-USD cash-flows or even a repetition of the kind of demand shock that occurred in 2020 during one year of pandemic. Customer loyalty and brand risk is relevant if the underlying project relates to new market entry or brand extension: Customer loyalty and consistency across brand integration in the ownership centres are paramount to the asset-light franchise model of IHG, while also a project run with a marginal-NPV approach across new franchisees could risk the brand's standards in customers' expectations. Given this small level of creating value for customers, the Board should not accept Project C without any caveats, but instead specifically consider it under "proceed with active risk monitoring" and review the cash flows after two years to verify cash flows are on track to create value before any additional capital is committed.</w:t>
      </w:r>
    </w:p>
    <w:p w14:paraId="64A1DF87" w14:textId="77777777" w:rsidR="007C06ED" w:rsidRPr="00EF0CCF" w:rsidRDefault="00000000" w:rsidP="00EF0CCF">
      <w:pPr>
        <w:pStyle w:val="Heading2"/>
        <w:spacing w:line="360" w:lineRule="auto"/>
        <w:jc w:val="both"/>
        <w:rPr>
          <w:rFonts w:ascii="Times New Roman" w:hAnsi="Times New Roman" w:cs="Times New Roman"/>
          <w:color w:val="auto"/>
        </w:rPr>
      </w:pPr>
      <w:bookmarkStart w:id="20" w:name="_Toc234456113"/>
      <w:r w:rsidRPr="00EF0CCF">
        <w:rPr>
          <w:rFonts w:ascii="Times New Roman" w:hAnsi="Times New Roman" w:cs="Times New Roman"/>
          <w:color w:val="auto"/>
        </w:rPr>
        <w:t>5.4 Capital Rationing (£100 million Budget Constraint)</w:t>
      </w:r>
      <w:bookmarkEnd w:id="20"/>
    </w:p>
    <w:p w14:paraId="31093D59" w14:textId="632CA9F5" w:rsidR="007C06ED" w:rsidRPr="00EF0CCF" w:rsidRDefault="00DC3512" w:rsidP="00EF0CCF">
      <w:pPr>
        <w:spacing w:after="200" w:line="360" w:lineRule="auto"/>
        <w:jc w:val="both"/>
        <w:rPr>
          <w:rFonts w:ascii="Times New Roman" w:hAnsi="Times New Roman" w:cs="Times New Roman"/>
        </w:rPr>
      </w:pPr>
      <w:r w:rsidRPr="00EF0CCF">
        <w:rPr>
          <w:rFonts w:ascii="Times New Roman" w:hAnsi="Times New Roman" w:cs="Times New Roman"/>
        </w:rPr>
        <w:lastRenderedPageBreak/>
        <w:t>IHG can only invest in a maximum of £100m across them and each project requires £50m investment. The combinations that can be done, and have a non-negative NPV, are ordered in Table 4 according to their combined NPV and weighted Profitability Index.</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1650"/>
        <w:gridCol w:w="1900"/>
        <w:gridCol w:w="1650"/>
        <w:gridCol w:w="1750"/>
      </w:tblGrid>
      <w:tr w:rsidR="007C06ED" w:rsidRPr="00EF0CCF" w14:paraId="3E0F4A8B" w14:textId="77777777">
        <w:trPr>
          <w:tblHeader/>
        </w:trPr>
        <w:tc>
          <w:tcPr>
            <w:tcW w:w="2400" w:type="dxa"/>
            <w:shd w:val="clear" w:color="auto" w:fill="1F3864"/>
            <w:tcMar>
              <w:top w:w="60" w:type="dxa"/>
              <w:left w:w="80" w:type="dxa"/>
              <w:bottom w:w="60" w:type="dxa"/>
              <w:right w:w="80" w:type="dxa"/>
            </w:tcMar>
            <w:vAlign w:val="center"/>
          </w:tcPr>
          <w:p w14:paraId="4A834A1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Combination</w:t>
            </w:r>
          </w:p>
        </w:tc>
        <w:tc>
          <w:tcPr>
            <w:tcW w:w="1650" w:type="dxa"/>
            <w:shd w:val="clear" w:color="auto" w:fill="1F3864"/>
            <w:tcMar>
              <w:top w:w="60" w:type="dxa"/>
              <w:left w:w="80" w:type="dxa"/>
              <w:bottom w:w="60" w:type="dxa"/>
              <w:right w:w="80" w:type="dxa"/>
            </w:tcMar>
            <w:vAlign w:val="center"/>
          </w:tcPr>
          <w:p w14:paraId="29BEF8A7"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Investment (£m)</w:t>
            </w:r>
          </w:p>
        </w:tc>
        <w:tc>
          <w:tcPr>
            <w:tcW w:w="1900" w:type="dxa"/>
            <w:shd w:val="clear" w:color="auto" w:fill="1F3864"/>
            <w:tcMar>
              <w:top w:w="60" w:type="dxa"/>
              <w:left w:w="80" w:type="dxa"/>
              <w:bottom w:w="60" w:type="dxa"/>
              <w:right w:w="80" w:type="dxa"/>
            </w:tcMar>
            <w:vAlign w:val="center"/>
          </w:tcPr>
          <w:p w14:paraId="1E55E86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Combined NPV (£m)</w:t>
            </w:r>
          </w:p>
        </w:tc>
        <w:tc>
          <w:tcPr>
            <w:tcW w:w="1650" w:type="dxa"/>
            <w:shd w:val="clear" w:color="auto" w:fill="1F3864"/>
            <w:tcMar>
              <w:top w:w="60" w:type="dxa"/>
              <w:left w:w="80" w:type="dxa"/>
              <w:bottom w:w="60" w:type="dxa"/>
              <w:right w:w="80" w:type="dxa"/>
            </w:tcMar>
            <w:vAlign w:val="center"/>
          </w:tcPr>
          <w:p w14:paraId="60C160B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Weighted PI</w:t>
            </w:r>
          </w:p>
        </w:tc>
        <w:tc>
          <w:tcPr>
            <w:tcW w:w="1750" w:type="dxa"/>
            <w:shd w:val="clear" w:color="auto" w:fill="1F3864"/>
            <w:tcMar>
              <w:top w:w="60" w:type="dxa"/>
              <w:left w:w="80" w:type="dxa"/>
              <w:bottom w:w="60" w:type="dxa"/>
              <w:right w:w="80" w:type="dxa"/>
            </w:tcMar>
            <w:vAlign w:val="center"/>
          </w:tcPr>
          <w:p w14:paraId="75A7B67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Decision</w:t>
            </w:r>
          </w:p>
        </w:tc>
      </w:tr>
      <w:tr w:rsidR="007C06ED" w:rsidRPr="00EF0CCF" w14:paraId="358964EC" w14:textId="77777777">
        <w:tc>
          <w:tcPr>
            <w:tcW w:w="2400" w:type="dxa"/>
            <w:shd w:val="clear" w:color="auto" w:fill="F2F2F2"/>
            <w:tcMar>
              <w:top w:w="40" w:type="dxa"/>
              <w:left w:w="80" w:type="dxa"/>
              <w:bottom w:w="40" w:type="dxa"/>
              <w:right w:w="80" w:type="dxa"/>
            </w:tcMar>
            <w:vAlign w:val="center"/>
          </w:tcPr>
          <w:p w14:paraId="6BAB9E9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A + B</w:t>
            </w:r>
          </w:p>
        </w:tc>
        <w:tc>
          <w:tcPr>
            <w:tcW w:w="1650" w:type="dxa"/>
            <w:shd w:val="clear" w:color="auto" w:fill="F2F2F2"/>
            <w:tcMar>
              <w:top w:w="40" w:type="dxa"/>
              <w:left w:w="80" w:type="dxa"/>
              <w:bottom w:w="40" w:type="dxa"/>
              <w:right w:w="80" w:type="dxa"/>
            </w:tcMar>
            <w:vAlign w:val="center"/>
          </w:tcPr>
          <w:p w14:paraId="31EF2C5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100</w:t>
            </w:r>
          </w:p>
        </w:tc>
        <w:tc>
          <w:tcPr>
            <w:tcW w:w="1900" w:type="dxa"/>
            <w:shd w:val="clear" w:color="auto" w:fill="F2F2F2"/>
            <w:tcMar>
              <w:top w:w="40" w:type="dxa"/>
              <w:left w:w="80" w:type="dxa"/>
              <w:bottom w:w="40" w:type="dxa"/>
              <w:right w:w="80" w:type="dxa"/>
            </w:tcMar>
            <w:vAlign w:val="center"/>
          </w:tcPr>
          <w:p w14:paraId="3F84F5A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(12.62)</w:t>
            </w:r>
          </w:p>
        </w:tc>
        <w:tc>
          <w:tcPr>
            <w:tcW w:w="1650" w:type="dxa"/>
            <w:shd w:val="clear" w:color="auto" w:fill="F2F2F2"/>
            <w:tcMar>
              <w:top w:w="40" w:type="dxa"/>
              <w:left w:w="80" w:type="dxa"/>
              <w:bottom w:w="40" w:type="dxa"/>
              <w:right w:w="80" w:type="dxa"/>
            </w:tcMar>
            <w:vAlign w:val="center"/>
          </w:tcPr>
          <w:p w14:paraId="6ACFC3C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0.87</w:t>
            </w:r>
          </w:p>
        </w:tc>
        <w:tc>
          <w:tcPr>
            <w:tcW w:w="1750" w:type="dxa"/>
            <w:shd w:val="clear" w:color="auto" w:fill="F2F2F2"/>
            <w:tcMar>
              <w:top w:w="40" w:type="dxa"/>
              <w:left w:w="80" w:type="dxa"/>
              <w:bottom w:w="40" w:type="dxa"/>
              <w:right w:w="80" w:type="dxa"/>
            </w:tcMar>
            <w:vAlign w:val="center"/>
          </w:tcPr>
          <w:p w14:paraId="3F97970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Reject — both value-destructive</w:t>
            </w:r>
          </w:p>
        </w:tc>
      </w:tr>
      <w:tr w:rsidR="007C06ED" w:rsidRPr="00EF0CCF" w14:paraId="1C969C6C" w14:textId="77777777">
        <w:tc>
          <w:tcPr>
            <w:tcW w:w="2400" w:type="dxa"/>
            <w:shd w:val="clear" w:color="auto" w:fill="FFFFFF"/>
            <w:tcMar>
              <w:top w:w="40" w:type="dxa"/>
              <w:left w:w="80" w:type="dxa"/>
              <w:bottom w:w="40" w:type="dxa"/>
              <w:right w:w="80" w:type="dxa"/>
            </w:tcMar>
            <w:vAlign w:val="center"/>
          </w:tcPr>
          <w:p w14:paraId="72F17DD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B + C</w:t>
            </w:r>
          </w:p>
        </w:tc>
        <w:tc>
          <w:tcPr>
            <w:tcW w:w="1650" w:type="dxa"/>
            <w:shd w:val="clear" w:color="auto" w:fill="FFFFFF"/>
            <w:tcMar>
              <w:top w:w="40" w:type="dxa"/>
              <w:left w:w="80" w:type="dxa"/>
              <w:bottom w:w="40" w:type="dxa"/>
              <w:right w:w="80" w:type="dxa"/>
            </w:tcMar>
            <w:vAlign w:val="center"/>
          </w:tcPr>
          <w:p w14:paraId="35764FB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100</w:t>
            </w:r>
          </w:p>
        </w:tc>
        <w:tc>
          <w:tcPr>
            <w:tcW w:w="1900" w:type="dxa"/>
            <w:shd w:val="clear" w:color="auto" w:fill="FFFFFF"/>
            <w:tcMar>
              <w:top w:w="40" w:type="dxa"/>
              <w:left w:w="80" w:type="dxa"/>
              <w:bottom w:w="40" w:type="dxa"/>
              <w:right w:w="80" w:type="dxa"/>
            </w:tcMar>
            <w:vAlign w:val="center"/>
          </w:tcPr>
          <w:p w14:paraId="16DDF86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(5.22)</w:t>
            </w:r>
          </w:p>
        </w:tc>
        <w:tc>
          <w:tcPr>
            <w:tcW w:w="1650" w:type="dxa"/>
            <w:shd w:val="clear" w:color="auto" w:fill="FFFFFF"/>
            <w:tcMar>
              <w:top w:w="40" w:type="dxa"/>
              <w:left w:w="80" w:type="dxa"/>
              <w:bottom w:w="40" w:type="dxa"/>
              <w:right w:w="80" w:type="dxa"/>
            </w:tcMar>
            <w:vAlign w:val="center"/>
          </w:tcPr>
          <w:p w14:paraId="5C8E583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0.95</w:t>
            </w:r>
          </w:p>
        </w:tc>
        <w:tc>
          <w:tcPr>
            <w:tcW w:w="1750" w:type="dxa"/>
            <w:shd w:val="clear" w:color="auto" w:fill="FFFFFF"/>
            <w:tcMar>
              <w:top w:w="40" w:type="dxa"/>
              <w:left w:w="80" w:type="dxa"/>
              <w:bottom w:w="40" w:type="dxa"/>
              <w:right w:w="80" w:type="dxa"/>
            </w:tcMar>
            <w:vAlign w:val="center"/>
          </w:tcPr>
          <w:p w14:paraId="5BDBDC1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Second best — still value-destructive</w:t>
            </w:r>
          </w:p>
        </w:tc>
      </w:tr>
      <w:tr w:rsidR="007C06ED" w:rsidRPr="00EF0CCF" w14:paraId="50B5A403" w14:textId="77777777">
        <w:tc>
          <w:tcPr>
            <w:tcW w:w="2400" w:type="dxa"/>
            <w:shd w:val="clear" w:color="auto" w:fill="F2F2F2"/>
            <w:tcMar>
              <w:top w:w="40" w:type="dxa"/>
              <w:left w:w="80" w:type="dxa"/>
              <w:bottom w:w="40" w:type="dxa"/>
              <w:right w:w="80" w:type="dxa"/>
            </w:tcMar>
            <w:vAlign w:val="center"/>
          </w:tcPr>
          <w:p w14:paraId="58FB94B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A + C</w:t>
            </w:r>
          </w:p>
        </w:tc>
        <w:tc>
          <w:tcPr>
            <w:tcW w:w="1650" w:type="dxa"/>
            <w:shd w:val="clear" w:color="auto" w:fill="F2F2F2"/>
            <w:tcMar>
              <w:top w:w="40" w:type="dxa"/>
              <w:left w:w="80" w:type="dxa"/>
              <w:bottom w:w="40" w:type="dxa"/>
              <w:right w:w="80" w:type="dxa"/>
            </w:tcMar>
            <w:vAlign w:val="center"/>
          </w:tcPr>
          <w:p w14:paraId="4684A37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100</w:t>
            </w:r>
          </w:p>
        </w:tc>
        <w:tc>
          <w:tcPr>
            <w:tcW w:w="1900" w:type="dxa"/>
            <w:shd w:val="clear" w:color="auto" w:fill="F2F2F2"/>
            <w:tcMar>
              <w:top w:w="40" w:type="dxa"/>
              <w:left w:w="80" w:type="dxa"/>
              <w:bottom w:w="40" w:type="dxa"/>
              <w:right w:w="80" w:type="dxa"/>
            </w:tcMar>
            <w:vAlign w:val="center"/>
          </w:tcPr>
          <w:p w14:paraId="697F0F0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(5.69)</w:t>
            </w:r>
          </w:p>
        </w:tc>
        <w:tc>
          <w:tcPr>
            <w:tcW w:w="1650" w:type="dxa"/>
            <w:shd w:val="clear" w:color="auto" w:fill="F2F2F2"/>
            <w:tcMar>
              <w:top w:w="40" w:type="dxa"/>
              <w:left w:w="80" w:type="dxa"/>
              <w:bottom w:w="40" w:type="dxa"/>
              <w:right w:w="80" w:type="dxa"/>
            </w:tcMar>
            <w:vAlign w:val="center"/>
          </w:tcPr>
          <w:p w14:paraId="4A70456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0.94</w:t>
            </w:r>
          </w:p>
        </w:tc>
        <w:tc>
          <w:tcPr>
            <w:tcW w:w="1750" w:type="dxa"/>
            <w:shd w:val="clear" w:color="auto" w:fill="F2F2F2"/>
            <w:tcMar>
              <w:top w:w="40" w:type="dxa"/>
              <w:left w:w="80" w:type="dxa"/>
              <w:bottom w:w="40" w:type="dxa"/>
              <w:right w:w="80" w:type="dxa"/>
            </w:tcMar>
            <w:vAlign w:val="center"/>
          </w:tcPr>
          <w:p w14:paraId="502258C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Best feasible combination within budget</w:t>
            </w:r>
          </w:p>
        </w:tc>
      </w:tr>
      <w:tr w:rsidR="007C06ED" w:rsidRPr="00EF0CCF" w14:paraId="124BFF0A" w14:textId="77777777">
        <w:tc>
          <w:tcPr>
            <w:tcW w:w="2400" w:type="dxa"/>
            <w:shd w:val="clear" w:color="auto" w:fill="FFFFFF"/>
            <w:tcMar>
              <w:top w:w="40" w:type="dxa"/>
              <w:left w:w="80" w:type="dxa"/>
              <w:bottom w:w="40" w:type="dxa"/>
              <w:right w:w="80" w:type="dxa"/>
            </w:tcMar>
            <w:vAlign w:val="center"/>
          </w:tcPr>
          <w:p w14:paraId="6361E46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C only</w:t>
            </w:r>
          </w:p>
        </w:tc>
        <w:tc>
          <w:tcPr>
            <w:tcW w:w="1650" w:type="dxa"/>
            <w:shd w:val="clear" w:color="auto" w:fill="FFFFFF"/>
            <w:tcMar>
              <w:top w:w="40" w:type="dxa"/>
              <w:left w:w="80" w:type="dxa"/>
              <w:bottom w:w="40" w:type="dxa"/>
              <w:right w:w="80" w:type="dxa"/>
            </w:tcMar>
            <w:vAlign w:val="center"/>
          </w:tcPr>
          <w:p w14:paraId="3D83162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50</w:t>
            </w:r>
          </w:p>
        </w:tc>
        <w:tc>
          <w:tcPr>
            <w:tcW w:w="1900" w:type="dxa"/>
            <w:shd w:val="clear" w:color="auto" w:fill="FFFFFF"/>
            <w:tcMar>
              <w:top w:w="40" w:type="dxa"/>
              <w:left w:w="80" w:type="dxa"/>
              <w:bottom w:w="40" w:type="dxa"/>
              <w:right w:w="80" w:type="dxa"/>
            </w:tcMar>
            <w:vAlign w:val="center"/>
          </w:tcPr>
          <w:p w14:paraId="68F6E4B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0.86</w:t>
            </w:r>
          </w:p>
        </w:tc>
        <w:tc>
          <w:tcPr>
            <w:tcW w:w="1650" w:type="dxa"/>
            <w:shd w:val="clear" w:color="auto" w:fill="FFFFFF"/>
            <w:tcMar>
              <w:top w:w="40" w:type="dxa"/>
              <w:left w:w="80" w:type="dxa"/>
              <w:bottom w:w="40" w:type="dxa"/>
              <w:right w:w="80" w:type="dxa"/>
            </w:tcMar>
            <w:vAlign w:val="center"/>
          </w:tcPr>
          <w:p w14:paraId="62B0F99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1.02</w:t>
            </w:r>
          </w:p>
        </w:tc>
        <w:tc>
          <w:tcPr>
            <w:tcW w:w="1750" w:type="dxa"/>
            <w:shd w:val="clear" w:color="auto" w:fill="FFFFFF"/>
            <w:tcMar>
              <w:top w:w="40" w:type="dxa"/>
              <w:left w:w="80" w:type="dxa"/>
              <w:bottom w:w="40" w:type="dxa"/>
              <w:right w:w="80" w:type="dxa"/>
            </w:tcMar>
            <w:vAlign w:val="center"/>
          </w:tcPr>
          <w:p w14:paraId="3A6365F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Highest NPV single project; £50m unused</w:t>
            </w:r>
          </w:p>
        </w:tc>
      </w:tr>
    </w:tbl>
    <w:p w14:paraId="0883E699" w14:textId="623B63BD" w:rsidR="007C06ED" w:rsidRPr="00EF0CCF" w:rsidRDefault="00000000" w:rsidP="00F34017">
      <w:pPr>
        <w:spacing w:before="120" w:after="240" w:line="360" w:lineRule="auto"/>
        <w:jc w:val="center"/>
        <w:rPr>
          <w:rFonts w:ascii="Times New Roman" w:hAnsi="Times New Roman" w:cs="Times New Roman"/>
          <w:i/>
          <w:iCs/>
          <w:sz w:val="20"/>
          <w:szCs w:val="20"/>
        </w:rPr>
      </w:pPr>
      <w:r w:rsidRPr="00EF0CCF">
        <w:rPr>
          <w:rFonts w:ascii="Times New Roman" w:hAnsi="Times New Roman" w:cs="Times New Roman"/>
          <w:i/>
          <w:iCs/>
          <w:sz w:val="20"/>
          <w:szCs w:val="20"/>
        </w:rPr>
        <w:t>Table 4. Capital Rationing Analysis (£100m Budget Constraint</w:t>
      </w:r>
      <w:proofErr w:type="gramStart"/>
      <w:r w:rsidRPr="00EF0CCF">
        <w:rPr>
          <w:rFonts w:ascii="Times New Roman" w:hAnsi="Times New Roman" w:cs="Times New Roman"/>
          <w:i/>
          <w:iCs/>
          <w:sz w:val="20"/>
          <w:szCs w:val="20"/>
        </w:rPr>
        <w:t>).</w:t>
      </w:r>
      <w:proofErr w:type="spellStart"/>
      <w:r w:rsidR="00127FDA">
        <w:rPr>
          <w:rFonts w:ascii="Times New Roman" w:hAnsi="Times New Roman" w:cs="Times New Roman"/>
          <w:i/>
          <w:iCs/>
          <w:sz w:val="20"/>
          <w:szCs w:val="20"/>
        </w:rPr>
        <w:t>bfx</w:t>
      </w:r>
      <w:proofErr w:type="spellEnd"/>
      <w:proofErr w:type="gramEnd"/>
    </w:p>
    <w:p w14:paraId="5CD5D0DB" w14:textId="0C363596" w:rsidR="00DC3512" w:rsidRPr="00EF0CCF" w:rsidRDefault="00EF0CCF" w:rsidP="00EF0CCF">
      <w:pPr>
        <w:spacing w:line="360" w:lineRule="auto"/>
        <w:jc w:val="both"/>
        <w:rPr>
          <w:rFonts w:ascii="Times New Roman" w:hAnsi="Times New Roman" w:cs="Times New Roman"/>
        </w:rPr>
      </w:pPr>
      <w:r w:rsidRPr="00EF0CCF">
        <w:rPr>
          <w:rFonts w:ascii="Times New Roman" w:hAnsi="Times New Roman" w:cs="Times New Roman"/>
        </w:rPr>
        <w:t xml:space="preserve">Notably, no two-project combination provides a positive combined NPV: although Project A + Project C gives the least negative combined NPV (-£5.69m) the two-project combination, the combined NPV is still negative, and Project B + Project C is actually marginally better in terms of weighted PI (0.95 compared to 0.94). Marginally, with strict capital rationing logic (with a finite amount of capital, rank the projects by profit/weighted capital when all capital is being allocated) Project B + Project C would be chosen over Project A + Project C, as it results in the greater weighted PI at equal total capital expenditure. The analysis however also shows that spending the full £100m is not value maximising – using only £50m of the budget on Project C alone gives the highest NPV of any of the options </w:t>
      </w:r>
      <w:r w:rsidR="00F34017" w:rsidRPr="00EF0CCF">
        <w:rPr>
          <w:rFonts w:ascii="Times New Roman" w:hAnsi="Times New Roman" w:cs="Times New Roman"/>
        </w:rPr>
        <w:t>analysed and</w:t>
      </w:r>
      <w:r w:rsidRPr="00EF0CCF">
        <w:rPr>
          <w:rFonts w:ascii="Times New Roman" w:hAnsi="Times New Roman" w:cs="Times New Roman"/>
        </w:rPr>
        <w:t xml:space="preserve"> returns the unused £50m of capital either to shareholders (in line with IHG's current buyback policy) or into a buffer to pay for the working-capital reforms recommended in Section 3 of this report. The CFO's proposal, therefore, is to invest £50m into project C alone, reject projects A and B outright and instead use the remaining £50m that could be allocated to higher return projects – and in particular to bolster liquidity – rather than be "locked in" into a second project that would be value-destroying merely in order to use up the notional allocation.</w:t>
      </w:r>
    </w:p>
    <w:p w14:paraId="1EAF36C2" w14:textId="77777777" w:rsidR="007C06ED" w:rsidRPr="00EF0CCF" w:rsidRDefault="00000000" w:rsidP="00EF0CCF">
      <w:pPr>
        <w:pStyle w:val="Heading1"/>
        <w:spacing w:line="360" w:lineRule="auto"/>
        <w:jc w:val="both"/>
        <w:rPr>
          <w:rFonts w:ascii="Times New Roman" w:hAnsi="Times New Roman" w:cs="Times New Roman"/>
          <w:color w:val="auto"/>
        </w:rPr>
      </w:pPr>
      <w:bookmarkStart w:id="21" w:name="_Toc234456114"/>
      <w:r w:rsidRPr="00EF0CCF">
        <w:rPr>
          <w:rFonts w:ascii="Times New Roman" w:hAnsi="Times New Roman" w:cs="Times New Roman"/>
          <w:color w:val="auto"/>
        </w:rPr>
        <w:t>6. Critical Reflection on AI Usage</w:t>
      </w:r>
      <w:bookmarkEnd w:id="21"/>
    </w:p>
    <w:p w14:paraId="3F256293" w14:textId="25D69B67" w:rsidR="00EF0CCF" w:rsidRPr="00EF0CCF" w:rsidRDefault="00EF0CCF" w:rsidP="00EF0CCF">
      <w:pPr>
        <w:spacing w:line="360" w:lineRule="auto"/>
        <w:jc w:val="both"/>
        <w:rPr>
          <w:rFonts w:ascii="Times New Roman" w:hAnsi="Times New Roman" w:cs="Times New Roman"/>
        </w:rPr>
      </w:pPr>
      <w:r w:rsidRPr="00EF0CCF">
        <w:rPr>
          <w:rFonts w:ascii="Times New Roman" w:hAnsi="Times New Roman" w:cs="Times New Roman"/>
        </w:rPr>
        <w:lastRenderedPageBreak/>
        <w:t>This is a critical reflection explaining how generative artificial intelligence (ai) was used in the production of this report, in accordance with the AI Use Acknowledgement of the module. The acknowledgement allows use for research and data analysis, proofreading, but not for structuring submissions or production of text for submission.</w:t>
      </w:r>
    </w:p>
    <w:p w14:paraId="42D474BD" w14:textId="77777777" w:rsidR="007C06ED" w:rsidRPr="00EF0CCF" w:rsidRDefault="00000000" w:rsidP="00EF0CCF">
      <w:pPr>
        <w:pStyle w:val="Heading2"/>
        <w:spacing w:line="360" w:lineRule="auto"/>
        <w:jc w:val="both"/>
        <w:rPr>
          <w:rFonts w:ascii="Times New Roman" w:hAnsi="Times New Roman" w:cs="Times New Roman"/>
          <w:color w:val="auto"/>
        </w:rPr>
      </w:pPr>
      <w:bookmarkStart w:id="22" w:name="_Toc234456115"/>
      <w:r w:rsidRPr="00EF0CCF">
        <w:rPr>
          <w:rFonts w:ascii="Times New Roman" w:hAnsi="Times New Roman" w:cs="Times New Roman"/>
          <w:color w:val="auto"/>
        </w:rPr>
        <w:t>6.1 Tool Disclosure</w:t>
      </w:r>
      <w:bookmarkEnd w:id="22"/>
    </w:p>
    <w:p w14:paraId="00B32D51" w14:textId="1D0C9184" w:rsidR="00EF0CCF" w:rsidRPr="00EF0CCF" w:rsidRDefault="00EF0CCF" w:rsidP="00EF0CCF">
      <w:pPr>
        <w:spacing w:after="200" w:line="360" w:lineRule="auto"/>
        <w:jc w:val="both"/>
        <w:rPr>
          <w:rFonts w:ascii="Times New Roman" w:hAnsi="Times New Roman" w:cs="Times New Roman"/>
        </w:rPr>
      </w:pPr>
      <w:r w:rsidRPr="00EF0CCF">
        <w:rPr>
          <w:rFonts w:ascii="Times New Roman" w:hAnsi="Times New Roman" w:cs="Times New Roman"/>
        </w:rPr>
        <w:t>Generative AI was used at three defined stages of this assessment, consistent with the module's AI use acknowledgement, which permits AI support for research, structuring, proofreading, writing, creative and programming tasks. First, AI was used to locate and summarise peer-reviewed academic sources (2020–2025) on hospitality corporate finance, working capital management, capital budgeting and ESG performance, to inform the literature engagement required by the assessment criteria. Second, AI assisted in structuring the report around the five required sections and drafting narrative explanations of ratio movements and investment appraisal results. Third, AI supported spreadsheet-based calculation of the ratio analysis, working capital metrics, and the NPV/IRR/PI/PBP/ARR investment appraisal workings, cross-checked against manually verified formulas.</w:t>
      </w:r>
    </w:p>
    <w:p w14:paraId="710AD2F5" w14:textId="77777777" w:rsidR="007C06ED" w:rsidRPr="00EF0CCF" w:rsidRDefault="00000000" w:rsidP="00EF0CCF">
      <w:pPr>
        <w:pStyle w:val="Heading2"/>
        <w:spacing w:line="360" w:lineRule="auto"/>
        <w:jc w:val="both"/>
        <w:rPr>
          <w:rFonts w:ascii="Times New Roman" w:hAnsi="Times New Roman" w:cs="Times New Roman"/>
          <w:color w:val="auto"/>
        </w:rPr>
      </w:pPr>
      <w:bookmarkStart w:id="23" w:name="_Toc234456116"/>
      <w:r w:rsidRPr="00EF0CCF">
        <w:rPr>
          <w:rFonts w:ascii="Times New Roman" w:hAnsi="Times New Roman" w:cs="Times New Roman"/>
          <w:color w:val="auto"/>
        </w:rPr>
        <w:t>6.2 Critical Evaluation of AI Output</w:t>
      </w:r>
      <w:bookmarkEnd w:id="23"/>
    </w:p>
    <w:p w14:paraId="0FD9F5D2" w14:textId="3EC0CC1A" w:rsidR="00EF0CCF" w:rsidRPr="00EF0CCF" w:rsidRDefault="00EF0CCF" w:rsidP="00EF0CCF">
      <w:pPr>
        <w:spacing w:after="200" w:line="360" w:lineRule="auto"/>
        <w:jc w:val="both"/>
        <w:rPr>
          <w:rFonts w:ascii="Times New Roman" w:hAnsi="Times New Roman" w:cs="Times New Roman"/>
        </w:rPr>
      </w:pPr>
      <w:r w:rsidRPr="00EF0CCF">
        <w:rPr>
          <w:rFonts w:ascii="Times New Roman" w:hAnsi="Times New Roman" w:cs="Times New Roman"/>
        </w:rPr>
        <w:t xml:space="preserve">The AI-generated research summaries were carefully independently verified. For each source that was suggested or summarised by AI, the original article and journal, volume, issue, DOI (if available), and key findings were checked against the published version, and the citation was retained only if these were present. Summaries that were inaccurate, overgeneralized, lacked caveats or unsubstantiated claims were either rejected or amended by consulting the source material. In this report, no financial data, ratio calculations, working capital figures, investment appraisal (NPV, IRR, PI, PBP, ARR) were generated or verified by AI. The quantitative analysis performed was done manually by the author, using the published Annual Report, income statement, balance sheet and cash flow statements of IHG over 5 years. This way no number hallucination or logical errors were introduced into the financial analysis of the core. Given this increasing academic awareness of the role generative AI is playing in financial disclosure text generation, human oversight and 'source level verification' are important mitigation measures (Blankespoor, </w:t>
      </w:r>
      <w:proofErr w:type="spellStart"/>
      <w:r w:rsidRPr="00EF0CCF">
        <w:rPr>
          <w:rFonts w:ascii="Times New Roman" w:hAnsi="Times New Roman" w:cs="Times New Roman"/>
        </w:rPr>
        <w:t>deHaan</w:t>
      </w:r>
      <w:proofErr w:type="spellEnd"/>
      <w:r w:rsidRPr="00EF0CCF">
        <w:rPr>
          <w:rFonts w:ascii="Times New Roman" w:hAnsi="Times New Roman" w:cs="Times New Roman"/>
        </w:rPr>
        <w:t xml:space="preserve"> and Li, 2026).</w:t>
      </w:r>
    </w:p>
    <w:p w14:paraId="49306780" w14:textId="77777777" w:rsidR="007C06ED" w:rsidRPr="00EF0CCF" w:rsidRDefault="00000000" w:rsidP="00EF0CCF">
      <w:pPr>
        <w:pStyle w:val="Heading2"/>
        <w:spacing w:line="360" w:lineRule="auto"/>
        <w:jc w:val="both"/>
        <w:rPr>
          <w:rFonts w:ascii="Times New Roman" w:hAnsi="Times New Roman" w:cs="Times New Roman"/>
          <w:color w:val="auto"/>
        </w:rPr>
      </w:pPr>
      <w:bookmarkStart w:id="24" w:name="_Toc234456117"/>
      <w:r w:rsidRPr="00EF0CCF">
        <w:rPr>
          <w:rFonts w:ascii="Times New Roman" w:hAnsi="Times New Roman" w:cs="Times New Roman"/>
          <w:color w:val="auto"/>
        </w:rPr>
        <w:t>6.3 Contribution Analysis</w:t>
      </w:r>
      <w:bookmarkEnd w:id="24"/>
    </w:p>
    <w:p w14:paraId="5F5308A1" w14:textId="21E9F09E" w:rsidR="00EF0CCF" w:rsidRPr="00EF0CCF" w:rsidRDefault="00EF0CCF" w:rsidP="00EF0CCF">
      <w:pPr>
        <w:spacing w:after="200" w:line="360" w:lineRule="auto"/>
        <w:jc w:val="both"/>
        <w:rPr>
          <w:rFonts w:ascii="Times New Roman" w:hAnsi="Times New Roman" w:cs="Times New Roman"/>
        </w:rPr>
      </w:pPr>
      <w:r w:rsidRPr="00EF0CCF">
        <w:rPr>
          <w:rFonts w:ascii="Times New Roman" w:hAnsi="Times New Roman" w:cs="Times New Roman"/>
        </w:rPr>
        <w:lastRenderedPageBreak/>
        <w:t>AI's role was only to speed up identification of relevant scholarly works and to give broad summaries of important academic issues. The author has chosen sources for furthermore in-depth reading and research, synthesised the literature, and incorporated the information into the arguments in the report. The ideas in substantive analysis and strategic reasoning are the author's own. This includes: the 5-year financial health assessment and ratio interpretation; the cash operating cycle analysis and working capital recommendations; the evaluation of restructuring options and their impact on shareholder value, debt structure and operational flexibility (including international and ethical considerations); the investment appraisal of Projects A, B and C using all five of the methods; the capital rationing analysis under the £100m restriction; and the final recommendations (which are clearly related to the financial position, liquidity profile and non-financial risks of IHG). The arguments and conclusions do not reflect the influence of AI.</w:t>
      </w:r>
    </w:p>
    <w:p w14:paraId="4545E7C4" w14:textId="77777777" w:rsidR="007C06ED" w:rsidRPr="00EF0CCF" w:rsidRDefault="00000000" w:rsidP="00EF0CCF">
      <w:pPr>
        <w:pStyle w:val="Heading2"/>
        <w:spacing w:line="360" w:lineRule="auto"/>
        <w:jc w:val="both"/>
        <w:rPr>
          <w:rFonts w:ascii="Times New Roman" w:hAnsi="Times New Roman" w:cs="Times New Roman"/>
          <w:color w:val="auto"/>
        </w:rPr>
      </w:pPr>
      <w:bookmarkStart w:id="25" w:name="_Toc234456118"/>
      <w:r w:rsidRPr="00EF0CCF">
        <w:rPr>
          <w:rFonts w:ascii="Times New Roman" w:hAnsi="Times New Roman" w:cs="Times New Roman"/>
          <w:color w:val="auto"/>
        </w:rPr>
        <w:t>6.4 Ethical and Professional Reflection</w:t>
      </w:r>
      <w:bookmarkEnd w:id="25"/>
    </w:p>
    <w:p w14:paraId="53FC5F8F" w14:textId="235AC5D8" w:rsidR="00EF0CCF" w:rsidRPr="00EF0CCF" w:rsidRDefault="00EF0CCF" w:rsidP="00EF0CCF">
      <w:pPr>
        <w:spacing w:after="200" w:line="360" w:lineRule="auto"/>
        <w:jc w:val="both"/>
        <w:rPr>
          <w:rFonts w:ascii="Times New Roman" w:hAnsi="Times New Roman" w:cs="Times New Roman"/>
        </w:rPr>
      </w:pPr>
      <w:r w:rsidRPr="00EF0CCF">
        <w:rPr>
          <w:rFonts w:ascii="Times New Roman" w:hAnsi="Times New Roman" w:cs="Times New Roman"/>
        </w:rPr>
        <w:t xml:space="preserve">The application of generative AI in financial areas, even as allowed, involves ethical and professional issues. Transparency is key: if an AI is used to provide assistance, it must be acknowledged by internal parties and, in the event, it is of material importance to the business, to auditors and/or to shareholders, as there is increasing evidence that a significant portion of corporate disclosure text is already AI-assisted (Blankespoor, </w:t>
      </w:r>
      <w:proofErr w:type="spellStart"/>
      <w:r w:rsidRPr="00EF0CCF">
        <w:rPr>
          <w:rFonts w:ascii="Times New Roman" w:hAnsi="Times New Roman" w:cs="Times New Roman"/>
        </w:rPr>
        <w:t>deHaan</w:t>
      </w:r>
      <w:proofErr w:type="spellEnd"/>
      <w:r w:rsidRPr="00EF0CCF">
        <w:rPr>
          <w:rFonts w:ascii="Times New Roman" w:hAnsi="Times New Roman" w:cs="Times New Roman"/>
        </w:rPr>
        <w:t xml:space="preserve"> and Li, 2026). Care must be taken to ensure that the privacy of the data is safeguarded. This report relied solely on publicly available annual reports and academic literature; non-public and price-sensitive information would pose significant confidentiality and market abuse issues if entered a generative AI system in professional practice. The biggest pitfall in the business world is relying too much on. The rapid rise in the use of generative AI in accounting and finance roles could lead executives to believe that it can replace critical judgment and accountability. This report has been an example of responsible practice by having every material conclusion (that IHG's equity situation is negative because of the asset-light model, for example, or that Project C would be prioritised subject to appropriate sensitivity assumptions, or that measured share buybacks would be preferred to more aggressive leverage, or that the overall turnaround plan is financially viable and ethically sound) stand on its own on the basis of source data and be justified against known financial management principles. In executive positions, AI tools must remain as aids for research and efficiency and within specific governing parameters, not taking </w:t>
      </w:r>
      <w:r w:rsidRPr="00EF0CCF">
        <w:rPr>
          <w:rFonts w:ascii="Times New Roman" w:hAnsi="Times New Roman" w:cs="Times New Roman"/>
        </w:rPr>
        <w:lastRenderedPageBreak/>
        <w:t>the place of the professional scepticisms, subject-matter expertise and individual responsibility that define the role of the CFO.</w:t>
      </w:r>
    </w:p>
    <w:p w14:paraId="1617ADDF" w14:textId="77777777" w:rsidR="007C06ED" w:rsidRPr="00EF0CCF" w:rsidRDefault="00000000" w:rsidP="00EF0CCF">
      <w:pPr>
        <w:pStyle w:val="Heading1"/>
        <w:spacing w:line="360" w:lineRule="auto"/>
        <w:jc w:val="both"/>
        <w:rPr>
          <w:rFonts w:ascii="Times New Roman" w:hAnsi="Times New Roman" w:cs="Times New Roman"/>
          <w:color w:val="auto"/>
        </w:rPr>
      </w:pPr>
      <w:bookmarkStart w:id="26" w:name="_Toc234456119"/>
      <w:r w:rsidRPr="00EF0CCF">
        <w:rPr>
          <w:rFonts w:ascii="Times New Roman" w:hAnsi="Times New Roman" w:cs="Times New Roman"/>
          <w:color w:val="auto"/>
        </w:rPr>
        <w:t>7. Conclusion</w:t>
      </w:r>
      <w:bookmarkEnd w:id="26"/>
    </w:p>
    <w:p w14:paraId="719E4B45" w14:textId="2E3E09F7" w:rsidR="00EF0CCF" w:rsidRPr="00EF0CCF" w:rsidRDefault="00EF0CCF" w:rsidP="00EF0CCF">
      <w:pPr>
        <w:spacing w:after="200" w:line="360" w:lineRule="auto"/>
        <w:jc w:val="both"/>
        <w:rPr>
          <w:rFonts w:ascii="Times New Roman" w:hAnsi="Times New Roman" w:cs="Times New Roman"/>
        </w:rPr>
      </w:pPr>
      <w:r w:rsidRPr="00EF0CCF">
        <w:rPr>
          <w:rFonts w:ascii="Times New Roman" w:hAnsi="Times New Roman" w:cs="Times New Roman"/>
        </w:rPr>
        <w:t>IHG's five-year financial performance highlights a robust asset light recovery from the lows of COVID-19 – margins are up, asset turnover and free cash flow are both higher than before the pandemic and leverage is now comfortably within the Group's target range. The most significant financial risk found is a decline in current ratio coupled with an unfavourable shareholders' equity position, suggesting a need for increased working-capital discipline and more conservative dividend payments to shareholders over the coming year rather than continued growth on the back of leverage. Of the three proposed investment projects, only Project C generates shareholder value on a risk-adjusted discounted-cash-flow basis and should be undertaken separately with a £50m investment budget rather than being combined with a value-destructive second project for the sake of spending out the £100m budget. Combined, the recommendations outlined a financially sustainable, cross-border and values-driven approach: sustained and disciplined cash-based growth; careful ESG positioning under governance; and stringent, independent professional financial oversight alongside AI tools, rather than their replacement.</w:t>
      </w:r>
    </w:p>
    <w:p w14:paraId="3234D192" w14:textId="77777777" w:rsidR="00EF0CCF" w:rsidRPr="00EF0CCF" w:rsidRDefault="00EF0CCF" w:rsidP="00EF0CCF">
      <w:pPr>
        <w:spacing w:after="200" w:line="360" w:lineRule="auto"/>
        <w:jc w:val="both"/>
        <w:rPr>
          <w:rFonts w:ascii="Times New Roman" w:hAnsi="Times New Roman" w:cs="Times New Roman"/>
        </w:rPr>
      </w:pPr>
    </w:p>
    <w:p w14:paraId="74E5AEA9" w14:textId="77777777" w:rsidR="00EF0CCF" w:rsidRPr="00EF0CCF" w:rsidRDefault="00EF0CCF" w:rsidP="00EF0CCF">
      <w:pPr>
        <w:spacing w:after="200" w:line="360" w:lineRule="auto"/>
        <w:jc w:val="both"/>
        <w:rPr>
          <w:rFonts w:ascii="Times New Roman" w:hAnsi="Times New Roman" w:cs="Times New Roman"/>
        </w:rPr>
      </w:pPr>
    </w:p>
    <w:p w14:paraId="4EBC4A0F" w14:textId="77777777" w:rsidR="00EF0CCF" w:rsidRPr="00EF0CCF" w:rsidRDefault="00EF0CCF" w:rsidP="00EF0CCF">
      <w:pPr>
        <w:spacing w:after="200" w:line="360" w:lineRule="auto"/>
        <w:jc w:val="both"/>
        <w:rPr>
          <w:rFonts w:ascii="Times New Roman" w:hAnsi="Times New Roman" w:cs="Times New Roman"/>
        </w:rPr>
      </w:pPr>
    </w:p>
    <w:p w14:paraId="67487801" w14:textId="77777777" w:rsidR="00EF0CCF" w:rsidRPr="00EF0CCF" w:rsidRDefault="00EF0CCF" w:rsidP="00EF0CCF">
      <w:pPr>
        <w:spacing w:after="200" w:line="360" w:lineRule="auto"/>
        <w:jc w:val="both"/>
        <w:rPr>
          <w:rFonts w:ascii="Times New Roman" w:hAnsi="Times New Roman" w:cs="Times New Roman"/>
        </w:rPr>
      </w:pPr>
    </w:p>
    <w:p w14:paraId="1566D029" w14:textId="77777777" w:rsidR="00EF0CCF" w:rsidRPr="00EF0CCF" w:rsidRDefault="00EF0CCF" w:rsidP="00EF0CCF">
      <w:pPr>
        <w:spacing w:after="200" w:line="360" w:lineRule="auto"/>
        <w:jc w:val="both"/>
        <w:rPr>
          <w:rFonts w:ascii="Times New Roman" w:hAnsi="Times New Roman" w:cs="Times New Roman"/>
        </w:rPr>
      </w:pPr>
    </w:p>
    <w:p w14:paraId="32DC3C32" w14:textId="77777777" w:rsidR="00EF0CCF" w:rsidRPr="00EF0CCF" w:rsidRDefault="00EF0CCF" w:rsidP="00EF0CCF">
      <w:pPr>
        <w:spacing w:after="200" w:line="360" w:lineRule="auto"/>
        <w:jc w:val="both"/>
        <w:rPr>
          <w:rFonts w:ascii="Times New Roman" w:hAnsi="Times New Roman" w:cs="Times New Roman"/>
        </w:rPr>
      </w:pPr>
    </w:p>
    <w:p w14:paraId="0232CA33" w14:textId="77777777" w:rsidR="00EF0CCF" w:rsidRPr="00EF0CCF" w:rsidRDefault="00EF0CCF" w:rsidP="00EF0CCF">
      <w:pPr>
        <w:spacing w:after="200" w:line="360" w:lineRule="auto"/>
        <w:jc w:val="both"/>
        <w:rPr>
          <w:rFonts w:ascii="Times New Roman" w:hAnsi="Times New Roman" w:cs="Times New Roman"/>
        </w:rPr>
      </w:pPr>
    </w:p>
    <w:p w14:paraId="774EE281" w14:textId="77777777" w:rsidR="00EF0CCF" w:rsidRPr="00EF0CCF" w:rsidRDefault="00EF0CCF" w:rsidP="00EF0CCF">
      <w:pPr>
        <w:spacing w:after="200" w:line="360" w:lineRule="auto"/>
        <w:jc w:val="both"/>
        <w:rPr>
          <w:rFonts w:ascii="Times New Roman" w:hAnsi="Times New Roman" w:cs="Times New Roman"/>
        </w:rPr>
      </w:pPr>
    </w:p>
    <w:p w14:paraId="68DD8632" w14:textId="77777777" w:rsidR="00EF0CCF" w:rsidRDefault="00EF0CCF" w:rsidP="00EF0CCF">
      <w:pPr>
        <w:spacing w:after="200" w:line="360" w:lineRule="auto"/>
        <w:jc w:val="both"/>
        <w:rPr>
          <w:rFonts w:ascii="Times New Roman" w:hAnsi="Times New Roman" w:cs="Times New Roman"/>
        </w:rPr>
      </w:pPr>
    </w:p>
    <w:p w14:paraId="1DABBAE5" w14:textId="77777777" w:rsidR="00EF0CCF" w:rsidRPr="00EF0CCF" w:rsidRDefault="00EF0CCF" w:rsidP="00EF0CCF">
      <w:pPr>
        <w:spacing w:after="200" w:line="360" w:lineRule="auto"/>
        <w:jc w:val="both"/>
        <w:rPr>
          <w:rFonts w:ascii="Times New Roman" w:hAnsi="Times New Roman" w:cs="Times New Roman"/>
        </w:rPr>
      </w:pPr>
    </w:p>
    <w:p w14:paraId="024CDB69" w14:textId="77777777" w:rsidR="007C06ED" w:rsidRPr="00EF0CCF" w:rsidRDefault="00000000" w:rsidP="00EF0CCF">
      <w:pPr>
        <w:pStyle w:val="Heading1"/>
        <w:spacing w:line="360" w:lineRule="auto"/>
        <w:jc w:val="both"/>
        <w:rPr>
          <w:rFonts w:ascii="Times New Roman" w:hAnsi="Times New Roman" w:cs="Times New Roman"/>
          <w:color w:val="auto"/>
        </w:rPr>
      </w:pPr>
      <w:bookmarkStart w:id="27" w:name="_Toc234456120"/>
      <w:r w:rsidRPr="00EF0CCF">
        <w:rPr>
          <w:rFonts w:ascii="Times New Roman" w:hAnsi="Times New Roman" w:cs="Times New Roman"/>
          <w:color w:val="auto"/>
        </w:rPr>
        <w:lastRenderedPageBreak/>
        <w:t>References</w:t>
      </w:r>
      <w:bookmarkEnd w:id="27"/>
    </w:p>
    <w:p w14:paraId="5989F5C7"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Alvarez &amp; Marsal (2023) Hotel Acquisitions: Big Acquisitions/Industry Consolidation Largely Done. Available at: https://www.alvarezandmarsal.com/sites/default/files/2023-11/Hotel_Acquisitions_TL_FINAL.pdf (Accessed: 9 July 2026).</w:t>
      </w:r>
    </w:p>
    <w:p w14:paraId="1CA6BAB3"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 xml:space="preserve">Blankespoor, E., </w:t>
      </w:r>
      <w:proofErr w:type="spellStart"/>
      <w:r w:rsidRPr="00EF0CCF">
        <w:rPr>
          <w:rFonts w:ascii="Times New Roman" w:hAnsi="Times New Roman" w:cs="Times New Roman"/>
        </w:rPr>
        <w:t>deHaan</w:t>
      </w:r>
      <w:proofErr w:type="spellEnd"/>
      <w:r w:rsidRPr="00EF0CCF">
        <w:rPr>
          <w:rFonts w:ascii="Times New Roman" w:hAnsi="Times New Roman" w:cs="Times New Roman"/>
        </w:rPr>
        <w:t>, E. and Li, Q. (2024) 'Generative AI in Financial Reporting', Journal of Accounting Research. Available at: https://onlinelibrary.wiley.com/doi/10.1111/1475-679x.70050 (Accessed: 9 July 2026).</w:t>
      </w:r>
    </w:p>
    <w:p w14:paraId="4355229E"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Boston Hospitality Review (2021) 'Asset-Light Business Model: Strategies for Hotels During the Pandemic'. Available at: https://www.bu.edu/bhr/2021/05/31/asset-light-business-model-strategies-for-hotels-during-the-pandemic/ (Accessed: 9 July 2026).</w:t>
      </w:r>
    </w:p>
    <w:p w14:paraId="341DED14"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CBRE (2023) Sustainability and ESG Adoption in the Hotel Industry: A Global Status Update. Available at: https://www.cbre.com/insights/reports/sustainability-and-esg-adoption-in-the-hotel-industry (Accessed: 9 July 2026).</w:t>
      </w:r>
    </w:p>
    <w:p w14:paraId="7B1CDE65"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 xml:space="preserve">Chambers, N. and </w:t>
      </w:r>
      <w:proofErr w:type="spellStart"/>
      <w:r w:rsidRPr="00EF0CCF">
        <w:rPr>
          <w:rFonts w:ascii="Times New Roman" w:hAnsi="Times New Roman" w:cs="Times New Roman"/>
        </w:rPr>
        <w:t>Cifter</w:t>
      </w:r>
      <w:proofErr w:type="spellEnd"/>
      <w:r w:rsidRPr="00EF0CCF">
        <w:rPr>
          <w:rFonts w:ascii="Times New Roman" w:hAnsi="Times New Roman" w:cs="Times New Roman"/>
        </w:rPr>
        <w:t>, A. (2022) 'Working capital management and firm performance in the hospitality and tourism industry', International Journal of Hospitality Management, 102, 103144. Available at: https://doi.org/10.1016/j.ijhm.2022.103144</w:t>
      </w:r>
    </w:p>
    <w:p w14:paraId="1D8CC97F"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Chen, C.D., Su, C.H.J. and Chen, M.H. (2022) 'Are ESG-committed hotels financially resilient to the COVID-19 pandemic? An autoregressive jump intensity trend model', Tourism Management, 93, 104581. Available at: https://doi.org/10.1016/j.tourman.2022.104581</w:t>
      </w:r>
    </w:p>
    <w:p w14:paraId="3D1AC9E7"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Deloitte UK (2024) European Hotel Industry &amp; Investment Survey 2024. Available at: https://www.deloitte.com/uk/en/Industries/consumer/research/european-hotel-industry-and-investment-survey-2024.html (Accessed: 9 July 2026).</w:t>
      </w:r>
    </w:p>
    <w:p w14:paraId="47C088AC"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García-Gómez, C.D., Bilgin, M.H., Demir, E. and Díez-Esteban, J.M. (2021) 'Leverage and performance: the case of the U.S. hospitality industry', Quantitative Finance and Economics, 5(2), pp.228–246. Available at: https://doi.org/10.3934/QFE.2021010</w:t>
      </w:r>
    </w:p>
    <w:p w14:paraId="4047FB96"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IBISWorld (2024) Hotels &amp; Motels Industry Report. IBISWorld [subscription database — not open access; industry benchmark data cited via workbook data source].</w:t>
      </w:r>
    </w:p>
    <w:p w14:paraId="248B7FD0"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lastRenderedPageBreak/>
        <w:t>IHG plc (2022) Annual Report and Form 20-F 2022. InterContinental Hotels Group. Available at: https://www.ihgplc.com/en/investors (Accessed: 9 July 2026).</w:t>
      </w:r>
    </w:p>
    <w:p w14:paraId="16B30BA2"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IHG plc (2025a) Annual Report and Form 20-F 2024. SEC EDGAR. Available at: https://www.sec.gov/Archives/edgar/data/858446/000119312525037543/d867363d20f.htm (Accessed: 9 July 2026).</w:t>
      </w:r>
    </w:p>
    <w:p w14:paraId="6DD1FAC0"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IHG plc (2025b) Full Year Results for the year to 31 December 2024. Available at: https://www.ihgplc.com/en/news-and-media/news-releases/2025/full-year-results-for-the-year-to-31-dec-2024 (Accessed: 9 July 2026).</w:t>
      </w:r>
    </w:p>
    <w:p w14:paraId="2B8D7ABB" w14:textId="77777777" w:rsidR="007C06ED" w:rsidRPr="00EF0CCF" w:rsidRDefault="00000000" w:rsidP="00EF0CCF">
      <w:pPr>
        <w:spacing w:after="200" w:line="360" w:lineRule="auto"/>
        <w:ind w:left="720" w:hanging="720"/>
        <w:jc w:val="both"/>
        <w:rPr>
          <w:rFonts w:ascii="Times New Roman" w:hAnsi="Times New Roman" w:cs="Times New Roman"/>
        </w:rPr>
      </w:pPr>
      <w:proofErr w:type="spellStart"/>
      <w:r w:rsidRPr="00EF0CCF">
        <w:rPr>
          <w:rFonts w:ascii="Times New Roman" w:hAnsi="Times New Roman" w:cs="Times New Roman"/>
        </w:rPr>
        <w:t>Kaminskyi</w:t>
      </w:r>
      <w:proofErr w:type="spellEnd"/>
      <w:r w:rsidRPr="00EF0CCF">
        <w:rPr>
          <w:rFonts w:ascii="Times New Roman" w:hAnsi="Times New Roman" w:cs="Times New Roman"/>
        </w:rPr>
        <w:t xml:space="preserve">, A., Osetskyi, V., Almeida, N. and </w:t>
      </w:r>
      <w:proofErr w:type="spellStart"/>
      <w:r w:rsidRPr="00EF0CCF">
        <w:rPr>
          <w:rFonts w:ascii="Times New Roman" w:hAnsi="Times New Roman" w:cs="Times New Roman"/>
        </w:rPr>
        <w:t>Nehrey</w:t>
      </w:r>
      <w:proofErr w:type="spellEnd"/>
      <w:r w:rsidRPr="00EF0CCF">
        <w:rPr>
          <w:rFonts w:ascii="Times New Roman" w:hAnsi="Times New Roman" w:cs="Times New Roman"/>
        </w:rPr>
        <w:t>, M. (2025) 'Investigating the Relationship Between ESG Performance and Financial Performance During the COVID-19 Pandemic: Evidence from the Hotel Industry', Journal of Risk and Financial Management, 18(3), 126. Available at: https://doi.org/10.3390/jrfm18030126</w:t>
      </w:r>
    </w:p>
    <w:p w14:paraId="6DAA2FD2"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Kim, S.D. (2023) 'The valuation effects of hotel mergers'. Available at: https://journals.sagepub.com/doi/10.1177/13548166211050475 (Accessed: 9 July 2026).</w:t>
      </w:r>
    </w:p>
    <w:p w14:paraId="34F98DF7"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 xml:space="preserve">Lu, K., </w:t>
      </w:r>
      <w:proofErr w:type="spellStart"/>
      <w:r w:rsidRPr="00EF0CCF">
        <w:rPr>
          <w:rFonts w:ascii="Times New Roman" w:hAnsi="Times New Roman" w:cs="Times New Roman"/>
        </w:rPr>
        <w:t>Onuk</w:t>
      </w:r>
      <w:proofErr w:type="spellEnd"/>
      <w:r w:rsidRPr="00EF0CCF">
        <w:rPr>
          <w:rFonts w:ascii="Times New Roman" w:hAnsi="Times New Roman" w:cs="Times New Roman"/>
        </w:rPr>
        <w:t>, C.B., Xia, Y. and Zhang, J. (2025) 'ESG ratings and financial performance in the global hospitality industry', Journal of Risk and Financial Management, 18(1), 24. Available at: https://doi.org/10.3390/jrfm18010024</w:t>
      </w:r>
    </w:p>
    <w:p w14:paraId="64C80E2D"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OECD (2024) Global Anti-Base Erosion Model Rules (Pillar Two). Available at: https://www.oecd.org/en/topics/sub-issues/global-minimum-tax/global-anti-base-erosion-model-rules-pillar-two.html (Accessed: 9 July 2026).</w:t>
      </w:r>
    </w:p>
    <w:p w14:paraId="69D4BF31"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Radivojević, N. et al. (2023) 'Quantifying the financial impact of COVID-19 on the largest global companies in the hotel industry', Hotel and Tourism Management. Available at: https://doaj.org/article/6a8c1cc72ecc4f2e898b72755e89ea12 (Accessed: 9 July 2026).</w:t>
      </w:r>
    </w:p>
    <w:p w14:paraId="21B7BBC1"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Seo, K., Woo, L., Mun, S.G. and Soh, J. (2021) 'The asset-light business model and firm performance in complex and dynamic environments: The dynamic capabilities view', Tourism Management, 85, as cited in Boston Hospitality Review (2021).</w:t>
      </w:r>
    </w:p>
    <w:p w14:paraId="20AAA5BE"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 xml:space="preserve">Sinaga, A.S., Sari, M.M., </w:t>
      </w:r>
      <w:proofErr w:type="spellStart"/>
      <w:r w:rsidRPr="00EF0CCF">
        <w:rPr>
          <w:rFonts w:ascii="Times New Roman" w:hAnsi="Times New Roman" w:cs="Times New Roman"/>
        </w:rPr>
        <w:t>Hutasuhut</w:t>
      </w:r>
      <w:proofErr w:type="spellEnd"/>
      <w:r w:rsidRPr="00EF0CCF">
        <w:rPr>
          <w:rFonts w:ascii="Times New Roman" w:hAnsi="Times New Roman" w:cs="Times New Roman"/>
        </w:rPr>
        <w:t xml:space="preserve">, A.A., </w:t>
      </w:r>
      <w:proofErr w:type="spellStart"/>
      <w:r w:rsidRPr="00EF0CCF">
        <w:rPr>
          <w:rFonts w:ascii="Times New Roman" w:hAnsi="Times New Roman" w:cs="Times New Roman"/>
        </w:rPr>
        <w:t>Zahara</w:t>
      </w:r>
      <w:proofErr w:type="spellEnd"/>
      <w:r w:rsidRPr="00EF0CCF">
        <w:rPr>
          <w:rFonts w:ascii="Times New Roman" w:hAnsi="Times New Roman" w:cs="Times New Roman"/>
        </w:rPr>
        <w:t xml:space="preserve">, S.T., Amanda, A. and Fitri, A. (2023) 'Comparison of capital budgeting methods: NPV, IRR, PAYBACK PERIOD', World </w:t>
      </w:r>
      <w:r w:rsidRPr="00EF0CCF">
        <w:rPr>
          <w:rFonts w:ascii="Times New Roman" w:hAnsi="Times New Roman" w:cs="Times New Roman"/>
        </w:rPr>
        <w:lastRenderedPageBreak/>
        <w:t>Journal of Advanced Research and Reviews, 19(2), pp.1078–1081. Available at: https://doi.org/10.30574/wjarr.2023.19.2.1483</w:t>
      </w:r>
    </w:p>
    <w:p w14:paraId="4DA54091"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Siziba, S. and Hall, J.H. (2021) 'The evolution of the application of capital budgeting techniques in enterprises', Global Finance Journal, 47, 100504.</w:t>
      </w:r>
    </w:p>
    <w:p w14:paraId="57AACCA5"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Sokolov, M.V. (2024) 'NPV, IRR, PI, PP, and DPP: a unified view'. Available at: https://arxiv.org/pdf/2302.02875 (Accessed: 9 July 2026).</w:t>
      </w:r>
    </w:p>
    <w:p w14:paraId="4E79CB34" w14:textId="77777777" w:rsidR="007C06ED" w:rsidRPr="00EF0CCF" w:rsidRDefault="00000000" w:rsidP="00EF0CCF">
      <w:pPr>
        <w:spacing w:after="200" w:line="360" w:lineRule="auto"/>
        <w:ind w:left="720" w:hanging="720"/>
        <w:jc w:val="both"/>
        <w:rPr>
          <w:rFonts w:ascii="Times New Roman" w:hAnsi="Times New Roman" w:cs="Times New Roman"/>
        </w:rPr>
      </w:pPr>
      <w:r w:rsidRPr="00EF0CCF">
        <w:rPr>
          <w:rFonts w:ascii="Times New Roman" w:hAnsi="Times New Roman" w:cs="Times New Roman"/>
        </w:rPr>
        <w:t>Zhang, F., Xiao, Q. and Law, R. (2020) 'Mergers and acquisitions in the hotel industry: A comprehensive review', International Journal of Hospitality Management, 91, 102418.</w:t>
      </w:r>
    </w:p>
    <w:p w14:paraId="31756DF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rPr>
        <w:br w:type="page"/>
      </w:r>
    </w:p>
    <w:p w14:paraId="01099CE4" w14:textId="77777777" w:rsidR="007C06ED" w:rsidRPr="00EF0CCF" w:rsidRDefault="00000000" w:rsidP="00EF0CCF">
      <w:pPr>
        <w:pStyle w:val="Heading1"/>
        <w:spacing w:line="360" w:lineRule="auto"/>
        <w:jc w:val="both"/>
        <w:rPr>
          <w:rFonts w:ascii="Times New Roman" w:hAnsi="Times New Roman" w:cs="Times New Roman"/>
          <w:color w:val="auto"/>
        </w:rPr>
      </w:pPr>
      <w:bookmarkStart w:id="28" w:name="_Toc234456121"/>
      <w:r w:rsidRPr="00EF0CCF">
        <w:rPr>
          <w:rFonts w:ascii="Times New Roman" w:hAnsi="Times New Roman" w:cs="Times New Roman"/>
          <w:color w:val="auto"/>
        </w:rPr>
        <w:lastRenderedPageBreak/>
        <w:t>Appendices</w:t>
      </w:r>
      <w:bookmarkEnd w:id="28"/>
    </w:p>
    <w:p w14:paraId="68D494B7" w14:textId="77777777" w:rsidR="007C06ED" w:rsidRPr="00EF0CCF" w:rsidRDefault="00000000" w:rsidP="00EF0CCF">
      <w:pPr>
        <w:pStyle w:val="Heading2"/>
        <w:spacing w:line="360" w:lineRule="auto"/>
        <w:jc w:val="both"/>
        <w:rPr>
          <w:rFonts w:ascii="Times New Roman" w:hAnsi="Times New Roman" w:cs="Times New Roman"/>
          <w:color w:val="auto"/>
        </w:rPr>
      </w:pPr>
      <w:bookmarkStart w:id="29" w:name="_Toc234456122"/>
      <w:r w:rsidRPr="00EF0CCF">
        <w:rPr>
          <w:rFonts w:ascii="Times New Roman" w:hAnsi="Times New Roman" w:cs="Times New Roman"/>
          <w:color w:val="auto"/>
        </w:rPr>
        <w:t>Appendix 1 — Full Ratio Analysis, All Categories, 2020–2024</w:t>
      </w:r>
      <w:bookmarkEnd w:id="29"/>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50"/>
        <w:gridCol w:w="2200"/>
        <w:gridCol w:w="1080"/>
        <w:gridCol w:w="1080"/>
        <w:gridCol w:w="1080"/>
        <w:gridCol w:w="1080"/>
        <w:gridCol w:w="1080"/>
      </w:tblGrid>
      <w:tr w:rsidR="007C06ED" w:rsidRPr="00EF0CCF" w14:paraId="5DEA00CA" w14:textId="77777777">
        <w:trPr>
          <w:tblHeader/>
        </w:trPr>
        <w:tc>
          <w:tcPr>
            <w:tcW w:w="1750" w:type="dxa"/>
            <w:shd w:val="clear" w:color="auto" w:fill="1F3864"/>
            <w:tcMar>
              <w:top w:w="60" w:type="dxa"/>
              <w:left w:w="80" w:type="dxa"/>
              <w:bottom w:w="60" w:type="dxa"/>
              <w:right w:w="80" w:type="dxa"/>
            </w:tcMar>
            <w:vAlign w:val="center"/>
          </w:tcPr>
          <w:p w14:paraId="3E5A320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Ratio Category</w:t>
            </w:r>
          </w:p>
        </w:tc>
        <w:tc>
          <w:tcPr>
            <w:tcW w:w="2200" w:type="dxa"/>
            <w:shd w:val="clear" w:color="auto" w:fill="1F3864"/>
            <w:tcMar>
              <w:top w:w="60" w:type="dxa"/>
              <w:left w:w="80" w:type="dxa"/>
              <w:bottom w:w="60" w:type="dxa"/>
              <w:right w:w="80" w:type="dxa"/>
            </w:tcMar>
            <w:vAlign w:val="center"/>
          </w:tcPr>
          <w:p w14:paraId="253E446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Ratio</w:t>
            </w:r>
          </w:p>
        </w:tc>
        <w:tc>
          <w:tcPr>
            <w:tcW w:w="1080" w:type="dxa"/>
            <w:shd w:val="clear" w:color="auto" w:fill="1F3864"/>
            <w:tcMar>
              <w:top w:w="60" w:type="dxa"/>
              <w:left w:w="80" w:type="dxa"/>
              <w:bottom w:w="60" w:type="dxa"/>
              <w:right w:w="80" w:type="dxa"/>
            </w:tcMar>
            <w:vAlign w:val="center"/>
          </w:tcPr>
          <w:p w14:paraId="60D2378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2020</w:t>
            </w:r>
          </w:p>
        </w:tc>
        <w:tc>
          <w:tcPr>
            <w:tcW w:w="1080" w:type="dxa"/>
            <w:shd w:val="clear" w:color="auto" w:fill="1F3864"/>
            <w:tcMar>
              <w:top w:w="60" w:type="dxa"/>
              <w:left w:w="80" w:type="dxa"/>
              <w:bottom w:w="60" w:type="dxa"/>
              <w:right w:w="80" w:type="dxa"/>
            </w:tcMar>
            <w:vAlign w:val="center"/>
          </w:tcPr>
          <w:p w14:paraId="7BA8D3F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2021</w:t>
            </w:r>
          </w:p>
        </w:tc>
        <w:tc>
          <w:tcPr>
            <w:tcW w:w="1080" w:type="dxa"/>
            <w:shd w:val="clear" w:color="auto" w:fill="1F3864"/>
            <w:tcMar>
              <w:top w:w="60" w:type="dxa"/>
              <w:left w:w="80" w:type="dxa"/>
              <w:bottom w:w="60" w:type="dxa"/>
              <w:right w:w="80" w:type="dxa"/>
            </w:tcMar>
            <w:vAlign w:val="center"/>
          </w:tcPr>
          <w:p w14:paraId="16D78A3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2022</w:t>
            </w:r>
          </w:p>
        </w:tc>
        <w:tc>
          <w:tcPr>
            <w:tcW w:w="1080" w:type="dxa"/>
            <w:shd w:val="clear" w:color="auto" w:fill="1F3864"/>
            <w:tcMar>
              <w:top w:w="60" w:type="dxa"/>
              <w:left w:w="80" w:type="dxa"/>
              <w:bottom w:w="60" w:type="dxa"/>
              <w:right w:w="80" w:type="dxa"/>
            </w:tcMar>
            <w:vAlign w:val="center"/>
          </w:tcPr>
          <w:p w14:paraId="65DEF6F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2023</w:t>
            </w:r>
          </w:p>
        </w:tc>
        <w:tc>
          <w:tcPr>
            <w:tcW w:w="1080" w:type="dxa"/>
            <w:shd w:val="clear" w:color="auto" w:fill="1F3864"/>
            <w:tcMar>
              <w:top w:w="60" w:type="dxa"/>
              <w:left w:w="80" w:type="dxa"/>
              <w:bottom w:w="60" w:type="dxa"/>
              <w:right w:w="80" w:type="dxa"/>
            </w:tcMar>
            <w:vAlign w:val="center"/>
          </w:tcPr>
          <w:p w14:paraId="35B4388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2024</w:t>
            </w:r>
          </w:p>
        </w:tc>
      </w:tr>
      <w:tr w:rsidR="007C06ED" w:rsidRPr="00EF0CCF" w14:paraId="4F032660" w14:textId="77777777">
        <w:tc>
          <w:tcPr>
            <w:tcW w:w="1750" w:type="dxa"/>
            <w:shd w:val="clear" w:color="auto" w:fill="F2F2F2"/>
            <w:tcMar>
              <w:top w:w="40" w:type="dxa"/>
              <w:left w:w="80" w:type="dxa"/>
              <w:bottom w:w="40" w:type="dxa"/>
              <w:right w:w="80" w:type="dxa"/>
            </w:tcMar>
            <w:vAlign w:val="center"/>
          </w:tcPr>
          <w:p w14:paraId="752D2C7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Profitability</w:t>
            </w:r>
          </w:p>
        </w:tc>
        <w:tc>
          <w:tcPr>
            <w:tcW w:w="2200" w:type="dxa"/>
            <w:shd w:val="clear" w:color="auto" w:fill="F2F2F2"/>
            <w:tcMar>
              <w:top w:w="40" w:type="dxa"/>
              <w:left w:w="80" w:type="dxa"/>
              <w:bottom w:w="40" w:type="dxa"/>
              <w:right w:w="80" w:type="dxa"/>
            </w:tcMar>
            <w:vAlign w:val="center"/>
          </w:tcPr>
          <w:p w14:paraId="6110687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Gross Profit Margin</w:t>
            </w:r>
          </w:p>
        </w:tc>
        <w:tc>
          <w:tcPr>
            <w:tcW w:w="1080" w:type="dxa"/>
            <w:shd w:val="clear" w:color="auto" w:fill="F2F2F2"/>
            <w:tcMar>
              <w:top w:w="40" w:type="dxa"/>
              <w:left w:w="80" w:type="dxa"/>
              <w:bottom w:w="40" w:type="dxa"/>
              <w:right w:w="80" w:type="dxa"/>
            </w:tcMar>
            <w:vAlign w:val="center"/>
          </w:tcPr>
          <w:p w14:paraId="4D855C5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20.3%</w:t>
            </w:r>
          </w:p>
        </w:tc>
        <w:tc>
          <w:tcPr>
            <w:tcW w:w="1080" w:type="dxa"/>
            <w:shd w:val="clear" w:color="auto" w:fill="F2F2F2"/>
            <w:tcMar>
              <w:top w:w="40" w:type="dxa"/>
              <w:left w:w="80" w:type="dxa"/>
              <w:bottom w:w="40" w:type="dxa"/>
              <w:right w:w="80" w:type="dxa"/>
            </w:tcMar>
            <w:vAlign w:val="center"/>
          </w:tcPr>
          <w:p w14:paraId="1034B37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30.4%</w:t>
            </w:r>
          </w:p>
        </w:tc>
        <w:tc>
          <w:tcPr>
            <w:tcW w:w="1080" w:type="dxa"/>
            <w:shd w:val="clear" w:color="auto" w:fill="F2F2F2"/>
            <w:tcMar>
              <w:top w:w="40" w:type="dxa"/>
              <w:left w:w="80" w:type="dxa"/>
              <w:bottom w:w="40" w:type="dxa"/>
              <w:right w:w="80" w:type="dxa"/>
            </w:tcMar>
            <w:vAlign w:val="center"/>
          </w:tcPr>
          <w:p w14:paraId="50D60D6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27.7%</w:t>
            </w:r>
          </w:p>
        </w:tc>
        <w:tc>
          <w:tcPr>
            <w:tcW w:w="1080" w:type="dxa"/>
            <w:shd w:val="clear" w:color="auto" w:fill="F2F2F2"/>
            <w:tcMar>
              <w:top w:w="40" w:type="dxa"/>
              <w:left w:w="80" w:type="dxa"/>
              <w:bottom w:w="40" w:type="dxa"/>
              <w:right w:w="80" w:type="dxa"/>
            </w:tcMar>
            <w:vAlign w:val="center"/>
          </w:tcPr>
          <w:p w14:paraId="3ECE4B6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30.7%</w:t>
            </w:r>
          </w:p>
        </w:tc>
        <w:tc>
          <w:tcPr>
            <w:tcW w:w="1080" w:type="dxa"/>
            <w:shd w:val="clear" w:color="auto" w:fill="F2F2F2"/>
            <w:tcMar>
              <w:top w:w="40" w:type="dxa"/>
              <w:left w:w="80" w:type="dxa"/>
              <w:bottom w:w="40" w:type="dxa"/>
              <w:right w:w="80" w:type="dxa"/>
            </w:tcMar>
            <w:vAlign w:val="center"/>
          </w:tcPr>
          <w:p w14:paraId="0B30178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29.6%</w:t>
            </w:r>
          </w:p>
        </w:tc>
      </w:tr>
      <w:tr w:rsidR="007C06ED" w:rsidRPr="00EF0CCF" w14:paraId="6D3039E2" w14:textId="77777777">
        <w:tc>
          <w:tcPr>
            <w:tcW w:w="1750" w:type="dxa"/>
            <w:shd w:val="clear" w:color="auto" w:fill="FFFFFF"/>
            <w:tcMar>
              <w:top w:w="40" w:type="dxa"/>
              <w:left w:w="80" w:type="dxa"/>
              <w:bottom w:w="40" w:type="dxa"/>
              <w:right w:w="80" w:type="dxa"/>
            </w:tcMar>
            <w:vAlign w:val="center"/>
          </w:tcPr>
          <w:p w14:paraId="46E421A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Profitability</w:t>
            </w:r>
          </w:p>
        </w:tc>
        <w:tc>
          <w:tcPr>
            <w:tcW w:w="2200" w:type="dxa"/>
            <w:shd w:val="clear" w:color="auto" w:fill="FFFFFF"/>
            <w:tcMar>
              <w:top w:w="40" w:type="dxa"/>
              <w:left w:w="80" w:type="dxa"/>
              <w:bottom w:w="40" w:type="dxa"/>
              <w:right w:w="80" w:type="dxa"/>
            </w:tcMar>
            <w:vAlign w:val="center"/>
          </w:tcPr>
          <w:p w14:paraId="38EB789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EBIT Margin</w:t>
            </w:r>
          </w:p>
        </w:tc>
        <w:tc>
          <w:tcPr>
            <w:tcW w:w="1080" w:type="dxa"/>
            <w:shd w:val="clear" w:color="auto" w:fill="FFFFFF"/>
            <w:tcMar>
              <w:top w:w="40" w:type="dxa"/>
              <w:left w:w="80" w:type="dxa"/>
              <w:bottom w:w="40" w:type="dxa"/>
              <w:right w:w="80" w:type="dxa"/>
            </w:tcMar>
            <w:vAlign w:val="center"/>
          </w:tcPr>
          <w:p w14:paraId="3C7DA41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(6.4%)</w:t>
            </w:r>
          </w:p>
        </w:tc>
        <w:tc>
          <w:tcPr>
            <w:tcW w:w="1080" w:type="dxa"/>
            <w:shd w:val="clear" w:color="auto" w:fill="FFFFFF"/>
            <w:tcMar>
              <w:top w:w="40" w:type="dxa"/>
              <w:left w:w="80" w:type="dxa"/>
              <w:bottom w:w="40" w:type="dxa"/>
              <w:right w:w="80" w:type="dxa"/>
            </w:tcMar>
            <w:vAlign w:val="center"/>
          </w:tcPr>
          <w:p w14:paraId="3B0D473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17.0%</w:t>
            </w:r>
          </w:p>
        </w:tc>
        <w:tc>
          <w:tcPr>
            <w:tcW w:w="1080" w:type="dxa"/>
            <w:shd w:val="clear" w:color="auto" w:fill="FFFFFF"/>
            <w:tcMar>
              <w:top w:w="40" w:type="dxa"/>
              <w:left w:w="80" w:type="dxa"/>
              <w:bottom w:w="40" w:type="dxa"/>
              <w:right w:w="80" w:type="dxa"/>
            </w:tcMar>
            <w:vAlign w:val="center"/>
          </w:tcPr>
          <w:p w14:paraId="07721E0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16.1%</w:t>
            </w:r>
          </w:p>
        </w:tc>
        <w:tc>
          <w:tcPr>
            <w:tcW w:w="1080" w:type="dxa"/>
            <w:shd w:val="clear" w:color="auto" w:fill="FFFFFF"/>
            <w:tcMar>
              <w:top w:w="40" w:type="dxa"/>
              <w:left w:w="80" w:type="dxa"/>
              <w:bottom w:w="40" w:type="dxa"/>
              <w:right w:w="80" w:type="dxa"/>
            </w:tcMar>
            <w:vAlign w:val="center"/>
          </w:tcPr>
          <w:p w14:paraId="3FF63DC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23.1%</w:t>
            </w:r>
          </w:p>
        </w:tc>
        <w:tc>
          <w:tcPr>
            <w:tcW w:w="1080" w:type="dxa"/>
            <w:shd w:val="clear" w:color="auto" w:fill="FFFFFF"/>
            <w:tcMar>
              <w:top w:w="40" w:type="dxa"/>
              <w:left w:w="80" w:type="dxa"/>
              <w:bottom w:w="40" w:type="dxa"/>
              <w:right w:w="80" w:type="dxa"/>
            </w:tcMar>
            <w:vAlign w:val="center"/>
          </w:tcPr>
          <w:p w14:paraId="64AD736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21.1%</w:t>
            </w:r>
          </w:p>
        </w:tc>
      </w:tr>
      <w:tr w:rsidR="007C06ED" w:rsidRPr="00EF0CCF" w14:paraId="21D68568" w14:textId="77777777">
        <w:tc>
          <w:tcPr>
            <w:tcW w:w="1750" w:type="dxa"/>
            <w:shd w:val="clear" w:color="auto" w:fill="F2F2F2"/>
            <w:tcMar>
              <w:top w:w="40" w:type="dxa"/>
              <w:left w:w="80" w:type="dxa"/>
              <w:bottom w:w="40" w:type="dxa"/>
              <w:right w:w="80" w:type="dxa"/>
            </w:tcMar>
            <w:vAlign w:val="center"/>
          </w:tcPr>
          <w:p w14:paraId="6E2997A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Profitability</w:t>
            </w:r>
          </w:p>
        </w:tc>
        <w:tc>
          <w:tcPr>
            <w:tcW w:w="2200" w:type="dxa"/>
            <w:shd w:val="clear" w:color="auto" w:fill="F2F2F2"/>
            <w:tcMar>
              <w:top w:w="40" w:type="dxa"/>
              <w:left w:w="80" w:type="dxa"/>
              <w:bottom w:w="40" w:type="dxa"/>
              <w:right w:w="80" w:type="dxa"/>
            </w:tcMar>
            <w:vAlign w:val="center"/>
          </w:tcPr>
          <w:p w14:paraId="4CABA19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Net Profit Margin</w:t>
            </w:r>
          </w:p>
        </w:tc>
        <w:tc>
          <w:tcPr>
            <w:tcW w:w="1080" w:type="dxa"/>
            <w:shd w:val="clear" w:color="auto" w:fill="F2F2F2"/>
            <w:tcMar>
              <w:top w:w="40" w:type="dxa"/>
              <w:left w:w="80" w:type="dxa"/>
              <w:bottom w:w="40" w:type="dxa"/>
              <w:right w:w="80" w:type="dxa"/>
            </w:tcMar>
            <w:vAlign w:val="center"/>
          </w:tcPr>
          <w:p w14:paraId="6F62A8B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(12.9%)</w:t>
            </w:r>
          </w:p>
        </w:tc>
        <w:tc>
          <w:tcPr>
            <w:tcW w:w="1080" w:type="dxa"/>
            <w:shd w:val="clear" w:color="auto" w:fill="F2F2F2"/>
            <w:tcMar>
              <w:top w:w="40" w:type="dxa"/>
              <w:left w:w="80" w:type="dxa"/>
              <w:bottom w:w="40" w:type="dxa"/>
              <w:right w:w="80" w:type="dxa"/>
            </w:tcMar>
            <w:vAlign w:val="center"/>
          </w:tcPr>
          <w:p w14:paraId="36EF81A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9.1%</w:t>
            </w:r>
          </w:p>
        </w:tc>
        <w:tc>
          <w:tcPr>
            <w:tcW w:w="1080" w:type="dxa"/>
            <w:shd w:val="clear" w:color="auto" w:fill="F2F2F2"/>
            <w:tcMar>
              <w:top w:w="40" w:type="dxa"/>
              <w:left w:w="80" w:type="dxa"/>
              <w:bottom w:w="40" w:type="dxa"/>
              <w:right w:w="80" w:type="dxa"/>
            </w:tcMar>
            <w:vAlign w:val="center"/>
          </w:tcPr>
          <w:p w14:paraId="1D4D78E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9.6%</w:t>
            </w:r>
          </w:p>
        </w:tc>
        <w:tc>
          <w:tcPr>
            <w:tcW w:w="1080" w:type="dxa"/>
            <w:shd w:val="clear" w:color="auto" w:fill="F2F2F2"/>
            <w:tcMar>
              <w:top w:w="40" w:type="dxa"/>
              <w:left w:w="80" w:type="dxa"/>
              <w:bottom w:w="40" w:type="dxa"/>
              <w:right w:w="80" w:type="dxa"/>
            </w:tcMar>
            <w:vAlign w:val="center"/>
          </w:tcPr>
          <w:p w14:paraId="4022EC5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16.2%</w:t>
            </w:r>
          </w:p>
        </w:tc>
        <w:tc>
          <w:tcPr>
            <w:tcW w:w="1080" w:type="dxa"/>
            <w:shd w:val="clear" w:color="auto" w:fill="F2F2F2"/>
            <w:tcMar>
              <w:top w:w="40" w:type="dxa"/>
              <w:left w:w="80" w:type="dxa"/>
              <w:bottom w:w="40" w:type="dxa"/>
              <w:right w:w="80" w:type="dxa"/>
            </w:tcMar>
            <w:vAlign w:val="center"/>
          </w:tcPr>
          <w:p w14:paraId="16D26E1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12.8%</w:t>
            </w:r>
          </w:p>
        </w:tc>
      </w:tr>
      <w:tr w:rsidR="007C06ED" w:rsidRPr="00EF0CCF" w14:paraId="6C87C685" w14:textId="77777777">
        <w:tc>
          <w:tcPr>
            <w:tcW w:w="1750" w:type="dxa"/>
            <w:shd w:val="clear" w:color="auto" w:fill="FFFFFF"/>
            <w:tcMar>
              <w:top w:w="40" w:type="dxa"/>
              <w:left w:w="80" w:type="dxa"/>
              <w:bottom w:w="40" w:type="dxa"/>
              <w:right w:w="80" w:type="dxa"/>
            </w:tcMar>
            <w:vAlign w:val="center"/>
          </w:tcPr>
          <w:p w14:paraId="3DC8B5D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Profitability</w:t>
            </w:r>
          </w:p>
        </w:tc>
        <w:tc>
          <w:tcPr>
            <w:tcW w:w="2200" w:type="dxa"/>
            <w:shd w:val="clear" w:color="auto" w:fill="FFFFFF"/>
            <w:tcMar>
              <w:top w:w="40" w:type="dxa"/>
              <w:left w:w="80" w:type="dxa"/>
              <w:bottom w:w="40" w:type="dxa"/>
              <w:right w:w="80" w:type="dxa"/>
            </w:tcMar>
            <w:vAlign w:val="center"/>
          </w:tcPr>
          <w:p w14:paraId="57F4780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EBITDA Margin</w:t>
            </w:r>
          </w:p>
        </w:tc>
        <w:tc>
          <w:tcPr>
            <w:tcW w:w="1080" w:type="dxa"/>
            <w:shd w:val="clear" w:color="auto" w:fill="FFFFFF"/>
            <w:tcMar>
              <w:top w:w="40" w:type="dxa"/>
              <w:left w:w="80" w:type="dxa"/>
              <w:bottom w:w="40" w:type="dxa"/>
              <w:right w:w="80" w:type="dxa"/>
            </w:tcMar>
            <w:vAlign w:val="center"/>
          </w:tcPr>
          <w:p w14:paraId="58AE9C7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3.3%</w:t>
            </w:r>
          </w:p>
        </w:tc>
        <w:tc>
          <w:tcPr>
            <w:tcW w:w="1080" w:type="dxa"/>
            <w:shd w:val="clear" w:color="auto" w:fill="FFFFFF"/>
            <w:tcMar>
              <w:top w:w="40" w:type="dxa"/>
              <w:left w:w="80" w:type="dxa"/>
              <w:bottom w:w="40" w:type="dxa"/>
              <w:right w:w="80" w:type="dxa"/>
            </w:tcMar>
            <w:vAlign w:val="center"/>
          </w:tcPr>
          <w:p w14:paraId="3DB5198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21.9%</w:t>
            </w:r>
          </w:p>
        </w:tc>
        <w:tc>
          <w:tcPr>
            <w:tcW w:w="1080" w:type="dxa"/>
            <w:shd w:val="clear" w:color="auto" w:fill="FFFFFF"/>
            <w:tcMar>
              <w:top w:w="40" w:type="dxa"/>
              <w:left w:w="80" w:type="dxa"/>
              <w:bottom w:w="40" w:type="dxa"/>
              <w:right w:w="80" w:type="dxa"/>
            </w:tcMar>
            <w:vAlign w:val="center"/>
          </w:tcPr>
          <w:p w14:paraId="67A0645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20.9%</w:t>
            </w:r>
          </w:p>
        </w:tc>
        <w:tc>
          <w:tcPr>
            <w:tcW w:w="1080" w:type="dxa"/>
            <w:shd w:val="clear" w:color="auto" w:fill="FFFFFF"/>
            <w:tcMar>
              <w:top w:w="40" w:type="dxa"/>
              <w:left w:w="80" w:type="dxa"/>
              <w:bottom w:w="40" w:type="dxa"/>
              <w:right w:w="80" w:type="dxa"/>
            </w:tcMar>
            <w:vAlign w:val="center"/>
          </w:tcPr>
          <w:p w14:paraId="0F3769A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23.5%</w:t>
            </w:r>
          </w:p>
        </w:tc>
        <w:tc>
          <w:tcPr>
            <w:tcW w:w="1080" w:type="dxa"/>
            <w:shd w:val="clear" w:color="auto" w:fill="FFFFFF"/>
            <w:tcMar>
              <w:top w:w="40" w:type="dxa"/>
              <w:left w:w="80" w:type="dxa"/>
              <w:bottom w:w="40" w:type="dxa"/>
              <w:right w:w="80" w:type="dxa"/>
            </w:tcMar>
            <w:vAlign w:val="center"/>
          </w:tcPr>
          <w:p w14:paraId="5BDDF18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24.2%</w:t>
            </w:r>
          </w:p>
        </w:tc>
      </w:tr>
      <w:tr w:rsidR="007C06ED" w:rsidRPr="00EF0CCF" w14:paraId="4A07F6D9" w14:textId="77777777">
        <w:tc>
          <w:tcPr>
            <w:tcW w:w="1750" w:type="dxa"/>
            <w:shd w:val="clear" w:color="auto" w:fill="F2F2F2"/>
            <w:tcMar>
              <w:top w:w="40" w:type="dxa"/>
              <w:left w:w="80" w:type="dxa"/>
              <w:bottom w:w="40" w:type="dxa"/>
              <w:right w:w="80" w:type="dxa"/>
            </w:tcMar>
            <w:vAlign w:val="center"/>
          </w:tcPr>
          <w:p w14:paraId="2FD7CD8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Profitability</w:t>
            </w:r>
          </w:p>
        </w:tc>
        <w:tc>
          <w:tcPr>
            <w:tcW w:w="2200" w:type="dxa"/>
            <w:shd w:val="clear" w:color="auto" w:fill="F2F2F2"/>
            <w:tcMar>
              <w:top w:w="40" w:type="dxa"/>
              <w:left w:w="80" w:type="dxa"/>
              <w:bottom w:w="40" w:type="dxa"/>
              <w:right w:w="80" w:type="dxa"/>
            </w:tcMar>
            <w:vAlign w:val="center"/>
          </w:tcPr>
          <w:p w14:paraId="04F4C5E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Return on Assets</w:t>
            </w:r>
          </w:p>
        </w:tc>
        <w:tc>
          <w:tcPr>
            <w:tcW w:w="1080" w:type="dxa"/>
            <w:shd w:val="clear" w:color="auto" w:fill="F2F2F2"/>
            <w:tcMar>
              <w:top w:w="40" w:type="dxa"/>
              <w:left w:w="80" w:type="dxa"/>
              <w:bottom w:w="40" w:type="dxa"/>
              <w:right w:w="80" w:type="dxa"/>
            </w:tcMar>
            <w:vAlign w:val="center"/>
          </w:tcPr>
          <w:p w14:paraId="3D5A080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(6.1%)</w:t>
            </w:r>
          </w:p>
        </w:tc>
        <w:tc>
          <w:tcPr>
            <w:tcW w:w="1080" w:type="dxa"/>
            <w:shd w:val="clear" w:color="auto" w:fill="F2F2F2"/>
            <w:tcMar>
              <w:top w:w="40" w:type="dxa"/>
              <w:left w:w="80" w:type="dxa"/>
              <w:bottom w:w="40" w:type="dxa"/>
              <w:right w:w="80" w:type="dxa"/>
            </w:tcMar>
            <w:vAlign w:val="center"/>
          </w:tcPr>
          <w:p w14:paraId="41F3338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5.6%</w:t>
            </w:r>
          </w:p>
        </w:tc>
        <w:tc>
          <w:tcPr>
            <w:tcW w:w="1080" w:type="dxa"/>
            <w:shd w:val="clear" w:color="auto" w:fill="F2F2F2"/>
            <w:tcMar>
              <w:top w:w="40" w:type="dxa"/>
              <w:left w:w="80" w:type="dxa"/>
              <w:bottom w:w="40" w:type="dxa"/>
              <w:right w:w="80" w:type="dxa"/>
            </w:tcMar>
            <w:vAlign w:val="center"/>
          </w:tcPr>
          <w:p w14:paraId="2A0CE8A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8.9%</w:t>
            </w:r>
          </w:p>
        </w:tc>
        <w:tc>
          <w:tcPr>
            <w:tcW w:w="1080" w:type="dxa"/>
            <w:shd w:val="clear" w:color="auto" w:fill="F2F2F2"/>
            <w:tcMar>
              <w:top w:w="40" w:type="dxa"/>
              <w:left w:w="80" w:type="dxa"/>
              <w:bottom w:w="40" w:type="dxa"/>
              <w:right w:w="80" w:type="dxa"/>
            </w:tcMar>
            <w:vAlign w:val="center"/>
          </w:tcPr>
          <w:p w14:paraId="4C475A37"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15.6%</w:t>
            </w:r>
          </w:p>
        </w:tc>
        <w:tc>
          <w:tcPr>
            <w:tcW w:w="1080" w:type="dxa"/>
            <w:shd w:val="clear" w:color="auto" w:fill="F2F2F2"/>
            <w:tcMar>
              <w:top w:w="40" w:type="dxa"/>
              <w:left w:w="80" w:type="dxa"/>
              <w:bottom w:w="40" w:type="dxa"/>
              <w:right w:w="80" w:type="dxa"/>
            </w:tcMar>
            <w:vAlign w:val="center"/>
          </w:tcPr>
          <w:p w14:paraId="685CC53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13.2%</w:t>
            </w:r>
          </w:p>
        </w:tc>
      </w:tr>
      <w:tr w:rsidR="007C06ED" w:rsidRPr="00EF0CCF" w14:paraId="7B67D736" w14:textId="77777777">
        <w:tc>
          <w:tcPr>
            <w:tcW w:w="1750" w:type="dxa"/>
            <w:shd w:val="clear" w:color="auto" w:fill="FFFFFF"/>
            <w:tcMar>
              <w:top w:w="40" w:type="dxa"/>
              <w:left w:w="80" w:type="dxa"/>
              <w:bottom w:w="40" w:type="dxa"/>
              <w:right w:w="80" w:type="dxa"/>
            </w:tcMar>
            <w:vAlign w:val="center"/>
          </w:tcPr>
          <w:p w14:paraId="2E95D16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Liquidity</w:t>
            </w:r>
          </w:p>
        </w:tc>
        <w:tc>
          <w:tcPr>
            <w:tcW w:w="2200" w:type="dxa"/>
            <w:shd w:val="clear" w:color="auto" w:fill="FFFFFF"/>
            <w:tcMar>
              <w:top w:w="40" w:type="dxa"/>
              <w:left w:w="80" w:type="dxa"/>
              <w:bottom w:w="40" w:type="dxa"/>
              <w:right w:w="80" w:type="dxa"/>
            </w:tcMar>
            <w:vAlign w:val="center"/>
          </w:tcPr>
          <w:p w14:paraId="4490205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Current Ratio</w:t>
            </w:r>
          </w:p>
        </w:tc>
        <w:tc>
          <w:tcPr>
            <w:tcW w:w="1080" w:type="dxa"/>
            <w:shd w:val="clear" w:color="auto" w:fill="FFFFFF"/>
            <w:tcMar>
              <w:top w:w="40" w:type="dxa"/>
              <w:left w:w="80" w:type="dxa"/>
              <w:bottom w:w="40" w:type="dxa"/>
              <w:right w:w="80" w:type="dxa"/>
            </w:tcMar>
            <w:vAlign w:val="center"/>
          </w:tcPr>
          <w:p w14:paraId="68353FA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1.20x</w:t>
            </w:r>
          </w:p>
        </w:tc>
        <w:tc>
          <w:tcPr>
            <w:tcW w:w="1080" w:type="dxa"/>
            <w:shd w:val="clear" w:color="auto" w:fill="FFFFFF"/>
            <w:tcMar>
              <w:top w:w="40" w:type="dxa"/>
              <w:left w:w="80" w:type="dxa"/>
              <w:bottom w:w="40" w:type="dxa"/>
              <w:right w:w="80" w:type="dxa"/>
            </w:tcMar>
            <w:vAlign w:val="center"/>
          </w:tcPr>
          <w:p w14:paraId="5DD7132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1.27x</w:t>
            </w:r>
          </w:p>
        </w:tc>
        <w:tc>
          <w:tcPr>
            <w:tcW w:w="1080" w:type="dxa"/>
            <w:shd w:val="clear" w:color="auto" w:fill="FFFFFF"/>
            <w:tcMar>
              <w:top w:w="40" w:type="dxa"/>
              <w:left w:w="80" w:type="dxa"/>
              <w:bottom w:w="40" w:type="dxa"/>
              <w:right w:w="80" w:type="dxa"/>
            </w:tcMar>
            <w:vAlign w:val="center"/>
          </w:tcPr>
          <w:p w14:paraId="1F05945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1.03x</w:t>
            </w:r>
          </w:p>
        </w:tc>
        <w:tc>
          <w:tcPr>
            <w:tcW w:w="1080" w:type="dxa"/>
            <w:shd w:val="clear" w:color="auto" w:fill="FFFFFF"/>
            <w:tcMar>
              <w:top w:w="40" w:type="dxa"/>
              <w:left w:w="80" w:type="dxa"/>
              <w:bottom w:w="40" w:type="dxa"/>
              <w:right w:w="80" w:type="dxa"/>
            </w:tcMar>
            <w:vAlign w:val="center"/>
          </w:tcPr>
          <w:p w14:paraId="3418555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0.99x</w:t>
            </w:r>
          </w:p>
        </w:tc>
        <w:tc>
          <w:tcPr>
            <w:tcW w:w="1080" w:type="dxa"/>
            <w:shd w:val="clear" w:color="auto" w:fill="FFFFFF"/>
            <w:tcMar>
              <w:top w:w="40" w:type="dxa"/>
              <w:left w:w="80" w:type="dxa"/>
              <w:bottom w:w="40" w:type="dxa"/>
              <w:right w:w="80" w:type="dxa"/>
            </w:tcMar>
            <w:vAlign w:val="center"/>
          </w:tcPr>
          <w:p w14:paraId="248E1FD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1.00x</w:t>
            </w:r>
          </w:p>
        </w:tc>
      </w:tr>
      <w:tr w:rsidR="007C06ED" w:rsidRPr="00EF0CCF" w14:paraId="3AD87011" w14:textId="77777777">
        <w:tc>
          <w:tcPr>
            <w:tcW w:w="1750" w:type="dxa"/>
            <w:shd w:val="clear" w:color="auto" w:fill="F2F2F2"/>
            <w:tcMar>
              <w:top w:w="40" w:type="dxa"/>
              <w:left w:w="80" w:type="dxa"/>
              <w:bottom w:w="40" w:type="dxa"/>
              <w:right w:w="80" w:type="dxa"/>
            </w:tcMar>
            <w:vAlign w:val="center"/>
          </w:tcPr>
          <w:p w14:paraId="59B8329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Liquidity</w:t>
            </w:r>
          </w:p>
        </w:tc>
        <w:tc>
          <w:tcPr>
            <w:tcW w:w="2200" w:type="dxa"/>
            <w:shd w:val="clear" w:color="auto" w:fill="F2F2F2"/>
            <w:tcMar>
              <w:top w:w="40" w:type="dxa"/>
              <w:left w:w="80" w:type="dxa"/>
              <w:bottom w:w="40" w:type="dxa"/>
              <w:right w:w="80" w:type="dxa"/>
            </w:tcMar>
            <w:vAlign w:val="center"/>
          </w:tcPr>
          <w:p w14:paraId="0A79D45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Quick Ratio</w:t>
            </w:r>
          </w:p>
        </w:tc>
        <w:tc>
          <w:tcPr>
            <w:tcW w:w="1080" w:type="dxa"/>
            <w:shd w:val="clear" w:color="auto" w:fill="F2F2F2"/>
            <w:tcMar>
              <w:top w:w="40" w:type="dxa"/>
              <w:left w:w="80" w:type="dxa"/>
              <w:bottom w:w="40" w:type="dxa"/>
              <w:right w:w="80" w:type="dxa"/>
            </w:tcMar>
            <w:vAlign w:val="center"/>
          </w:tcPr>
          <w:p w14:paraId="7ED4401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1.20x</w:t>
            </w:r>
          </w:p>
        </w:tc>
        <w:tc>
          <w:tcPr>
            <w:tcW w:w="1080" w:type="dxa"/>
            <w:shd w:val="clear" w:color="auto" w:fill="F2F2F2"/>
            <w:tcMar>
              <w:top w:w="40" w:type="dxa"/>
              <w:left w:w="80" w:type="dxa"/>
              <w:bottom w:w="40" w:type="dxa"/>
              <w:right w:w="80" w:type="dxa"/>
            </w:tcMar>
            <w:vAlign w:val="center"/>
          </w:tcPr>
          <w:p w14:paraId="2FAB591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1.27x</w:t>
            </w:r>
          </w:p>
        </w:tc>
        <w:tc>
          <w:tcPr>
            <w:tcW w:w="1080" w:type="dxa"/>
            <w:shd w:val="clear" w:color="auto" w:fill="F2F2F2"/>
            <w:tcMar>
              <w:top w:w="40" w:type="dxa"/>
              <w:left w:w="80" w:type="dxa"/>
              <w:bottom w:w="40" w:type="dxa"/>
              <w:right w:w="80" w:type="dxa"/>
            </w:tcMar>
            <w:vAlign w:val="center"/>
          </w:tcPr>
          <w:p w14:paraId="5B85C41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1.03x</w:t>
            </w:r>
          </w:p>
        </w:tc>
        <w:tc>
          <w:tcPr>
            <w:tcW w:w="1080" w:type="dxa"/>
            <w:shd w:val="clear" w:color="auto" w:fill="F2F2F2"/>
            <w:tcMar>
              <w:top w:w="40" w:type="dxa"/>
              <w:left w:w="80" w:type="dxa"/>
              <w:bottom w:w="40" w:type="dxa"/>
              <w:right w:w="80" w:type="dxa"/>
            </w:tcMar>
            <w:vAlign w:val="center"/>
          </w:tcPr>
          <w:p w14:paraId="35C1509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0.99x</w:t>
            </w:r>
          </w:p>
        </w:tc>
        <w:tc>
          <w:tcPr>
            <w:tcW w:w="1080" w:type="dxa"/>
            <w:shd w:val="clear" w:color="auto" w:fill="F2F2F2"/>
            <w:tcMar>
              <w:top w:w="40" w:type="dxa"/>
              <w:left w:w="80" w:type="dxa"/>
              <w:bottom w:w="40" w:type="dxa"/>
              <w:right w:w="80" w:type="dxa"/>
            </w:tcMar>
            <w:vAlign w:val="center"/>
          </w:tcPr>
          <w:p w14:paraId="543CC82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0.99x</w:t>
            </w:r>
          </w:p>
        </w:tc>
      </w:tr>
      <w:tr w:rsidR="007C06ED" w:rsidRPr="00EF0CCF" w14:paraId="56C53B80" w14:textId="77777777">
        <w:tc>
          <w:tcPr>
            <w:tcW w:w="1750" w:type="dxa"/>
            <w:shd w:val="clear" w:color="auto" w:fill="FFFFFF"/>
            <w:tcMar>
              <w:top w:w="40" w:type="dxa"/>
              <w:left w:w="80" w:type="dxa"/>
              <w:bottom w:w="40" w:type="dxa"/>
              <w:right w:w="80" w:type="dxa"/>
            </w:tcMar>
            <w:vAlign w:val="center"/>
          </w:tcPr>
          <w:p w14:paraId="1C50107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Liquidity</w:t>
            </w:r>
          </w:p>
        </w:tc>
        <w:tc>
          <w:tcPr>
            <w:tcW w:w="2200" w:type="dxa"/>
            <w:shd w:val="clear" w:color="auto" w:fill="FFFFFF"/>
            <w:tcMar>
              <w:top w:w="40" w:type="dxa"/>
              <w:left w:w="80" w:type="dxa"/>
              <w:bottom w:w="40" w:type="dxa"/>
              <w:right w:w="80" w:type="dxa"/>
            </w:tcMar>
            <w:vAlign w:val="center"/>
          </w:tcPr>
          <w:p w14:paraId="4694B2B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Cash Ratio</w:t>
            </w:r>
          </w:p>
        </w:tc>
        <w:tc>
          <w:tcPr>
            <w:tcW w:w="1080" w:type="dxa"/>
            <w:shd w:val="clear" w:color="auto" w:fill="FFFFFF"/>
            <w:tcMar>
              <w:top w:w="40" w:type="dxa"/>
              <w:left w:w="80" w:type="dxa"/>
              <w:bottom w:w="40" w:type="dxa"/>
              <w:right w:w="80" w:type="dxa"/>
            </w:tcMar>
            <w:vAlign w:val="center"/>
          </w:tcPr>
          <w:p w14:paraId="51982E1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0.90x</w:t>
            </w:r>
          </w:p>
        </w:tc>
        <w:tc>
          <w:tcPr>
            <w:tcW w:w="1080" w:type="dxa"/>
            <w:shd w:val="clear" w:color="auto" w:fill="FFFFFF"/>
            <w:tcMar>
              <w:top w:w="40" w:type="dxa"/>
              <w:left w:w="80" w:type="dxa"/>
              <w:bottom w:w="40" w:type="dxa"/>
              <w:right w:w="80" w:type="dxa"/>
            </w:tcMar>
            <w:vAlign w:val="center"/>
          </w:tcPr>
          <w:p w14:paraId="562D9AA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0.89x</w:t>
            </w:r>
          </w:p>
        </w:tc>
        <w:tc>
          <w:tcPr>
            <w:tcW w:w="1080" w:type="dxa"/>
            <w:shd w:val="clear" w:color="auto" w:fill="FFFFFF"/>
            <w:tcMar>
              <w:top w:w="40" w:type="dxa"/>
              <w:left w:w="80" w:type="dxa"/>
              <w:bottom w:w="40" w:type="dxa"/>
              <w:right w:w="80" w:type="dxa"/>
            </w:tcMar>
            <w:vAlign w:val="center"/>
          </w:tcPr>
          <w:p w14:paraId="2E93A2A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0.60x</w:t>
            </w:r>
          </w:p>
        </w:tc>
        <w:tc>
          <w:tcPr>
            <w:tcW w:w="1080" w:type="dxa"/>
            <w:shd w:val="clear" w:color="auto" w:fill="FFFFFF"/>
            <w:tcMar>
              <w:top w:w="40" w:type="dxa"/>
              <w:left w:w="80" w:type="dxa"/>
              <w:bottom w:w="40" w:type="dxa"/>
              <w:right w:w="80" w:type="dxa"/>
            </w:tcMar>
            <w:vAlign w:val="center"/>
          </w:tcPr>
          <w:p w14:paraId="70D3EFA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0.62x</w:t>
            </w:r>
          </w:p>
        </w:tc>
        <w:tc>
          <w:tcPr>
            <w:tcW w:w="1080" w:type="dxa"/>
            <w:shd w:val="clear" w:color="auto" w:fill="FFFFFF"/>
            <w:tcMar>
              <w:top w:w="40" w:type="dxa"/>
              <w:left w:w="80" w:type="dxa"/>
              <w:bottom w:w="40" w:type="dxa"/>
              <w:right w:w="80" w:type="dxa"/>
            </w:tcMar>
            <w:vAlign w:val="center"/>
          </w:tcPr>
          <w:p w14:paraId="0D9CE33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0.54x</w:t>
            </w:r>
          </w:p>
        </w:tc>
      </w:tr>
      <w:tr w:rsidR="007C06ED" w:rsidRPr="00EF0CCF" w14:paraId="7246974E" w14:textId="77777777">
        <w:tc>
          <w:tcPr>
            <w:tcW w:w="1750" w:type="dxa"/>
            <w:shd w:val="clear" w:color="auto" w:fill="F2F2F2"/>
            <w:tcMar>
              <w:top w:w="40" w:type="dxa"/>
              <w:left w:w="80" w:type="dxa"/>
              <w:bottom w:w="40" w:type="dxa"/>
              <w:right w:w="80" w:type="dxa"/>
            </w:tcMar>
            <w:vAlign w:val="center"/>
          </w:tcPr>
          <w:p w14:paraId="67886FC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Liquidity</w:t>
            </w:r>
          </w:p>
        </w:tc>
        <w:tc>
          <w:tcPr>
            <w:tcW w:w="2200" w:type="dxa"/>
            <w:shd w:val="clear" w:color="auto" w:fill="F2F2F2"/>
            <w:tcMar>
              <w:top w:w="40" w:type="dxa"/>
              <w:left w:w="80" w:type="dxa"/>
              <w:bottom w:w="40" w:type="dxa"/>
              <w:right w:w="80" w:type="dxa"/>
            </w:tcMar>
            <w:vAlign w:val="center"/>
          </w:tcPr>
          <w:p w14:paraId="7834C35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Operating Cash Flow Ratio</w:t>
            </w:r>
          </w:p>
        </w:tc>
        <w:tc>
          <w:tcPr>
            <w:tcW w:w="1080" w:type="dxa"/>
            <w:shd w:val="clear" w:color="auto" w:fill="F2F2F2"/>
            <w:tcMar>
              <w:top w:w="40" w:type="dxa"/>
              <w:left w:w="80" w:type="dxa"/>
              <w:bottom w:w="40" w:type="dxa"/>
              <w:right w:w="80" w:type="dxa"/>
            </w:tcMar>
            <w:vAlign w:val="center"/>
          </w:tcPr>
          <w:p w14:paraId="1B36B43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0.09x</w:t>
            </w:r>
          </w:p>
        </w:tc>
        <w:tc>
          <w:tcPr>
            <w:tcW w:w="1080" w:type="dxa"/>
            <w:shd w:val="clear" w:color="auto" w:fill="F2F2F2"/>
            <w:tcMar>
              <w:top w:w="40" w:type="dxa"/>
              <w:left w:w="80" w:type="dxa"/>
              <w:bottom w:w="40" w:type="dxa"/>
              <w:right w:w="80" w:type="dxa"/>
            </w:tcMar>
            <w:vAlign w:val="center"/>
          </w:tcPr>
          <w:p w14:paraId="1CACE3D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0.39x</w:t>
            </w:r>
          </w:p>
        </w:tc>
        <w:tc>
          <w:tcPr>
            <w:tcW w:w="1080" w:type="dxa"/>
            <w:shd w:val="clear" w:color="auto" w:fill="F2F2F2"/>
            <w:tcMar>
              <w:top w:w="40" w:type="dxa"/>
              <w:left w:w="80" w:type="dxa"/>
              <w:bottom w:w="40" w:type="dxa"/>
              <w:right w:w="80" w:type="dxa"/>
            </w:tcMar>
            <w:vAlign w:val="center"/>
          </w:tcPr>
          <w:p w14:paraId="2FACC57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0.59x</w:t>
            </w:r>
          </w:p>
        </w:tc>
        <w:tc>
          <w:tcPr>
            <w:tcW w:w="1080" w:type="dxa"/>
            <w:shd w:val="clear" w:color="auto" w:fill="F2F2F2"/>
            <w:tcMar>
              <w:top w:w="40" w:type="dxa"/>
              <w:left w:w="80" w:type="dxa"/>
              <w:bottom w:w="40" w:type="dxa"/>
              <w:right w:w="80" w:type="dxa"/>
            </w:tcMar>
            <w:vAlign w:val="center"/>
          </w:tcPr>
          <w:p w14:paraId="121FEF0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0.57x</w:t>
            </w:r>
          </w:p>
        </w:tc>
        <w:tc>
          <w:tcPr>
            <w:tcW w:w="1080" w:type="dxa"/>
            <w:shd w:val="clear" w:color="auto" w:fill="F2F2F2"/>
            <w:tcMar>
              <w:top w:w="40" w:type="dxa"/>
              <w:left w:w="80" w:type="dxa"/>
              <w:bottom w:w="40" w:type="dxa"/>
              <w:right w:w="80" w:type="dxa"/>
            </w:tcMar>
            <w:vAlign w:val="center"/>
          </w:tcPr>
          <w:p w14:paraId="6E20902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0.39x</w:t>
            </w:r>
          </w:p>
        </w:tc>
      </w:tr>
      <w:tr w:rsidR="007C06ED" w:rsidRPr="00EF0CCF" w14:paraId="6BEF5CF2" w14:textId="77777777">
        <w:tc>
          <w:tcPr>
            <w:tcW w:w="1750" w:type="dxa"/>
            <w:shd w:val="clear" w:color="auto" w:fill="FFFFFF"/>
            <w:tcMar>
              <w:top w:w="40" w:type="dxa"/>
              <w:left w:w="80" w:type="dxa"/>
              <w:bottom w:w="40" w:type="dxa"/>
              <w:right w:w="80" w:type="dxa"/>
            </w:tcMar>
            <w:vAlign w:val="center"/>
          </w:tcPr>
          <w:p w14:paraId="192790A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Efficiency</w:t>
            </w:r>
          </w:p>
        </w:tc>
        <w:tc>
          <w:tcPr>
            <w:tcW w:w="2200" w:type="dxa"/>
            <w:shd w:val="clear" w:color="auto" w:fill="FFFFFF"/>
            <w:tcMar>
              <w:top w:w="40" w:type="dxa"/>
              <w:left w:w="80" w:type="dxa"/>
              <w:bottom w:w="40" w:type="dxa"/>
              <w:right w:w="80" w:type="dxa"/>
            </w:tcMar>
            <w:vAlign w:val="center"/>
          </w:tcPr>
          <w:p w14:paraId="1DE4761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Asset Turnover</w:t>
            </w:r>
          </w:p>
        </w:tc>
        <w:tc>
          <w:tcPr>
            <w:tcW w:w="1080" w:type="dxa"/>
            <w:shd w:val="clear" w:color="auto" w:fill="FFFFFF"/>
            <w:tcMar>
              <w:top w:w="40" w:type="dxa"/>
              <w:left w:w="80" w:type="dxa"/>
              <w:bottom w:w="40" w:type="dxa"/>
              <w:right w:w="80" w:type="dxa"/>
            </w:tcMar>
            <w:vAlign w:val="center"/>
          </w:tcPr>
          <w:p w14:paraId="6092FEA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0.48x</w:t>
            </w:r>
          </w:p>
        </w:tc>
        <w:tc>
          <w:tcPr>
            <w:tcW w:w="1080" w:type="dxa"/>
            <w:shd w:val="clear" w:color="auto" w:fill="FFFFFF"/>
            <w:tcMar>
              <w:top w:w="40" w:type="dxa"/>
              <w:left w:w="80" w:type="dxa"/>
              <w:bottom w:w="40" w:type="dxa"/>
              <w:right w:w="80" w:type="dxa"/>
            </w:tcMar>
            <w:vAlign w:val="center"/>
          </w:tcPr>
          <w:p w14:paraId="02407CF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0.62x</w:t>
            </w:r>
          </w:p>
        </w:tc>
        <w:tc>
          <w:tcPr>
            <w:tcW w:w="1080" w:type="dxa"/>
            <w:shd w:val="clear" w:color="auto" w:fill="FFFFFF"/>
            <w:tcMar>
              <w:top w:w="40" w:type="dxa"/>
              <w:left w:w="80" w:type="dxa"/>
              <w:bottom w:w="40" w:type="dxa"/>
              <w:right w:w="80" w:type="dxa"/>
            </w:tcMar>
            <w:vAlign w:val="center"/>
          </w:tcPr>
          <w:p w14:paraId="7F0745A7"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0.92x</w:t>
            </w:r>
          </w:p>
        </w:tc>
        <w:tc>
          <w:tcPr>
            <w:tcW w:w="1080" w:type="dxa"/>
            <w:shd w:val="clear" w:color="auto" w:fill="FFFFFF"/>
            <w:tcMar>
              <w:top w:w="40" w:type="dxa"/>
              <w:left w:w="80" w:type="dxa"/>
              <w:bottom w:w="40" w:type="dxa"/>
              <w:right w:w="80" w:type="dxa"/>
            </w:tcMar>
            <w:vAlign w:val="center"/>
          </w:tcPr>
          <w:p w14:paraId="550818C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0.96x</w:t>
            </w:r>
          </w:p>
        </w:tc>
        <w:tc>
          <w:tcPr>
            <w:tcW w:w="1080" w:type="dxa"/>
            <w:shd w:val="clear" w:color="auto" w:fill="FFFFFF"/>
            <w:tcMar>
              <w:top w:w="40" w:type="dxa"/>
              <w:left w:w="80" w:type="dxa"/>
              <w:bottom w:w="40" w:type="dxa"/>
              <w:right w:w="80" w:type="dxa"/>
            </w:tcMar>
            <w:vAlign w:val="center"/>
          </w:tcPr>
          <w:p w14:paraId="32AB2D2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1.04x</w:t>
            </w:r>
          </w:p>
        </w:tc>
      </w:tr>
      <w:tr w:rsidR="007C06ED" w:rsidRPr="00EF0CCF" w14:paraId="5318E47B" w14:textId="77777777">
        <w:tc>
          <w:tcPr>
            <w:tcW w:w="1750" w:type="dxa"/>
            <w:shd w:val="clear" w:color="auto" w:fill="F2F2F2"/>
            <w:tcMar>
              <w:top w:w="40" w:type="dxa"/>
              <w:left w:w="80" w:type="dxa"/>
              <w:bottom w:w="40" w:type="dxa"/>
              <w:right w:w="80" w:type="dxa"/>
            </w:tcMar>
            <w:vAlign w:val="center"/>
          </w:tcPr>
          <w:p w14:paraId="58CDA9D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Efficiency</w:t>
            </w:r>
          </w:p>
        </w:tc>
        <w:tc>
          <w:tcPr>
            <w:tcW w:w="2200" w:type="dxa"/>
            <w:shd w:val="clear" w:color="auto" w:fill="F2F2F2"/>
            <w:tcMar>
              <w:top w:w="40" w:type="dxa"/>
              <w:left w:w="80" w:type="dxa"/>
              <w:bottom w:w="40" w:type="dxa"/>
              <w:right w:w="80" w:type="dxa"/>
            </w:tcMar>
            <w:vAlign w:val="center"/>
          </w:tcPr>
          <w:p w14:paraId="64F8CB8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Receivables Days</w:t>
            </w:r>
          </w:p>
        </w:tc>
        <w:tc>
          <w:tcPr>
            <w:tcW w:w="1080" w:type="dxa"/>
            <w:shd w:val="clear" w:color="auto" w:fill="F2F2F2"/>
            <w:tcMar>
              <w:top w:w="40" w:type="dxa"/>
              <w:left w:w="80" w:type="dxa"/>
              <w:bottom w:w="40" w:type="dxa"/>
              <w:right w:w="80" w:type="dxa"/>
            </w:tcMar>
            <w:vAlign w:val="center"/>
          </w:tcPr>
          <w:p w14:paraId="37A41B7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78.4</w:t>
            </w:r>
          </w:p>
        </w:tc>
        <w:tc>
          <w:tcPr>
            <w:tcW w:w="1080" w:type="dxa"/>
            <w:shd w:val="clear" w:color="auto" w:fill="F2F2F2"/>
            <w:tcMar>
              <w:top w:w="40" w:type="dxa"/>
              <w:left w:w="80" w:type="dxa"/>
              <w:bottom w:w="40" w:type="dxa"/>
              <w:right w:w="80" w:type="dxa"/>
            </w:tcMar>
            <w:vAlign w:val="center"/>
          </w:tcPr>
          <w:p w14:paraId="2DBF350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72.1</w:t>
            </w:r>
          </w:p>
        </w:tc>
        <w:tc>
          <w:tcPr>
            <w:tcW w:w="1080" w:type="dxa"/>
            <w:shd w:val="clear" w:color="auto" w:fill="F2F2F2"/>
            <w:tcMar>
              <w:top w:w="40" w:type="dxa"/>
              <w:left w:w="80" w:type="dxa"/>
              <w:bottom w:w="40" w:type="dxa"/>
              <w:right w:w="80" w:type="dxa"/>
            </w:tcMar>
            <w:vAlign w:val="center"/>
          </w:tcPr>
          <w:p w14:paraId="1B62CE6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60.6</w:t>
            </w:r>
          </w:p>
        </w:tc>
        <w:tc>
          <w:tcPr>
            <w:tcW w:w="1080" w:type="dxa"/>
            <w:shd w:val="clear" w:color="auto" w:fill="F2F2F2"/>
            <w:tcMar>
              <w:top w:w="40" w:type="dxa"/>
              <w:left w:w="80" w:type="dxa"/>
              <w:bottom w:w="40" w:type="dxa"/>
              <w:right w:w="80" w:type="dxa"/>
            </w:tcMar>
            <w:vAlign w:val="center"/>
          </w:tcPr>
          <w:p w14:paraId="3894EC0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58.4</w:t>
            </w:r>
          </w:p>
        </w:tc>
        <w:tc>
          <w:tcPr>
            <w:tcW w:w="1080" w:type="dxa"/>
            <w:shd w:val="clear" w:color="auto" w:fill="F2F2F2"/>
            <w:tcMar>
              <w:top w:w="40" w:type="dxa"/>
              <w:left w:w="80" w:type="dxa"/>
              <w:bottom w:w="40" w:type="dxa"/>
              <w:right w:w="80" w:type="dxa"/>
            </w:tcMar>
            <w:vAlign w:val="center"/>
          </w:tcPr>
          <w:p w14:paraId="442ED11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58.2</w:t>
            </w:r>
          </w:p>
        </w:tc>
      </w:tr>
      <w:tr w:rsidR="007C06ED" w:rsidRPr="00EF0CCF" w14:paraId="66DD359C" w14:textId="77777777">
        <w:tc>
          <w:tcPr>
            <w:tcW w:w="1750" w:type="dxa"/>
            <w:shd w:val="clear" w:color="auto" w:fill="FFFFFF"/>
            <w:tcMar>
              <w:top w:w="40" w:type="dxa"/>
              <w:left w:w="80" w:type="dxa"/>
              <w:bottom w:w="40" w:type="dxa"/>
              <w:right w:w="80" w:type="dxa"/>
            </w:tcMar>
            <w:vAlign w:val="center"/>
          </w:tcPr>
          <w:p w14:paraId="7D021D3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Efficiency</w:t>
            </w:r>
          </w:p>
        </w:tc>
        <w:tc>
          <w:tcPr>
            <w:tcW w:w="2200" w:type="dxa"/>
            <w:shd w:val="clear" w:color="auto" w:fill="FFFFFF"/>
            <w:tcMar>
              <w:top w:w="40" w:type="dxa"/>
              <w:left w:w="80" w:type="dxa"/>
              <w:bottom w:w="40" w:type="dxa"/>
              <w:right w:w="80" w:type="dxa"/>
            </w:tcMar>
            <w:vAlign w:val="center"/>
          </w:tcPr>
          <w:p w14:paraId="5526F13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Payables Days</w:t>
            </w:r>
          </w:p>
        </w:tc>
        <w:tc>
          <w:tcPr>
            <w:tcW w:w="1080" w:type="dxa"/>
            <w:shd w:val="clear" w:color="auto" w:fill="FFFFFF"/>
            <w:tcMar>
              <w:top w:w="40" w:type="dxa"/>
              <w:left w:w="80" w:type="dxa"/>
              <w:bottom w:w="40" w:type="dxa"/>
              <w:right w:w="80" w:type="dxa"/>
            </w:tcMar>
            <w:vAlign w:val="center"/>
          </w:tcPr>
          <w:p w14:paraId="51FF992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89.1</w:t>
            </w:r>
          </w:p>
        </w:tc>
        <w:tc>
          <w:tcPr>
            <w:tcW w:w="1080" w:type="dxa"/>
            <w:shd w:val="clear" w:color="auto" w:fill="FFFFFF"/>
            <w:tcMar>
              <w:top w:w="40" w:type="dxa"/>
              <w:left w:w="80" w:type="dxa"/>
              <w:bottom w:w="40" w:type="dxa"/>
              <w:right w:w="80" w:type="dxa"/>
            </w:tcMar>
            <w:vAlign w:val="center"/>
          </w:tcPr>
          <w:p w14:paraId="55A42BE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104.5</w:t>
            </w:r>
          </w:p>
        </w:tc>
        <w:tc>
          <w:tcPr>
            <w:tcW w:w="1080" w:type="dxa"/>
            <w:shd w:val="clear" w:color="auto" w:fill="FFFFFF"/>
            <w:tcMar>
              <w:top w:w="40" w:type="dxa"/>
              <w:left w:w="80" w:type="dxa"/>
              <w:bottom w:w="40" w:type="dxa"/>
              <w:right w:w="80" w:type="dxa"/>
            </w:tcMar>
            <w:vAlign w:val="center"/>
          </w:tcPr>
          <w:p w14:paraId="16357E5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75.1</w:t>
            </w:r>
          </w:p>
        </w:tc>
        <w:tc>
          <w:tcPr>
            <w:tcW w:w="1080" w:type="dxa"/>
            <w:shd w:val="clear" w:color="auto" w:fill="FFFFFF"/>
            <w:tcMar>
              <w:top w:w="40" w:type="dxa"/>
              <w:left w:w="80" w:type="dxa"/>
              <w:bottom w:w="40" w:type="dxa"/>
              <w:right w:w="80" w:type="dxa"/>
            </w:tcMar>
            <w:vAlign w:val="center"/>
          </w:tcPr>
          <w:p w14:paraId="1D3B6F6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80.9</w:t>
            </w:r>
          </w:p>
        </w:tc>
        <w:tc>
          <w:tcPr>
            <w:tcW w:w="1080" w:type="dxa"/>
            <w:shd w:val="clear" w:color="auto" w:fill="FFFFFF"/>
            <w:tcMar>
              <w:top w:w="40" w:type="dxa"/>
              <w:left w:w="80" w:type="dxa"/>
              <w:bottom w:w="40" w:type="dxa"/>
              <w:right w:w="80" w:type="dxa"/>
            </w:tcMar>
            <w:vAlign w:val="center"/>
          </w:tcPr>
          <w:p w14:paraId="0C2E4A1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68.4</w:t>
            </w:r>
          </w:p>
        </w:tc>
      </w:tr>
      <w:tr w:rsidR="007C06ED" w:rsidRPr="00EF0CCF" w14:paraId="4E0EB739" w14:textId="77777777">
        <w:tc>
          <w:tcPr>
            <w:tcW w:w="1750" w:type="dxa"/>
            <w:shd w:val="clear" w:color="auto" w:fill="F2F2F2"/>
            <w:tcMar>
              <w:top w:w="40" w:type="dxa"/>
              <w:left w:w="80" w:type="dxa"/>
              <w:bottom w:w="40" w:type="dxa"/>
              <w:right w:w="80" w:type="dxa"/>
            </w:tcMar>
            <w:vAlign w:val="center"/>
          </w:tcPr>
          <w:p w14:paraId="4F5E990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Gearing</w:t>
            </w:r>
          </w:p>
        </w:tc>
        <w:tc>
          <w:tcPr>
            <w:tcW w:w="2200" w:type="dxa"/>
            <w:shd w:val="clear" w:color="auto" w:fill="F2F2F2"/>
            <w:tcMar>
              <w:top w:w="40" w:type="dxa"/>
              <w:left w:w="80" w:type="dxa"/>
              <w:bottom w:w="40" w:type="dxa"/>
              <w:right w:w="80" w:type="dxa"/>
            </w:tcMar>
            <w:vAlign w:val="center"/>
          </w:tcPr>
          <w:p w14:paraId="7B21AF4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Net Debt / EBITDA</w:t>
            </w:r>
          </w:p>
        </w:tc>
        <w:tc>
          <w:tcPr>
            <w:tcW w:w="1080" w:type="dxa"/>
            <w:shd w:val="clear" w:color="auto" w:fill="F2F2F2"/>
            <w:tcMar>
              <w:top w:w="40" w:type="dxa"/>
              <w:left w:w="80" w:type="dxa"/>
              <w:bottom w:w="40" w:type="dxa"/>
              <w:right w:w="80" w:type="dxa"/>
            </w:tcMar>
            <w:vAlign w:val="center"/>
          </w:tcPr>
          <w:p w14:paraId="564F36A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19.26x</w:t>
            </w:r>
          </w:p>
        </w:tc>
        <w:tc>
          <w:tcPr>
            <w:tcW w:w="1080" w:type="dxa"/>
            <w:shd w:val="clear" w:color="auto" w:fill="F2F2F2"/>
            <w:tcMar>
              <w:top w:w="40" w:type="dxa"/>
              <w:left w:w="80" w:type="dxa"/>
              <w:bottom w:w="40" w:type="dxa"/>
              <w:right w:w="80" w:type="dxa"/>
            </w:tcMar>
            <w:vAlign w:val="center"/>
          </w:tcPr>
          <w:p w14:paraId="37F06D2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2.91x</w:t>
            </w:r>
          </w:p>
        </w:tc>
        <w:tc>
          <w:tcPr>
            <w:tcW w:w="1080" w:type="dxa"/>
            <w:shd w:val="clear" w:color="auto" w:fill="F2F2F2"/>
            <w:tcMar>
              <w:top w:w="40" w:type="dxa"/>
              <w:left w:w="80" w:type="dxa"/>
              <w:bottom w:w="40" w:type="dxa"/>
              <w:right w:w="80" w:type="dxa"/>
            </w:tcMar>
            <w:vAlign w:val="center"/>
          </w:tcPr>
          <w:p w14:paraId="1D9730E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2.42x</w:t>
            </w:r>
          </w:p>
        </w:tc>
        <w:tc>
          <w:tcPr>
            <w:tcW w:w="1080" w:type="dxa"/>
            <w:shd w:val="clear" w:color="auto" w:fill="F2F2F2"/>
            <w:tcMar>
              <w:top w:w="40" w:type="dxa"/>
              <w:left w:w="80" w:type="dxa"/>
              <w:bottom w:w="40" w:type="dxa"/>
              <w:right w:w="80" w:type="dxa"/>
            </w:tcMar>
            <w:vAlign w:val="center"/>
          </w:tcPr>
          <w:p w14:paraId="4C3BE44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1.70x</w:t>
            </w:r>
          </w:p>
        </w:tc>
        <w:tc>
          <w:tcPr>
            <w:tcW w:w="1080" w:type="dxa"/>
            <w:shd w:val="clear" w:color="auto" w:fill="F2F2F2"/>
            <w:tcMar>
              <w:top w:w="40" w:type="dxa"/>
              <w:left w:w="80" w:type="dxa"/>
              <w:bottom w:w="40" w:type="dxa"/>
              <w:right w:w="80" w:type="dxa"/>
            </w:tcMar>
            <w:vAlign w:val="center"/>
          </w:tcPr>
          <w:p w14:paraId="30B2951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1.91x</w:t>
            </w:r>
          </w:p>
        </w:tc>
      </w:tr>
      <w:tr w:rsidR="007C06ED" w:rsidRPr="00EF0CCF" w14:paraId="3C288120" w14:textId="77777777">
        <w:tc>
          <w:tcPr>
            <w:tcW w:w="1750" w:type="dxa"/>
            <w:shd w:val="clear" w:color="auto" w:fill="FFFFFF"/>
            <w:tcMar>
              <w:top w:w="40" w:type="dxa"/>
              <w:left w:w="80" w:type="dxa"/>
              <w:bottom w:w="40" w:type="dxa"/>
              <w:right w:w="80" w:type="dxa"/>
            </w:tcMar>
            <w:vAlign w:val="center"/>
          </w:tcPr>
          <w:p w14:paraId="2597E91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Gearing</w:t>
            </w:r>
          </w:p>
        </w:tc>
        <w:tc>
          <w:tcPr>
            <w:tcW w:w="2200" w:type="dxa"/>
            <w:shd w:val="clear" w:color="auto" w:fill="FFFFFF"/>
            <w:tcMar>
              <w:top w:w="40" w:type="dxa"/>
              <w:left w:w="80" w:type="dxa"/>
              <w:bottom w:w="40" w:type="dxa"/>
              <w:right w:w="80" w:type="dxa"/>
            </w:tcMar>
            <w:vAlign w:val="center"/>
          </w:tcPr>
          <w:p w14:paraId="4FD4DF1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Debt / Total Assets</w:t>
            </w:r>
          </w:p>
        </w:tc>
        <w:tc>
          <w:tcPr>
            <w:tcW w:w="1080" w:type="dxa"/>
            <w:shd w:val="clear" w:color="auto" w:fill="FFFFFF"/>
            <w:tcMar>
              <w:top w:w="40" w:type="dxa"/>
              <w:left w:w="80" w:type="dxa"/>
              <w:bottom w:w="40" w:type="dxa"/>
              <w:right w:w="80" w:type="dxa"/>
            </w:tcMar>
            <w:vAlign w:val="center"/>
          </w:tcPr>
          <w:p w14:paraId="347FF5E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74.8%</w:t>
            </w:r>
          </w:p>
        </w:tc>
        <w:tc>
          <w:tcPr>
            <w:tcW w:w="1080" w:type="dxa"/>
            <w:shd w:val="clear" w:color="auto" w:fill="FFFFFF"/>
            <w:tcMar>
              <w:top w:w="40" w:type="dxa"/>
              <w:left w:w="80" w:type="dxa"/>
              <w:bottom w:w="40" w:type="dxa"/>
              <w:right w:w="80" w:type="dxa"/>
            </w:tcMar>
            <w:vAlign w:val="center"/>
          </w:tcPr>
          <w:p w14:paraId="2C09C31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60.3%</w:t>
            </w:r>
          </w:p>
        </w:tc>
        <w:tc>
          <w:tcPr>
            <w:tcW w:w="1080" w:type="dxa"/>
            <w:shd w:val="clear" w:color="auto" w:fill="FFFFFF"/>
            <w:tcMar>
              <w:top w:w="40" w:type="dxa"/>
              <w:left w:w="80" w:type="dxa"/>
              <w:bottom w:w="40" w:type="dxa"/>
              <w:right w:w="80" w:type="dxa"/>
            </w:tcMar>
            <w:vAlign w:val="center"/>
          </w:tcPr>
          <w:p w14:paraId="0D8DFBD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67.5%</w:t>
            </w:r>
          </w:p>
        </w:tc>
        <w:tc>
          <w:tcPr>
            <w:tcW w:w="1080" w:type="dxa"/>
            <w:shd w:val="clear" w:color="auto" w:fill="FFFFFF"/>
            <w:tcMar>
              <w:top w:w="40" w:type="dxa"/>
              <w:left w:w="80" w:type="dxa"/>
              <w:bottom w:w="40" w:type="dxa"/>
              <w:right w:w="80" w:type="dxa"/>
            </w:tcMar>
            <w:vAlign w:val="center"/>
          </w:tcPr>
          <w:p w14:paraId="1B03EAB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60.4%</w:t>
            </w:r>
          </w:p>
        </w:tc>
        <w:tc>
          <w:tcPr>
            <w:tcW w:w="1080" w:type="dxa"/>
            <w:shd w:val="clear" w:color="auto" w:fill="FFFFFF"/>
            <w:tcMar>
              <w:top w:w="40" w:type="dxa"/>
              <w:left w:w="80" w:type="dxa"/>
              <w:bottom w:w="40" w:type="dxa"/>
              <w:right w:w="80" w:type="dxa"/>
            </w:tcMar>
            <w:vAlign w:val="center"/>
          </w:tcPr>
          <w:p w14:paraId="0050F08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66.5%</w:t>
            </w:r>
          </w:p>
        </w:tc>
      </w:tr>
      <w:tr w:rsidR="007C06ED" w:rsidRPr="00EF0CCF" w14:paraId="3067B3F2" w14:textId="77777777">
        <w:tc>
          <w:tcPr>
            <w:tcW w:w="1750" w:type="dxa"/>
            <w:shd w:val="clear" w:color="auto" w:fill="F2F2F2"/>
            <w:tcMar>
              <w:top w:w="40" w:type="dxa"/>
              <w:left w:w="80" w:type="dxa"/>
              <w:bottom w:w="40" w:type="dxa"/>
              <w:right w:w="80" w:type="dxa"/>
            </w:tcMar>
            <w:vAlign w:val="center"/>
          </w:tcPr>
          <w:p w14:paraId="78EE7BC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Gearing</w:t>
            </w:r>
          </w:p>
        </w:tc>
        <w:tc>
          <w:tcPr>
            <w:tcW w:w="2200" w:type="dxa"/>
            <w:shd w:val="clear" w:color="auto" w:fill="F2F2F2"/>
            <w:tcMar>
              <w:top w:w="40" w:type="dxa"/>
              <w:left w:w="80" w:type="dxa"/>
              <w:bottom w:w="40" w:type="dxa"/>
              <w:right w:w="80" w:type="dxa"/>
            </w:tcMar>
            <w:vAlign w:val="center"/>
          </w:tcPr>
          <w:p w14:paraId="70101AC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Interest Cover</w:t>
            </w:r>
          </w:p>
        </w:tc>
        <w:tc>
          <w:tcPr>
            <w:tcW w:w="1080" w:type="dxa"/>
            <w:shd w:val="clear" w:color="auto" w:fill="F2F2F2"/>
            <w:tcMar>
              <w:top w:w="40" w:type="dxa"/>
              <w:left w:w="80" w:type="dxa"/>
              <w:bottom w:w="40" w:type="dxa"/>
              <w:right w:w="80" w:type="dxa"/>
            </w:tcMar>
            <w:vAlign w:val="center"/>
          </w:tcPr>
          <w:p w14:paraId="34E0EE4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(1.13x)</w:t>
            </w:r>
          </w:p>
        </w:tc>
        <w:tc>
          <w:tcPr>
            <w:tcW w:w="1080" w:type="dxa"/>
            <w:shd w:val="clear" w:color="auto" w:fill="F2F2F2"/>
            <w:tcMar>
              <w:top w:w="40" w:type="dxa"/>
              <w:left w:w="80" w:type="dxa"/>
              <w:bottom w:w="40" w:type="dxa"/>
              <w:right w:w="80" w:type="dxa"/>
            </w:tcMar>
            <w:vAlign w:val="center"/>
          </w:tcPr>
          <w:p w14:paraId="342228D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3.55x</w:t>
            </w:r>
          </w:p>
        </w:tc>
        <w:tc>
          <w:tcPr>
            <w:tcW w:w="1080" w:type="dxa"/>
            <w:shd w:val="clear" w:color="auto" w:fill="F2F2F2"/>
            <w:tcMar>
              <w:top w:w="40" w:type="dxa"/>
              <w:left w:w="80" w:type="dxa"/>
              <w:bottom w:w="40" w:type="dxa"/>
              <w:right w:w="80" w:type="dxa"/>
            </w:tcMar>
            <w:vAlign w:val="center"/>
          </w:tcPr>
          <w:p w14:paraId="1D8543B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5.92x</w:t>
            </w:r>
          </w:p>
        </w:tc>
        <w:tc>
          <w:tcPr>
            <w:tcW w:w="1080" w:type="dxa"/>
            <w:shd w:val="clear" w:color="auto" w:fill="F2F2F2"/>
            <w:tcMar>
              <w:top w:w="40" w:type="dxa"/>
              <w:left w:w="80" w:type="dxa"/>
              <w:bottom w:w="40" w:type="dxa"/>
              <w:right w:w="80" w:type="dxa"/>
            </w:tcMar>
            <w:vAlign w:val="center"/>
          </w:tcPr>
          <w:p w14:paraId="1C831F7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20.50x</w:t>
            </w:r>
          </w:p>
        </w:tc>
        <w:tc>
          <w:tcPr>
            <w:tcW w:w="1080" w:type="dxa"/>
            <w:shd w:val="clear" w:color="auto" w:fill="F2F2F2"/>
            <w:tcMar>
              <w:top w:w="40" w:type="dxa"/>
              <w:left w:w="80" w:type="dxa"/>
              <w:bottom w:w="40" w:type="dxa"/>
              <w:right w:w="80" w:type="dxa"/>
            </w:tcMar>
            <w:vAlign w:val="center"/>
          </w:tcPr>
          <w:p w14:paraId="6D59FDB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7.44x</w:t>
            </w:r>
          </w:p>
        </w:tc>
      </w:tr>
      <w:tr w:rsidR="007C06ED" w:rsidRPr="00EF0CCF" w14:paraId="1453DA8F" w14:textId="77777777">
        <w:tc>
          <w:tcPr>
            <w:tcW w:w="1750" w:type="dxa"/>
            <w:shd w:val="clear" w:color="auto" w:fill="FFFFFF"/>
            <w:tcMar>
              <w:top w:w="40" w:type="dxa"/>
              <w:left w:w="80" w:type="dxa"/>
              <w:bottom w:w="40" w:type="dxa"/>
              <w:right w:w="80" w:type="dxa"/>
            </w:tcMar>
            <w:vAlign w:val="center"/>
          </w:tcPr>
          <w:p w14:paraId="156F09A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Investment/Cash Flow</w:t>
            </w:r>
          </w:p>
        </w:tc>
        <w:tc>
          <w:tcPr>
            <w:tcW w:w="2200" w:type="dxa"/>
            <w:shd w:val="clear" w:color="auto" w:fill="FFFFFF"/>
            <w:tcMar>
              <w:top w:w="40" w:type="dxa"/>
              <w:left w:w="80" w:type="dxa"/>
              <w:bottom w:w="40" w:type="dxa"/>
              <w:right w:w="80" w:type="dxa"/>
            </w:tcMar>
            <w:vAlign w:val="center"/>
          </w:tcPr>
          <w:p w14:paraId="5FD1409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Cash Flow to Revenue</w:t>
            </w:r>
          </w:p>
        </w:tc>
        <w:tc>
          <w:tcPr>
            <w:tcW w:w="1080" w:type="dxa"/>
            <w:shd w:val="clear" w:color="auto" w:fill="FFFFFF"/>
            <w:tcMar>
              <w:top w:w="40" w:type="dxa"/>
              <w:left w:w="80" w:type="dxa"/>
              <w:bottom w:w="40" w:type="dxa"/>
              <w:right w:w="80" w:type="dxa"/>
            </w:tcMar>
            <w:vAlign w:val="center"/>
          </w:tcPr>
          <w:p w14:paraId="79A828F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7.2%</w:t>
            </w:r>
          </w:p>
        </w:tc>
        <w:tc>
          <w:tcPr>
            <w:tcW w:w="1080" w:type="dxa"/>
            <w:shd w:val="clear" w:color="auto" w:fill="FFFFFF"/>
            <w:tcMar>
              <w:top w:w="40" w:type="dxa"/>
              <w:left w:w="80" w:type="dxa"/>
              <w:bottom w:w="40" w:type="dxa"/>
              <w:right w:w="80" w:type="dxa"/>
            </w:tcMar>
            <w:vAlign w:val="center"/>
          </w:tcPr>
          <w:p w14:paraId="433951F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21.9%</w:t>
            </w:r>
          </w:p>
        </w:tc>
        <w:tc>
          <w:tcPr>
            <w:tcW w:w="1080" w:type="dxa"/>
            <w:shd w:val="clear" w:color="auto" w:fill="FFFFFF"/>
            <w:tcMar>
              <w:top w:w="40" w:type="dxa"/>
              <w:left w:w="80" w:type="dxa"/>
              <w:bottom w:w="40" w:type="dxa"/>
              <w:right w:w="80" w:type="dxa"/>
            </w:tcMar>
            <w:vAlign w:val="center"/>
          </w:tcPr>
          <w:p w14:paraId="090A6BD7"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24.7%</w:t>
            </w:r>
          </w:p>
        </w:tc>
        <w:tc>
          <w:tcPr>
            <w:tcW w:w="1080" w:type="dxa"/>
            <w:shd w:val="clear" w:color="auto" w:fill="FFFFFF"/>
            <w:tcMar>
              <w:top w:w="40" w:type="dxa"/>
              <w:left w:w="80" w:type="dxa"/>
              <w:bottom w:w="40" w:type="dxa"/>
              <w:right w:w="80" w:type="dxa"/>
            </w:tcMar>
            <w:vAlign w:val="center"/>
          </w:tcPr>
          <w:p w14:paraId="6FD7DB4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26.4%</w:t>
            </w:r>
          </w:p>
        </w:tc>
        <w:tc>
          <w:tcPr>
            <w:tcW w:w="1080" w:type="dxa"/>
            <w:shd w:val="clear" w:color="auto" w:fill="FFFFFF"/>
            <w:tcMar>
              <w:top w:w="40" w:type="dxa"/>
              <w:left w:w="80" w:type="dxa"/>
              <w:bottom w:w="40" w:type="dxa"/>
              <w:right w:w="80" w:type="dxa"/>
            </w:tcMar>
            <w:vAlign w:val="center"/>
          </w:tcPr>
          <w:p w14:paraId="47048AF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14.7%</w:t>
            </w:r>
          </w:p>
        </w:tc>
      </w:tr>
      <w:tr w:rsidR="007C06ED" w:rsidRPr="00EF0CCF" w14:paraId="69FF226D" w14:textId="77777777">
        <w:tc>
          <w:tcPr>
            <w:tcW w:w="1750" w:type="dxa"/>
            <w:shd w:val="clear" w:color="auto" w:fill="F2F2F2"/>
            <w:tcMar>
              <w:top w:w="40" w:type="dxa"/>
              <w:left w:w="80" w:type="dxa"/>
              <w:bottom w:w="40" w:type="dxa"/>
              <w:right w:w="80" w:type="dxa"/>
            </w:tcMar>
            <w:vAlign w:val="center"/>
          </w:tcPr>
          <w:p w14:paraId="6FF4559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Investment/Cash Flow</w:t>
            </w:r>
          </w:p>
        </w:tc>
        <w:tc>
          <w:tcPr>
            <w:tcW w:w="2200" w:type="dxa"/>
            <w:shd w:val="clear" w:color="auto" w:fill="F2F2F2"/>
            <w:tcMar>
              <w:top w:w="40" w:type="dxa"/>
              <w:left w:w="80" w:type="dxa"/>
              <w:bottom w:w="40" w:type="dxa"/>
              <w:right w:w="80" w:type="dxa"/>
            </w:tcMar>
            <w:vAlign w:val="center"/>
          </w:tcPr>
          <w:p w14:paraId="0B84AA8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Capex / Revenue</w:t>
            </w:r>
          </w:p>
        </w:tc>
        <w:tc>
          <w:tcPr>
            <w:tcW w:w="1080" w:type="dxa"/>
            <w:shd w:val="clear" w:color="auto" w:fill="F2F2F2"/>
            <w:tcMar>
              <w:top w:w="40" w:type="dxa"/>
              <w:left w:w="80" w:type="dxa"/>
              <w:bottom w:w="40" w:type="dxa"/>
              <w:right w:w="80" w:type="dxa"/>
            </w:tcMar>
            <w:vAlign w:val="center"/>
          </w:tcPr>
          <w:p w14:paraId="7B8E855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2.8%</w:t>
            </w:r>
          </w:p>
        </w:tc>
        <w:tc>
          <w:tcPr>
            <w:tcW w:w="1080" w:type="dxa"/>
            <w:shd w:val="clear" w:color="auto" w:fill="F2F2F2"/>
            <w:tcMar>
              <w:top w:w="40" w:type="dxa"/>
              <w:left w:w="80" w:type="dxa"/>
              <w:bottom w:w="40" w:type="dxa"/>
              <w:right w:w="80" w:type="dxa"/>
            </w:tcMar>
            <w:vAlign w:val="center"/>
          </w:tcPr>
          <w:p w14:paraId="259EFA7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2.2%</w:t>
            </w:r>
          </w:p>
        </w:tc>
        <w:tc>
          <w:tcPr>
            <w:tcW w:w="1080" w:type="dxa"/>
            <w:shd w:val="clear" w:color="auto" w:fill="F2F2F2"/>
            <w:tcMar>
              <w:top w:w="40" w:type="dxa"/>
              <w:left w:w="80" w:type="dxa"/>
              <w:bottom w:w="40" w:type="dxa"/>
              <w:right w:w="80" w:type="dxa"/>
            </w:tcMar>
            <w:vAlign w:val="center"/>
          </w:tcPr>
          <w:p w14:paraId="5EFC156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2.5%</w:t>
            </w:r>
          </w:p>
        </w:tc>
        <w:tc>
          <w:tcPr>
            <w:tcW w:w="1080" w:type="dxa"/>
            <w:shd w:val="clear" w:color="auto" w:fill="F2F2F2"/>
            <w:tcMar>
              <w:top w:w="40" w:type="dxa"/>
              <w:left w:w="80" w:type="dxa"/>
              <w:bottom w:w="40" w:type="dxa"/>
              <w:right w:w="80" w:type="dxa"/>
            </w:tcMar>
            <w:vAlign w:val="center"/>
          </w:tcPr>
          <w:p w14:paraId="07CEE12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2.3%</w:t>
            </w:r>
          </w:p>
        </w:tc>
        <w:tc>
          <w:tcPr>
            <w:tcW w:w="1080" w:type="dxa"/>
            <w:shd w:val="clear" w:color="auto" w:fill="F2F2F2"/>
            <w:tcMar>
              <w:top w:w="40" w:type="dxa"/>
              <w:left w:w="80" w:type="dxa"/>
              <w:bottom w:w="40" w:type="dxa"/>
              <w:right w:w="80" w:type="dxa"/>
            </w:tcMar>
            <w:vAlign w:val="center"/>
          </w:tcPr>
          <w:p w14:paraId="26A02D8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2.6%</w:t>
            </w:r>
          </w:p>
        </w:tc>
      </w:tr>
      <w:tr w:rsidR="007C06ED" w:rsidRPr="00EF0CCF" w14:paraId="695826F4" w14:textId="77777777">
        <w:tc>
          <w:tcPr>
            <w:tcW w:w="1750" w:type="dxa"/>
            <w:shd w:val="clear" w:color="auto" w:fill="FFFFFF"/>
            <w:tcMar>
              <w:top w:w="40" w:type="dxa"/>
              <w:left w:w="80" w:type="dxa"/>
              <w:bottom w:w="40" w:type="dxa"/>
              <w:right w:w="80" w:type="dxa"/>
            </w:tcMar>
            <w:vAlign w:val="center"/>
          </w:tcPr>
          <w:p w14:paraId="7BD8AB0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Investment/Cash Flow</w:t>
            </w:r>
          </w:p>
        </w:tc>
        <w:tc>
          <w:tcPr>
            <w:tcW w:w="2200" w:type="dxa"/>
            <w:shd w:val="clear" w:color="auto" w:fill="FFFFFF"/>
            <w:tcMar>
              <w:top w:w="40" w:type="dxa"/>
              <w:left w:w="80" w:type="dxa"/>
              <w:bottom w:w="40" w:type="dxa"/>
              <w:right w:w="80" w:type="dxa"/>
            </w:tcMar>
            <w:vAlign w:val="center"/>
          </w:tcPr>
          <w:p w14:paraId="4225256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Free Cash Flow ($m)</w:t>
            </w:r>
          </w:p>
        </w:tc>
        <w:tc>
          <w:tcPr>
            <w:tcW w:w="1080" w:type="dxa"/>
            <w:shd w:val="clear" w:color="auto" w:fill="FFFFFF"/>
            <w:tcMar>
              <w:top w:w="40" w:type="dxa"/>
              <w:left w:w="80" w:type="dxa"/>
              <w:bottom w:w="40" w:type="dxa"/>
              <w:right w:w="80" w:type="dxa"/>
            </w:tcMar>
            <w:vAlign w:val="center"/>
          </w:tcPr>
          <w:p w14:paraId="261974F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29</w:t>
            </w:r>
          </w:p>
        </w:tc>
        <w:tc>
          <w:tcPr>
            <w:tcW w:w="1080" w:type="dxa"/>
            <w:shd w:val="clear" w:color="auto" w:fill="FFFFFF"/>
            <w:tcMar>
              <w:top w:w="40" w:type="dxa"/>
              <w:left w:w="80" w:type="dxa"/>
              <w:bottom w:w="40" w:type="dxa"/>
              <w:right w:w="80" w:type="dxa"/>
            </w:tcMar>
            <w:vAlign w:val="center"/>
          </w:tcPr>
          <w:p w14:paraId="39A9855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571</w:t>
            </w:r>
          </w:p>
        </w:tc>
        <w:tc>
          <w:tcPr>
            <w:tcW w:w="1080" w:type="dxa"/>
            <w:shd w:val="clear" w:color="auto" w:fill="FFFFFF"/>
            <w:tcMar>
              <w:top w:w="40" w:type="dxa"/>
              <w:left w:w="80" w:type="dxa"/>
              <w:bottom w:w="40" w:type="dxa"/>
              <w:right w:w="80" w:type="dxa"/>
            </w:tcMar>
            <w:vAlign w:val="center"/>
          </w:tcPr>
          <w:p w14:paraId="376E4C3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142</w:t>
            </w:r>
          </w:p>
        </w:tc>
        <w:tc>
          <w:tcPr>
            <w:tcW w:w="1080" w:type="dxa"/>
            <w:shd w:val="clear" w:color="auto" w:fill="FFFFFF"/>
            <w:tcMar>
              <w:top w:w="40" w:type="dxa"/>
              <w:left w:w="80" w:type="dxa"/>
              <w:bottom w:w="40" w:type="dxa"/>
              <w:right w:w="80" w:type="dxa"/>
            </w:tcMar>
            <w:vAlign w:val="center"/>
          </w:tcPr>
          <w:p w14:paraId="1D6F283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837</w:t>
            </w:r>
          </w:p>
        </w:tc>
        <w:tc>
          <w:tcPr>
            <w:tcW w:w="1080" w:type="dxa"/>
            <w:shd w:val="clear" w:color="auto" w:fill="FFFFFF"/>
            <w:tcMar>
              <w:top w:w="40" w:type="dxa"/>
              <w:left w:w="80" w:type="dxa"/>
              <w:bottom w:w="40" w:type="dxa"/>
              <w:right w:w="80" w:type="dxa"/>
            </w:tcMar>
            <w:vAlign w:val="center"/>
          </w:tcPr>
          <w:p w14:paraId="4C65681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655</w:t>
            </w:r>
          </w:p>
        </w:tc>
      </w:tr>
    </w:tbl>
    <w:p w14:paraId="75DB5998" w14:textId="42106D00" w:rsidR="007C06ED" w:rsidRPr="00EF0CCF" w:rsidRDefault="00000000" w:rsidP="00EF0CCF">
      <w:pPr>
        <w:spacing w:before="120" w:after="240" w:line="360" w:lineRule="auto"/>
        <w:jc w:val="both"/>
        <w:rPr>
          <w:rFonts w:ascii="Times New Roman" w:hAnsi="Times New Roman" w:cs="Times New Roman"/>
        </w:rPr>
      </w:pPr>
      <w:r w:rsidRPr="00EF0CCF">
        <w:rPr>
          <w:rFonts w:ascii="Times New Roman" w:hAnsi="Times New Roman" w:cs="Times New Roman"/>
          <w:i/>
          <w:iCs/>
          <w:sz w:val="20"/>
          <w:szCs w:val="20"/>
        </w:rPr>
        <w:t>Table 5. Full Ratio Analysis</w:t>
      </w:r>
    </w:p>
    <w:p w14:paraId="7B091F3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rPr>
        <w:br w:type="page"/>
      </w:r>
    </w:p>
    <w:p w14:paraId="27FE881F" w14:textId="77777777" w:rsidR="007C06ED" w:rsidRPr="00EF0CCF" w:rsidRDefault="00000000" w:rsidP="00EF0CCF">
      <w:pPr>
        <w:pStyle w:val="Heading2"/>
        <w:spacing w:line="360" w:lineRule="auto"/>
        <w:jc w:val="both"/>
        <w:rPr>
          <w:rFonts w:ascii="Times New Roman" w:hAnsi="Times New Roman" w:cs="Times New Roman"/>
          <w:color w:val="auto"/>
        </w:rPr>
      </w:pPr>
      <w:bookmarkStart w:id="30" w:name="_Toc234456123"/>
      <w:r w:rsidRPr="00EF0CCF">
        <w:rPr>
          <w:rFonts w:ascii="Times New Roman" w:hAnsi="Times New Roman" w:cs="Times New Roman"/>
          <w:color w:val="auto"/>
        </w:rPr>
        <w:lastRenderedPageBreak/>
        <w:t>Appendix 2 — Discounted Cash Flow Workings, Projects A, B and C (8% Discount Rate)</w:t>
      </w:r>
      <w:bookmarkEnd w:id="30"/>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23"/>
        <w:gridCol w:w="971"/>
        <w:gridCol w:w="1226"/>
        <w:gridCol w:w="1226"/>
        <w:gridCol w:w="1226"/>
        <w:gridCol w:w="1226"/>
        <w:gridCol w:w="1226"/>
        <w:gridCol w:w="1226"/>
      </w:tblGrid>
      <w:tr w:rsidR="007C06ED" w:rsidRPr="00EF0CCF" w14:paraId="50433A28" w14:textId="77777777">
        <w:trPr>
          <w:tblHeader/>
        </w:trPr>
        <w:tc>
          <w:tcPr>
            <w:tcW w:w="1000" w:type="dxa"/>
            <w:shd w:val="clear" w:color="auto" w:fill="1F3864"/>
            <w:tcMar>
              <w:top w:w="60" w:type="dxa"/>
              <w:left w:w="80" w:type="dxa"/>
              <w:bottom w:w="60" w:type="dxa"/>
              <w:right w:w="80" w:type="dxa"/>
            </w:tcMar>
            <w:vAlign w:val="center"/>
          </w:tcPr>
          <w:p w14:paraId="6AB8E7B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Year</w:t>
            </w:r>
          </w:p>
        </w:tc>
        <w:tc>
          <w:tcPr>
            <w:tcW w:w="950" w:type="dxa"/>
            <w:shd w:val="clear" w:color="auto" w:fill="1F3864"/>
            <w:tcMar>
              <w:top w:w="60" w:type="dxa"/>
              <w:left w:w="80" w:type="dxa"/>
              <w:bottom w:w="60" w:type="dxa"/>
              <w:right w:w="80" w:type="dxa"/>
            </w:tcMar>
            <w:vAlign w:val="center"/>
          </w:tcPr>
          <w:p w14:paraId="529DA11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DF @8%</w:t>
            </w:r>
          </w:p>
        </w:tc>
        <w:tc>
          <w:tcPr>
            <w:tcW w:w="1200" w:type="dxa"/>
            <w:shd w:val="clear" w:color="auto" w:fill="1F3864"/>
            <w:tcMar>
              <w:top w:w="60" w:type="dxa"/>
              <w:left w:w="80" w:type="dxa"/>
              <w:bottom w:w="60" w:type="dxa"/>
              <w:right w:w="80" w:type="dxa"/>
            </w:tcMar>
            <w:vAlign w:val="center"/>
          </w:tcPr>
          <w:p w14:paraId="0439816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A CF (£m)</w:t>
            </w:r>
          </w:p>
        </w:tc>
        <w:tc>
          <w:tcPr>
            <w:tcW w:w="1200" w:type="dxa"/>
            <w:shd w:val="clear" w:color="auto" w:fill="1F3864"/>
            <w:tcMar>
              <w:top w:w="60" w:type="dxa"/>
              <w:left w:w="80" w:type="dxa"/>
              <w:bottom w:w="60" w:type="dxa"/>
              <w:right w:w="80" w:type="dxa"/>
            </w:tcMar>
            <w:vAlign w:val="center"/>
          </w:tcPr>
          <w:p w14:paraId="2D2690B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A PV (£m)</w:t>
            </w:r>
          </w:p>
        </w:tc>
        <w:tc>
          <w:tcPr>
            <w:tcW w:w="1200" w:type="dxa"/>
            <w:shd w:val="clear" w:color="auto" w:fill="1F3864"/>
            <w:tcMar>
              <w:top w:w="60" w:type="dxa"/>
              <w:left w:w="80" w:type="dxa"/>
              <w:bottom w:w="60" w:type="dxa"/>
              <w:right w:w="80" w:type="dxa"/>
            </w:tcMar>
            <w:vAlign w:val="center"/>
          </w:tcPr>
          <w:p w14:paraId="3B8B2BE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B CF (£m)</w:t>
            </w:r>
          </w:p>
        </w:tc>
        <w:tc>
          <w:tcPr>
            <w:tcW w:w="1200" w:type="dxa"/>
            <w:shd w:val="clear" w:color="auto" w:fill="1F3864"/>
            <w:tcMar>
              <w:top w:w="60" w:type="dxa"/>
              <w:left w:w="80" w:type="dxa"/>
              <w:bottom w:w="60" w:type="dxa"/>
              <w:right w:w="80" w:type="dxa"/>
            </w:tcMar>
            <w:vAlign w:val="center"/>
          </w:tcPr>
          <w:p w14:paraId="651F175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B PV (£m)</w:t>
            </w:r>
          </w:p>
        </w:tc>
        <w:tc>
          <w:tcPr>
            <w:tcW w:w="1200" w:type="dxa"/>
            <w:shd w:val="clear" w:color="auto" w:fill="1F3864"/>
            <w:tcMar>
              <w:top w:w="60" w:type="dxa"/>
              <w:left w:w="80" w:type="dxa"/>
              <w:bottom w:w="60" w:type="dxa"/>
              <w:right w:w="80" w:type="dxa"/>
            </w:tcMar>
            <w:vAlign w:val="center"/>
          </w:tcPr>
          <w:p w14:paraId="74CEBB0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C CF (£m)</w:t>
            </w:r>
          </w:p>
        </w:tc>
        <w:tc>
          <w:tcPr>
            <w:tcW w:w="1200" w:type="dxa"/>
            <w:shd w:val="clear" w:color="auto" w:fill="1F3864"/>
            <w:tcMar>
              <w:top w:w="60" w:type="dxa"/>
              <w:left w:w="80" w:type="dxa"/>
              <w:bottom w:w="60" w:type="dxa"/>
              <w:right w:w="80" w:type="dxa"/>
            </w:tcMar>
            <w:vAlign w:val="center"/>
          </w:tcPr>
          <w:p w14:paraId="39E98FE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b/>
                <w:bCs/>
                <w:sz w:val="20"/>
                <w:szCs w:val="20"/>
              </w:rPr>
              <w:t>C PV (£m)</w:t>
            </w:r>
          </w:p>
        </w:tc>
      </w:tr>
      <w:tr w:rsidR="007C06ED" w:rsidRPr="00EF0CCF" w14:paraId="66F129D1" w14:textId="77777777">
        <w:tc>
          <w:tcPr>
            <w:tcW w:w="1000" w:type="dxa"/>
            <w:shd w:val="clear" w:color="auto" w:fill="F2F2F2"/>
            <w:tcMar>
              <w:top w:w="40" w:type="dxa"/>
              <w:left w:w="80" w:type="dxa"/>
              <w:bottom w:w="40" w:type="dxa"/>
              <w:right w:w="80" w:type="dxa"/>
            </w:tcMar>
            <w:vAlign w:val="center"/>
          </w:tcPr>
          <w:p w14:paraId="3E1B002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w:t>
            </w:r>
          </w:p>
        </w:tc>
        <w:tc>
          <w:tcPr>
            <w:tcW w:w="950" w:type="dxa"/>
            <w:shd w:val="clear" w:color="auto" w:fill="F2F2F2"/>
            <w:tcMar>
              <w:top w:w="40" w:type="dxa"/>
              <w:left w:w="80" w:type="dxa"/>
              <w:bottom w:w="40" w:type="dxa"/>
              <w:right w:w="80" w:type="dxa"/>
            </w:tcMar>
            <w:vAlign w:val="center"/>
          </w:tcPr>
          <w:p w14:paraId="2CE28A8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1.000</w:t>
            </w:r>
          </w:p>
        </w:tc>
        <w:tc>
          <w:tcPr>
            <w:tcW w:w="1200" w:type="dxa"/>
            <w:shd w:val="clear" w:color="auto" w:fill="F2F2F2"/>
            <w:tcMar>
              <w:top w:w="40" w:type="dxa"/>
              <w:left w:w="80" w:type="dxa"/>
              <w:bottom w:w="40" w:type="dxa"/>
              <w:right w:w="80" w:type="dxa"/>
            </w:tcMar>
            <w:vAlign w:val="center"/>
          </w:tcPr>
          <w:p w14:paraId="09EA12A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(50.00)</w:t>
            </w:r>
          </w:p>
        </w:tc>
        <w:tc>
          <w:tcPr>
            <w:tcW w:w="1200" w:type="dxa"/>
            <w:shd w:val="clear" w:color="auto" w:fill="F2F2F2"/>
            <w:tcMar>
              <w:top w:w="40" w:type="dxa"/>
              <w:left w:w="80" w:type="dxa"/>
              <w:bottom w:w="40" w:type="dxa"/>
              <w:right w:w="80" w:type="dxa"/>
            </w:tcMar>
            <w:vAlign w:val="center"/>
          </w:tcPr>
          <w:p w14:paraId="73DA327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(50.00)</w:t>
            </w:r>
          </w:p>
        </w:tc>
        <w:tc>
          <w:tcPr>
            <w:tcW w:w="1200" w:type="dxa"/>
            <w:shd w:val="clear" w:color="auto" w:fill="F2F2F2"/>
            <w:tcMar>
              <w:top w:w="40" w:type="dxa"/>
              <w:left w:w="80" w:type="dxa"/>
              <w:bottom w:w="40" w:type="dxa"/>
              <w:right w:w="80" w:type="dxa"/>
            </w:tcMar>
            <w:vAlign w:val="center"/>
          </w:tcPr>
          <w:p w14:paraId="14CEAFA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(50.00)</w:t>
            </w:r>
          </w:p>
        </w:tc>
        <w:tc>
          <w:tcPr>
            <w:tcW w:w="1200" w:type="dxa"/>
            <w:shd w:val="clear" w:color="auto" w:fill="F2F2F2"/>
            <w:tcMar>
              <w:top w:w="40" w:type="dxa"/>
              <w:left w:w="80" w:type="dxa"/>
              <w:bottom w:w="40" w:type="dxa"/>
              <w:right w:w="80" w:type="dxa"/>
            </w:tcMar>
            <w:vAlign w:val="center"/>
          </w:tcPr>
          <w:p w14:paraId="5834C0E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(50.00)</w:t>
            </w:r>
          </w:p>
        </w:tc>
        <w:tc>
          <w:tcPr>
            <w:tcW w:w="1200" w:type="dxa"/>
            <w:shd w:val="clear" w:color="auto" w:fill="F2F2F2"/>
            <w:tcMar>
              <w:top w:w="40" w:type="dxa"/>
              <w:left w:w="80" w:type="dxa"/>
              <w:bottom w:w="40" w:type="dxa"/>
              <w:right w:w="80" w:type="dxa"/>
            </w:tcMar>
            <w:vAlign w:val="center"/>
          </w:tcPr>
          <w:p w14:paraId="7AD84835"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(50.00)</w:t>
            </w:r>
          </w:p>
        </w:tc>
        <w:tc>
          <w:tcPr>
            <w:tcW w:w="1200" w:type="dxa"/>
            <w:shd w:val="clear" w:color="auto" w:fill="F2F2F2"/>
            <w:tcMar>
              <w:top w:w="40" w:type="dxa"/>
              <w:left w:w="80" w:type="dxa"/>
              <w:bottom w:w="40" w:type="dxa"/>
              <w:right w:w="80" w:type="dxa"/>
            </w:tcMar>
            <w:vAlign w:val="center"/>
          </w:tcPr>
          <w:p w14:paraId="56571C9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(50.00)</w:t>
            </w:r>
          </w:p>
        </w:tc>
      </w:tr>
      <w:tr w:rsidR="007C06ED" w:rsidRPr="00EF0CCF" w14:paraId="392977D7" w14:textId="77777777">
        <w:tc>
          <w:tcPr>
            <w:tcW w:w="1000" w:type="dxa"/>
            <w:shd w:val="clear" w:color="auto" w:fill="FFFFFF"/>
            <w:tcMar>
              <w:top w:w="40" w:type="dxa"/>
              <w:left w:w="80" w:type="dxa"/>
              <w:bottom w:w="40" w:type="dxa"/>
              <w:right w:w="80" w:type="dxa"/>
            </w:tcMar>
            <w:vAlign w:val="center"/>
          </w:tcPr>
          <w:p w14:paraId="4CDE2A0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w:t>
            </w:r>
          </w:p>
        </w:tc>
        <w:tc>
          <w:tcPr>
            <w:tcW w:w="950" w:type="dxa"/>
            <w:shd w:val="clear" w:color="auto" w:fill="FFFFFF"/>
            <w:tcMar>
              <w:top w:w="40" w:type="dxa"/>
              <w:left w:w="80" w:type="dxa"/>
              <w:bottom w:w="40" w:type="dxa"/>
              <w:right w:w="80" w:type="dxa"/>
            </w:tcMar>
            <w:vAlign w:val="center"/>
          </w:tcPr>
          <w:p w14:paraId="01FEB54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0.926</w:t>
            </w:r>
          </w:p>
        </w:tc>
        <w:tc>
          <w:tcPr>
            <w:tcW w:w="1200" w:type="dxa"/>
            <w:shd w:val="clear" w:color="auto" w:fill="FFFFFF"/>
            <w:tcMar>
              <w:top w:w="40" w:type="dxa"/>
              <w:left w:w="80" w:type="dxa"/>
              <w:bottom w:w="40" w:type="dxa"/>
              <w:right w:w="80" w:type="dxa"/>
            </w:tcMar>
            <w:vAlign w:val="center"/>
          </w:tcPr>
          <w:p w14:paraId="237DCFE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10.00</w:t>
            </w:r>
          </w:p>
        </w:tc>
        <w:tc>
          <w:tcPr>
            <w:tcW w:w="1200" w:type="dxa"/>
            <w:shd w:val="clear" w:color="auto" w:fill="FFFFFF"/>
            <w:tcMar>
              <w:top w:w="40" w:type="dxa"/>
              <w:left w:w="80" w:type="dxa"/>
              <w:bottom w:w="40" w:type="dxa"/>
              <w:right w:w="80" w:type="dxa"/>
            </w:tcMar>
            <w:vAlign w:val="center"/>
          </w:tcPr>
          <w:p w14:paraId="2C9E43C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9.26</w:t>
            </w:r>
          </w:p>
        </w:tc>
        <w:tc>
          <w:tcPr>
            <w:tcW w:w="1200" w:type="dxa"/>
            <w:shd w:val="clear" w:color="auto" w:fill="FFFFFF"/>
            <w:tcMar>
              <w:top w:w="40" w:type="dxa"/>
              <w:left w:w="80" w:type="dxa"/>
              <w:bottom w:w="40" w:type="dxa"/>
              <w:right w:w="80" w:type="dxa"/>
            </w:tcMar>
            <w:vAlign w:val="center"/>
          </w:tcPr>
          <w:p w14:paraId="4E9A751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11.00</w:t>
            </w:r>
          </w:p>
        </w:tc>
        <w:tc>
          <w:tcPr>
            <w:tcW w:w="1200" w:type="dxa"/>
            <w:shd w:val="clear" w:color="auto" w:fill="FFFFFF"/>
            <w:tcMar>
              <w:top w:w="40" w:type="dxa"/>
              <w:left w:w="80" w:type="dxa"/>
              <w:bottom w:w="40" w:type="dxa"/>
              <w:right w:w="80" w:type="dxa"/>
            </w:tcMar>
            <w:vAlign w:val="center"/>
          </w:tcPr>
          <w:p w14:paraId="1689F63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10.19</w:t>
            </w:r>
          </w:p>
        </w:tc>
        <w:tc>
          <w:tcPr>
            <w:tcW w:w="1200" w:type="dxa"/>
            <w:shd w:val="clear" w:color="auto" w:fill="FFFFFF"/>
            <w:tcMar>
              <w:top w:w="40" w:type="dxa"/>
              <w:left w:w="80" w:type="dxa"/>
              <w:bottom w:w="40" w:type="dxa"/>
              <w:right w:w="80" w:type="dxa"/>
            </w:tcMar>
            <w:vAlign w:val="center"/>
          </w:tcPr>
          <w:p w14:paraId="45B7DBD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5.00</w:t>
            </w:r>
          </w:p>
        </w:tc>
        <w:tc>
          <w:tcPr>
            <w:tcW w:w="1200" w:type="dxa"/>
            <w:shd w:val="clear" w:color="auto" w:fill="FFFFFF"/>
            <w:tcMar>
              <w:top w:w="40" w:type="dxa"/>
              <w:left w:w="80" w:type="dxa"/>
              <w:bottom w:w="40" w:type="dxa"/>
              <w:right w:w="80" w:type="dxa"/>
            </w:tcMar>
            <w:vAlign w:val="center"/>
          </w:tcPr>
          <w:p w14:paraId="397ADAD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4.63</w:t>
            </w:r>
          </w:p>
        </w:tc>
      </w:tr>
      <w:tr w:rsidR="007C06ED" w:rsidRPr="00EF0CCF" w14:paraId="6ACC133A" w14:textId="77777777">
        <w:tc>
          <w:tcPr>
            <w:tcW w:w="1000" w:type="dxa"/>
            <w:shd w:val="clear" w:color="auto" w:fill="F2F2F2"/>
            <w:tcMar>
              <w:top w:w="40" w:type="dxa"/>
              <w:left w:w="80" w:type="dxa"/>
              <w:bottom w:w="40" w:type="dxa"/>
              <w:right w:w="80" w:type="dxa"/>
            </w:tcMar>
            <w:vAlign w:val="center"/>
          </w:tcPr>
          <w:p w14:paraId="06E74CE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w:t>
            </w:r>
          </w:p>
        </w:tc>
        <w:tc>
          <w:tcPr>
            <w:tcW w:w="950" w:type="dxa"/>
            <w:shd w:val="clear" w:color="auto" w:fill="F2F2F2"/>
            <w:tcMar>
              <w:top w:w="40" w:type="dxa"/>
              <w:left w:w="80" w:type="dxa"/>
              <w:bottom w:w="40" w:type="dxa"/>
              <w:right w:w="80" w:type="dxa"/>
            </w:tcMar>
            <w:vAlign w:val="center"/>
          </w:tcPr>
          <w:p w14:paraId="727CD1B6"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0.857</w:t>
            </w:r>
          </w:p>
        </w:tc>
        <w:tc>
          <w:tcPr>
            <w:tcW w:w="1200" w:type="dxa"/>
            <w:shd w:val="clear" w:color="auto" w:fill="F2F2F2"/>
            <w:tcMar>
              <w:top w:w="40" w:type="dxa"/>
              <w:left w:w="80" w:type="dxa"/>
              <w:bottom w:w="40" w:type="dxa"/>
              <w:right w:w="80" w:type="dxa"/>
            </w:tcMar>
            <w:vAlign w:val="center"/>
          </w:tcPr>
          <w:p w14:paraId="398636F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12.00</w:t>
            </w:r>
          </w:p>
        </w:tc>
        <w:tc>
          <w:tcPr>
            <w:tcW w:w="1200" w:type="dxa"/>
            <w:shd w:val="clear" w:color="auto" w:fill="F2F2F2"/>
            <w:tcMar>
              <w:top w:w="40" w:type="dxa"/>
              <w:left w:w="80" w:type="dxa"/>
              <w:bottom w:w="40" w:type="dxa"/>
              <w:right w:w="80" w:type="dxa"/>
            </w:tcMar>
            <w:vAlign w:val="center"/>
          </w:tcPr>
          <w:p w14:paraId="6CF87C1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10.29</w:t>
            </w:r>
          </w:p>
        </w:tc>
        <w:tc>
          <w:tcPr>
            <w:tcW w:w="1200" w:type="dxa"/>
            <w:shd w:val="clear" w:color="auto" w:fill="F2F2F2"/>
            <w:tcMar>
              <w:top w:w="40" w:type="dxa"/>
              <w:left w:w="80" w:type="dxa"/>
              <w:bottom w:w="40" w:type="dxa"/>
              <w:right w:w="80" w:type="dxa"/>
            </w:tcMar>
            <w:vAlign w:val="center"/>
          </w:tcPr>
          <w:p w14:paraId="13BEA6E7"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11.00</w:t>
            </w:r>
          </w:p>
        </w:tc>
        <w:tc>
          <w:tcPr>
            <w:tcW w:w="1200" w:type="dxa"/>
            <w:shd w:val="clear" w:color="auto" w:fill="F2F2F2"/>
            <w:tcMar>
              <w:top w:w="40" w:type="dxa"/>
              <w:left w:w="80" w:type="dxa"/>
              <w:bottom w:w="40" w:type="dxa"/>
              <w:right w:w="80" w:type="dxa"/>
            </w:tcMar>
            <w:vAlign w:val="center"/>
          </w:tcPr>
          <w:p w14:paraId="1415A64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9.43</w:t>
            </w:r>
          </w:p>
        </w:tc>
        <w:tc>
          <w:tcPr>
            <w:tcW w:w="1200" w:type="dxa"/>
            <w:shd w:val="clear" w:color="auto" w:fill="F2F2F2"/>
            <w:tcMar>
              <w:top w:w="40" w:type="dxa"/>
              <w:left w:w="80" w:type="dxa"/>
              <w:bottom w:w="40" w:type="dxa"/>
              <w:right w:w="80" w:type="dxa"/>
            </w:tcMar>
            <w:vAlign w:val="center"/>
          </w:tcPr>
          <w:p w14:paraId="1D992B7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10.00</w:t>
            </w:r>
          </w:p>
        </w:tc>
        <w:tc>
          <w:tcPr>
            <w:tcW w:w="1200" w:type="dxa"/>
            <w:shd w:val="clear" w:color="auto" w:fill="F2F2F2"/>
            <w:tcMar>
              <w:top w:w="40" w:type="dxa"/>
              <w:left w:w="80" w:type="dxa"/>
              <w:bottom w:w="40" w:type="dxa"/>
              <w:right w:w="80" w:type="dxa"/>
            </w:tcMar>
            <w:vAlign w:val="center"/>
          </w:tcPr>
          <w:p w14:paraId="1825521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8.57</w:t>
            </w:r>
          </w:p>
        </w:tc>
      </w:tr>
      <w:tr w:rsidR="007C06ED" w:rsidRPr="00EF0CCF" w14:paraId="759FD979" w14:textId="77777777">
        <w:tc>
          <w:tcPr>
            <w:tcW w:w="1000" w:type="dxa"/>
            <w:shd w:val="clear" w:color="auto" w:fill="FFFFFF"/>
            <w:tcMar>
              <w:top w:w="40" w:type="dxa"/>
              <w:left w:w="80" w:type="dxa"/>
              <w:bottom w:w="40" w:type="dxa"/>
              <w:right w:w="80" w:type="dxa"/>
            </w:tcMar>
            <w:vAlign w:val="center"/>
          </w:tcPr>
          <w:p w14:paraId="320A791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3</w:t>
            </w:r>
          </w:p>
        </w:tc>
        <w:tc>
          <w:tcPr>
            <w:tcW w:w="950" w:type="dxa"/>
            <w:shd w:val="clear" w:color="auto" w:fill="FFFFFF"/>
            <w:tcMar>
              <w:top w:w="40" w:type="dxa"/>
              <w:left w:w="80" w:type="dxa"/>
              <w:bottom w:w="40" w:type="dxa"/>
              <w:right w:w="80" w:type="dxa"/>
            </w:tcMar>
            <w:vAlign w:val="center"/>
          </w:tcPr>
          <w:p w14:paraId="56D4BCF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0.794</w:t>
            </w:r>
          </w:p>
        </w:tc>
        <w:tc>
          <w:tcPr>
            <w:tcW w:w="1200" w:type="dxa"/>
            <w:shd w:val="clear" w:color="auto" w:fill="FFFFFF"/>
            <w:tcMar>
              <w:top w:w="40" w:type="dxa"/>
              <w:left w:w="80" w:type="dxa"/>
              <w:bottom w:w="40" w:type="dxa"/>
              <w:right w:w="80" w:type="dxa"/>
            </w:tcMar>
            <w:vAlign w:val="center"/>
          </w:tcPr>
          <w:p w14:paraId="3A62973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14.00</w:t>
            </w:r>
          </w:p>
        </w:tc>
        <w:tc>
          <w:tcPr>
            <w:tcW w:w="1200" w:type="dxa"/>
            <w:shd w:val="clear" w:color="auto" w:fill="FFFFFF"/>
            <w:tcMar>
              <w:top w:w="40" w:type="dxa"/>
              <w:left w:w="80" w:type="dxa"/>
              <w:bottom w:w="40" w:type="dxa"/>
              <w:right w:w="80" w:type="dxa"/>
            </w:tcMar>
            <w:vAlign w:val="center"/>
          </w:tcPr>
          <w:p w14:paraId="734EFA8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11.11</w:t>
            </w:r>
          </w:p>
        </w:tc>
        <w:tc>
          <w:tcPr>
            <w:tcW w:w="1200" w:type="dxa"/>
            <w:shd w:val="clear" w:color="auto" w:fill="FFFFFF"/>
            <w:tcMar>
              <w:top w:w="40" w:type="dxa"/>
              <w:left w:w="80" w:type="dxa"/>
              <w:bottom w:w="40" w:type="dxa"/>
              <w:right w:w="80" w:type="dxa"/>
            </w:tcMar>
            <w:vAlign w:val="center"/>
          </w:tcPr>
          <w:p w14:paraId="37ED208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11.00</w:t>
            </w:r>
          </w:p>
        </w:tc>
        <w:tc>
          <w:tcPr>
            <w:tcW w:w="1200" w:type="dxa"/>
            <w:shd w:val="clear" w:color="auto" w:fill="FFFFFF"/>
            <w:tcMar>
              <w:top w:w="40" w:type="dxa"/>
              <w:left w:w="80" w:type="dxa"/>
              <w:bottom w:w="40" w:type="dxa"/>
              <w:right w:w="80" w:type="dxa"/>
            </w:tcMar>
            <w:vAlign w:val="center"/>
          </w:tcPr>
          <w:p w14:paraId="1F06741A"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8.73</w:t>
            </w:r>
          </w:p>
        </w:tc>
        <w:tc>
          <w:tcPr>
            <w:tcW w:w="1200" w:type="dxa"/>
            <w:shd w:val="clear" w:color="auto" w:fill="FFFFFF"/>
            <w:tcMar>
              <w:top w:w="40" w:type="dxa"/>
              <w:left w:w="80" w:type="dxa"/>
              <w:bottom w:w="40" w:type="dxa"/>
              <w:right w:w="80" w:type="dxa"/>
            </w:tcMar>
            <w:vAlign w:val="center"/>
          </w:tcPr>
          <w:p w14:paraId="55A0C9B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20.00</w:t>
            </w:r>
          </w:p>
        </w:tc>
        <w:tc>
          <w:tcPr>
            <w:tcW w:w="1200" w:type="dxa"/>
            <w:shd w:val="clear" w:color="auto" w:fill="FFFFFF"/>
            <w:tcMar>
              <w:top w:w="40" w:type="dxa"/>
              <w:left w:w="80" w:type="dxa"/>
              <w:bottom w:w="40" w:type="dxa"/>
              <w:right w:w="80" w:type="dxa"/>
            </w:tcMar>
            <w:vAlign w:val="center"/>
          </w:tcPr>
          <w:p w14:paraId="1468054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15.88</w:t>
            </w:r>
          </w:p>
        </w:tc>
      </w:tr>
      <w:tr w:rsidR="007C06ED" w:rsidRPr="00EF0CCF" w14:paraId="791A6360" w14:textId="77777777">
        <w:tc>
          <w:tcPr>
            <w:tcW w:w="1000" w:type="dxa"/>
            <w:shd w:val="clear" w:color="auto" w:fill="F2F2F2"/>
            <w:tcMar>
              <w:top w:w="40" w:type="dxa"/>
              <w:left w:w="80" w:type="dxa"/>
              <w:bottom w:w="40" w:type="dxa"/>
              <w:right w:w="80" w:type="dxa"/>
            </w:tcMar>
            <w:vAlign w:val="center"/>
          </w:tcPr>
          <w:p w14:paraId="1066DEE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4</w:t>
            </w:r>
          </w:p>
        </w:tc>
        <w:tc>
          <w:tcPr>
            <w:tcW w:w="950" w:type="dxa"/>
            <w:shd w:val="clear" w:color="auto" w:fill="F2F2F2"/>
            <w:tcMar>
              <w:top w:w="40" w:type="dxa"/>
              <w:left w:w="80" w:type="dxa"/>
              <w:bottom w:w="40" w:type="dxa"/>
              <w:right w:w="80" w:type="dxa"/>
            </w:tcMar>
            <w:vAlign w:val="center"/>
          </w:tcPr>
          <w:p w14:paraId="55815B8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0.735</w:t>
            </w:r>
          </w:p>
        </w:tc>
        <w:tc>
          <w:tcPr>
            <w:tcW w:w="1200" w:type="dxa"/>
            <w:shd w:val="clear" w:color="auto" w:fill="F2F2F2"/>
            <w:tcMar>
              <w:top w:w="40" w:type="dxa"/>
              <w:left w:w="80" w:type="dxa"/>
              <w:bottom w:w="40" w:type="dxa"/>
              <w:right w:w="80" w:type="dxa"/>
            </w:tcMar>
            <w:vAlign w:val="center"/>
          </w:tcPr>
          <w:p w14:paraId="5EA1BC5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10.00</w:t>
            </w:r>
          </w:p>
        </w:tc>
        <w:tc>
          <w:tcPr>
            <w:tcW w:w="1200" w:type="dxa"/>
            <w:shd w:val="clear" w:color="auto" w:fill="F2F2F2"/>
            <w:tcMar>
              <w:top w:w="40" w:type="dxa"/>
              <w:left w:w="80" w:type="dxa"/>
              <w:bottom w:w="40" w:type="dxa"/>
              <w:right w:w="80" w:type="dxa"/>
            </w:tcMar>
            <w:vAlign w:val="center"/>
          </w:tcPr>
          <w:p w14:paraId="7DC3FF9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7.35</w:t>
            </w:r>
          </w:p>
        </w:tc>
        <w:tc>
          <w:tcPr>
            <w:tcW w:w="1200" w:type="dxa"/>
            <w:shd w:val="clear" w:color="auto" w:fill="F2F2F2"/>
            <w:tcMar>
              <w:top w:w="40" w:type="dxa"/>
              <w:left w:w="80" w:type="dxa"/>
              <w:bottom w:w="40" w:type="dxa"/>
              <w:right w:w="80" w:type="dxa"/>
            </w:tcMar>
            <w:vAlign w:val="center"/>
          </w:tcPr>
          <w:p w14:paraId="633152D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11.00</w:t>
            </w:r>
          </w:p>
        </w:tc>
        <w:tc>
          <w:tcPr>
            <w:tcW w:w="1200" w:type="dxa"/>
            <w:shd w:val="clear" w:color="auto" w:fill="F2F2F2"/>
            <w:tcMar>
              <w:top w:w="40" w:type="dxa"/>
              <w:left w:w="80" w:type="dxa"/>
              <w:bottom w:w="40" w:type="dxa"/>
              <w:right w:w="80" w:type="dxa"/>
            </w:tcMar>
            <w:vAlign w:val="center"/>
          </w:tcPr>
          <w:p w14:paraId="76430BA4"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8.09</w:t>
            </w:r>
          </w:p>
        </w:tc>
        <w:tc>
          <w:tcPr>
            <w:tcW w:w="1200" w:type="dxa"/>
            <w:shd w:val="clear" w:color="auto" w:fill="F2F2F2"/>
            <w:tcMar>
              <w:top w:w="40" w:type="dxa"/>
              <w:left w:w="80" w:type="dxa"/>
              <w:bottom w:w="40" w:type="dxa"/>
              <w:right w:w="80" w:type="dxa"/>
            </w:tcMar>
            <w:vAlign w:val="center"/>
          </w:tcPr>
          <w:p w14:paraId="05228C1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25.00</w:t>
            </w:r>
          </w:p>
        </w:tc>
        <w:tc>
          <w:tcPr>
            <w:tcW w:w="1200" w:type="dxa"/>
            <w:shd w:val="clear" w:color="auto" w:fill="F2F2F2"/>
            <w:tcMar>
              <w:top w:w="40" w:type="dxa"/>
              <w:left w:w="80" w:type="dxa"/>
              <w:bottom w:w="40" w:type="dxa"/>
              <w:right w:w="80" w:type="dxa"/>
            </w:tcMar>
            <w:vAlign w:val="center"/>
          </w:tcPr>
          <w:p w14:paraId="1965FFF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18.38</w:t>
            </w:r>
          </w:p>
        </w:tc>
      </w:tr>
      <w:tr w:rsidR="007C06ED" w:rsidRPr="00EF0CCF" w14:paraId="3B521353" w14:textId="77777777">
        <w:tc>
          <w:tcPr>
            <w:tcW w:w="1000" w:type="dxa"/>
            <w:shd w:val="clear" w:color="auto" w:fill="FFFFFF"/>
            <w:tcMar>
              <w:top w:w="40" w:type="dxa"/>
              <w:left w:w="80" w:type="dxa"/>
              <w:bottom w:w="40" w:type="dxa"/>
              <w:right w:w="80" w:type="dxa"/>
            </w:tcMar>
            <w:vAlign w:val="center"/>
          </w:tcPr>
          <w:p w14:paraId="04634B3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w:t>
            </w:r>
          </w:p>
        </w:tc>
        <w:tc>
          <w:tcPr>
            <w:tcW w:w="950" w:type="dxa"/>
            <w:shd w:val="clear" w:color="auto" w:fill="FFFFFF"/>
            <w:tcMar>
              <w:top w:w="40" w:type="dxa"/>
              <w:left w:w="80" w:type="dxa"/>
              <w:bottom w:w="40" w:type="dxa"/>
              <w:right w:w="80" w:type="dxa"/>
            </w:tcMar>
            <w:vAlign w:val="center"/>
          </w:tcPr>
          <w:p w14:paraId="704A5C9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0.681</w:t>
            </w:r>
          </w:p>
        </w:tc>
        <w:tc>
          <w:tcPr>
            <w:tcW w:w="1200" w:type="dxa"/>
            <w:shd w:val="clear" w:color="auto" w:fill="FFFFFF"/>
            <w:tcMar>
              <w:top w:w="40" w:type="dxa"/>
              <w:left w:w="80" w:type="dxa"/>
              <w:bottom w:w="40" w:type="dxa"/>
              <w:right w:w="80" w:type="dxa"/>
            </w:tcMar>
            <w:vAlign w:val="center"/>
          </w:tcPr>
          <w:p w14:paraId="6FD0041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8.00</w:t>
            </w:r>
          </w:p>
        </w:tc>
        <w:tc>
          <w:tcPr>
            <w:tcW w:w="1200" w:type="dxa"/>
            <w:shd w:val="clear" w:color="auto" w:fill="FFFFFF"/>
            <w:tcMar>
              <w:top w:w="40" w:type="dxa"/>
              <w:left w:w="80" w:type="dxa"/>
              <w:bottom w:w="40" w:type="dxa"/>
              <w:right w:w="80" w:type="dxa"/>
            </w:tcMar>
            <w:vAlign w:val="center"/>
          </w:tcPr>
          <w:p w14:paraId="1A39FFBC"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5.44</w:t>
            </w:r>
          </w:p>
        </w:tc>
        <w:tc>
          <w:tcPr>
            <w:tcW w:w="1200" w:type="dxa"/>
            <w:shd w:val="clear" w:color="auto" w:fill="FFFFFF"/>
            <w:tcMar>
              <w:top w:w="40" w:type="dxa"/>
              <w:left w:w="80" w:type="dxa"/>
              <w:bottom w:w="40" w:type="dxa"/>
              <w:right w:w="80" w:type="dxa"/>
            </w:tcMar>
            <w:vAlign w:val="center"/>
          </w:tcPr>
          <w:p w14:paraId="3E14A23E"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11.00</w:t>
            </w:r>
          </w:p>
        </w:tc>
        <w:tc>
          <w:tcPr>
            <w:tcW w:w="1200" w:type="dxa"/>
            <w:shd w:val="clear" w:color="auto" w:fill="FFFFFF"/>
            <w:tcMar>
              <w:top w:w="40" w:type="dxa"/>
              <w:left w:w="80" w:type="dxa"/>
              <w:bottom w:w="40" w:type="dxa"/>
              <w:right w:w="80" w:type="dxa"/>
            </w:tcMar>
            <w:vAlign w:val="center"/>
          </w:tcPr>
          <w:p w14:paraId="38A1014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7.49</w:t>
            </w:r>
          </w:p>
        </w:tc>
        <w:tc>
          <w:tcPr>
            <w:tcW w:w="1200" w:type="dxa"/>
            <w:shd w:val="clear" w:color="auto" w:fill="FFFFFF"/>
            <w:tcMar>
              <w:top w:w="40" w:type="dxa"/>
              <w:left w:w="80" w:type="dxa"/>
              <w:bottom w:w="40" w:type="dxa"/>
              <w:right w:w="80" w:type="dxa"/>
            </w:tcMar>
            <w:vAlign w:val="center"/>
          </w:tcPr>
          <w:p w14:paraId="13BB226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5.00</w:t>
            </w:r>
          </w:p>
        </w:tc>
        <w:tc>
          <w:tcPr>
            <w:tcW w:w="1200" w:type="dxa"/>
            <w:shd w:val="clear" w:color="auto" w:fill="FFFFFF"/>
            <w:tcMar>
              <w:top w:w="40" w:type="dxa"/>
              <w:left w:w="80" w:type="dxa"/>
              <w:bottom w:w="40" w:type="dxa"/>
              <w:right w:w="80" w:type="dxa"/>
            </w:tcMar>
            <w:vAlign w:val="center"/>
          </w:tcPr>
          <w:p w14:paraId="0D240EA2"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3.40</w:t>
            </w:r>
          </w:p>
        </w:tc>
      </w:tr>
      <w:tr w:rsidR="007C06ED" w:rsidRPr="00EF0CCF" w14:paraId="1FD620B6" w14:textId="77777777">
        <w:tc>
          <w:tcPr>
            <w:tcW w:w="1000" w:type="dxa"/>
            <w:shd w:val="clear" w:color="auto" w:fill="F2F2F2"/>
            <w:tcMar>
              <w:top w:w="40" w:type="dxa"/>
              <w:left w:w="80" w:type="dxa"/>
              <w:bottom w:w="40" w:type="dxa"/>
              <w:right w:w="80" w:type="dxa"/>
            </w:tcMar>
            <w:vAlign w:val="center"/>
          </w:tcPr>
          <w:p w14:paraId="56BC3303"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Total PV of inflows</w:t>
            </w:r>
          </w:p>
        </w:tc>
        <w:tc>
          <w:tcPr>
            <w:tcW w:w="950" w:type="dxa"/>
            <w:shd w:val="clear" w:color="auto" w:fill="F2F2F2"/>
            <w:tcMar>
              <w:top w:w="40" w:type="dxa"/>
              <w:left w:w="80" w:type="dxa"/>
              <w:bottom w:w="40" w:type="dxa"/>
              <w:right w:w="80" w:type="dxa"/>
            </w:tcMar>
            <w:vAlign w:val="center"/>
          </w:tcPr>
          <w:p w14:paraId="0CFDEE75" w14:textId="77777777" w:rsidR="007C06ED" w:rsidRPr="00EF0CCF" w:rsidRDefault="007C06ED" w:rsidP="00EF0CCF">
            <w:pPr>
              <w:spacing w:line="360" w:lineRule="auto"/>
              <w:jc w:val="both"/>
              <w:rPr>
                <w:rFonts w:ascii="Times New Roman" w:hAnsi="Times New Roman" w:cs="Times New Roman"/>
              </w:rPr>
            </w:pPr>
          </w:p>
        </w:tc>
        <w:tc>
          <w:tcPr>
            <w:tcW w:w="1200" w:type="dxa"/>
            <w:shd w:val="clear" w:color="auto" w:fill="F2F2F2"/>
            <w:tcMar>
              <w:top w:w="40" w:type="dxa"/>
              <w:left w:w="80" w:type="dxa"/>
              <w:bottom w:w="40" w:type="dxa"/>
              <w:right w:w="80" w:type="dxa"/>
            </w:tcMar>
            <w:vAlign w:val="center"/>
          </w:tcPr>
          <w:p w14:paraId="04B1B55B" w14:textId="77777777" w:rsidR="007C06ED" w:rsidRPr="00EF0CCF" w:rsidRDefault="007C06ED" w:rsidP="00EF0CCF">
            <w:pPr>
              <w:spacing w:line="360" w:lineRule="auto"/>
              <w:jc w:val="both"/>
              <w:rPr>
                <w:rFonts w:ascii="Times New Roman" w:hAnsi="Times New Roman" w:cs="Times New Roman"/>
              </w:rPr>
            </w:pPr>
          </w:p>
        </w:tc>
        <w:tc>
          <w:tcPr>
            <w:tcW w:w="1200" w:type="dxa"/>
            <w:shd w:val="clear" w:color="auto" w:fill="F2F2F2"/>
            <w:tcMar>
              <w:top w:w="40" w:type="dxa"/>
              <w:left w:w="80" w:type="dxa"/>
              <w:bottom w:w="40" w:type="dxa"/>
              <w:right w:w="80" w:type="dxa"/>
            </w:tcMar>
            <w:vAlign w:val="center"/>
          </w:tcPr>
          <w:p w14:paraId="30871609"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43.46</w:t>
            </w:r>
          </w:p>
        </w:tc>
        <w:tc>
          <w:tcPr>
            <w:tcW w:w="1200" w:type="dxa"/>
            <w:shd w:val="clear" w:color="auto" w:fill="F2F2F2"/>
            <w:tcMar>
              <w:top w:w="40" w:type="dxa"/>
              <w:left w:w="80" w:type="dxa"/>
              <w:bottom w:w="40" w:type="dxa"/>
              <w:right w:w="80" w:type="dxa"/>
            </w:tcMar>
            <w:vAlign w:val="center"/>
          </w:tcPr>
          <w:p w14:paraId="49653707" w14:textId="77777777" w:rsidR="007C06ED" w:rsidRPr="00EF0CCF" w:rsidRDefault="007C06ED" w:rsidP="00EF0CCF">
            <w:pPr>
              <w:spacing w:line="360" w:lineRule="auto"/>
              <w:jc w:val="both"/>
              <w:rPr>
                <w:rFonts w:ascii="Times New Roman" w:hAnsi="Times New Roman" w:cs="Times New Roman"/>
              </w:rPr>
            </w:pPr>
          </w:p>
        </w:tc>
        <w:tc>
          <w:tcPr>
            <w:tcW w:w="1200" w:type="dxa"/>
            <w:shd w:val="clear" w:color="auto" w:fill="F2F2F2"/>
            <w:tcMar>
              <w:top w:w="40" w:type="dxa"/>
              <w:left w:w="80" w:type="dxa"/>
              <w:bottom w:w="40" w:type="dxa"/>
              <w:right w:w="80" w:type="dxa"/>
            </w:tcMar>
            <w:vAlign w:val="center"/>
          </w:tcPr>
          <w:p w14:paraId="4AFCE6A0"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43.92</w:t>
            </w:r>
          </w:p>
        </w:tc>
        <w:tc>
          <w:tcPr>
            <w:tcW w:w="1200" w:type="dxa"/>
            <w:shd w:val="clear" w:color="auto" w:fill="F2F2F2"/>
            <w:tcMar>
              <w:top w:w="40" w:type="dxa"/>
              <w:left w:w="80" w:type="dxa"/>
              <w:bottom w:w="40" w:type="dxa"/>
              <w:right w:w="80" w:type="dxa"/>
            </w:tcMar>
            <w:vAlign w:val="center"/>
          </w:tcPr>
          <w:p w14:paraId="63287538" w14:textId="77777777" w:rsidR="007C06ED" w:rsidRPr="00EF0CCF" w:rsidRDefault="007C06ED" w:rsidP="00EF0CCF">
            <w:pPr>
              <w:spacing w:line="360" w:lineRule="auto"/>
              <w:jc w:val="both"/>
              <w:rPr>
                <w:rFonts w:ascii="Times New Roman" w:hAnsi="Times New Roman" w:cs="Times New Roman"/>
              </w:rPr>
            </w:pPr>
          </w:p>
        </w:tc>
        <w:tc>
          <w:tcPr>
            <w:tcW w:w="1200" w:type="dxa"/>
            <w:shd w:val="clear" w:color="auto" w:fill="F2F2F2"/>
            <w:tcMar>
              <w:top w:w="40" w:type="dxa"/>
              <w:left w:w="80" w:type="dxa"/>
              <w:bottom w:w="40" w:type="dxa"/>
              <w:right w:w="80" w:type="dxa"/>
            </w:tcMar>
            <w:vAlign w:val="center"/>
          </w:tcPr>
          <w:p w14:paraId="2225D12B"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50.86</w:t>
            </w:r>
          </w:p>
        </w:tc>
      </w:tr>
      <w:tr w:rsidR="007C06ED" w:rsidRPr="00EF0CCF" w14:paraId="12F013CB" w14:textId="77777777">
        <w:tc>
          <w:tcPr>
            <w:tcW w:w="1000" w:type="dxa"/>
            <w:shd w:val="clear" w:color="auto" w:fill="FFFFFF"/>
            <w:tcMar>
              <w:top w:w="40" w:type="dxa"/>
              <w:left w:w="80" w:type="dxa"/>
              <w:bottom w:w="40" w:type="dxa"/>
              <w:right w:w="80" w:type="dxa"/>
            </w:tcMar>
            <w:vAlign w:val="center"/>
          </w:tcPr>
          <w:p w14:paraId="74B1A188"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NPV (PV inflows − 50)</w:t>
            </w:r>
          </w:p>
        </w:tc>
        <w:tc>
          <w:tcPr>
            <w:tcW w:w="950" w:type="dxa"/>
            <w:shd w:val="clear" w:color="auto" w:fill="FFFFFF"/>
            <w:tcMar>
              <w:top w:w="40" w:type="dxa"/>
              <w:left w:w="80" w:type="dxa"/>
              <w:bottom w:w="40" w:type="dxa"/>
              <w:right w:w="80" w:type="dxa"/>
            </w:tcMar>
            <w:vAlign w:val="center"/>
          </w:tcPr>
          <w:p w14:paraId="5D8EE02E" w14:textId="77777777" w:rsidR="007C06ED" w:rsidRPr="00EF0CCF" w:rsidRDefault="007C06ED" w:rsidP="00EF0CCF">
            <w:pPr>
              <w:spacing w:line="360" w:lineRule="auto"/>
              <w:jc w:val="both"/>
              <w:rPr>
                <w:rFonts w:ascii="Times New Roman" w:hAnsi="Times New Roman" w:cs="Times New Roman"/>
              </w:rPr>
            </w:pPr>
          </w:p>
        </w:tc>
        <w:tc>
          <w:tcPr>
            <w:tcW w:w="1200" w:type="dxa"/>
            <w:shd w:val="clear" w:color="auto" w:fill="FFFFFF"/>
            <w:tcMar>
              <w:top w:w="40" w:type="dxa"/>
              <w:left w:w="80" w:type="dxa"/>
              <w:bottom w:w="40" w:type="dxa"/>
              <w:right w:w="80" w:type="dxa"/>
            </w:tcMar>
            <w:vAlign w:val="center"/>
          </w:tcPr>
          <w:p w14:paraId="4D3B35A1" w14:textId="77777777" w:rsidR="007C06ED" w:rsidRPr="00EF0CCF" w:rsidRDefault="007C06ED" w:rsidP="00EF0CCF">
            <w:pPr>
              <w:spacing w:line="360" w:lineRule="auto"/>
              <w:jc w:val="both"/>
              <w:rPr>
                <w:rFonts w:ascii="Times New Roman" w:hAnsi="Times New Roman" w:cs="Times New Roman"/>
              </w:rPr>
            </w:pPr>
          </w:p>
        </w:tc>
        <w:tc>
          <w:tcPr>
            <w:tcW w:w="1200" w:type="dxa"/>
            <w:shd w:val="clear" w:color="auto" w:fill="FFFFFF"/>
            <w:tcMar>
              <w:top w:w="40" w:type="dxa"/>
              <w:left w:w="80" w:type="dxa"/>
              <w:bottom w:w="40" w:type="dxa"/>
              <w:right w:w="80" w:type="dxa"/>
            </w:tcMar>
            <w:vAlign w:val="center"/>
          </w:tcPr>
          <w:p w14:paraId="7385310F"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(6.54)</w:t>
            </w:r>
          </w:p>
        </w:tc>
        <w:tc>
          <w:tcPr>
            <w:tcW w:w="1200" w:type="dxa"/>
            <w:shd w:val="clear" w:color="auto" w:fill="FFFFFF"/>
            <w:tcMar>
              <w:top w:w="40" w:type="dxa"/>
              <w:left w:w="80" w:type="dxa"/>
              <w:bottom w:w="40" w:type="dxa"/>
              <w:right w:w="80" w:type="dxa"/>
            </w:tcMar>
            <w:vAlign w:val="center"/>
          </w:tcPr>
          <w:p w14:paraId="57B808E7" w14:textId="77777777" w:rsidR="007C06ED" w:rsidRPr="00EF0CCF" w:rsidRDefault="007C06ED" w:rsidP="00EF0CCF">
            <w:pPr>
              <w:spacing w:line="360" w:lineRule="auto"/>
              <w:jc w:val="both"/>
              <w:rPr>
                <w:rFonts w:ascii="Times New Roman" w:hAnsi="Times New Roman" w:cs="Times New Roman"/>
              </w:rPr>
            </w:pPr>
          </w:p>
        </w:tc>
        <w:tc>
          <w:tcPr>
            <w:tcW w:w="1200" w:type="dxa"/>
            <w:shd w:val="clear" w:color="auto" w:fill="FFFFFF"/>
            <w:tcMar>
              <w:top w:w="40" w:type="dxa"/>
              <w:left w:w="80" w:type="dxa"/>
              <w:bottom w:w="40" w:type="dxa"/>
              <w:right w:w="80" w:type="dxa"/>
            </w:tcMar>
            <w:vAlign w:val="center"/>
          </w:tcPr>
          <w:p w14:paraId="4A3A7AE1"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(6.08)</w:t>
            </w:r>
          </w:p>
        </w:tc>
        <w:tc>
          <w:tcPr>
            <w:tcW w:w="1200" w:type="dxa"/>
            <w:shd w:val="clear" w:color="auto" w:fill="FFFFFF"/>
            <w:tcMar>
              <w:top w:w="40" w:type="dxa"/>
              <w:left w:w="80" w:type="dxa"/>
              <w:bottom w:w="40" w:type="dxa"/>
              <w:right w:w="80" w:type="dxa"/>
            </w:tcMar>
            <w:vAlign w:val="center"/>
          </w:tcPr>
          <w:p w14:paraId="4088F855" w14:textId="77777777" w:rsidR="007C06ED" w:rsidRPr="00EF0CCF" w:rsidRDefault="007C06ED" w:rsidP="00EF0CCF">
            <w:pPr>
              <w:spacing w:line="360" w:lineRule="auto"/>
              <w:jc w:val="both"/>
              <w:rPr>
                <w:rFonts w:ascii="Times New Roman" w:hAnsi="Times New Roman" w:cs="Times New Roman"/>
              </w:rPr>
            </w:pPr>
          </w:p>
        </w:tc>
        <w:tc>
          <w:tcPr>
            <w:tcW w:w="1200" w:type="dxa"/>
            <w:shd w:val="clear" w:color="auto" w:fill="FFFFFF"/>
            <w:tcMar>
              <w:top w:w="40" w:type="dxa"/>
              <w:left w:w="80" w:type="dxa"/>
              <w:bottom w:w="40" w:type="dxa"/>
              <w:right w:w="80" w:type="dxa"/>
            </w:tcMar>
            <w:vAlign w:val="center"/>
          </w:tcPr>
          <w:p w14:paraId="61ABB29D" w14:textId="77777777" w:rsidR="007C06ED" w:rsidRPr="00EF0CCF" w:rsidRDefault="00000000" w:rsidP="00EF0CCF">
            <w:pPr>
              <w:spacing w:line="360" w:lineRule="auto"/>
              <w:jc w:val="both"/>
              <w:rPr>
                <w:rFonts w:ascii="Times New Roman" w:hAnsi="Times New Roman" w:cs="Times New Roman"/>
              </w:rPr>
            </w:pPr>
            <w:r w:rsidRPr="00EF0CCF">
              <w:rPr>
                <w:rFonts w:ascii="Times New Roman" w:hAnsi="Times New Roman" w:cs="Times New Roman"/>
                <w:sz w:val="20"/>
                <w:szCs w:val="20"/>
              </w:rPr>
              <w:t>0.86</w:t>
            </w:r>
          </w:p>
        </w:tc>
      </w:tr>
    </w:tbl>
    <w:p w14:paraId="1F3415A9" w14:textId="0B325F83" w:rsidR="007C06ED" w:rsidRPr="00EF0CCF" w:rsidRDefault="00000000" w:rsidP="00EF0CCF">
      <w:pPr>
        <w:spacing w:before="120" w:after="240" w:line="360" w:lineRule="auto"/>
        <w:jc w:val="both"/>
        <w:rPr>
          <w:rFonts w:ascii="Times New Roman" w:hAnsi="Times New Roman" w:cs="Times New Roman"/>
        </w:rPr>
      </w:pPr>
      <w:r w:rsidRPr="00EF0CCF">
        <w:rPr>
          <w:rFonts w:ascii="Times New Roman" w:hAnsi="Times New Roman" w:cs="Times New Roman"/>
          <w:i/>
          <w:iCs/>
          <w:sz w:val="20"/>
          <w:szCs w:val="20"/>
        </w:rPr>
        <w:t xml:space="preserve">Table 6. Discounted Cash Flow Workings </w:t>
      </w:r>
    </w:p>
    <w:p w14:paraId="3C75BA1B" w14:textId="775FB7D6" w:rsidR="007C06ED" w:rsidRPr="00EF0CCF" w:rsidRDefault="007C06ED" w:rsidP="00EF0CCF">
      <w:pPr>
        <w:spacing w:after="200" w:line="360" w:lineRule="auto"/>
        <w:jc w:val="both"/>
        <w:rPr>
          <w:rFonts w:ascii="Times New Roman" w:hAnsi="Times New Roman" w:cs="Times New Roman"/>
        </w:rPr>
      </w:pPr>
    </w:p>
    <w:sectPr w:rsidR="007C06ED" w:rsidRPr="00EF0CCF">
      <w:headerReference w:type="default" r:id="rId8"/>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DD5BD" w14:textId="77777777" w:rsidR="008C790A" w:rsidRDefault="008C790A">
      <w:r>
        <w:separator/>
      </w:r>
    </w:p>
  </w:endnote>
  <w:endnote w:type="continuationSeparator" w:id="0">
    <w:p w14:paraId="1B0CA2D1" w14:textId="77777777" w:rsidR="008C790A" w:rsidRDefault="008C79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E28FF" w14:textId="77777777" w:rsidR="007C06ED"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DC3512">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DC3512">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059FB0" w14:textId="77777777" w:rsidR="008C790A" w:rsidRDefault="008C790A">
      <w:r>
        <w:separator/>
      </w:r>
    </w:p>
  </w:footnote>
  <w:footnote w:type="continuationSeparator" w:id="0">
    <w:p w14:paraId="46AFE453" w14:textId="77777777" w:rsidR="008C790A" w:rsidRDefault="008C79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A90CD" w14:textId="77777777" w:rsidR="007C06ED" w:rsidRDefault="00000000">
    <w:pPr>
      <w:jc w:val="right"/>
    </w:pPr>
    <w:r>
      <w:rPr>
        <w:i/>
        <w:iCs/>
        <w:color w:val="808080"/>
        <w:sz w:val="16"/>
        <w:szCs w:val="16"/>
      </w:rPr>
      <w:t>IHG plc — Financial Management Assessment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2076D5"/>
    <w:multiLevelType w:val="hybridMultilevel"/>
    <w:tmpl w:val="4F1A2CB4"/>
    <w:lvl w:ilvl="0" w:tplc="4F5CCE2C">
      <w:start w:val="1"/>
      <w:numFmt w:val="bullet"/>
      <w:lvlText w:val="●"/>
      <w:lvlJc w:val="left"/>
      <w:pPr>
        <w:ind w:left="720" w:hanging="360"/>
      </w:pPr>
    </w:lvl>
    <w:lvl w:ilvl="1" w:tplc="E3188AB4">
      <w:start w:val="1"/>
      <w:numFmt w:val="bullet"/>
      <w:lvlText w:val="○"/>
      <w:lvlJc w:val="left"/>
      <w:pPr>
        <w:ind w:left="1440" w:hanging="360"/>
      </w:pPr>
    </w:lvl>
    <w:lvl w:ilvl="2" w:tplc="C752468A">
      <w:start w:val="1"/>
      <w:numFmt w:val="bullet"/>
      <w:lvlText w:val="■"/>
      <w:lvlJc w:val="left"/>
      <w:pPr>
        <w:ind w:left="2160" w:hanging="360"/>
      </w:pPr>
    </w:lvl>
    <w:lvl w:ilvl="3" w:tplc="81CAAC1C">
      <w:start w:val="1"/>
      <w:numFmt w:val="bullet"/>
      <w:lvlText w:val="●"/>
      <w:lvlJc w:val="left"/>
      <w:pPr>
        <w:ind w:left="2880" w:hanging="360"/>
      </w:pPr>
    </w:lvl>
    <w:lvl w:ilvl="4" w:tplc="5EE00E28">
      <w:start w:val="1"/>
      <w:numFmt w:val="bullet"/>
      <w:lvlText w:val="○"/>
      <w:lvlJc w:val="left"/>
      <w:pPr>
        <w:ind w:left="3600" w:hanging="360"/>
      </w:pPr>
    </w:lvl>
    <w:lvl w:ilvl="5" w:tplc="775EDEF0">
      <w:start w:val="1"/>
      <w:numFmt w:val="bullet"/>
      <w:lvlText w:val="■"/>
      <w:lvlJc w:val="left"/>
      <w:pPr>
        <w:ind w:left="4320" w:hanging="360"/>
      </w:pPr>
    </w:lvl>
    <w:lvl w:ilvl="6" w:tplc="26FE2A1E">
      <w:start w:val="1"/>
      <w:numFmt w:val="bullet"/>
      <w:lvlText w:val="●"/>
      <w:lvlJc w:val="left"/>
      <w:pPr>
        <w:ind w:left="5040" w:hanging="360"/>
      </w:pPr>
    </w:lvl>
    <w:lvl w:ilvl="7" w:tplc="4854481C">
      <w:start w:val="1"/>
      <w:numFmt w:val="bullet"/>
      <w:lvlText w:val="●"/>
      <w:lvlJc w:val="left"/>
      <w:pPr>
        <w:ind w:left="5760" w:hanging="360"/>
      </w:pPr>
    </w:lvl>
    <w:lvl w:ilvl="8" w:tplc="B680F8CE">
      <w:start w:val="1"/>
      <w:numFmt w:val="bullet"/>
      <w:lvlText w:val="●"/>
      <w:lvlJc w:val="left"/>
      <w:pPr>
        <w:ind w:left="6480" w:hanging="360"/>
      </w:pPr>
    </w:lvl>
  </w:abstractNum>
  <w:abstractNum w:abstractNumId="1" w15:restartNumberingAfterBreak="0">
    <w:nsid w:val="5AA94BFA"/>
    <w:multiLevelType w:val="hybridMultilevel"/>
    <w:tmpl w:val="FE3843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22206012">
    <w:abstractNumId w:val="0"/>
    <w:lvlOverride w:ilvl="0">
      <w:startOverride w:val="1"/>
    </w:lvlOverride>
  </w:num>
  <w:num w:numId="2" w16cid:durableId="14864361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06ED"/>
    <w:rsid w:val="000235EC"/>
    <w:rsid w:val="000529E1"/>
    <w:rsid w:val="00056D38"/>
    <w:rsid w:val="00127FDA"/>
    <w:rsid w:val="001A6AD3"/>
    <w:rsid w:val="00330D0E"/>
    <w:rsid w:val="003462D8"/>
    <w:rsid w:val="00620BDA"/>
    <w:rsid w:val="00640DCE"/>
    <w:rsid w:val="006C0573"/>
    <w:rsid w:val="007C06ED"/>
    <w:rsid w:val="0087048C"/>
    <w:rsid w:val="008C790A"/>
    <w:rsid w:val="009E3F7B"/>
    <w:rsid w:val="00D02168"/>
    <w:rsid w:val="00DB1E5C"/>
    <w:rsid w:val="00DC3512"/>
    <w:rsid w:val="00E044BF"/>
    <w:rsid w:val="00EF0CCF"/>
    <w:rsid w:val="00F34017"/>
    <w:rsid w:val="00F9484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0B341"/>
  <w15:docId w15:val="{B7512E4F-F7B6-45C0-8A63-F0D8811FB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3864"/>
      <w:sz w:val="30"/>
      <w:szCs w:val="30"/>
    </w:rPr>
  </w:style>
  <w:style w:type="paragraph" w:styleId="Heading2">
    <w:name w:val="heading 2"/>
    <w:uiPriority w:val="9"/>
    <w:unhideWhenUsed/>
    <w:qFormat/>
    <w:pPr>
      <w:spacing w:before="280" w:after="160"/>
      <w:outlineLvl w:val="1"/>
    </w:pPr>
    <w:rPr>
      <w:b/>
      <w:bCs/>
      <w:color w:val="1F3864"/>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DC3512"/>
    <w:pPr>
      <w:spacing w:after="100"/>
    </w:pPr>
  </w:style>
  <w:style w:type="paragraph" w:styleId="TOC2">
    <w:name w:val="toc 2"/>
    <w:basedOn w:val="Normal"/>
    <w:next w:val="Normal"/>
    <w:autoRedefine/>
    <w:uiPriority w:val="39"/>
    <w:unhideWhenUsed/>
    <w:rsid w:val="00DC351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6577</Words>
  <Characters>37494</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IHG plc — Financial Management Assessment</vt:lpstr>
    </vt:vector>
  </TitlesOfParts>
  <Company/>
  <LinksUpToDate>false</LinksUpToDate>
  <CharactersWithSpaces>43984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IHG plc — Financial Management Assessment</dc:title>
  <dc:creator>MBA Student</dc:creator>
  <cp:lastModifiedBy>DELL</cp:lastModifiedBy>
  <cp:revision>2</cp:revision>
  <dcterms:created xsi:type="dcterms:W3CDTF">2026-07-21T17:01:00Z</dcterms:created>
  <dcterms:modified xsi:type="dcterms:W3CDTF">2026-07-21T17:01:00Z</dcterms:modified>
</cp:coreProperties>
</file>