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CB066" w14:textId="77777777" w:rsidR="009F0DED" w:rsidRPr="000C2141" w:rsidRDefault="009F0DED" w:rsidP="000C2141">
      <w:pPr>
        <w:pStyle w:val="NormalWeb"/>
        <w:spacing w:line="360" w:lineRule="auto"/>
        <w:jc w:val="both"/>
        <w:rPr>
          <w:rFonts w:ascii="Arial" w:hAnsi="Arial" w:cs="Arial"/>
          <w:color w:val="000000"/>
        </w:rPr>
      </w:pPr>
    </w:p>
    <w:p w14:paraId="0FD8E3DF" w14:textId="1E6132A4" w:rsidR="009F0DED" w:rsidRPr="000C2141" w:rsidRDefault="009F0DED" w:rsidP="000C2141">
      <w:pPr>
        <w:pStyle w:val="NormalWeb"/>
        <w:spacing w:line="360" w:lineRule="auto"/>
        <w:jc w:val="center"/>
        <w:rPr>
          <w:rFonts w:ascii="Arial" w:hAnsi="Arial" w:cs="Arial"/>
          <w:color w:val="000000"/>
        </w:rPr>
      </w:pPr>
      <w:r w:rsidRPr="000C2141">
        <w:rPr>
          <w:rFonts w:ascii="Arial" w:hAnsi="Arial" w:cs="Arial"/>
          <w:noProof/>
        </w:rPr>
        <w:drawing>
          <wp:inline distT="0" distB="0" distL="0" distR="0" wp14:anchorId="3DA0A1C4" wp14:editId="566AA841">
            <wp:extent cx="3115310" cy="1408835"/>
            <wp:effectExtent l="0" t="0" r="0" b="1270"/>
            <wp:docPr id="1187646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646395" name=""/>
                    <pic:cNvPicPr/>
                  </pic:nvPicPr>
                  <pic:blipFill>
                    <a:blip r:embed="rId7"/>
                    <a:stretch>
                      <a:fillRect/>
                    </a:stretch>
                  </pic:blipFill>
                  <pic:spPr>
                    <a:xfrm>
                      <a:off x="0" y="0"/>
                      <a:ext cx="3123824" cy="1412685"/>
                    </a:xfrm>
                    <a:prstGeom prst="rect">
                      <a:avLst/>
                    </a:prstGeom>
                  </pic:spPr>
                </pic:pic>
              </a:graphicData>
            </a:graphic>
          </wp:inline>
        </w:drawing>
      </w:r>
    </w:p>
    <w:p w14:paraId="40D9B238" w14:textId="77777777" w:rsidR="009F0DED" w:rsidRPr="000C2141" w:rsidRDefault="009F0DED" w:rsidP="000C2141">
      <w:pPr>
        <w:pStyle w:val="NormalWeb"/>
        <w:spacing w:line="360" w:lineRule="auto"/>
        <w:jc w:val="both"/>
        <w:rPr>
          <w:rFonts w:ascii="Arial" w:hAnsi="Arial" w:cs="Arial"/>
          <w:color w:val="000000"/>
        </w:rPr>
      </w:pPr>
    </w:p>
    <w:p w14:paraId="43441306" w14:textId="77777777" w:rsidR="009F0DED" w:rsidRPr="000C2141" w:rsidRDefault="009F0DED" w:rsidP="000C2141">
      <w:pPr>
        <w:spacing w:line="360" w:lineRule="auto"/>
        <w:jc w:val="center"/>
        <w:rPr>
          <w:rFonts w:ascii="Arial" w:hAnsi="Arial" w:cs="Arial"/>
          <w:bCs/>
        </w:rPr>
      </w:pPr>
      <w:r w:rsidRPr="000C2141">
        <w:rPr>
          <w:rFonts w:ascii="Arial" w:hAnsi="Arial" w:cs="Arial"/>
          <w:bCs/>
        </w:rPr>
        <w:t>LEVEL 7 ASSESSMENT SPECIFICATION</w:t>
      </w:r>
    </w:p>
    <w:p w14:paraId="259AA7B2" w14:textId="77777777" w:rsidR="009F0DED" w:rsidRPr="000C2141" w:rsidRDefault="009F0DED" w:rsidP="000C2141">
      <w:pPr>
        <w:spacing w:line="360" w:lineRule="auto"/>
        <w:jc w:val="center"/>
        <w:rPr>
          <w:rFonts w:ascii="Arial" w:hAnsi="Arial" w:cs="Arial"/>
          <w:bCs/>
        </w:rPr>
      </w:pPr>
      <w:r w:rsidRPr="000C2141">
        <w:rPr>
          <w:rFonts w:ascii="Arial" w:hAnsi="Arial" w:cs="Arial"/>
          <w:bCs/>
        </w:rPr>
        <w:t>Submitted by:</w:t>
      </w:r>
    </w:p>
    <w:p w14:paraId="39201B53" w14:textId="0748AA58" w:rsidR="009F0DED" w:rsidRPr="000C2141" w:rsidRDefault="00C12010" w:rsidP="000C2141">
      <w:pPr>
        <w:spacing w:line="360" w:lineRule="auto"/>
        <w:jc w:val="center"/>
        <w:rPr>
          <w:rFonts w:ascii="Arial" w:hAnsi="Arial" w:cs="Arial"/>
          <w:bCs/>
        </w:rPr>
      </w:pPr>
      <w:r>
        <w:rPr>
          <w:rFonts w:ascii="Arial" w:hAnsi="Arial" w:cs="Arial"/>
          <w:bCs/>
        </w:rPr>
        <w:t>Hiren Nathabhai Timba</w:t>
      </w:r>
      <w:r w:rsidR="009F0DED" w:rsidRPr="000C2141">
        <w:rPr>
          <w:rFonts w:ascii="Arial" w:hAnsi="Arial" w:cs="Arial"/>
          <w:bCs/>
        </w:rPr>
        <w:br/>
        <w:t>Rhif Myfyriwr / Student Number: 261</w:t>
      </w:r>
      <w:r w:rsidR="002D761A">
        <w:rPr>
          <w:rFonts w:ascii="Arial" w:hAnsi="Arial" w:cs="Arial"/>
          <w:bCs/>
        </w:rPr>
        <w:t>1854</w:t>
      </w:r>
    </w:p>
    <w:p w14:paraId="1FC519D1" w14:textId="77777777" w:rsidR="009F0DED" w:rsidRPr="000C2141" w:rsidRDefault="009F0DED" w:rsidP="000C2141">
      <w:pPr>
        <w:spacing w:line="360" w:lineRule="auto"/>
        <w:jc w:val="center"/>
        <w:rPr>
          <w:rFonts w:ascii="Arial" w:hAnsi="Arial" w:cs="Arial"/>
          <w:bCs/>
        </w:rPr>
      </w:pPr>
    </w:p>
    <w:p w14:paraId="677C3885" w14:textId="77777777" w:rsidR="009F0DED" w:rsidRPr="000C2141" w:rsidRDefault="009F0DED" w:rsidP="000C2141">
      <w:pPr>
        <w:spacing w:line="360" w:lineRule="auto"/>
        <w:jc w:val="center"/>
        <w:rPr>
          <w:rFonts w:ascii="Arial" w:hAnsi="Arial" w:cs="Arial"/>
          <w:bCs/>
        </w:rPr>
      </w:pPr>
      <w:r w:rsidRPr="000C2141">
        <w:rPr>
          <w:rFonts w:ascii="Arial" w:hAnsi="Arial" w:cs="Arial"/>
          <w:bCs/>
        </w:rPr>
        <w:t>Programme: Master of Business Administration</w:t>
      </w:r>
    </w:p>
    <w:p w14:paraId="23913F1A" w14:textId="77777777" w:rsidR="009F0DED" w:rsidRPr="000C2141" w:rsidRDefault="009F0DED" w:rsidP="000C2141">
      <w:pPr>
        <w:spacing w:line="360" w:lineRule="auto"/>
        <w:jc w:val="center"/>
        <w:rPr>
          <w:rFonts w:ascii="Arial" w:hAnsi="Arial" w:cs="Arial"/>
          <w:bCs/>
        </w:rPr>
      </w:pPr>
      <w:r w:rsidRPr="000C2141">
        <w:rPr>
          <w:rFonts w:ascii="Arial" w:hAnsi="Arial" w:cs="Arial"/>
          <w:bCs/>
        </w:rPr>
        <w:t>Module: Human Capital Management</w:t>
      </w:r>
    </w:p>
    <w:p w14:paraId="162E9ACB" w14:textId="77777777" w:rsidR="009F0DED" w:rsidRPr="000C2141" w:rsidRDefault="009F0DED" w:rsidP="000C2141">
      <w:pPr>
        <w:spacing w:line="360" w:lineRule="auto"/>
        <w:jc w:val="center"/>
        <w:rPr>
          <w:rFonts w:ascii="Arial" w:hAnsi="Arial" w:cs="Arial"/>
          <w:bCs/>
        </w:rPr>
      </w:pPr>
      <w:r w:rsidRPr="000C2141">
        <w:rPr>
          <w:rFonts w:ascii="Arial" w:hAnsi="Arial" w:cs="Arial"/>
          <w:bCs/>
        </w:rPr>
        <w:t>Module Code: LCMB7023</w:t>
      </w:r>
    </w:p>
    <w:p w14:paraId="14F52920" w14:textId="77777777" w:rsidR="009F0DED" w:rsidRPr="000C2141" w:rsidRDefault="009F0DED" w:rsidP="000C2141">
      <w:pPr>
        <w:spacing w:line="360" w:lineRule="auto"/>
        <w:jc w:val="center"/>
        <w:rPr>
          <w:rFonts w:ascii="Arial" w:hAnsi="Arial" w:cs="Arial"/>
          <w:bCs/>
        </w:rPr>
      </w:pPr>
      <w:r w:rsidRPr="000C2141">
        <w:rPr>
          <w:rFonts w:ascii="Arial" w:hAnsi="Arial" w:cs="Arial"/>
          <w:bCs/>
        </w:rPr>
        <w:t>Contribution to Overall Module Assessment: 50%</w:t>
      </w:r>
    </w:p>
    <w:p w14:paraId="1C378020" w14:textId="77777777" w:rsidR="009F0DED" w:rsidRPr="000C2141" w:rsidRDefault="009F0DED" w:rsidP="000C2141">
      <w:pPr>
        <w:spacing w:line="360" w:lineRule="auto"/>
        <w:jc w:val="center"/>
        <w:rPr>
          <w:rFonts w:ascii="Arial" w:hAnsi="Arial" w:cs="Arial"/>
          <w:bCs/>
        </w:rPr>
      </w:pPr>
      <w:r w:rsidRPr="000C2141">
        <w:rPr>
          <w:rFonts w:ascii="Arial" w:hAnsi="Arial" w:cs="Arial"/>
          <w:bCs/>
        </w:rPr>
        <w:t>Lecturer: Eno Maycock (Birmingham)</w:t>
      </w:r>
    </w:p>
    <w:p w14:paraId="183B1AC1" w14:textId="77777777" w:rsidR="009F0DED" w:rsidRPr="000C2141" w:rsidRDefault="009F0DED" w:rsidP="000C2141">
      <w:pPr>
        <w:spacing w:line="360" w:lineRule="auto"/>
        <w:jc w:val="center"/>
        <w:rPr>
          <w:rFonts w:ascii="Arial" w:hAnsi="Arial" w:cs="Arial"/>
          <w:bCs/>
        </w:rPr>
      </w:pPr>
      <w:r w:rsidRPr="000C2141">
        <w:rPr>
          <w:rFonts w:ascii="Arial" w:hAnsi="Arial" w:cs="Arial"/>
          <w:bCs/>
        </w:rPr>
        <w:t xml:space="preserve">Assignment Title: </w:t>
      </w:r>
    </w:p>
    <w:p w14:paraId="2E7E0A66" w14:textId="77777777" w:rsidR="009F0DED" w:rsidRPr="000C2141" w:rsidRDefault="009F0DED" w:rsidP="000C2141">
      <w:pPr>
        <w:spacing w:line="360" w:lineRule="auto"/>
        <w:jc w:val="center"/>
        <w:rPr>
          <w:rFonts w:ascii="Arial" w:hAnsi="Arial" w:cs="Arial"/>
          <w:bCs/>
        </w:rPr>
      </w:pPr>
      <w:r w:rsidRPr="000C2141">
        <w:rPr>
          <w:rFonts w:ascii="Arial" w:hAnsi="Arial" w:cs="Arial"/>
          <w:bCs/>
        </w:rPr>
        <w:t>Assessment Component 1: Individual Report</w:t>
      </w:r>
    </w:p>
    <w:p w14:paraId="3461ABF2" w14:textId="77777777" w:rsidR="009F0DED" w:rsidRPr="000C2141" w:rsidRDefault="009F0DED" w:rsidP="000C2141">
      <w:pPr>
        <w:spacing w:line="360" w:lineRule="auto"/>
        <w:jc w:val="center"/>
        <w:rPr>
          <w:rFonts w:ascii="Arial" w:hAnsi="Arial" w:cs="Arial"/>
          <w:bCs/>
        </w:rPr>
      </w:pPr>
      <w:r w:rsidRPr="000C2141">
        <w:rPr>
          <w:rFonts w:ascii="Arial" w:hAnsi="Arial" w:cs="Arial"/>
          <w:bCs/>
        </w:rPr>
        <w:t>Word Count: 2,500 (±10%)</w:t>
      </w:r>
    </w:p>
    <w:p w14:paraId="220E21EE" w14:textId="77777777" w:rsidR="009F0DED" w:rsidRPr="000C2141" w:rsidRDefault="009F0DED" w:rsidP="000C2141">
      <w:pPr>
        <w:spacing w:line="360" w:lineRule="auto"/>
        <w:jc w:val="center"/>
        <w:rPr>
          <w:rFonts w:ascii="Arial" w:hAnsi="Arial" w:cs="Arial"/>
          <w:bCs/>
        </w:rPr>
      </w:pPr>
      <w:r w:rsidRPr="000C2141">
        <w:rPr>
          <w:rFonts w:ascii="Arial" w:hAnsi="Arial" w:cs="Arial"/>
          <w:bCs/>
        </w:rPr>
        <w:t>Submission Deadline:</w:t>
      </w:r>
    </w:p>
    <w:p w14:paraId="3C937273" w14:textId="77777777" w:rsidR="009F0DED" w:rsidRPr="000C2141" w:rsidRDefault="009F0DED" w:rsidP="000C2141">
      <w:pPr>
        <w:spacing w:line="360" w:lineRule="auto"/>
        <w:jc w:val="center"/>
        <w:rPr>
          <w:rFonts w:ascii="Arial" w:hAnsi="Arial" w:cs="Arial"/>
          <w:bCs/>
        </w:rPr>
      </w:pPr>
      <w:r w:rsidRPr="000C2141">
        <w:rPr>
          <w:rFonts w:ascii="Arial" w:hAnsi="Arial" w:cs="Arial"/>
          <w:bCs/>
        </w:rPr>
        <w:t>Week 6, Thursday 15th October 2026, by 2 PM</w:t>
      </w:r>
    </w:p>
    <w:p w14:paraId="353674F7" w14:textId="605F2175" w:rsidR="00B84F11" w:rsidRPr="000C2141" w:rsidRDefault="00B84F11" w:rsidP="000C2141">
      <w:pPr>
        <w:spacing w:line="360" w:lineRule="auto"/>
        <w:jc w:val="center"/>
        <w:rPr>
          <w:rFonts w:ascii="Arial" w:hAnsi="Arial" w:cs="Arial"/>
          <w:bCs/>
        </w:rPr>
      </w:pPr>
      <w:r w:rsidRPr="000C2141">
        <w:rPr>
          <w:rFonts w:ascii="Arial" w:hAnsi="Arial" w:cs="Arial"/>
          <w:color w:val="000000"/>
        </w:rPr>
        <w:t>Table of Contents</w:t>
      </w:r>
    </w:p>
    <w:p w14:paraId="05320AA4" w14:textId="3531E9F0"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Introduction</w:t>
      </w:r>
      <w:r w:rsidR="009F0DED" w:rsidRPr="000C2141">
        <w:rPr>
          <w:rFonts w:ascii="Arial" w:hAnsi="Arial" w:cs="Arial"/>
          <w:color w:val="000000"/>
        </w:rPr>
        <w:t>………………………………………………………………………………………</w:t>
      </w:r>
      <w:r w:rsidRPr="000C2141">
        <w:rPr>
          <w:rFonts w:ascii="Arial" w:hAnsi="Arial" w:cs="Arial"/>
          <w:color w:val="000000"/>
        </w:rPr>
        <w:t>3</w:t>
      </w:r>
    </w:p>
    <w:p w14:paraId="6BCEE00F" w14:textId="32C4CAB3"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Task A Designing Innovative Working Practices</w:t>
      </w:r>
      <w:r w:rsidR="009F0DED" w:rsidRPr="000C2141">
        <w:rPr>
          <w:rFonts w:ascii="Arial" w:hAnsi="Arial" w:cs="Arial"/>
          <w:color w:val="000000"/>
        </w:rPr>
        <w:t>…………………………..…………………3</w:t>
      </w:r>
    </w:p>
    <w:p w14:paraId="7A769F46" w14:textId="2632D88E"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A.1 Traditional vs Contemporary Work Design</w:t>
      </w:r>
      <w:r w:rsidR="009F0DED" w:rsidRPr="000C2141">
        <w:rPr>
          <w:rFonts w:ascii="Arial" w:hAnsi="Arial" w:cs="Arial"/>
          <w:color w:val="000000"/>
        </w:rPr>
        <w:t>………………………………………………</w:t>
      </w:r>
      <w:r w:rsidR="000C2141" w:rsidRPr="000C2141">
        <w:rPr>
          <w:rFonts w:ascii="Arial" w:hAnsi="Arial" w:cs="Arial"/>
          <w:color w:val="000000"/>
        </w:rPr>
        <w:t>.</w:t>
      </w:r>
      <w:r w:rsidRPr="000C2141">
        <w:rPr>
          <w:rFonts w:ascii="Arial" w:hAnsi="Arial" w:cs="Arial"/>
          <w:color w:val="000000"/>
        </w:rPr>
        <w:t>3</w:t>
      </w:r>
    </w:p>
    <w:p w14:paraId="33C93BFD" w14:textId="12365788"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A.2 Recommended Innovative Working Practices for NHSX</w:t>
      </w:r>
      <w:r w:rsidR="000C2141" w:rsidRPr="000C2141">
        <w:rPr>
          <w:rFonts w:ascii="Arial" w:hAnsi="Arial" w:cs="Arial"/>
          <w:color w:val="000000"/>
        </w:rPr>
        <w:t>………………………………</w:t>
      </w:r>
      <w:r w:rsidR="000C2141">
        <w:rPr>
          <w:rFonts w:ascii="Arial" w:hAnsi="Arial" w:cs="Arial"/>
          <w:color w:val="000000"/>
        </w:rPr>
        <w:t>5</w:t>
      </w:r>
    </w:p>
    <w:p w14:paraId="4A0F209E" w14:textId="0836944C"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 xml:space="preserve">A.3 Impact on </w:t>
      </w:r>
      <w:r w:rsidR="000C2141" w:rsidRPr="000C2141">
        <w:rPr>
          <w:rFonts w:ascii="Arial" w:hAnsi="Arial" w:cs="Arial"/>
          <w:color w:val="000000"/>
        </w:rPr>
        <w:t>Organizational</w:t>
      </w:r>
      <w:r w:rsidRPr="000C2141">
        <w:rPr>
          <w:rFonts w:ascii="Arial" w:hAnsi="Arial" w:cs="Arial"/>
          <w:color w:val="000000"/>
        </w:rPr>
        <w:t xml:space="preserve"> Performance</w:t>
      </w:r>
      <w:r w:rsidR="000C2141" w:rsidRPr="000C2141">
        <w:rPr>
          <w:rFonts w:ascii="Arial" w:hAnsi="Arial" w:cs="Arial"/>
          <w:color w:val="000000"/>
        </w:rPr>
        <w:t>…………………………………………………</w:t>
      </w:r>
      <w:r w:rsidR="00356DEC">
        <w:rPr>
          <w:rFonts w:ascii="Arial" w:hAnsi="Arial" w:cs="Arial"/>
          <w:color w:val="000000"/>
        </w:rPr>
        <w:t>7</w:t>
      </w:r>
    </w:p>
    <w:p w14:paraId="416320B8" w14:textId="30F105D0"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Task B Breeding an Environment Where Talent May Grow</w:t>
      </w:r>
      <w:r w:rsidR="000C2141" w:rsidRPr="000C2141">
        <w:rPr>
          <w:rFonts w:ascii="Arial" w:hAnsi="Arial" w:cs="Arial"/>
          <w:color w:val="000000"/>
        </w:rPr>
        <w:t>…………………………………</w:t>
      </w:r>
      <w:r w:rsidR="00356DEC">
        <w:rPr>
          <w:rFonts w:ascii="Arial" w:hAnsi="Arial" w:cs="Arial"/>
          <w:color w:val="000000"/>
        </w:rPr>
        <w:t>9</w:t>
      </w:r>
    </w:p>
    <w:p w14:paraId="12EB0C16" w14:textId="17B84DC7"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 xml:space="preserve">B.1 How </w:t>
      </w:r>
      <w:r w:rsidR="000C2141" w:rsidRPr="000C2141">
        <w:rPr>
          <w:rFonts w:ascii="Arial" w:hAnsi="Arial" w:cs="Arial"/>
          <w:color w:val="000000"/>
        </w:rPr>
        <w:t>Organizations</w:t>
      </w:r>
      <w:r w:rsidRPr="000C2141">
        <w:rPr>
          <w:rFonts w:ascii="Arial" w:hAnsi="Arial" w:cs="Arial"/>
          <w:color w:val="000000"/>
        </w:rPr>
        <w:t xml:space="preserve"> Help Talent Flourish</w:t>
      </w:r>
      <w:r w:rsidR="000C2141" w:rsidRPr="000C2141">
        <w:rPr>
          <w:rFonts w:ascii="Arial" w:hAnsi="Arial" w:cs="Arial"/>
          <w:color w:val="000000"/>
        </w:rPr>
        <w:t>…………………………………………………</w:t>
      </w:r>
      <w:r w:rsidR="00356DEC">
        <w:rPr>
          <w:rFonts w:ascii="Arial" w:hAnsi="Arial" w:cs="Arial"/>
          <w:color w:val="000000"/>
        </w:rPr>
        <w:t>9</w:t>
      </w:r>
    </w:p>
    <w:p w14:paraId="5E3B6847" w14:textId="6468B39D"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B.2 Talent Growth Strategy for NHSX</w:t>
      </w:r>
      <w:r w:rsidR="000C2141" w:rsidRPr="000C2141">
        <w:rPr>
          <w:rFonts w:ascii="Arial" w:hAnsi="Arial" w:cs="Arial"/>
          <w:color w:val="000000"/>
        </w:rPr>
        <w:t>………………………………………………………</w:t>
      </w:r>
      <w:r w:rsidR="00356DEC">
        <w:rPr>
          <w:rFonts w:ascii="Arial" w:hAnsi="Arial" w:cs="Arial"/>
          <w:color w:val="000000"/>
        </w:rPr>
        <w:t>11</w:t>
      </w:r>
    </w:p>
    <w:p w14:paraId="281C6627" w14:textId="0F25D559"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Task C Reflective Report</w:t>
      </w:r>
      <w:r w:rsidR="000C2141" w:rsidRPr="000C2141">
        <w:rPr>
          <w:rFonts w:ascii="Arial" w:hAnsi="Arial" w:cs="Arial"/>
          <w:color w:val="000000"/>
        </w:rPr>
        <w:t>……………………………………………………………………</w:t>
      </w:r>
      <w:r w:rsidRPr="000C2141">
        <w:rPr>
          <w:rFonts w:ascii="Arial" w:hAnsi="Arial" w:cs="Arial"/>
          <w:color w:val="000000"/>
        </w:rPr>
        <w:t>1</w:t>
      </w:r>
      <w:r w:rsidR="00356DEC">
        <w:rPr>
          <w:rFonts w:ascii="Arial" w:hAnsi="Arial" w:cs="Arial"/>
          <w:color w:val="000000"/>
        </w:rPr>
        <w:t>3</w:t>
      </w:r>
    </w:p>
    <w:p w14:paraId="6487B165" w14:textId="220F23B9"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C.1 AI as a Strategic Tool in HRM</w:t>
      </w:r>
      <w:r w:rsidR="000C2141" w:rsidRPr="000C2141">
        <w:rPr>
          <w:rFonts w:ascii="Arial" w:hAnsi="Arial" w:cs="Arial"/>
          <w:color w:val="000000"/>
        </w:rPr>
        <w:t>……………………………………………………………</w:t>
      </w:r>
      <w:r w:rsidRPr="000C2141">
        <w:rPr>
          <w:rFonts w:ascii="Arial" w:hAnsi="Arial" w:cs="Arial"/>
          <w:color w:val="000000"/>
        </w:rPr>
        <w:t>1</w:t>
      </w:r>
      <w:r w:rsidR="000C2141">
        <w:rPr>
          <w:rFonts w:ascii="Arial" w:hAnsi="Arial" w:cs="Arial"/>
          <w:color w:val="000000"/>
        </w:rPr>
        <w:t>3</w:t>
      </w:r>
    </w:p>
    <w:p w14:paraId="44AD579E" w14:textId="0371E167"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C.2 Reflective Analysis of Three Examples of AI Use</w:t>
      </w:r>
      <w:r w:rsidR="000C2141" w:rsidRPr="000C2141">
        <w:rPr>
          <w:rFonts w:ascii="Arial" w:hAnsi="Arial" w:cs="Arial"/>
          <w:color w:val="000000"/>
        </w:rPr>
        <w:t>……………………………………..</w:t>
      </w:r>
      <w:r w:rsidRPr="000C2141">
        <w:rPr>
          <w:rFonts w:ascii="Arial" w:hAnsi="Arial" w:cs="Arial"/>
          <w:color w:val="000000"/>
        </w:rPr>
        <w:t>1</w:t>
      </w:r>
      <w:r w:rsidR="000C2141">
        <w:rPr>
          <w:rFonts w:ascii="Arial" w:hAnsi="Arial" w:cs="Arial"/>
          <w:color w:val="000000"/>
        </w:rPr>
        <w:t>4</w:t>
      </w:r>
    </w:p>
    <w:p w14:paraId="49071FC4" w14:textId="46453985"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C.3 Personal Capability Development Plan</w:t>
      </w:r>
      <w:r w:rsidR="000C2141" w:rsidRPr="000C2141">
        <w:rPr>
          <w:rFonts w:ascii="Arial" w:hAnsi="Arial" w:cs="Arial"/>
          <w:color w:val="000000"/>
        </w:rPr>
        <w:t>………………………………………………...</w:t>
      </w:r>
      <w:r w:rsidRPr="000C2141">
        <w:rPr>
          <w:rFonts w:ascii="Arial" w:hAnsi="Arial" w:cs="Arial"/>
          <w:color w:val="000000"/>
        </w:rPr>
        <w:t>1</w:t>
      </w:r>
      <w:r w:rsidR="000C2141">
        <w:rPr>
          <w:rFonts w:ascii="Arial" w:hAnsi="Arial" w:cs="Arial"/>
          <w:color w:val="000000"/>
        </w:rPr>
        <w:t>5</w:t>
      </w:r>
    </w:p>
    <w:p w14:paraId="315A741A" w14:textId="0696B313"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Conclusion</w:t>
      </w:r>
      <w:r w:rsidR="000C2141" w:rsidRPr="000C2141">
        <w:rPr>
          <w:rFonts w:ascii="Arial" w:hAnsi="Arial" w:cs="Arial"/>
          <w:color w:val="000000"/>
        </w:rPr>
        <w:t>……………………………………………………………………………………..</w:t>
      </w:r>
      <w:r w:rsidR="000C2141">
        <w:rPr>
          <w:rFonts w:ascii="Arial" w:hAnsi="Arial" w:cs="Arial"/>
          <w:color w:val="000000"/>
        </w:rPr>
        <w:t>16</w:t>
      </w:r>
    </w:p>
    <w:p w14:paraId="7624D160" w14:textId="3BBD6DFF"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Reference List</w:t>
      </w:r>
      <w:r w:rsidR="000C2141" w:rsidRPr="000C2141">
        <w:rPr>
          <w:rFonts w:ascii="Arial" w:hAnsi="Arial" w:cs="Arial"/>
          <w:color w:val="000000"/>
        </w:rPr>
        <w:t>…………………………………………………………………………………</w:t>
      </w:r>
      <w:r w:rsidRPr="000C2141">
        <w:rPr>
          <w:rFonts w:ascii="Arial" w:hAnsi="Arial" w:cs="Arial"/>
          <w:color w:val="000000"/>
        </w:rPr>
        <w:t>1</w:t>
      </w:r>
      <w:r w:rsidR="000C2141">
        <w:rPr>
          <w:rFonts w:ascii="Arial" w:hAnsi="Arial" w:cs="Arial"/>
          <w:color w:val="000000"/>
        </w:rPr>
        <w:t>7</w:t>
      </w:r>
    </w:p>
    <w:p w14:paraId="4886C37C" w14:textId="77777777" w:rsidR="00B84F11" w:rsidRPr="000C2141" w:rsidRDefault="00B84F11" w:rsidP="000C2141">
      <w:pPr>
        <w:pStyle w:val="NormalWeb"/>
        <w:spacing w:line="360" w:lineRule="auto"/>
        <w:jc w:val="both"/>
        <w:rPr>
          <w:rFonts w:ascii="Arial" w:hAnsi="Arial" w:cs="Arial"/>
          <w:color w:val="000000"/>
        </w:rPr>
      </w:pPr>
    </w:p>
    <w:p w14:paraId="0C384CB4" w14:textId="77777777" w:rsidR="00B84F11" w:rsidRPr="000C2141" w:rsidRDefault="00B84F11" w:rsidP="000C2141">
      <w:pPr>
        <w:pStyle w:val="NormalWeb"/>
        <w:spacing w:line="360" w:lineRule="auto"/>
        <w:jc w:val="both"/>
        <w:rPr>
          <w:rFonts w:ascii="Arial" w:hAnsi="Arial" w:cs="Arial"/>
          <w:color w:val="000000"/>
        </w:rPr>
      </w:pPr>
    </w:p>
    <w:p w14:paraId="6B1581EA" w14:textId="77777777" w:rsidR="009C3BE1" w:rsidRPr="000C2141" w:rsidRDefault="009C3BE1" w:rsidP="000C2141">
      <w:pPr>
        <w:pStyle w:val="NormalWeb"/>
        <w:spacing w:line="360" w:lineRule="auto"/>
        <w:jc w:val="both"/>
        <w:rPr>
          <w:rFonts w:ascii="Arial" w:hAnsi="Arial" w:cs="Arial"/>
          <w:color w:val="000000"/>
        </w:rPr>
      </w:pPr>
    </w:p>
    <w:p w14:paraId="508F669B" w14:textId="77777777" w:rsidR="009C3BE1" w:rsidRPr="000C2141" w:rsidRDefault="009C3BE1" w:rsidP="000C2141">
      <w:pPr>
        <w:pStyle w:val="NormalWeb"/>
        <w:spacing w:line="360" w:lineRule="auto"/>
        <w:jc w:val="both"/>
        <w:rPr>
          <w:rFonts w:ascii="Arial" w:hAnsi="Arial" w:cs="Arial"/>
          <w:color w:val="000000"/>
        </w:rPr>
      </w:pPr>
    </w:p>
    <w:p w14:paraId="23EBE441" w14:textId="77777777" w:rsidR="000C2141" w:rsidRDefault="000C2141" w:rsidP="000C2141">
      <w:pPr>
        <w:pStyle w:val="NormalWeb"/>
        <w:spacing w:line="360" w:lineRule="auto"/>
        <w:jc w:val="both"/>
        <w:rPr>
          <w:rFonts w:ascii="Arial" w:hAnsi="Arial" w:cs="Arial"/>
          <w:color w:val="000000"/>
        </w:rPr>
      </w:pPr>
    </w:p>
    <w:p w14:paraId="7D813819" w14:textId="68BC894B"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Introduction</w:t>
      </w:r>
    </w:p>
    <w:p w14:paraId="621FFE07" w14:textId="77777777" w:rsidR="00E722C8" w:rsidRPr="000C2141" w:rsidRDefault="00E722C8" w:rsidP="000C2141">
      <w:pPr>
        <w:pStyle w:val="NormalWeb"/>
        <w:spacing w:line="360" w:lineRule="auto"/>
        <w:rPr>
          <w:rFonts w:ascii="Arial" w:hAnsi="Arial" w:cs="Arial"/>
        </w:rPr>
      </w:pPr>
      <w:r w:rsidRPr="000C2141">
        <w:rPr>
          <w:rFonts w:ascii="Arial" w:hAnsi="Arial" w:cs="Arial"/>
        </w:rPr>
        <w:t>NexSpace Health Systems (NHSX), a health and technology group, aims to develop decision support systems, remote patient monitoring and digital health platforms, and employs about 600 people in three countries: the United Kingdom, India and the United Arab Emirates. Its difficulties are in lack of innovation, slow decision-making, lack of creativity, poor cooperation, the sharing of information and the exchange of knowledge, insufficient opportunities for development and growth, and the need to balance well-being with high productivity. This paper seeks to bring out a systemic approach to the design of work and to the administration of personnel; it also contains some reflections on the responsible use of artificial intelligence and human capacities.</w:t>
      </w:r>
    </w:p>
    <w:p w14:paraId="2365B383"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Task A Designing Innovative Working Practices</w:t>
      </w:r>
    </w:p>
    <w:p w14:paraId="0FA474DF"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A.1 Traditional vs Contemporary Work Design</w:t>
      </w:r>
    </w:p>
    <w:p w14:paraId="17F1373C" w14:textId="31608C03" w:rsidR="000C2141" w:rsidRDefault="00E722C8" w:rsidP="000C2141">
      <w:pPr>
        <w:pStyle w:val="NormalWeb"/>
        <w:spacing w:line="360" w:lineRule="auto"/>
        <w:rPr>
          <w:rFonts w:ascii="Arial" w:hAnsi="Arial" w:cs="Arial"/>
        </w:rPr>
      </w:pPr>
      <w:r w:rsidRPr="000C2141">
        <w:rPr>
          <w:rFonts w:ascii="Arial" w:hAnsi="Arial" w:cs="Arial"/>
        </w:rPr>
        <w:t xml:space="preserve">A different way of working is required. In a </w:t>
      </w:r>
      <w:r w:rsidR="009F0DED" w:rsidRPr="000C2141">
        <w:rPr>
          <w:rFonts w:ascii="Arial" w:hAnsi="Arial" w:cs="Arial"/>
        </w:rPr>
        <w:t>Taylorism</w:t>
      </w:r>
      <w:r w:rsidRPr="000C2141">
        <w:rPr>
          <w:rFonts w:ascii="Arial" w:hAnsi="Arial" w:cs="Arial"/>
        </w:rPr>
        <w:t xml:space="preserve"> sense, the division of </w:t>
      </w:r>
      <w:r w:rsidR="009F0DED" w:rsidRPr="000C2141">
        <w:rPr>
          <w:rFonts w:ascii="Arial" w:hAnsi="Arial" w:cs="Arial"/>
        </w:rPr>
        <w:t>labor</w:t>
      </w:r>
      <w:r w:rsidRPr="000C2141">
        <w:rPr>
          <w:rFonts w:ascii="Arial" w:hAnsi="Arial" w:cs="Arial"/>
        </w:rPr>
        <w:t xml:space="preserve"> between the planning and the execution of a task into two stages, and the use of </w:t>
      </w:r>
      <w:r w:rsidR="009F0DED" w:rsidRPr="000C2141">
        <w:rPr>
          <w:rFonts w:ascii="Arial" w:hAnsi="Arial" w:cs="Arial"/>
        </w:rPr>
        <w:t>specialized</w:t>
      </w:r>
      <w:r w:rsidRPr="000C2141">
        <w:rPr>
          <w:rFonts w:ascii="Arial" w:hAnsi="Arial" w:cs="Arial"/>
        </w:rPr>
        <w:t xml:space="preserve"> staff, managerial power and the </w:t>
      </w:r>
      <w:r w:rsidR="009F0DED" w:rsidRPr="000C2141">
        <w:rPr>
          <w:rFonts w:ascii="Arial" w:hAnsi="Arial" w:cs="Arial"/>
        </w:rPr>
        <w:t>standardization</w:t>
      </w:r>
      <w:r w:rsidRPr="000C2141">
        <w:rPr>
          <w:rFonts w:ascii="Arial" w:hAnsi="Arial" w:cs="Arial"/>
        </w:rPr>
        <w:t xml:space="preserve"> of tasks (Taylor, 1911) may be successful in ensuring that the work is carried out to a uniform standard, but it hinders the workers in their ability to react to unfamiliar situations because of multiple approvals. In NHSX, for example, this </w:t>
      </w:r>
      <w:r w:rsidR="00D22A42" w:rsidRPr="000C2141">
        <w:rPr>
          <w:rFonts w:ascii="Arial" w:hAnsi="Arial" w:cs="Arial"/>
        </w:rPr>
        <w:t>must</w:t>
      </w:r>
      <w:r w:rsidRPr="000C2141">
        <w:rPr>
          <w:rFonts w:ascii="Arial" w:hAnsi="Arial" w:cs="Arial"/>
        </w:rPr>
        <w:t xml:space="preserve"> be changed.</w:t>
      </w:r>
    </w:p>
    <w:p w14:paraId="1446963A" w14:textId="77777777" w:rsidR="000C2141" w:rsidRDefault="00E722C8" w:rsidP="000C2141">
      <w:pPr>
        <w:pStyle w:val="NormalWeb"/>
        <w:spacing w:line="360" w:lineRule="auto"/>
        <w:rPr>
          <w:rFonts w:ascii="Arial" w:hAnsi="Arial" w:cs="Arial"/>
        </w:rPr>
      </w:pPr>
      <w:r w:rsidRPr="000C2141">
        <w:rPr>
          <w:rFonts w:ascii="Arial" w:hAnsi="Arial" w:cs="Arial"/>
        </w:rPr>
        <w:t>Table 1 Comparison of work designs. Source: author’s synthesis of Taylor (1911), Lawler (1986), Peeters, Van De Voorde and Paauwe (2022), and Huselid (1995).</w:t>
      </w:r>
    </w:p>
    <w:p w14:paraId="1BAFC239" w14:textId="1BE0A5D5" w:rsidR="009F0DED" w:rsidRPr="000C2141" w:rsidRDefault="009F0DED" w:rsidP="000C2141">
      <w:pPr>
        <w:pStyle w:val="NormalWeb"/>
        <w:spacing w:line="360" w:lineRule="auto"/>
        <w:rPr>
          <w:rFonts w:ascii="Arial" w:hAnsi="Arial" w:cs="Arial"/>
        </w:rPr>
      </w:pPr>
      <w:r w:rsidRPr="000C2141">
        <w:rPr>
          <w:rFonts w:ascii="Arial" w:hAnsi="Arial" w:cs="Arial"/>
          <w:noProof/>
        </w:rPr>
        <w:drawing>
          <wp:inline distT="0" distB="0" distL="0" distR="0" wp14:anchorId="427B3B59" wp14:editId="6A2C3892">
            <wp:extent cx="5943600" cy="3098800"/>
            <wp:effectExtent l="0" t="0" r="0" b="0"/>
            <wp:docPr id="1751395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395265" name=""/>
                    <pic:cNvPicPr/>
                  </pic:nvPicPr>
                  <pic:blipFill>
                    <a:blip r:embed="rId8"/>
                    <a:stretch>
                      <a:fillRect/>
                    </a:stretch>
                  </pic:blipFill>
                  <pic:spPr>
                    <a:xfrm>
                      <a:off x="0" y="0"/>
                      <a:ext cx="5943600" cy="3098800"/>
                    </a:xfrm>
                    <a:prstGeom prst="rect">
                      <a:avLst/>
                    </a:prstGeom>
                  </pic:spPr>
                </pic:pic>
              </a:graphicData>
            </a:graphic>
          </wp:inline>
        </w:drawing>
      </w:r>
    </w:p>
    <w:p w14:paraId="6CDEC92E" w14:textId="6FF16B56" w:rsidR="00E722C8" w:rsidRPr="000C2141" w:rsidRDefault="00E722C8" w:rsidP="000C2141">
      <w:pPr>
        <w:pStyle w:val="NormalWeb"/>
        <w:spacing w:line="360" w:lineRule="auto"/>
        <w:rPr>
          <w:rFonts w:ascii="Arial" w:hAnsi="Arial" w:cs="Arial"/>
        </w:rPr>
      </w:pPr>
      <w:r w:rsidRPr="000C2141">
        <w:rPr>
          <w:rFonts w:ascii="Arial" w:hAnsi="Arial" w:cs="Arial"/>
        </w:rPr>
        <w:t>The agile work process proceeds in small steps, with constant assessment of results and adjustment of next steps. Such work is achieved by working out the working time and shifts that will not adversely affect the level of service. Such organizations must be properly managed, and a change of name and designation does not alter the existing power relationships. A high-grade work system is dependent on training, involvement and feedback to achieve the synergy between the personnel processes (Huselid, 1995).</w:t>
      </w:r>
    </w:p>
    <w:p w14:paraId="39D8CFEA" w14:textId="56CC42D8" w:rsidR="00E722C8" w:rsidRPr="000C2141" w:rsidRDefault="00E722C8" w:rsidP="000C2141">
      <w:pPr>
        <w:pStyle w:val="NormalWeb"/>
        <w:spacing w:line="360" w:lineRule="auto"/>
        <w:rPr>
          <w:rFonts w:ascii="Arial" w:hAnsi="Arial" w:cs="Arial"/>
        </w:rPr>
      </w:pPr>
      <w:r w:rsidRPr="000C2141">
        <w:rPr>
          <w:rFonts w:ascii="Arial" w:hAnsi="Arial" w:cs="Arial"/>
        </w:rPr>
        <w:t xml:space="preserve">When there is a need for security and accountability it is important to use the classic methods of control; but they are not used for the routine decisions in the organization. The expert approval of X for high confidentiality and large expenditure is necessary, but not for routine decisions. In the design of social </w:t>
      </w:r>
      <w:r w:rsidR="009F0DED" w:rsidRPr="000C2141">
        <w:rPr>
          <w:rFonts w:ascii="Arial" w:hAnsi="Arial" w:cs="Arial"/>
        </w:rPr>
        <w:t>technology,</w:t>
      </w:r>
      <w:r w:rsidRPr="000C2141">
        <w:rPr>
          <w:rFonts w:ascii="Arial" w:hAnsi="Arial" w:cs="Arial"/>
        </w:rPr>
        <w:t xml:space="preserve"> the concept of responsibility and social practice is linked to technology (Cherns, 1976). High-involvement organizations, with their rightful information, voice and authority to decide, provide the basis for such work; renaming work groups and shift-times will not change the existing power structure (Lawler, 1986).</w:t>
      </w:r>
    </w:p>
    <w:p w14:paraId="225D79EE" w14:textId="304343D2" w:rsidR="00B84F11" w:rsidRPr="000C2141" w:rsidRDefault="00B84F11" w:rsidP="000C2141">
      <w:pPr>
        <w:pStyle w:val="NormalWeb"/>
        <w:spacing w:line="360" w:lineRule="auto"/>
        <w:rPr>
          <w:rFonts w:ascii="Arial" w:hAnsi="Arial" w:cs="Arial"/>
          <w:color w:val="000000"/>
        </w:rPr>
      </w:pPr>
      <w:r w:rsidRPr="000C2141">
        <w:rPr>
          <w:rFonts w:ascii="Arial" w:hAnsi="Arial" w:cs="Arial"/>
          <w:color w:val="000000"/>
        </w:rPr>
        <w:t>Figure1</w:t>
      </w:r>
      <w:r w:rsidR="00FF0775" w:rsidRPr="000C2141">
        <w:rPr>
          <w:rFonts w:ascii="Arial" w:hAnsi="Arial" w:cs="Arial"/>
          <w:color w:val="000000"/>
        </w:rPr>
        <w:t xml:space="preserve"> </w:t>
      </w:r>
      <w:r w:rsidRPr="000C2141">
        <w:rPr>
          <w:rFonts w:ascii="Arial" w:hAnsi="Arial" w:cs="Arial"/>
          <w:color w:val="000000"/>
        </w:rPr>
        <w:t>Work design framework</w:t>
      </w:r>
      <w:r w:rsidR="00FF0775" w:rsidRPr="000C2141">
        <w:rPr>
          <w:rFonts w:ascii="Arial" w:hAnsi="Arial" w:cs="Arial"/>
          <w:noProof/>
          <w:color w:val="000000"/>
          <w14:ligatures w14:val="standardContextual"/>
        </w:rPr>
        <w:drawing>
          <wp:inline distT="0" distB="0" distL="0" distR="0" wp14:anchorId="74A6B34C" wp14:editId="3D7C6C7E">
            <wp:extent cx="5942050" cy="2661502"/>
            <wp:effectExtent l="0" t="0" r="1905" b="5715"/>
            <wp:docPr id="1069160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160056" name="Picture 1069160056"/>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74858" cy="2676197"/>
                    </a:xfrm>
                    <a:prstGeom prst="rect">
                      <a:avLst/>
                    </a:prstGeom>
                  </pic:spPr>
                </pic:pic>
              </a:graphicData>
            </a:graphic>
          </wp:inline>
        </w:drawing>
      </w:r>
    </w:p>
    <w:p w14:paraId="2F02E45D" w14:textId="0E8CBF62"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 xml:space="preserve">Source: author’s synthesis, with AI assistance, </w:t>
      </w:r>
      <w:r w:rsidR="008C5349" w:rsidRPr="000C2141">
        <w:rPr>
          <w:rFonts w:ascii="Arial" w:hAnsi="Arial" w:cs="Arial"/>
          <w:color w:val="000000"/>
        </w:rPr>
        <w:t>Lawler (1986),</w:t>
      </w:r>
      <w:r w:rsidR="008C5349" w:rsidRPr="000C2141">
        <w:rPr>
          <w:rStyle w:val="apple-converted-space"/>
          <w:rFonts w:ascii="Arial" w:hAnsi="Arial" w:cs="Arial"/>
          <w:color w:val="000000"/>
        </w:rPr>
        <w:t> </w:t>
      </w:r>
      <w:r w:rsidR="008C5349" w:rsidRPr="000C2141">
        <w:rPr>
          <w:rStyle w:val="Strong"/>
          <w:rFonts w:ascii="Arial" w:hAnsi="Arial" w:cs="Arial"/>
          <w:color w:val="000000"/>
        </w:rPr>
        <w:t>Huselid (1995)</w:t>
      </w:r>
      <w:r w:rsidR="008C5349" w:rsidRPr="000C2141">
        <w:rPr>
          <w:rStyle w:val="apple-converted-space"/>
          <w:rFonts w:ascii="Arial" w:hAnsi="Arial" w:cs="Arial"/>
          <w:color w:val="000000"/>
        </w:rPr>
        <w:t> </w:t>
      </w:r>
      <w:r w:rsidR="008C5349" w:rsidRPr="000C2141">
        <w:rPr>
          <w:rFonts w:ascii="Arial" w:hAnsi="Arial" w:cs="Arial"/>
          <w:color w:val="000000"/>
        </w:rPr>
        <w:t>and Parker and Grote (2022)</w:t>
      </w:r>
    </w:p>
    <w:p w14:paraId="1CFF8FEA"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A.2 Recommended Innovative Working Practices for NHSX</w:t>
      </w:r>
    </w:p>
    <w:p w14:paraId="55F65BE1" w14:textId="30D3AF44" w:rsidR="00B56A9F" w:rsidRPr="000C2141" w:rsidRDefault="00B56A9F" w:rsidP="000C2141">
      <w:pPr>
        <w:pStyle w:val="NormalWeb"/>
        <w:spacing w:line="360" w:lineRule="auto"/>
        <w:rPr>
          <w:rFonts w:ascii="Arial" w:hAnsi="Arial" w:cs="Arial"/>
        </w:rPr>
      </w:pPr>
      <w:r w:rsidRPr="000C2141">
        <w:rPr>
          <w:rFonts w:ascii="Arial" w:hAnsi="Arial" w:cs="Arial"/>
        </w:rPr>
        <w:t>The following three items are intended to solve the six problems of NHSX. Along with training and feedback they form part of a high-performance system of work (Huselid, 1995).</w:t>
      </w:r>
    </w:p>
    <w:p w14:paraId="672FAB24" w14:textId="77777777" w:rsidR="00B56A9F" w:rsidRPr="000C2141" w:rsidRDefault="00B56A9F" w:rsidP="000C2141">
      <w:pPr>
        <w:pStyle w:val="NormalWeb"/>
        <w:spacing w:line="360" w:lineRule="auto"/>
        <w:rPr>
          <w:rFonts w:ascii="Arial" w:hAnsi="Arial" w:cs="Arial"/>
        </w:rPr>
      </w:pPr>
      <w:r w:rsidRPr="000C2141">
        <w:rPr>
          <w:rFonts w:ascii="Arial" w:hAnsi="Arial" w:cs="Arial"/>
        </w:rPr>
        <w:t>Table 2. Practices and issues. Source: Author's analysis of NHSX case and recommendations.</w:t>
      </w:r>
    </w:p>
    <w:p w14:paraId="78E23634" w14:textId="77777777" w:rsidR="009F0DED" w:rsidRDefault="009F0DED" w:rsidP="000C2141">
      <w:pPr>
        <w:pStyle w:val="NormalWeb"/>
        <w:spacing w:line="360" w:lineRule="auto"/>
        <w:jc w:val="both"/>
        <w:rPr>
          <w:rFonts w:ascii="Arial" w:hAnsi="Arial" w:cs="Arial"/>
          <w:color w:val="45B0E1" w:themeColor="accent1" w:themeTint="99"/>
        </w:rPr>
      </w:pPr>
      <w:r w:rsidRPr="000C2141">
        <w:rPr>
          <w:rFonts w:ascii="Arial" w:hAnsi="Arial" w:cs="Arial"/>
          <w:noProof/>
          <w:color w:val="45B0E1" w:themeColor="accent1" w:themeTint="99"/>
        </w:rPr>
        <w:drawing>
          <wp:inline distT="0" distB="0" distL="0" distR="0" wp14:anchorId="61F73E37" wp14:editId="5015303A">
            <wp:extent cx="5943600" cy="1438910"/>
            <wp:effectExtent l="0" t="0" r="0" b="0"/>
            <wp:docPr id="172438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38825" name=""/>
                    <pic:cNvPicPr/>
                  </pic:nvPicPr>
                  <pic:blipFill>
                    <a:blip r:embed="rId10"/>
                    <a:stretch>
                      <a:fillRect/>
                    </a:stretch>
                  </pic:blipFill>
                  <pic:spPr>
                    <a:xfrm>
                      <a:off x="0" y="0"/>
                      <a:ext cx="5943600" cy="1438910"/>
                    </a:xfrm>
                    <a:prstGeom prst="rect">
                      <a:avLst/>
                    </a:prstGeom>
                  </pic:spPr>
                </pic:pic>
              </a:graphicData>
            </a:graphic>
          </wp:inline>
        </w:drawing>
      </w:r>
    </w:p>
    <w:p w14:paraId="6B2D50AF" w14:textId="77777777" w:rsidR="000C2141" w:rsidRPr="000C2141" w:rsidRDefault="000C2141" w:rsidP="000C2141">
      <w:pPr>
        <w:pStyle w:val="NormalWeb"/>
        <w:spacing w:line="360" w:lineRule="auto"/>
        <w:jc w:val="both"/>
        <w:rPr>
          <w:rFonts w:ascii="Arial" w:hAnsi="Arial" w:cs="Arial"/>
          <w:color w:val="45B0E1" w:themeColor="accent1" w:themeTint="99"/>
        </w:rPr>
      </w:pPr>
    </w:p>
    <w:p w14:paraId="7529B4B0" w14:textId="57E7F656"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Cross-functional agile product teams</w:t>
      </w:r>
    </w:p>
    <w:p w14:paraId="1E1A1F9C" w14:textId="66C91BD9" w:rsidR="00E722C8" w:rsidRPr="000C2141" w:rsidRDefault="00E722C8" w:rsidP="000C2141">
      <w:pPr>
        <w:pStyle w:val="NormalWeb"/>
        <w:spacing w:line="360" w:lineRule="auto"/>
        <w:rPr>
          <w:rFonts w:ascii="Arial" w:hAnsi="Arial" w:cs="Arial"/>
        </w:rPr>
      </w:pPr>
      <w:r w:rsidRPr="000C2141">
        <w:rPr>
          <w:rFonts w:ascii="Arial" w:hAnsi="Arial" w:cs="Arial"/>
        </w:rPr>
        <w:t xml:space="preserve">To assemble an interdisciplinary team of AI engineers, medical practitioners, designers, security specialists, and regulators into a single product team, with a clear goal, a </w:t>
      </w:r>
      <w:r w:rsidR="009F0DED" w:rsidRPr="000C2141">
        <w:rPr>
          <w:rFonts w:ascii="Arial" w:hAnsi="Arial" w:cs="Arial"/>
        </w:rPr>
        <w:t>prioritized</w:t>
      </w:r>
      <w:r w:rsidRPr="000C2141">
        <w:rPr>
          <w:rFonts w:ascii="Arial" w:hAnsi="Arial" w:cs="Arial"/>
        </w:rPr>
        <w:t xml:space="preserve"> backlog and short development cycles, would address problems such as poor communication, limited knowledge, and a lack of innovation. If the clinical and technical issues were solved first, before departments began to pursue their own, unrelated goals, issues related to innovation, lack of cooperation and poor communication could be overcome.</w:t>
      </w:r>
    </w:p>
    <w:p w14:paraId="6B3B65FB" w14:textId="77777777" w:rsidR="00E722C8" w:rsidRPr="000C2141" w:rsidRDefault="00E722C8" w:rsidP="000C2141">
      <w:pPr>
        <w:pStyle w:val="NormalWeb"/>
        <w:spacing w:line="360" w:lineRule="auto"/>
        <w:rPr>
          <w:rFonts w:ascii="Arial" w:hAnsi="Arial" w:cs="Arial"/>
        </w:rPr>
      </w:pPr>
      <w:r w:rsidRPr="000C2141">
        <w:rPr>
          <w:rFonts w:ascii="Arial" w:hAnsi="Arial" w:cs="Arial"/>
        </w:rPr>
        <w:t>Peeters et al. (2022) showed that agile methods were associated with greater team productivity and engagement, but their research was conducted in the banking sector, so that one cannot draw a straightforward conclusion about the health care context. For example, a remote monitoring AI product team might consult a clinical specialist for input on a draft version of the tool before</w:t>
      </w:r>
    </w:p>
    <w:p w14:paraId="0E7234F0"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Controlled employee autonomy</w:t>
      </w:r>
    </w:p>
    <w:p w14:paraId="66449E2C" w14:textId="77777777" w:rsidR="00E722C8" w:rsidRDefault="00E722C8" w:rsidP="000C2141">
      <w:pPr>
        <w:pStyle w:val="NormalWeb"/>
        <w:spacing w:line="360" w:lineRule="auto"/>
        <w:rPr>
          <w:rFonts w:ascii="Arial" w:hAnsi="Arial" w:cs="Arial"/>
        </w:rPr>
      </w:pPr>
      <w:r w:rsidRPr="000C2141">
        <w:rPr>
          <w:rFonts w:ascii="Arial" w:hAnsi="Arial" w:cs="Arial"/>
        </w:rPr>
        <w:t>NHSX should publish a document in which it lists decisions that can be taken by staff and those that need specialist input. Involving staff in decision-making is a way to address issues with slowness, lack of creativity, and insufficient experimentation (Lawler, 1986). A designer could experiment with two layouts of the screen with approved data, but any change in the doctor’s advice should be subjected to scrutiny by a doctor, and the duration of the experiment should be within the limits of capacity, with the added requirement that a summary of the hypothesis, results, and lessons learned must be written down. If employees have the necessary knowledge and feedback, their autonomy is more effective (Hackman and Oldham, 1976). Lack of guidance and rules before allowing employees to act on their own could lead to inconsistent decisions. Management should rather provide guidelines and an escalation process than forego control.</w:t>
      </w:r>
    </w:p>
    <w:p w14:paraId="14CC3152" w14:textId="77777777" w:rsidR="000C2141" w:rsidRPr="000C2141" w:rsidRDefault="000C2141" w:rsidP="000C2141">
      <w:pPr>
        <w:pStyle w:val="NormalWeb"/>
        <w:spacing w:line="360" w:lineRule="auto"/>
        <w:rPr>
          <w:rFonts w:ascii="Arial" w:hAnsi="Arial" w:cs="Arial"/>
        </w:rPr>
      </w:pPr>
    </w:p>
    <w:p w14:paraId="4209204B"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Flexible working supported by structured knowledge sharing</w:t>
      </w:r>
    </w:p>
    <w:p w14:paraId="34A9883B" w14:textId="77777777" w:rsidR="00E722C8" w:rsidRPr="000C2141" w:rsidRDefault="00E722C8" w:rsidP="000C2141">
      <w:pPr>
        <w:pStyle w:val="NormalWeb"/>
        <w:spacing w:line="360" w:lineRule="auto"/>
        <w:rPr>
          <w:rFonts w:ascii="Arial" w:hAnsi="Arial" w:cs="Arial"/>
        </w:rPr>
      </w:pPr>
      <w:r w:rsidRPr="000C2141">
        <w:rPr>
          <w:rFonts w:ascii="Arial" w:hAnsi="Arial" w:cs="Arial"/>
        </w:rPr>
        <w:t>The case study illustrates how hybrid work situations lead to poor communication and information sharing between teams in different countries. Because clinicians and all other occupations in the health care field are subject to local presence, NHSX must apply flexible work conditions rather than hybrid, through flexible start and finishing hours, agreed time for communication, and handovers.</w:t>
      </w:r>
    </w:p>
    <w:p w14:paraId="66DC0F88" w14:textId="77777777" w:rsidR="00E722C8" w:rsidRPr="000C2141" w:rsidRDefault="00E722C8" w:rsidP="000C2141">
      <w:pPr>
        <w:pStyle w:val="NormalWeb"/>
        <w:spacing w:line="360" w:lineRule="auto"/>
        <w:rPr>
          <w:rFonts w:ascii="Arial" w:hAnsi="Arial" w:cs="Arial"/>
        </w:rPr>
      </w:pPr>
      <w:r w:rsidRPr="000C2141">
        <w:rPr>
          <w:rFonts w:ascii="Arial" w:hAnsi="Arial" w:cs="Arial"/>
        </w:rPr>
        <w:t>There should be a common digital space to record decisions, owner identification, open questions, and lessons learned. For example, the Indian team can record its decisions for the UK teams to follow with the relevant context. Common task boards and handover documents can be used to enable work in other countries to be performed in the order of priorities without needing to meet. There should be regular knowledge-exchange meetings to enhance cooperation and information</w:t>
      </w:r>
    </w:p>
    <w:p w14:paraId="2C71EBDB" w14:textId="3DC366B0"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 xml:space="preserve">A.3 Impact on </w:t>
      </w:r>
      <w:r w:rsidR="003A3707" w:rsidRPr="000C2141">
        <w:rPr>
          <w:rFonts w:ascii="Arial" w:hAnsi="Arial" w:cs="Arial"/>
          <w:color w:val="45B0E1" w:themeColor="accent1" w:themeTint="99"/>
        </w:rPr>
        <w:t>Organizational</w:t>
      </w:r>
      <w:r w:rsidRPr="000C2141">
        <w:rPr>
          <w:rFonts w:ascii="Arial" w:hAnsi="Arial" w:cs="Arial"/>
          <w:color w:val="45B0E1" w:themeColor="accent1" w:themeTint="99"/>
        </w:rPr>
        <w:t xml:space="preserve"> Performance</w:t>
      </w:r>
    </w:p>
    <w:p w14:paraId="12C313D4" w14:textId="77777777" w:rsidR="000C2141" w:rsidRDefault="00EA6D07" w:rsidP="000C2141">
      <w:pPr>
        <w:pStyle w:val="NormalWeb"/>
        <w:spacing w:line="360" w:lineRule="auto"/>
        <w:rPr>
          <w:rFonts w:ascii="Arial" w:hAnsi="Arial" w:cs="Arial"/>
        </w:rPr>
      </w:pPr>
      <w:r w:rsidRPr="000C2141">
        <w:rPr>
          <w:rFonts w:ascii="Arial" w:hAnsi="Arial" w:cs="Arial"/>
        </w:rPr>
        <w:t>These recommendations are part of a well-planned work system in which training leads to skills, involvement to an opportunity to contribute, and feedback to development. Huselid (1995) sees such a system as conducive to high productivity and low turnover; but it is not certain that NHSX will achieve the same results. Godard (2004) calls these general statements into question. Shi et al. (2024), in the same vein, distinguish happiness from health, for the same reason, namely, improved performance does not necessarily mean increased health.</w:t>
      </w:r>
    </w:p>
    <w:p w14:paraId="7F622A8A" w14:textId="4C7A8166" w:rsidR="00EA6D07" w:rsidRPr="000C2141" w:rsidRDefault="00EA6D07" w:rsidP="000C2141">
      <w:pPr>
        <w:pStyle w:val="NormalWeb"/>
        <w:spacing w:line="360" w:lineRule="auto"/>
        <w:rPr>
          <w:rFonts w:ascii="Arial" w:hAnsi="Arial" w:cs="Arial"/>
        </w:rPr>
      </w:pPr>
      <w:r w:rsidRPr="000C2141">
        <w:rPr>
          <w:rFonts w:ascii="Arial" w:hAnsi="Arial" w:cs="Arial"/>
        </w:rPr>
        <w:t xml:space="preserve">Table 3. — The author’s recommendations informed by Huselid (1995) and Godard (2004). </w:t>
      </w:r>
    </w:p>
    <w:p w14:paraId="679CB1EF" w14:textId="56F43313" w:rsidR="009F0DED" w:rsidRPr="000C2141" w:rsidRDefault="009F0DED" w:rsidP="000C2141">
      <w:pPr>
        <w:shd w:val="clear" w:color="auto" w:fill="FFFFFF"/>
        <w:spacing w:after="0" w:line="360" w:lineRule="auto"/>
        <w:rPr>
          <w:rFonts w:ascii="Arial" w:eastAsia="Times New Roman" w:hAnsi="Arial" w:cs="Arial"/>
          <w:color w:val="292929"/>
          <w:kern w:val="0"/>
          <w14:ligatures w14:val="none"/>
        </w:rPr>
      </w:pPr>
      <w:r w:rsidRPr="000C2141">
        <w:rPr>
          <w:rFonts w:ascii="Arial" w:eastAsia="Times New Roman" w:hAnsi="Arial" w:cs="Arial"/>
          <w:noProof/>
          <w:color w:val="292929"/>
          <w:kern w:val="0"/>
          <w14:ligatures w14:val="none"/>
        </w:rPr>
        <w:drawing>
          <wp:inline distT="0" distB="0" distL="0" distR="0" wp14:anchorId="7158522A" wp14:editId="45CE2567">
            <wp:extent cx="5943600" cy="1450340"/>
            <wp:effectExtent l="0" t="0" r="0" b="0"/>
            <wp:docPr id="349709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709645" name=""/>
                    <pic:cNvPicPr/>
                  </pic:nvPicPr>
                  <pic:blipFill>
                    <a:blip r:embed="rId11"/>
                    <a:stretch>
                      <a:fillRect/>
                    </a:stretch>
                  </pic:blipFill>
                  <pic:spPr>
                    <a:xfrm>
                      <a:off x="0" y="0"/>
                      <a:ext cx="5943600" cy="1450340"/>
                    </a:xfrm>
                    <a:prstGeom prst="rect">
                      <a:avLst/>
                    </a:prstGeom>
                  </pic:spPr>
                </pic:pic>
              </a:graphicData>
            </a:graphic>
          </wp:inline>
        </w:drawing>
      </w:r>
    </w:p>
    <w:p w14:paraId="6200C6B3" w14:textId="77777777" w:rsidR="000C2141" w:rsidRDefault="00EA6D07" w:rsidP="000C2141">
      <w:pPr>
        <w:shd w:val="clear" w:color="auto" w:fill="FFFFFF"/>
        <w:spacing w:after="0" w:line="360" w:lineRule="auto"/>
        <w:rPr>
          <w:rFonts w:ascii="Arial" w:eastAsia="Times New Roman" w:hAnsi="Arial" w:cs="Arial"/>
          <w:color w:val="292929"/>
          <w:kern w:val="0"/>
          <w14:ligatures w14:val="none"/>
        </w:rPr>
      </w:pPr>
      <w:r w:rsidRPr="000C2141">
        <w:rPr>
          <w:rFonts w:ascii="Arial" w:eastAsia="Times New Roman" w:hAnsi="Arial" w:cs="Arial"/>
          <w:color w:val="292929"/>
          <w:kern w:val="0"/>
          <w14:ligatures w14:val="none"/>
        </w:rPr>
        <w:t>A three-month test is to be preceded by collecting baseline data and obtaining the opinion of the employees. Monthly evaluations will include looking into rework, safety issues, workload, and speed. A comparison group is to have been established in order to enable the comparison with the pilot group, but because the products are not the same, it is not possible to conclude about the causal relationship.</w:t>
      </w:r>
    </w:p>
    <w:p w14:paraId="1F165837" w14:textId="77777777" w:rsidR="000C2141" w:rsidRDefault="000C2141" w:rsidP="000C2141">
      <w:pPr>
        <w:shd w:val="clear" w:color="auto" w:fill="FFFFFF"/>
        <w:spacing w:after="0" w:line="360" w:lineRule="auto"/>
        <w:rPr>
          <w:rFonts w:ascii="Arial" w:eastAsia="Times New Roman" w:hAnsi="Arial" w:cs="Arial"/>
          <w:color w:val="292929"/>
          <w:kern w:val="0"/>
          <w14:ligatures w14:val="none"/>
        </w:rPr>
      </w:pPr>
    </w:p>
    <w:p w14:paraId="48B3F8C9" w14:textId="52D3B6BD" w:rsidR="00B84F11" w:rsidRPr="000C2141" w:rsidRDefault="00B84F11" w:rsidP="000C2141">
      <w:pPr>
        <w:shd w:val="clear" w:color="auto" w:fill="FFFFFF"/>
        <w:spacing w:after="0" w:line="360" w:lineRule="auto"/>
        <w:rPr>
          <w:rFonts w:ascii="Arial" w:eastAsia="Times New Roman" w:hAnsi="Arial" w:cs="Arial"/>
          <w:color w:val="292929"/>
          <w:kern w:val="0"/>
          <w14:ligatures w14:val="none"/>
        </w:rPr>
      </w:pPr>
      <w:r w:rsidRPr="000C2141">
        <w:rPr>
          <w:rFonts w:ascii="Arial" w:hAnsi="Arial" w:cs="Arial"/>
          <w:color w:val="000000"/>
        </w:rPr>
        <w:t>Figure 2 Integrated working practices</w:t>
      </w:r>
    </w:p>
    <w:p w14:paraId="4FED0D5E" w14:textId="77777777" w:rsidR="003A3707" w:rsidRPr="000C2141" w:rsidRDefault="003A3707" w:rsidP="000C2141">
      <w:pPr>
        <w:pStyle w:val="NormalWeb"/>
        <w:spacing w:line="360" w:lineRule="auto"/>
        <w:jc w:val="both"/>
        <w:rPr>
          <w:rFonts w:ascii="Arial" w:hAnsi="Arial" w:cs="Arial"/>
          <w:color w:val="000000"/>
        </w:rPr>
      </w:pPr>
      <w:r w:rsidRPr="000C2141">
        <w:rPr>
          <w:rFonts w:ascii="Arial" w:hAnsi="Arial" w:cs="Arial"/>
          <w:noProof/>
          <w:color w:val="000000"/>
          <w14:ligatures w14:val="standardContextual"/>
        </w:rPr>
        <w:drawing>
          <wp:inline distT="0" distB="0" distL="0" distR="0" wp14:anchorId="5426C0AA" wp14:editId="78E159B5">
            <wp:extent cx="5943576" cy="3293311"/>
            <wp:effectExtent l="0" t="0" r="635" b="0"/>
            <wp:docPr id="997969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969469" name="Picture 99796946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60952" cy="3302939"/>
                    </a:xfrm>
                    <a:prstGeom prst="rect">
                      <a:avLst/>
                    </a:prstGeom>
                  </pic:spPr>
                </pic:pic>
              </a:graphicData>
            </a:graphic>
          </wp:inline>
        </w:drawing>
      </w:r>
    </w:p>
    <w:p w14:paraId="1637B1EF" w14:textId="77777777" w:rsidR="00EB02CF" w:rsidRDefault="00B84F11" w:rsidP="000C2141">
      <w:pPr>
        <w:pStyle w:val="NormalWeb"/>
        <w:spacing w:line="360" w:lineRule="auto"/>
        <w:jc w:val="both"/>
        <w:rPr>
          <w:rFonts w:ascii="Arial" w:hAnsi="Arial" w:cs="Arial"/>
          <w:color w:val="000000"/>
        </w:rPr>
      </w:pPr>
      <w:r w:rsidRPr="000C2141">
        <w:rPr>
          <w:rFonts w:ascii="Arial" w:hAnsi="Arial" w:cs="Arial"/>
          <w:color w:val="000000"/>
        </w:rPr>
        <w:t>Source: author’s synthesis, with AI assistance, based on Peeters, Van De Voorde and Paauwe (2022), Lawler (1986) and Yang et al. (2022).</w:t>
      </w:r>
    </w:p>
    <w:p w14:paraId="1D2B3D5E" w14:textId="77777777" w:rsidR="000C2141" w:rsidRPr="000C2141" w:rsidRDefault="000C2141" w:rsidP="000C2141">
      <w:pPr>
        <w:pStyle w:val="NormalWeb"/>
        <w:spacing w:line="360" w:lineRule="auto"/>
        <w:jc w:val="both"/>
        <w:rPr>
          <w:rFonts w:ascii="Arial" w:hAnsi="Arial" w:cs="Arial"/>
          <w:color w:val="000000"/>
        </w:rPr>
      </w:pPr>
    </w:p>
    <w:p w14:paraId="082F25FC" w14:textId="525EB44C"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45B0E1" w:themeColor="accent1" w:themeTint="99"/>
        </w:rPr>
        <w:t>Task B Breeding an Environment Where Talent May Grow</w:t>
      </w:r>
    </w:p>
    <w:p w14:paraId="13D0EFE5" w14:textId="596A66F2"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 xml:space="preserve">B.1 How </w:t>
      </w:r>
      <w:r w:rsidR="00AB757E" w:rsidRPr="000C2141">
        <w:rPr>
          <w:rFonts w:ascii="Arial" w:hAnsi="Arial" w:cs="Arial"/>
          <w:color w:val="45B0E1" w:themeColor="accent1" w:themeTint="99"/>
        </w:rPr>
        <w:t>Organizations</w:t>
      </w:r>
      <w:r w:rsidRPr="000C2141">
        <w:rPr>
          <w:rFonts w:ascii="Arial" w:hAnsi="Arial" w:cs="Arial"/>
          <w:color w:val="45B0E1" w:themeColor="accent1" w:themeTint="99"/>
        </w:rPr>
        <w:t xml:space="preserve"> Help Talent Flourish</w:t>
      </w:r>
    </w:p>
    <w:p w14:paraId="2BBD05D5" w14:textId="77777777" w:rsidR="00EA6D07" w:rsidRPr="000C2141" w:rsidRDefault="00EA6D07" w:rsidP="000C2141">
      <w:pPr>
        <w:pStyle w:val="NormalWeb"/>
        <w:spacing w:line="360" w:lineRule="auto"/>
        <w:rPr>
          <w:rFonts w:ascii="Arial" w:hAnsi="Arial" w:cs="Arial"/>
        </w:rPr>
      </w:pPr>
      <w:r w:rsidRPr="000C2141">
        <w:rPr>
          <w:rFonts w:ascii="Arial" w:hAnsi="Arial" w:cs="Arial"/>
        </w:rPr>
        <w:t>The environment for NHSX must also be an appropriate one, which means that it must address the lack of learning opportunities, the limitations in career development, the well-being of employees, and the expectation of performance. These factors often overlap, as learning requires time, advancement requires clear criteria, and performance depends on an appropriate workload.</w:t>
      </w:r>
    </w:p>
    <w:p w14:paraId="1582961B"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Learning culture</w:t>
      </w:r>
    </w:p>
    <w:p w14:paraId="5A236B6D" w14:textId="77777777" w:rsidR="00EA6D07" w:rsidRPr="000C2141" w:rsidRDefault="00EA6D07" w:rsidP="000C2141">
      <w:pPr>
        <w:pStyle w:val="NormalWeb"/>
        <w:spacing w:line="360" w:lineRule="auto"/>
        <w:rPr>
          <w:rFonts w:ascii="Arial" w:hAnsi="Arial" w:cs="Arial"/>
        </w:rPr>
      </w:pPr>
      <w:r w:rsidRPr="000C2141">
        <w:rPr>
          <w:rFonts w:ascii="Arial" w:hAnsi="Arial" w:cs="Arial"/>
        </w:rPr>
        <w:t>The learning organization theory of Senge is based on principles of continual learning and a shared vision (Senge, 199). It addresses the issue of learning opportunities in NHSX by tying learning to mentorship, feedback, and product reviews. Alerasoul et al. (2022) argue that organizational learning is dependent on management, culture, strategy, and knowledge transfer; it will therefore not be sufficient to simply have an e-learning center without a commitment to learning by management. Moreover, Dweck (2006) believes people can learn through effort, but it is important to bear in mind that Sisk et al. (2018) point out that the effectiveness of educational research is context-dependent and may not always show up clearly. The growth mindset also requires resources and feedback to work.</w:t>
      </w:r>
    </w:p>
    <w:p w14:paraId="0C2C9BBD"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Career development and progression</w:t>
      </w:r>
    </w:p>
    <w:p w14:paraId="20F187A5" w14:textId="77777777" w:rsidR="00EA6D07" w:rsidRPr="000C2141" w:rsidRDefault="00EA6D07" w:rsidP="000C2141">
      <w:pPr>
        <w:pStyle w:val="NormalWeb"/>
        <w:spacing w:line="360" w:lineRule="auto"/>
        <w:rPr>
          <w:rFonts w:ascii="Arial" w:hAnsi="Arial" w:cs="Arial"/>
        </w:rPr>
      </w:pPr>
      <w:r w:rsidRPr="000C2141">
        <w:rPr>
          <w:rFonts w:ascii="Arial" w:hAnsi="Arial" w:cs="Arial"/>
        </w:rPr>
        <w:t>The lack of development possibilities has led to staff turnover. Talent management strategically ties up critical positions with the ability to develop and the ability of succeeding in those positions (Collings and Mellahi, 2009). It is important for NSH to have clear criteria for advancement, mentors and an opportunity to make use of their skills. Lateral moves are good for gaining more experience.</w:t>
      </w:r>
    </w:p>
    <w:p w14:paraId="6CED83E1" w14:textId="77777777" w:rsidR="00EA6D07" w:rsidRPr="000C2141" w:rsidRDefault="00EA6D07" w:rsidP="000C2141">
      <w:pPr>
        <w:pStyle w:val="NormalWeb"/>
        <w:spacing w:line="360" w:lineRule="auto"/>
        <w:rPr>
          <w:rFonts w:ascii="Arial" w:hAnsi="Arial" w:cs="Arial"/>
        </w:rPr>
      </w:pPr>
      <w:r w:rsidRPr="000C2141">
        <w:rPr>
          <w:rFonts w:ascii="Arial" w:hAnsi="Arial" w:cs="Arial"/>
        </w:rPr>
        <w:t>The health care system must show the paths that are possible for a career, the need for guidance and the opportunities for growth. Talent development can protect rare skills but is discriminatory, because the rest of the staff are not offered the same opportunities. Inclusive talent development is an alternative. If there is no opportunity for growth, there is also no opportunity to advance.</w:t>
      </w:r>
    </w:p>
    <w:p w14:paraId="0A6200F9"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Employee wellbeing and psychological safety</w:t>
      </w:r>
    </w:p>
    <w:p w14:paraId="6B2FA8F1" w14:textId="619F55FE" w:rsidR="00B84F11" w:rsidRPr="000C2141" w:rsidRDefault="00EB02CF" w:rsidP="000C2141">
      <w:pPr>
        <w:pStyle w:val="NormalWeb"/>
        <w:spacing w:line="360" w:lineRule="auto"/>
        <w:rPr>
          <w:rFonts w:ascii="Arial" w:hAnsi="Arial" w:cs="Arial"/>
        </w:rPr>
      </w:pPr>
      <w:r w:rsidRPr="000C2141">
        <w:rPr>
          <w:rFonts w:ascii="Arial" w:hAnsi="Arial" w:cs="Arial"/>
        </w:rPr>
        <w:t>‘</w:t>
      </w:r>
      <w:r w:rsidR="00EA6D07" w:rsidRPr="000C2141">
        <w:rPr>
          <w:rFonts w:ascii="Arial" w:hAnsi="Arial" w:cs="Arial"/>
        </w:rPr>
        <w:t>The management of NHS X must be prepared to listen to people's worries about their workload and to talk about their mistakes without their responsibility being compromised. ‘Psychological safety’ means that people feel they can ask for help, discuss problems and even discuss mistakes without fear of personal reproach (Edmondson, 1999). La Plante, Ponte and Magny-</w:t>
      </w:r>
      <w:r w:rsidR="009F0DED" w:rsidRPr="000C2141">
        <w:rPr>
          <w:rFonts w:ascii="Arial" w:hAnsi="Arial" w:cs="Arial"/>
        </w:rPr>
        <w:t>Normiles</w:t>
      </w:r>
      <w:r w:rsidR="00EA6D07" w:rsidRPr="000C2141">
        <w:rPr>
          <w:rFonts w:ascii="Arial" w:hAnsi="Arial" w:cs="Arial"/>
        </w:rPr>
        <w:t xml:space="preserve"> (2025) describe learning by health care teams, despite the limitations in the methodological evidence, which preclude any direct conclusions about the causes of the improvement. Plaskoff (2017) relates employee experience to the organization’s day-to-day interactions. But a high workload cannot be solved without dealing with the demand. Therefore, HSX must use both psychological safety and resource assessment to tackle the problem of workload</w:t>
      </w:r>
      <w:r w:rsidR="00B84F11" w:rsidRPr="000C2141">
        <w:rPr>
          <w:rFonts w:ascii="Arial" w:hAnsi="Arial" w:cs="Arial"/>
          <w:color w:val="000000"/>
        </w:rPr>
        <w:t>.</w:t>
      </w:r>
    </w:p>
    <w:p w14:paraId="1E710889" w14:textId="41CF9AD3" w:rsidR="00B84F11" w:rsidRPr="000C2141" w:rsidRDefault="00865315"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High-performance</w:t>
      </w:r>
      <w:r w:rsidR="00B84F11" w:rsidRPr="000C2141">
        <w:rPr>
          <w:rFonts w:ascii="Arial" w:hAnsi="Arial" w:cs="Arial"/>
          <w:color w:val="45B0E1" w:themeColor="accent1" w:themeTint="99"/>
        </w:rPr>
        <w:t xml:space="preserve"> expectations</w:t>
      </w:r>
    </w:p>
    <w:p w14:paraId="0F3E9C80" w14:textId="77777777" w:rsidR="00E40594" w:rsidRPr="000C2141" w:rsidRDefault="00E40594" w:rsidP="000C2141">
      <w:pPr>
        <w:pStyle w:val="NormalWeb"/>
        <w:spacing w:line="360" w:lineRule="auto"/>
        <w:rPr>
          <w:rFonts w:ascii="Arial" w:hAnsi="Arial" w:cs="Arial"/>
        </w:rPr>
      </w:pPr>
      <w:r w:rsidRPr="000C2141">
        <w:rPr>
          <w:rFonts w:ascii="Arial" w:hAnsi="Arial" w:cs="Arial"/>
        </w:rPr>
        <w:t>Managers at NHSX struggle with the tension between good performance and well-being. According to Parker and Grote (2022), they should design the digital working environment in such a way that employees are still able to make choices for themselves, and so that performance indicators can be used without constant supervision to understand their progress. To do this, they have to turn the organization’s aspirations into clear, achievable goals and then offer constructive feedback.</w:t>
      </w:r>
    </w:p>
    <w:p w14:paraId="70068415" w14:textId="77777777" w:rsidR="00E40594" w:rsidRDefault="00E40594" w:rsidP="000C2141">
      <w:pPr>
        <w:pStyle w:val="NormalWeb"/>
        <w:spacing w:line="360" w:lineRule="auto"/>
        <w:rPr>
          <w:rFonts w:ascii="Arial" w:hAnsi="Arial" w:cs="Arial"/>
        </w:rPr>
      </w:pPr>
      <w:r w:rsidRPr="000C2141">
        <w:rPr>
          <w:rFonts w:ascii="Arial" w:hAnsi="Arial" w:cs="Arial"/>
        </w:rPr>
        <w:t>Shi et al. 2024 differentiate between happiness and health within performance systems. They note that output targets alone could encourage rushed development or discourage reporting concerns. They stress the need to have clear and reasonable objectives, give clear and helpful feedback, and recognize that performance is measured not just in terms of output, but also in terms of safety and learning.</w:t>
      </w:r>
    </w:p>
    <w:p w14:paraId="467A95B9" w14:textId="77777777" w:rsidR="000C2141" w:rsidRPr="000C2141" w:rsidRDefault="000C2141" w:rsidP="000C2141">
      <w:pPr>
        <w:pStyle w:val="NormalWeb"/>
        <w:spacing w:line="360" w:lineRule="auto"/>
        <w:rPr>
          <w:rFonts w:ascii="Arial" w:hAnsi="Arial" w:cs="Arial"/>
        </w:rPr>
      </w:pPr>
    </w:p>
    <w:p w14:paraId="65F8FB2E"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B.2 Talent Growth Strategy for NHSX</w:t>
      </w:r>
    </w:p>
    <w:p w14:paraId="1EA8B516" w14:textId="77777777" w:rsidR="00E40594" w:rsidRPr="000C2141" w:rsidRDefault="00E40594" w:rsidP="000C2141">
      <w:pPr>
        <w:pStyle w:val="NormalWeb"/>
        <w:spacing w:line="360" w:lineRule="auto"/>
        <w:rPr>
          <w:rFonts w:ascii="Arial" w:hAnsi="Arial" w:cs="Arial"/>
        </w:rPr>
      </w:pPr>
      <w:r w:rsidRPr="000C2141">
        <w:rPr>
          <w:rFonts w:ascii="Arial" w:hAnsi="Arial" w:cs="Arial"/>
        </w:rPr>
        <w:t>Human resources is to lead the six-month rollout together with department heads and employee representatives. The Board must give permission for development capacity and a reasonable budget for implementation. There is to be a six-month period for implementation, with protected development funds, in which the first month is to determine access to information, understanding of the concept of progress, overload, and clarity of objective. All times and indicators that follow are only proposals, not actual results achieved by NHSX.</w:t>
      </w:r>
    </w:p>
    <w:p w14:paraId="4937DCA4" w14:textId="77777777" w:rsidR="00E40594" w:rsidRPr="000C2141" w:rsidRDefault="00E40594" w:rsidP="000C2141">
      <w:pPr>
        <w:pStyle w:val="NormalWeb"/>
        <w:spacing w:line="360" w:lineRule="auto"/>
        <w:rPr>
          <w:rFonts w:ascii="Arial" w:hAnsi="Arial" w:cs="Arial"/>
        </w:rPr>
      </w:pPr>
      <w:r w:rsidRPr="000C2141">
        <w:rPr>
          <w:rFonts w:ascii="Arial" w:hAnsi="Arial" w:cs="Arial"/>
        </w:rPr>
        <w:t>Table 4 Talent growth implementation plan. Source: the author’s proposals informed by Senge (1990), Collings and Mellahi (2009), Edmondson (1999) and Shi et al. (2024).</w:t>
      </w:r>
    </w:p>
    <w:p w14:paraId="5B1FDA50" w14:textId="2CA23535" w:rsidR="00AB757E" w:rsidRPr="000C2141" w:rsidRDefault="009F0DED" w:rsidP="000C2141">
      <w:pPr>
        <w:pStyle w:val="NormalWeb"/>
        <w:spacing w:line="360" w:lineRule="auto"/>
        <w:jc w:val="both"/>
        <w:rPr>
          <w:rFonts w:ascii="Arial" w:hAnsi="Arial" w:cs="Arial"/>
          <w:color w:val="000000"/>
        </w:rPr>
      </w:pPr>
      <w:r w:rsidRPr="000C2141">
        <w:rPr>
          <w:rFonts w:ascii="Arial" w:hAnsi="Arial" w:cs="Arial"/>
          <w:noProof/>
          <w:color w:val="000000"/>
        </w:rPr>
        <w:drawing>
          <wp:inline distT="0" distB="0" distL="0" distR="0" wp14:anchorId="65DFF35D" wp14:editId="33268819">
            <wp:extent cx="5943600" cy="4002405"/>
            <wp:effectExtent l="0" t="0" r="0" b="0"/>
            <wp:docPr id="1780488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0488464" name=""/>
                    <pic:cNvPicPr/>
                  </pic:nvPicPr>
                  <pic:blipFill>
                    <a:blip r:embed="rId13"/>
                    <a:stretch>
                      <a:fillRect/>
                    </a:stretch>
                  </pic:blipFill>
                  <pic:spPr>
                    <a:xfrm>
                      <a:off x="0" y="0"/>
                      <a:ext cx="5943600" cy="4002405"/>
                    </a:xfrm>
                    <a:prstGeom prst="rect">
                      <a:avLst/>
                    </a:prstGeom>
                  </pic:spPr>
                </pic:pic>
              </a:graphicData>
            </a:graphic>
          </wp:inline>
        </w:drawing>
      </w:r>
    </w:p>
    <w:p w14:paraId="3417C423" w14:textId="77777777" w:rsidR="00E40594" w:rsidRPr="000C2141" w:rsidRDefault="00E40594" w:rsidP="000C2141">
      <w:pPr>
        <w:pStyle w:val="NormalWeb"/>
        <w:spacing w:line="360" w:lineRule="auto"/>
        <w:rPr>
          <w:rFonts w:ascii="Arial" w:hAnsi="Arial" w:cs="Arial"/>
        </w:rPr>
      </w:pPr>
      <w:r w:rsidRPr="000C2141">
        <w:rPr>
          <w:rFonts w:ascii="Arial" w:hAnsi="Arial" w:cs="Arial"/>
        </w:rPr>
        <w:t>Management can help learning by eliciting from each individual employee one relevant goal and by finding an appropriate mentor or training opportunity to meet that goal. Cross-country mentoring and communities of practice can also share clinical, technical and regulatory knowledge. The learning activity requires that the participants in it should then show their learning by undertaking a review or by sharing their knowledge with their peers. This is to ensure that learning is not merely a matter of attendance, but that the learning is embedded in the performance of the job itself (Alerasoul et al., 2022).</w:t>
      </w:r>
    </w:p>
    <w:p w14:paraId="0ECC418B" w14:textId="77777777" w:rsidR="00E40594" w:rsidRPr="000C2141" w:rsidRDefault="00E40594" w:rsidP="000C2141">
      <w:pPr>
        <w:pStyle w:val="NormalWeb"/>
        <w:spacing w:line="360" w:lineRule="auto"/>
        <w:rPr>
          <w:rFonts w:ascii="Arial" w:hAnsi="Arial" w:cs="Arial"/>
        </w:rPr>
      </w:pPr>
      <w:r w:rsidRPr="000C2141">
        <w:rPr>
          <w:rFonts w:ascii="Arial" w:hAnsi="Arial" w:cs="Arial"/>
        </w:rPr>
        <w:t>For career development, the HR department should develop a career structure for technical and management careers, which describes the requirements for each level, and it should arrange for quarterly career discussions in which the candidate's next career steps and stretch assignments will be discussed. There should be visibility of internal job openings across all sites, subject to the requirements of each particular role. In promoting the employees of different ranks, a cross-functional board should check and discuss the promotion to make sure that the decision is made more consistently, not just in the personal biases of individual managers. Inclusive access supports fairness while retaining attention to important strategic capabilities (Kaliannan et al., 2023).</w:t>
      </w:r>
    </w:p>
    <w:p w14:paraId="4CFB2845" w14:textId="77777777" w:rsidR="00E40594" w:rsidRPr="000C2141" w:rsidRDefault="00E40594" w:rsidP="000C2141">
      <w:pPr>
        <w:pStyle w:val="NormalWeb"/>
        <w:spacing w:line="360" w:lineRule="auto"/>
        <w:rPr>
          <w:rFonts w:ascii="Arial" w:hAnsi="Arial" w:cs="Arial"/>
        </w:rPr>
      </w:pPr>
      <w:r w:rsidRPr="000C2141">
        <w:rPr>
          <w:rFonts w:ascii="Arial" w:hAnsi="Arial" w:cs="Arial"/>
        </w:rPr>
        <w:t>Management will consider deadlines and the team's available capacity before adding new development tasks, and sympathetic check-ins will be followed by recorded actions, such as reordering or adding more resources. On health issues, the anonymous health concern should serve as a means of expression without the danger of exposing one's health situation. In the human resources department it should be tracked whether the concerns were dealt with, because an open channel without a way to resolve them will weaken the trust.</w:t>
      </w:r>
    </w:p>
    <w:p w14:paraId="5A44B070" w14:textId="77777777" w:rsidR="00E40594" w:rsidRPr="000C2141" w:rsidRDefault="00E40594" w:rsidP="000C2141">
      <w:pPr>
        <w:pStyle w:val="NormalWeb"/>
        <w:spacing w:line="360" w:lineRule="auto"/>
        <w:rPr>
          <w:rFonts w:ascii="Arial" w:hAnsi="Arial" w:cs="Arial"/>
        </w:rPr>
      </w:pPr>
      <w:r w:rsidRPr="000C2141">
        <w:rPr>
          <w:rFonts w:ascii="Arial" w:hAnsi="Arial" w:cs="Arial"/>
        </w:rPr>
        <w:t>Product leads and managers must together set quality, delivery and learning goals. Monthly reports on performance should be used to correct inconsistent requirements and reduce deadlines that are unattainable. The review system should specify what must be improved and the support that is available. Management of performance is a matter of rewarding group accomplishments and not just individual results, helping the process change within the scope of task A to become sustainable.</w:t>
      </w:r>
    </w:p>
    <w:p w14:paraId="18319C92" w14:textId="77777777" w:rsidR="00E40594" w:rsidRPr="000C2141" w:rsidRDefault="00E40594" w:rsidP="000C2141">
      <w:pPr>
        <w:pStyle w:val="NormalWeb"/>
        <w:spacing w:line="360" w:lineRule="auto"/>
        <w:rPr>
          <w:rFonts w:ascii="Arial" w:hAnsi="Arial" w:cs="Arial"/>
        </w:rPr>
      </w:pPr>
      <w:r w:rsidRPr="000C2141">
        <w:rPr>
          <w:rFonts w:ascii="Arial" w:hAnsi="Arial" w:cs="Arial"/>
        </w:rPr>
        <w:t>At the end of months three and six the personnel department should compare the results of their efforts with the base in regard to retention, mobility, learning and workload; the results should be checked by location and role, and small groups should be kept from being identifiable. The board should take corrective measures before further expansion. Changes in retention may be due to the labour market, which is why NHSX should look at both the qualitative and the quantitative data.</w:t>
      </w:r>
    </w:p>
    <w:p w14:paraId="78DED835" w14:textId="77777777" w:rsidR="00B84F11" w:rsidRPr="000C2141" w:rsidRDefault="00B84F11" w:rsidP="000C2141">
      <w:pPr>
        <w:pStyle w:val="NormalWeb"/>
        <w:spacing w:line="360" w:lineRule="auto"/>
        <w:jc w:val="both"/>
        <w:rPr>
          <w:rFonts w:ascii="Arial" w:hAnsi="Arial" w:cs="Arial"/>
          <w:color w:val="000000"/>
        </w:rPr>
      </w:pPr>
      <w:r w:rsidRPr="000C2141">
        <w:rPr>
          <w:rFonts w:ascii="Arial" w:hAnsi="Arial" w:cs="Arial"/>
          <w:color w:val="000000"/>
        </w:rPr>
        <w:t>Figure 3 Talent growth strategy</w:t>
      </w:r>
    </w:p>
    <w:p w14:paraId="4A1C899F" w14:textId="6388BA68" w:rsidR="00AB757E" w:rsidRPr="000C2141" w:rsidRDefault="00AB757E" w:rsidP="000C2141">
      <w:pPr>
        <w:pStyle w:val="NormalWeb"/>
        <w:spacing w:line="360" w:lineRule="auto"/>
        <w:jc w:val="both"/>
        <w:rPr>
          <w:rFonts w:ascii="Arial" w:hAnsi="Arial" w:cs="Arial"/>
          <w:color w:val="000000"/>
        </w:rPr>
      </w:pPr>
      <w:r w:rsidRPr="000C2141">
        <w:rPr>
          <w:rFonts w:ascii="Arial" w:hAnsi="Arial" w:cs="Arial"/>
          <w:noProof/>
          <w:color w:val="000000"/>
          <w14:ligatures w14:val="standardContextual"/>
        </w:rPr>
        <w:drawing>
          <wp:inline distT="0" distB="0" distL="0" distR="0" wp14:anchorId="0F640FDC" wp14:editId="45F69751">
            <wp:extent cx="5943600" cy="3219450"/>
            <wp:effectExtent l="0" t="0" r="0" b="6350"/>
            <wp:docPr id="9685225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522591" name="Picture 96852259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219450"/>
                    </a:xfrm>
                    <a:prstGeom prst="rect">
                      <a:avLst/>
                    </a:prstGeom>
                  </pic:spPr>
                </pic:pic>
              </a:graphicData>
            </a:graphic>
          </wp:inline>
        </w:drawing>
      </w:r>
    </w:p>
    <w:p w14:paraId="5CD5EA2C" w14:textId="2D1B8B24" w:rsidR="0000779B" w:rsidRPr="000C2141" w:rsidRDefault="00E40594" w:rsidP="000C2141">
      <w:pPr>
        <w:pStyle w:val="NormalWeb"/>
        <w:spacing w:line="360" w:lineRule="auto"/>
        <w:rPr>
          <w:rFonts w:ascii="Arial" w:hAnsi="Arial" w:cs="Arial"/>
        </w:rPr>
      </w:pPr>
      <w:r w:rsidRPr="000C2141">
        <w:rPr>
          <w:rFonts w:ascii="Arial" w:hAnsi="Arial" w:cs="Arial"/>
        </w:rPr>
        <w:t>Source: Author’s synthesis, with AI assistance, based on Senge (1990), Kaliannan et al. (2023), Edmondson (1999) and Shi et al. (2024)</w:t>
      </w:r>
    </w:p>
    <w:p w14:paraId="2B942E11"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Task C Reflective Report</w:t>
      </w:r>
    </w:p>
    <w:p w14:paraId="6EB8196D"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C.1 AI as a Strategic Tool in HRM</w:t>
      </w:r>
    </w:p>
    <w:p w14:paraId="16AA201E" w14:textId="77777777" w:rsidR="00E40594" w:rsidRPr="000C2141" w:rsidRDefault="00E40594" w:rsidP="000C2141">
      <w:pPr>
        <w:pStyle w:val="NormalWeb"/>
        <w:spacing w:line="360" w:lineRule="auto"/>
        <w:rPr>
          <w:rFonts w:ascii="Arial" w:hAnsi="Arial" w:cs="Arial"/>
        </w:rPr>
      </w:pPr>
      <w:r w:rsidRPr="000C2141">
        <w:rPr>
          <w:rFonts w:ascii="Arial" w:hAnsi="Arial" w:cs="Arial"/>
        </w:rPr>
        <w:t>Such a system would thus enable NHSX to show disparities in training opportunities or changes in staff retention. The only problem here, however, is that incomplete and biased data can mislead. As noted by Parker and Grote (2022), the new technology increases access to information and thereby restricts autonomy through surveillance.</w:t>
      </w:r>
    </w:p>
    <w:p w14:paraId="179EEDE0" w14:textId="77777777" w:rsidR="00E40594" w:rsidRPr="000C2141" w:rsidRDefault="00E40594" w:rsidP="000C2141">
      <w:pPr>
        <w:pStyle w:val="NormalWeb"/>
        <w:spacing w:line="360" w:lineRule="auto"/>
        <w:rPr>
          <w:rFonts w:ascii="Arial" w:hAnsi="Arial" w:cs="Arial"/>
        </w:rPr>
      </w:pPr>
      <w:r w:rsidRPr="000C2141">
        <w:rPr>
          <w:rFonts w:ascii="Arial" w:hAnsi="Arial" w:cs="Arial"/>
        </w:rPr>
        <w:t>In Plaskoff's (2017) view, it is the broader employee experience that a purely numerical analysis does not capture and thus ethical and empathic judgements, and a sense of responsibility, are necessary for the interpretation of such data. Data are not to be freely available; access to certain data should be restricted and employees should be allowed to question the results.</w:t>
      </w:r>
    </w:p>
    <w:p w14:paraId="6B2D889E"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C.2 Reflective Analysis of Three Examples of AI Use</w:t>
      </w:r>
    </w:p>
    <w:p w14:paraId="0EEEC3FC" w14:textId="77777777" w:rsidR="003A3707"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Research support</w:t>
      </w:r>
    </w:p>
    <w:p w14:paraId="5E8C6D13" w14:textId="77777777" w:rsidR="00E40594" w:rsidRPr="000C2141" w:rsidRDefault="00E40594" w:rsidP="000C2141">
      <w:pPr>
        <w:pStyle w:val="NormalWeb"/>
        <w:spacing w:line="360" w:lineRule="auto"/>
        <w:rPr>
          <w:rFonts w:ascii="Arial" w:hAnsi="Arial" w:cs="Arial"/>
        </w:rPr>
      </w:pPr>
      <w:r w:rsidRPr="000C2141">
        <w:rPr>
          <w:rFonts w:ascii="Arial" w:hAnsi="Arial" w:cs="Arial"/>
        </w:rPr>
        <w:t>My preliminary research in this area has been assisted by the use of AI, particularly for the early stages of my research, when I have had to find possible HR theories and explain difficult terms, which helped me to organize my work. But the suggested references and interpretations must be verified against original sources. I realized that a good explanation is not necessarily the right explanation, and that verification against original sources is always my responsibility before submitting the work.</w:t>
      </w:r>
    </w:p>
    <w:p w14:paraId="3DAC6ADD" w14:textId="5FBFE003" w:rsidR="00B84F11" w:rsidRPr="000C2141" w:rsidRDefault="00B84F11" w:rsidP="000C2141">
      <w:pPr>
        <w:pStyle w:val="NormalWeb"/>
        <w:spacing w:line="360" w:lineRule="auto"/>
        <w:rPr>
          <w:rFonts w:ascii="Arial" w:hAnsi="Arial" w:cs="Arial"/>
        </w:rPr>
      </w:pPr>
      <w:r w:rsidRPr="000C2141">
        <w:rPr>
          <w:rFonts w:ascii="Arial" w:hAnsi="Arial" w:cs="Arial"/>
          <w:color w:val="45B0E1" w:themeColor="accent1" w:themeTint="99"/>
        </w:rPr>
        <w:t>Writing and review</w:t>
      </w:r>
    </w:p>
    <w:p w14:paraId="513B3C9A" w14:textId="2CE2D318" w:rsidR="00E40594" w:rsidRPr="000C2141" w:rsidRDefault="00E40594" w:rsidP="000C2141">
      <w:pPr>
        <w:pStyle w:val="NormalWeb"/>
        <w:spacing w:line="360" w:lineRule="auto"/>
        <w:rPr>
          <w:rFonts w:ascii="Arial" w:hAnsi="Arial" w:cs="Arial"/>
        </w:rPr>
      </w:pPr>
      <w:r w:rsidRPr="000C2141">
        <w:rPr>
          <w:rFonts w:ascii="Arial" w:hAnsi="Arial" w:cs="Arial"/>
        </w:rPr>
        <w:t xml:space="preserve">I used </w:t>
      </w:r>
      <w:r w:rsidR="009F0DED" w:rsidRPr="000C2141">
        <w:rPr>
          <w:rFonts w:ascii="Arial" w:hAnsi="Arial" w:cs="Arial"/>
        </w:rPr>
        <w:t xml:space="preserve">AI </w:t>
      </w:r>
      <w:r w:rsidRPr="000C2141">
        <w:rPr>
          <w:rFonts w:ascii="Arial" w:hAnsi="Arial" w:cs="Arial"/>
        </w:rPr>
        <w:t>to improve the structure, grammar, and clarity of my writing, including this report, by checking it against the brief and the feedback. In this regard, it has exposed gaps between my recommendations and the problems NHSX faces. The AI also changed the text in many places, so I had to verify for myself that the ideas reflected my own understanding. I also learned to judge those changes against the assignment requirements and to explain the reasoning on my own rather than accept polished wording automatically.</w:t>
      </w:r>
    </w:p>
    <w:p w14:paraId="192D7B33"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Visual communication</w:t>
      </w:r>
    </w:p>
    <w:p w14:paraId="28B1F32F" w14:textId="01DDAB04" w:rsidR="00192A56" w:rsidRPr="000C2141" w:rsidRDefault="00192A56" w:rsidP="000C2141">
      <w:pPr>
        <w:pStyle w:val="NormalWeb"/>
        <w:spacing w:line="360" w:lineRule="auto"/>
        <w:rPr>
          <w:rFonts w:ascii="Arial" w:hAnsi="Arial" w:cs="Arial"/>
        </w:rPr>
      </w:pPr>
      <w:r w:rsidRPr="000C2141">
        <w:rPr>
          <w:rFonts w:ascii="Arial" w:hAnsi="Arial" w:cs="Arial"/>
        </w:rPr>
        <w:t xml:space="preserve">I used AI both to support the original visuals and to revise them. The information on the figures helped to clarify the complex matter, but when I changed the strategy, my old figures had to be altered; for when I checked their labels against the revised text, I realized that they could have become inconsistent with the revised text. I learned to </w:t>
      </w:r>
      <w:r w:rsidR="000C2141" w:rsidRPr="000C2141">
        <w:rPr>
          <w:rFonts w:ascii="Arial" w:hAnsi="Arial" w:cs="Arial"/>
        </w:rPr>
        <w:t>consider</w:t>
      </w:r>
      <w:r w:rsidRPr="000C2141">
        <w:rPr>
          <w:rFonts w:ascii="Arial" w:hAnsi="Arial" w:cs="Arial"/>
        </w:rPr>
        <w:t xml:space="preserve"> the accuracy and relevance of the figures, including their sources, and not just the appearance of the pictures.</w:t>
      </w:r>
    </w:p>
    <w:p w14:paraId="1347CB93" w14:textId="0F17B0EC"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C.3 Personal Capability Development Plan</w:t>
      </w:r>
    </w:p>
    <w:p w14:paraId="6D82FEE5" w14:textId="1AD3E3EF" w:rsidR="00192A56" w:rsidRPr="000C2141" w:rsidRDefault="00192A56" w:rsidP="000C2141">
      <w:pPr>
        <w:pStyle w:val="NormalWeb"/>
        <w:spacing w:line="360" w:lineRule="auto"/>
        <w:rPr>
          <w:rFonts w:ascii="Arial" w:hAnsi="Arial" w:cs="Arial"/>
        </w:rPr>
      </w:pPr>
      <w:r w:rsidRPr="000C2141">
        <w:rPr>
          <w:rFonts w:ascii="Arial" w:hAnsi="Arial" w:cs="Arial"/>
        </w:rPr>
        <w:t xml:space="preserve">My six-month plan combines responsible AI use, human resource data analysis, and communication skills. Continuous learning needs to be supported by application and feedback (Senge, 1990). These will help me interpret evidence and communicate recommendations while </w:t>
      </w:r>
      <w:r w:rsidR="000C2141" w:rsidRPr="000C2141">
        <w:rPr>
          <w:rFonts w:ascii="Arial" w:hAnsi="Arial" w:cs="Arial"/>
        </w:rPr>
        <w:t>remaining</w:t>
      </w:r>
      <w:r w:rsidRPr="000C2141">
        <w:rPr>
          <w:rFonts w:ascii="Arial" w:hAnsi="Arial" w:cs="Arial"/>
        </w:rPr>
        <w:t xml:space="preserve"> responsible for the decision.</w:t>
      </w:r>
    </w:p>
    <w:p w14:paraId="55798556" w14:textId="77777777" w:rsidR="00192A56" w:rsidRPr="000C2141" w:rsidRDefault="00192A56" w:rsidP="000C2141">
      <w:pPr>
        <w:pStyle w:val="NormalWeb"/>
        <w:spacing w:line="360" w:lineRule="auto"/>
        <w:rPr>
          <w:rFonts w:ascii="Arial" w:hAnsi="Arial" w:cs="Arial"/>
        </w:rPr>
      </w:pPr>
      <w:r w:rsidRPr="000C2141">
        <w:rPr>
          <w:rFonts w:ascii="Arial" w:hAnsi="Arial" w:cs="Arial"/>
        </w:rPr>
        <w:t>Table 5: Personal capability development plan. Source: author's proposed plan, informed by Senge (1990) and Parker and Grote (2022).</w:t>
      </w:r>
    </w:p>
    <w:p w14:paraId="320032F4" w14:textId="3B42F84C" w:rsidR="009F0DED" w:rsidRPr="000C2141" w:rsidRDefault="009F0DED" w:rsidP="000C2141">
      <w:pPr>
        <w:pStyle w:val="NormalWeb"/>
        <w:spacing w:line="360" w:lineRule="auto"/>
        <w:rPr>
          <w:rFonts w:ascii="Arial" w:hAnsi="Arial" w:cs="Arial"/>
        </w:rPr>
      </w:pPr>
      <w:r w:rsidRPr="000C2141">
        <w:rPr>
          <w:rFonts w:ascii="Arial" w:hAnsi="Arial" w:cs="Arial"/>
          <w:noProof/>
        </w:rPr>
        <w:drawing>
          <wp:inline distT="0" distB="0" distL="0" distR="0" wp14:anchorId="133C61D1" wp14:editId="6C0AA408">
            <wp:extent cx="5943600" cy="1995170"/>
            <wp:effectExtent l="0" t="0" r="0" b="0"/>
            <wp:docPr id="1941340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340343" name=""/>
                    <pic:cNvPicPr/>
                  </pic:nvPicPr>
                  <pic:blipFill>
                    <a:blip r:embed="rId15"/>
                    <a:stretch>
                      <a:fillRect/>
                    </a:stretch>
                  </pic:blipFill>
                  <pic:spPr>
                    <a:xfrm>
                      <a:off x="0" y="0"/>
                      <a:ext cx="5943600" cy="1995170"/>
                    </a:xfrm>
                    <a:prstGeom prst="rect">
                      <a:avLst/>
                    </a:prstGeom>
                  </pic:spPr>
                </pic:pic>
              </a:graphicData>
            </a:graphic>
          </wp:inline>
        </w:drawing>
      </w:r>
    </w:p>
    <w:p w14:paraId="2AF2AF1F" w14:textId="77777777" w:rsidR="00192A56" w:rsidRDefault="00192A56" w:rsidP="000C2141">
      <w:pPr>
        <w:pStyle w:val="NormalWeb"/>
        <w:spacing w:line="360" w:lineRule="auto"/>
        <w:rPr>
          <w:rFonts w:ascii="Arial" w:hAnsi="Arial" w:cs="Arial"/>
        </w:rPr>
      </w:pPr>
      <w:r w:rsidRPr="000C2141">
        <w:rPr>
          <w:rFonts w:ascii="Arial" w:hAnsi="Arial" w:cs="Arial"/>
        </w:rPr>
        <w:t>Completion is not enough. My work will be examined every month, and changes will be noted. Completion alone will not prove competence. I must be able to explain my analysis, admit uncertainties, and justify my recommendations without depending on AI responses.</w:t>
      </w:r>
    </w:p>
    <w:p w14:paraId="0AA671C3" w14:textId="77777777" w:rsidR="000C2141" w:rsidRDefault="000C2141" w:rsidP="000C2141">
      <w:pPr>
        <w:pStyle w:val="NormalWeb"/>
        <w:spacing w:line="360" w:lineRule="auto"/>
        <w:rPr>
          <w:rFonts w:ascii="Arial" w:hAnsi="Arial" w:cs="Arial"/>
        </w:rPr>
      </w:pPr>
    </w:p>
    <w:p w14:paraId="3EDF10F4" w14:textId="77777777" w:rsidR="000C2141" w:rsidRDefault="000C2141" w:rsidP="000C2141">
      <w:pPr>
        <w:pStyle w:val="NormalWeb"/>
        <w:spacing w:line="360" w:lineRule="auto"/>
        <w:rPr>
          <w:rFonts w:ascii="Arial" w:hAnsi="Arial" w:cs="Arial"/>
        </w:rPr>
      </w:pPr>
    </w:p>
    <w:p w14:paraId="4BEDC76F" w14:textId="77777777" w:rsidR="000C2141" w:rsidRPr="000C2141" w:rsidRDefault="000C2141" w:rsidP="000C2141">
      <w:pPr>
        <w:pStyle w:val="NormalWeb"/>
        <w:spacing w:line="360" w:lineRule="auto"/>
        <w:rPr>
          <w:rFonts w:ascii="Arial" w:hAnsi="Arial" w:cs="Arial"/>
        </w:rPr>
      </w:pPr>
    </w:p>
    <w:p w14:paraId="6A282CCA"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Conclusion</w:t>
      </w:r>
    </w:p>
    <w:p w14:paraId="05F41174" w14:textId="77777777" w:rsidR="00192A56" w:rsidRPr="000C2141" w:rsidRDefault="00192A56" w:rsidP="000C2141">
      <w:pPr>
        <w:pStyle w:val="NormalWeb"/>
        <w:spacing w:line="360" w:lineRule="auto"/>
        <w:rPr>
          <w:rFonts w:ascii="Arial" w:hAnsi="Arial" w:cs="Arial"/>
        </w:rPr>
      </w:pPr>
      <w:r w:rsidRPr="000C2141">
        <w:rPr>
          <w:rFonts w:ascii="Arial" w:hAnsi="Arial" w:cs="Arial"/>
        </w:rPr>
        <w:t>As a first principle of NHSX, the dynamism of agile, inter-disciplinary teams will be supported, in an atmosphere of some freedom, by flexible work and knowledge sharing, on the basis of innovation, autonomy, creativity, testing, collaboration and knowledge exchange, while keeping all the necessary safeguards in place. The aforementioned practices will be put into effect gradually, and the results will be measured progressively. Nevertheless, the assessment of human resources, as well as the development of talent, will remain an important human responsibility, which will be assisted by the use of artificial intelligence, but with all the appropriate safeguards.</w:t>
      </w:r>
    </w:p>
    <w:p w14:paraId="68F75B59" w14:textId="77777777" w:rsidR="00AB757E" w:rsidRPr="000C2141" w:rsidRDefault="00AB757E" w:rsidP="000C2141">
      <w:pPr>
        <w:pStyle w:val="NormalWeb"/>
        <w:spacing w:line="360" w:lineRule="auto"/>
        <w:jc w:val="both"/>
        <w:rPr>
          <w:rFonts w:ascii="Arial" w:hAnsi="Arial" w:cs="Arial"/>
          <w:color w:val="000000"/>
        </w:rPr>
      </w:pPr>
    </w:p>
    <w:p w14:paraId="4AA96FF1" w14:textId="77777777" w:rsidR="009F0DED" w:rsidRPr="000C2141" w:rsidRDefault="009F0DED" w:rsidP="000C2141">
      <w:pPr>
        <w:pStyle w:val="NormalWeb"/>
        <w:spacing w:line="360" w:lineRule="auto"/>
        <w:jc w:val="both"/>
        <w:rPr>
          <w:rFonts w:ascii="Arial" w:hAnsi="Arial" w:cs="Arial"/>
          <w:color w:val="000000"/>
        </w:rPr>
      </w:pPr>
    </w:p>
    <w:p w14:paraId="46BE992F" w14:textId="77777777" w:rsidR="009F0DED" w:rsidRPr="000C2141" w:rsidRDefault="009F0DED" w:rsidP="000C2141">
      <w:pPr>
        <w:pStyle w:val="NormalWeb"/>
        <w:spacing w:line="360" w:lineRule="auto"/>
        <w:jc w:val="both"/>
        <w:rPr>
          <w:rFonts w:ascii="Arial" w:hAnsi="Arial" w:cs="Arial"/>
          <w:color w:val="000000"/>
        </w:rPr>
      </w:pPr>
    </w:p>
    <w:p w14:paraId="4CA69128" w14:textId="77777777" w:rsidR="009F0DED" w:rsidRPr="000C2141" w:rsidRDefault="009F0DED" w:rsidP="000C2141">
      <w:pPr>
        <w:pStyle w:val="NormalWeb"/>
        <w:spacing w:line="360" w:lineRule="auto"/>
        <w:jc w:val="both"/>
        <w:rPr>
          <w:rFonts w:ascii="Arial" w:hAnsi="Arial" w:cs="Arial"/>
          <w:color w:val="000000"/>
        </w:rPr>
      </w:pPr>
    </w:p>
    <w:p w14:paraId="602DE312" w14:textId="77777777" w:rsidR="00192A56" w:rsidRPr="000C2141" w:rsidRDefault="00192A56" w:rsidP="000C2141">
      <w:pPr>
        <w:pStyle w:val="NormalWeb"/>
        <w:spacing w:line="360" w:lineRule="auto"/>
        <w:jc w:val="both"/>
        <w:rPr>
          <w:rFonts w:ascii="Arial" w:hAnsi="Arial" w:cs="Arial"/>
          <w:color w:val="000000"/>
        </w:rPr>
      </w:pPr>
    </w:p>
    <w:p w14:paraId="428F83D7" w14:textId="77777777" w:rsidR="009F0DED" w:rsidRPr="000C2141" w:rsidRDefault="009F0DED" w:rsidP="000C2141">
      <w:pPr>
        <w:pStyle w:val="NormalWeb"/>
        <w:spacing w:line="360" w:lineRule="auto"/>
        <w:jc w:val="both"/>
        <w:rPr>
          <w:rFonts w:ascii="Arial" w:hAnsi="Arial" w:cs="Arial"/>
          <w:color w:val="000000"/>
        </w:rPr>
      </w:pPr>
    </w:p>
    <w:p w14:paraId="1EABFB64" w14:textId="77777777" w:rsidR="009F0DED" w:rsidRPr="000C2141" w:rsidRDefault="009F0DED" w:rsidP="000C2141">
      <w:pPr>
        <w:pStyle w:val="NormalWeb"/>
        <w:spacing w:line="360" w:lineRule="auto"/>
        <w:jc w:val="both"/>
        <w:rPr>
          <w:rFonts w:ascii="Arial" w:hAnsi="Arial" w:cs="Arial"/>
          <w:color w:val="000000"/>
        </w:rPr>
      </w:pPr>
    </w:p>
    <w:p w14:paraId="6379EBC6" w14:textId="77777777" w:rsidR="009F0DED" w:rsidRPr="000C2141" w:rsidRDefault="009F0DED" w:rsidP="000C2141">
      <w:pPr>
        <w:pStyle w:val="NormalWeb"/>
        <w:spacing w:line="360" w:lineRule="auto"/>
        <w:jc w:val="both"/>
        <w:rPr>
          <w:rFonts w:ascii="Arial" w:hAnsi="Arial" w:cs="Arial"/>
          <w:color w:val="000000"/>
        </w:rPr>
      </w:pPr>
    </w:p>
    <w:p w14:paraId="3BFD8674" w14:textId="77777777" w:rsidR="009F0DED" w:rsidRPr="000C2141" w:rsidRDefault="009F0DED" w:rsidP="000C2141">
      <w:pPr>
        <w:pStyle w:val="NormalWeb"/>
        <w:spacing w:line="360" w:lineRule="auto"/>
        <w:jc w:val="both"/>
        <w:rPr>
          <w:rFonts w:ascii="Arial" w:hAnsi="Arial" w:cs="Arial"/>
          <w:color w:val="000000"/>
        </w:rPr>
      </w:pPr>
    </w:p>
    <w:p w14:paraId="037A4BA2" w14:textId="77777777" w:rsidR="00192A56" w:rsidRPr="000C2141" w:rsidRDefault="00192A56" w:rsidP="000C2141">
      <w:pPr>
        <w:pStyle w:val="NormalWeb"/>
        <w:spacing w:line="360" w:lineRule="auto"/>
        <w:jc w:val="both"/>
        <w:rPr>
          <w:rFonts w:ascii="Arial" w:hAnsi="Arial" w:cs="Arial"/>
          <w:color w:val="000000"/>
        </w:rPr>
      </w:pPr>
    </w:p>
    <w:p w14:paraId="7FC42D30" w14:textId="77777777" w:rsidR="009F0DED" w:rsidRPr="000C2141" w:rsidRDefault="009F0DED" w:rsidP="000C2141">
      <w:pPr>
        <w:pStyle w:val="NormalWeb"/>
        <w:spacing w:line="360" w:lineRule="auto"/>
        <w:jc w:val="both"/>
        <w:rPr>
          <w:rFonts w:ascii="Arial" w:hAnsi="Arial" w:cs="Arial"/>
          <w:color w:val="000000"/>
        </w:rPr>
      </w:pPr>
    </w:p>
    <w:p w14:paraId="2C4BECF2" w14:textId="77777777" w:rsidR="009F0DED" w:rsidRPr="000C2141" w:rsidRDefault="009F0DED" w:rsidP="000C2141">
      <w:pPr>
        <w:pStyle w:val="NormalWeb"/>
        <w:spacing w:line="360" w:lineRule="auto"/>
        <w:jc w:val="both"/>
        <w:rPr>
          <w:rFonts w:ascii="Arial" w:hAnsi="Arial" w:cs="Arial"/>
          <w:color w:val="000000"/>
        </w:rPr>
      </w:pPr>
    </w:p>
    <w:p w14:paraId="2AE0640F" w14:textId="77777777" w:rsidR="009F0DED" w:rsidRPr="000C2141" w:rsidRDefault="009F0DED" w:rsidP="000C2141">
      <w:pPr>
        <w:pStyle w:val="NormalWeb"/>
        <w:spacing w:line="360" w:lineRule="auto"/>
        <w:jc w:val="both"/>
        <w:rPr>
          <w:rFonts w:ascii="Arial" w:hAnsi="Arial" w:cs="Arial"/>
          <w:color w:val="000000"/>
        </w:rPr>
      </w:pPr>
    </w:p>
    <w:p w14:paraId="6F21D083" w14:textId="77777777" w:rsidR="00192A56" w:rsidRPr="000C2141" w:rsidRDefault="00192A56" w:rsidP="000C2141">
      <w:pPr>
        <w:pStyle w:val="NormalWeb"/>
        <w:spacing w:line="360" w:lineRule="auto"/>
        <w:jc w:val="both"/>
        <w:rPr>
          <w:rFonts w:ascii="Arial" w:hAnsi="Arial" w:cs="Arial"/>
          <w:color w:val="000000"/>
        </w:rPr>
      </w:pPr>
    </w:p>
    <w:p w14:paraId="3BF4CB1B" w14:textId="77777777" w:rsidR="00B84F11" w:rsidRPr="000C2141" w:rsidRDefault="00B84F11" w:rsidP="000C2141">
      <w:pPr>
        <w:pStyle w:val="NormalWeb"/>
        <w:spacing w:line="360" w:lineRule="auto"/>
        <w:jc w:val="both"/>
        <w:rPr>
          <w:rFonts w:ascii="Arial" w:hAnsi="Arial" w:cs="Arial"/>
          <w:color w:val="45B0E1" w:themeColor="accent1" w:themeTint="99"/>
        </w:rPr>
      </w:pPr>
      <w:r w:rsidRPr="000C2141">
        <w:rPr>
          <w:rFonts w:ascii="Arial" w:hAnsi="Arial" w:cs="Arial"/>
          <w:color w:val="45B0E1" w:themeColor="accent1" w:themeTint="99"/>
        </w:rPr>
        <w:t>Reference List</w:t>
      </w:r>
    </w:p>
    <w:p w14:paraId="665E0D66"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Alerasoul, S.A., Afeltra, G., Hakala, H., Minelli, E.A. and Strozzi, F. (2022) ‘Organisational learning, learning organisation, and learning orientation: an integrative review and framework’,</w:t>
      </w:r>
      <w:r w:rsidRPr="000C2141">
        <w:rPr>
          <w:rStyle w:val="apple-converted-space"/>
          <w:rFonts w:ascii="Arial" w:hAnsi="Arial" w:cs="Arial"/>
          <w:color w:val="000000"/>
        </w:rPr>
        <w:t> </w:t>
      </w:r>
      <w:r w:rsidRPr="000C2141">
        <w:rPr>
          <w:rStyle w:val="Emphasis"/>
          <w:rFonts w:ascii="Arial" w:hAnsi="Arial" w:cs="Arial"/>
          <w:color w:val="000000"/>
        </w:rPr>
        <w:t>Human Resource Management Review</w:t>
      </w:r>
      <w:r w:rsidRPr="000C2141">
        <w:rPr>
          <w:rFonts w:ascii="Arial" w:hAnsi="Arial" w:cs="Arial"/>
          <w:color w:val="000000"/>
        </w:rPr>
        <w:t>, 32(3), article 100854. Available at:</w:t>
      </w:r>
      <w:r w:rsidRPr="000C2141">
        <w:rPr>
          <w:rStyle w:val="apple-converted-space"/>
          <w:rFonts w:ascii="Arial" w:hAnsi="Arial" w:cs="Arial"/>
          <w:color w:val="000000"/>
        </w:rPr>
        <w:t> </w:t>
      </w:r>
      <w:hyperlink r:id="rId16" w:history="1">
        <w:r w:rsidRPr="000C2141">
          <w:rPr>
            <w:rStyle w:val="Hyperlink"/>
            <w:rFonts w:ascii="Arial" w:hAnsi="Arial" w:cs="Arial"/>
          </w:rPr>
          <w:t>https://doi.org/10.1016/j.hrmr.2021.100854</w:t>
        </w:r>
      </w:hyperlink>
      <w:r w:rsidRPr="000C2141">
        <w:rPr>
          <w:rFonts w:ascii="Arial" w:hAnsi="Arial" w:cs="Arial"/>
          <w:color w:val="000000"/>
        </w:rPr>
        <w:t>.</w:t>
      </w:r>
    </w:p>
    <w:p w14:paraId="4134F059"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Cherns, A. (1976) ‘The principles of sociotechnical design’,</w:t>
      </w:r>
      <w:r w:rsidRPr="000C2141">
        <w:rPr>
          <w:rStyle w:val="apple-converted-space"/>
          <w:rFonts w:ascii="Arial" w:hAnsi="Arial" w:cs="Arial"/>
          <w:color w:val="000000"/>
        </w:rPr>
        <w:t> </w:t>
      </w:r>
      <w:r w:rsidRPr="000C2141">
        <w:rPr>
          <w:rStyle w:val="Emphasis"/>
          <w:rFonts w:ascii="Arial" w:hAnsi="Arial" w:cs="Arial"/>
          <w:color w:val="000000"/>
        </w:rPr>
        <w:t>Human Relations</w:t>
      </w:r>
      <w:r w:rsidRPr="000C2141">
        <w:rPr>
          <w:rFonts w:ascii="Arial" w:hAnsi="Arial" w:cs="Arial"/>
          <w:color w:val="000000"/>
        </w:rPr>
        <w:t>, 29(8), pp. 783–792.</w:t>
      </w:r>
    </w:p>
    <w:p w14:paraId="26F56E8F"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Collings, D.G. and Mellahi, K. (2009) ‘Strategic talent management: a review and research agenda’,</w:t>
      </w:r>
      <w:r w:rsidRPr="000C2141">
        <w:rPr>
          <w:rStyle w:val="apple-converted-space"/>
          <w:rFonts w:ascii="Arial" w:hAnsi="Arial" w:cs="Arial"/>
          <w:color w:val="000000"/>
        </w:rPr>
        <w:t> </w:t>
      </w:r>
      <w:r w:rsidRPr="000C2141">
        <w:rPr>
          <w:rStyle w:val="Emphasis"/>
          <w:rFonts w:ascii="Arial" w:hAnsi="Arial" w:cs="Arial"/>
          <w:color w:val="000000"/>
        </w:rPr>
        <w:t>Human Resource Management Review</w:t>
      </w:r>
      <w:r w:rsidRPr="000C2141">
        <w:rPr>
          <w:rFonts w:ascii="Arial" w:hAnsi="Arial" w:cs="Arial"/>
          <w:color w:val="000000"/>
        </w:rPr>
        <w:t>, 19(4), pp. 304–313. Available at:</w:t>
      </w:r>
      <w:r w:rsidRPr="000C2141">
        <w:rPr>
          <w:rStyle w:val="apple-converted-space"/>
          <w:rFonts w:ascii="Arial" w:hAnsi="Arial" w:cs="Arial"/>
          <w:color w:val="000000"/>
        </w:rPr>
        <w:t> </w:t>
      </w:r>
      <w:hyperlink r:id="rId17" w:history="1">
        <w:r w:rsidRPr="000C2141">
          <w:rPr>
            <w:rStyle w:val="Hyperlink"/>
            <w:rFonts w:ascii="Arial" w:hAnsi="Arial" w:cs="Arial"/>
          </w:rPr>
          <w:t>https://doi.org/10.1016/j.hrmr.2009.04.001</w:t>
        </w:r>
      </w:hyperlink>
      <w:r w:rsidRPr="000C2141">
        <w:rPr>
          <w:rFonts w:ascii="Arial" w:hAnsi="Arial" w:cs="Arial"/>
          <w:color w:val="000000"/>
        </w:rPr>
        <w:t>.</w:t>
      </w:r>
    </w:p>
    <w:p w14:paraId="309F30D4"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Dweck, C.S. (2006)</w:t>
      </w:r>
      <w:r w:rsidRPr="000C2141">
        <w:rPr>
          <w:rStyle w:val="apple-converted-space"/>
          <w:rFonts w:ascii="Arial" w:hAnsi="Arial" w:cs="Arial"/>
          <w:color w:val="000000"/>
        </w:rPr>
        <w:t> </w:t>
      </w:r>
      <w:r w:rsidRPr="000C2141">
        <w:rPr>
          <w:rStyle w:val="Emphasis"/>
          <w:rFonts w:ascii="Arial" w:hAnsi="Arial" w:cs="Arial"/>
          <w:color w:val="000000"/>
        </w:rPr>
        <w:t>Mindset: the new psychology of success</w:t>
      </w:r>
      <w:r w:rsidRPr="000C2141">
        <w:rPr>
          <w:rFonts w:ascii="Arial" w:hAnsi="Arial" w:cs="Arial"/>
          <w:color w:val="000000"/>
        </w:rPr>
        <w:t>. Random House.</w:t>
      </w:r>
    </w:p>
    <w:p w14:paraId="6620F66D"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Edmondson, A.C. (1999) ‘Psychological safety and learning behavior in work teams’,</w:t>
      </w:r>
      <w:r w:rsidRPr="000C2141">
        <w:rPr>
          <w:rStyle w:val="apple-converted-space"/>
          <w:rFonts w:ascii="Arial" w:hAnsi="Arial" w:cs="Arial"/>
          <w:color w:val="000000"/>
        </w:rPr>
        <w:t> </w:t>
      </w:r>
      <w:r w:rsidRPr="000C2141">
        <w:rPr>
          <w:rStyle w:val="Emphasis"/>
          <w:rFonts w:ascii="Arial" w:hAnsi="Arial" w:cs="Arial"/>
          <w:color w:val="000000"/>
        </w:rPr>
        <w:t>Administrative Science Quarterly</w:t>
      </w:r>
      <w:r w:rsidRPr="000C2141">
        <w:rPr>
          <w:rFonts w:ascii="Arial" w:hAnsi="Arial" w:cs="Arial"/>
          <w:color w:val="000000"/>
        </w:rPr>
        <w:t>, 44(2), pp. 350–383. Available at:</w:t>
      </w:r>
      <w:r w:rsidRPr="000C2141">
        <w:rPr>
          <w:rStyle w:val="apple-converted-space"/>
          <w:rFonts w:ascii="Arial" w:hAnsi="Arial" w:cs="Arial"/>
          <w:color w:val="000000"/>
        </w:rPr>
        <w:t> </w:t>
      </w:r>
      <w:hyperlink r:id="rId18" w:history="1">
        <w:r w:rsidRPr="000C2141">
          <w:rPr>
            <w:rStyle w:val="Hyperlink"/>
            <w:rFonts w:ascii="Arial" w:hAnsi="Arial" w:cs="Arial"/>
          </w:rPr>
          <w:t>https://doi.org/10.2307/2666999</w:t>
        </w:r>
      </w:hyperlink>
      <w:r w:rsidRPr="000C2141">
        <w:rPr>
          <w:rFonts w:ascii="Arial" w:hAnsi="Arial" w:cs="Arial"/>
          <w:color w:val="000000"/>
        </w:rPr>
        <w:t>.</w:t>
      </w:r>
    </w:p>
    <w:p w14:paraId="199AA365"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Godard, J. (2004) ‘A critical assessment of the high-performance paradigm’,</w:t>
      </w:r>
      <w:r w:rsidRPr="000C2141">
        <w:rPr>
          <w:rStyle w:val="apple-converted-space"/>
          <w:rFonts w:ascii="Arial" w:hAnsi="Arial" w:cs="Arial"/>
          <w:color w:val="000000"/>
        </w:rPr>
        <w:t> </w:t>
      </w:r>
      <w:r w:rsidRPr="000C2141">
        <w:rPr>
          <w:rStyle w:val="Emphasis"/>
          <w:rFonts w:ascii="Arial" w:hAnsi="Arial" w:cs="Arial"/>
          <w:color w:val="000000"/>
        </w:rPr>
        <w:t>British Journal of Industrial Relations</w:t>
      </w:r>
      <w:r w:rsidRPr="000C2141">
        <w:rPr>
          <w:rFonts w:ascii="Arial" w:hAnsi="Arial" w:cs="Arial"/>
          <w:color w:val="000000"/>
        </w:rPr>
        <w:t>, 42(2), pp. 349–378.</w:t>
      </w:r>
    </w:p>
    <w:p w14:paraId="5C7B0D77"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Hackman, J.R. and Oldham, G.R. (1976) ‘Motivation through the design of work: test of a theory’,</w:t>
      </w:r>
      <w:r w:rsidRPr="000C2141">
        <w:rPr>
          <w:rStyle w:val="apple-converted-space"/>
          <w:rFonts w:ascii="Arial" w:hAnsi="Arial" w:cs="Arial"/>
          <w:color w:val="000000"/>
        </w:rPr>
        <w:t> </w:t>
      </w:r>
      <w:r w:rsidRPr="000C2141">
        <w:rPr>
          <w:rStyle w:val="Emphasis"/>
          <w:rFonts w:ascii="Arial" w:hAnsi="Arial" w:cs="Arial"/>
          <w:color w:val="000000"/>
        </w:rPr>
        <w:t>Organizational Behavior and Human Performance</w:t>
      </w:r>
      <w:r w:rsidRPr="000C2141">
        <w:rPr>
          <w:rFonts w:ascii="Arial" w:hAnsi="Arial" w:cs="Arial"/>
          <w:color w:val="000000"/>
        </w:rPr>
        <w:t>, 16(2), pp. 250–279. Available at:</w:t>
      </w:r>
      <w:r w:rsidRPr="000C2141">
        <w:rPr>
          <w:rStyle w:val="apple-converted-space"/>
          <w:rFonts w:ascii="Arial" w:hAnsi="Arial" w:cs="Arial"/>
          <w:color w:val="000000"/>
        </w:rPr>
        <w:t> </w:t>
      </w:r>
      <w:hyperlink r:id="rId19" w:history="1">
        <w:r w:rsidRPr="000C2141">
          <w:rPr>
            <w:rStyle w:val="Hyperlink"/>
            <w:rFonts w:ascii="Arial" w:hAnsi="Arial" w:cs="Arial"/>
          </w:rPr>
          <w:t>https://doi.org/10.1016/0030-5073(76)90016-7</w:t>
        </w:r>
      </w:hyperlink>
      <w:r w:rsidRPr="000C2141">
        <w:rPr>
          <w:rFonts w:ascii="Arial" w:hAnsi="Arial" w:cs="Arial"/>
          <w:color w:val="000000"/>
        </w:rPr>
        <w:t>.</w:t>
      </w:r>
    </w:p>
    <w:p w14:paraId="77C07BC6"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Huselid, M.A. (1995) ‘The impact of human resource management practices on turnover, productivity, and corporate financial performance’,</w:t>
      </w:r>
      <w:r w:rsidRPr="000C2141">
        <w:rPr>
          <w:rStyle w:val="apple-converted-space"/>
          <w:rFonts w:ascii="Arial" w:hAnsi="Arial" w:cs="Arial"/>
          <w:color w:val="000000"/>
        </w:rPr>
        <w:t> </w:t>
      </w:r>
      <w:r w:rsidRPr="000C2141">
        <w:rPr>
          <w:rStyle w:val="Emphasis"/>
          <w:rFonts w:ascii="Arial" w:hAnsi="Arial" w:cs="Arial"/>
          <w:color w:val="000000"/>
        </w:rPr>
        <w:t>Academy of Management Journal</w:t>
      </w:r>
      <w:r w:rsidRPr="000C2141">
        <w:rPr>
          <w:rFonts w:ascii="Arial" w:hAnsi="Arial" w:cs="Arial"/>
          <w:color w:val="000000"/>
        </w:rPr>
        <w:t>, 38(3), pp. 635–672.</w:t>
      </w:r>
    </w:p>
    <w:p w14:paraId="2E594A33"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Kaliannan, M., Darmalinggam, D., Dorasamy, M. and Abraham, M. (2023) ‘Inclusive talent development as a key talent management approach: a systematic literature review’,</w:t>
      </w:r>
      <w:r w:rsidRPr="000C2141">
        <w:rPr>
          <w:rStyle w:val="apple-converted-space"/>
          <w:rFonts w:ascii="Arial" w:hAnsi="Arial" w:cs="Arial"/>
          <w:color w:val="000000"/>
        </w:rPr>
        <w:t> </w:t>
      </w:r>
      <w:r w:rsidRPr="000C2141">
        <w:rPr>
          <w:rStyle w:val="Emphasis"/>
          <w:rFonts w:ascii="Arial" w:hAnsi="Arial" w:cs="Arial"/>
          <w:color w:val="000000"/>
        </w:rPr>
        <w:t>Human Resource Management Review</w:t>
      </w:r>
      <w:r w:rsidRPr="000C2141">
        <w:rPr>
          <w:rFonts w:ascii="Arial" w:hAnsi="Arial" w:cs="Arial"/>
          <w:color w:val="000000"/>
        </w:rPr>
        <w:t>, 33(1), article 100926. Available at:</w:t>
      </w:r>
      <w:r w:rsidRPr="000C2141">
        <w:rPr>
          <w:rStyle w:val="apple-converted-space"/>
          <w:rFonts w:ascii="Arial" w:hAnsi="Arial" w:cs="Arial"/>
          <w:color w:val="000000"/>
        </w:rPr>
        <w:t> </w:t>
      </w:r>
      <w:hyperlink r:id="rId20" w:history="1">
        <w:r w:rsidRPr="000C2141">
          <w:rPr>
            <w:rStyle w:val="Hyperlink"/>
            <w:rFonts w:ascii="Arial" w:hAnsi="Arial" w:cs="Arial"/>
          </w:rPr>
          <w:t>https://doi.org/10.1016/j.hrmr.2022.100926</w:t>
        </w:r>
      </w:hyperlink>
      <w:r w:rsidRPr="000C2141">
        <w:rPr>
          <w:rFonts w:ascii="Arial" w:hAnsi="Arial" w:cs="Arial"/>
          <w:color w:val="000000"/>
        </w:rPr>
        <w:t>.</w:t>
      </w:r>
    </w:p>
    <w:p w14:paraId="32805654"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LaPlante, R.D., Ponte, P.R. and Magny-Normilus, C. (2025) ‘Essential elements and outcomes of psychological safety in the healthcare practice setting: a systematic review’,</w:t>
      </w:r>
      <w:r w:rsidRPr="000C2141">
        <w:rPr>
          <w:rStyle w:val="apple-converted-space"/>
          <w:rFonts w:ascii="Arial" w:hAnsi="Arial" w:cs="Arial"/>
          <w:color w:val="000000"/>
        </w:rPr>
        <w:t> </w:t>
      </w:r>
      <w:r w:rsidRPr="000C2141">
        <w:rPr>
          <w:rStyle w:val="Emphasis"/>
          <w:rFonts w:ascii="Arial" w:hAnsi="Arial" w:cs="Arial"/>
          <w:color w:val="000000"/>
        </w:rPr>
        <w:t>Applied Nursing Research</w:t>
      </w:r>
      <w:r w:rsidRPr="000C2141">
        <w:rPr>
          <w:rFonts w:ascii="Arial" w:hAnsi="Arial" w:cs="Arial"/>
          <w:color w:val="000000"/>
        </w:rPr>
        <w:t>, 83, article 151946. Available at:</w:t>
      </w:r>
      <w:r w:rsidRPr="000C2141">
        <w:rPr>
          <w:rStyle w:val="apple-converted-space"/>
          <w:rFonts w:ascii="Arial" w:hAnsi="Arial" w:cs="Arial"/>
          <w:color w:val="000000"/>
        </w:rPr>
        <w:t> </w:t>
      </w:r>
      <w:hyperlink r:id="rId21" w:history="1">
        <w:r w:rsidRPr="000C2141">
          <w:rPr>
            <w:rStyle w:val="Hyperlink"/>
            <w:rFonts w:ascii="Arial" w:hAnsi="Arial" w:cs="Arial"/>
          </w:rPr>
          <w:t>https://doi.org/10.1016/j.apnr.2025.151946</w:t>
        </w:r>
      </w:hyperlink>
      <w:r w:rsidRPr="000C2141">
        <w:rPr>
          <w:rFonts w:ascii="Arial" w:hAnsi="Arial" w:cs="Arial"/>
          <w:color w:val="000000"/>
        </w:rPr>
        <w:t>.</w:t>
      </w:r>
    </w:p>
    <w:p w14:paraId="007C9927"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Lawler, E.E. (1986)</w:t>
      </w:r>
      <w:r w:rsidRPr="000C2141">
        <w:rPr>
          <w:rStyle w:val="apple-converted-space"/>
          <w:rFonts w:ascii="Arial" w:hAnsi="Arial" w:cs="Arial"/>
          <w:color w:val="000000"/>
        </w:rPr>
        <w:t> </w:t>
      </w:r>
      <w:r w:rsidRPr="000C2141">
        <w:rPr>
          <w:rStyle w:val="Emphasis"/>
          <w:rFonts w:ascii="Arial" w:hAnsi="Arial" w:cs="Arial"/>
          <w:color w:val="000000"/>
        </w:rPr>
        <w:t>High-involvement management</w:t>
      </w:r>
      <w:r w:rsidRPr="000C2141">
        <w:rPr>
          <w:rFonts w:ascii="Arial" w:hAnsi="Arial" w:cs="Arial"/>
          <w:color w:val="000000"/>
        </w:rPr>
        <w:t>. Jossey-Bass.</w:t>
      </w:r>
    </w:p>
    <w:p w14:paraId="470C2F54"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Parker, S.K. and Grote, G. (2022) ‘Automation, algorithms, and beyond: why work design matters more than ever in a digital world’,</w:t>
      </w:r>
      <w:r w:rsidRPr="000C2141">
        <w:rPr>
          <w:rStyle w:val="apple-converted-space"/>
          <w:rFonts w:ascii="Arial" w:hAnsi="Arial" w:cs="Arial"/>
          <w:color w:val="000000"/>
        </w:rPr>
        <w:t> </w:t>
      </w:r>
      <w:r w:rsidRPr="000C2141">
        <w:rPr>
          <w:rStyle w:val="Emphasis"/>
          <w:rFonts w:ascii="Arial" w:hAnsi="Arial" w:cs="Arial"/>
          <w:color w:val="000000"/>
        </w:rPr>
        <w:t>Applied Psychology</w:t>
      </w:r>
      <w:r w:rsidRPr="000C2141">
        <w:rPr>
          <w:rFonts w:ascii="Arial" w:hAnsi="Arial" w:cs="Arial"/>
          <w:color w:val="000000"/>
        </w:rPr>
        <w:t>, 71(4), pp. 1171–1204. Available at:</w:t>
      </w:r>
      <w:r w:rsidRPr="000C2141">
        <w:rPr>
          <w:rStyle w:val="apple-converted-space"/>
          <w:rFonts w:ascii="Arial" w:hAnsi="Arial" w:cs="Arial"/>
          <w:color w:val="000000"/>
        </w:rPr>
        <w:t> </w:t>
      </w:r>
      <w:hyperlink r:id="rId22" w:history="1">
        <w:r w:rsidRPr="000C2141">
          <w:rPr>
            <w:rStyle w:val="Hyperlink"/>
            <w:rFonts w:ascii="Arial" w:hAnsi="Arial" w:cs="Arial"/>
          </w:rPr>
          <w:t>https://doi.org/10.1111/apps.12241</w:t>
        </w:r>
      </w:hyperlink>
      <w:r w:rsidRPr="000C2141">
        <w:rPr>
          <w:rFonts w:ascii="Arial" w:hAnsi="Arial" w:cs="Arial"/>
          <w:color w:val="000000"/>
        </w:rPr>
        <w:t>.</w:t>
      </w:r>
    </w:p>
    <w:p w14:paraId="39809244"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Peeters, T., Van De Voorde, K. and Paauwe, J. (2022) ‘The effects of working agile on team performance and engagement’,</w:t>
      </w:r>
      <w:r w:rsidRPr="000C2141">
        <w:rPr>
          <w:rStyle w:val="apple-converted-space"/>
          <w:rFonts w:ascii="Arial" w:hAnsi="Arial" w:cs="Arial"/>
          <w:color w:val="000000"/>
        </w:rPr>
        <w:t> </w:t>
      </w:r>
      <w:r w:rsidRPr="000C2141">
        <w:rPr>
          <w:rStyle w:val="Emphasis"/>
          <w:rFonts w:ascii="Arial" w:hAnsi="Arial" w:cs="Arial"/>
          <w:color w:val="000000"/>
        </w:rPr>
        <w:t>Team Performance Management: An International Journal</w:t>
      </w:r>
      <w:r w:rsidRPr="000C2141">
        <w:rPr>
          <w:rFonts w:ascii="Arial" w:hAnsi="Arial" w:cs="Arial"/>
          <w:color w:val="000000"/>
        </w:rPr>
        <w:t>, 28(1/2), pp. 61–78. Available at:</w:t>
      </w:r>
      <w:r w:rsidRPr="000C2141">
        <w:rPr>
          <w:rStyle w:val="apple-converted-space"/>
          <w:rFonts w:ascii="Arial" w:hAnsi="Arial" w:cs="Arial"/>
          <w:color w:val="000000"/>
        </w:rPr>
        <w:t> </w:t>
      </w:r>
      <w:hyperlink r:id="rId23" w:history="1">
        <w:r w:rsidRPr="000C2141">
          <w:rPr>
            <w:rStyle w:val="Hyperlink"/>
            <w:rFonts w:ascii="Arial" w:hAnsi="Arial" w:cs="Arial"/>
          </w:rPr>
          <w:t>https://doi.org/10.1108/TPM-07-2021-0049</w:t>
        </w:r>
      </w:hyperlink>
      <w:r w:rsidRPr="000C2141">
        <w:rPr>
          <w:rFonts w:ascii="Arial" w:hAnsi="Arial" w:cs="Arial"/>
          <w:color w:val="000000"/>
        </w:rPr>
        <w:t>.</w:t>
      </w:r>
    </w:p>
    <w:p w14:paraId="14781D76"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Plaskoff, J. (2017) ‘Employee experience: the new human resource management approach’,</w:t>
      </w:r>
      <w:r w:rsidRPr="000C2141">
        <w:rPr>
          <w:rStyle w:val="apple-converted-space"/>
          <w:rFonts w:ascii="Arial" w:hAnsi="Arial" w:cs="Arial"/>
          <w:color w:val="000000"/>
        </w:rPr>
        <w:t> </w:t>
      </w:r>
      <w:r w:rsidRPr="000C2141">
        <w:rPr>
          <w:rStyle w:val="Emphasis"/>
          <w:rFonts w:ascii="Arial" w:hAnsi="Arial" w:cs="Arial"/>
          <w:color w:val="000000"/>
        </w:rPr>
        <w:t>Strategic HR Review</w:t>
      </w:r>
      <w:r w:rsidRPr="000C2141">
        <w:rPr>
          <w:rFonts w:ascii="Arial" w:hAnsi="Arial" w:cs="Arial"/>
          <w:color w:val="000000"/>
        </w:rPr>
        <w:t>, 16(3), pp. 136–141. Available at:</w:t>
      </w:r>
      <w:r w:rsidRPr="000C2141">
        <w:rPr>
          <w:rStyle w:val="apple-converted-space"/>
          <w:rFonts w:ascii="Arial" w:hAnsi="Arial" w:cs="Arial"/>
          <w:color w:val="000000"/>
        </w:rPr>
        <w:t> </w:t>
      </w:r>
      <w:hyperlink r:id="rId24" w:history="1">
        <w:r w:rsidRPr="000C2141">
          <w:rPr>
            <w:rStyle w:val="Hyperlink"/>
            <w:rFonts w:ascii="Arial" w:hAnsi="Arial" w:cs="Arial"/>
          </w:rPr>
          <w:t>https://doi.org/10.1108/SHR-12-2016-0108</w:t>
        </w:r>
      </w:hyperlink>
      <w:r w:rsidRPr="000C2141">
        <w:rPr>
          <w:rFonts w:ascii="Arial" w:hAnsi="Arial" w:cs="Arial"/>
          <w:color w:val="000000"/>
        </w:rPr>
        <w:t>.</w:t>
      </w:r>
    </w:p>
    <w:p w14:paraId="5F0EFAC7"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Senge, P.M. (1990)</w:t>
      </w:r>
      <w:r w:rsidRPr="000C2141">
        <w:rPr>
          <w:rStyle w:val="apple-converted-space"/>
          <w:rFonts w:ascii="Arial" w:hAnsi="Arial" w:cs="Arial"/>
          <w:color w:val="000000"/>
        </w:rPr>
        <w:t> </w:t>
      </w:r>
      <w:r w:rsidRPr="000C2141">
        <w:rPr>
          <w:rStyle w:val="Emphasis"/>
          <w:rFonts w:ascii="Arial" w:hAnsi="Arial" w:cs="Arial"/>
          <w:color w:val="000000"/>
        </w:rPr>
        <w:t>The fifth discipline: the art and practice of the learning organization</w:t>
      </w:r>
      <w:r w:rsidRPr="000C2141">
        <w:rPr>
          <w:rFonts w:ascii="Arial" w:hAnsi="Arial" w:cs="Arial"/>
          <w:color w:val="000000"/>
        </w:rPr>
        <w:t>. Century.</w:t>
      </w:r>
    </w:p>
    <w:p w14:paraId="5CB785FF"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Shi, L., Van Veldhoven, M., Kooij, D., Van De Voorde, K. and Karanika-Murray, M. (2024) ‘High-performance work systems and individual performance: a longitudinal study of the differential roles of happiness and health well-being’,</w:t>
      </w:r>
      <w:r w:rsidRPr="000C2141">
        <w:rPr>
          <w:rStyle w:val="apple-converted-space"/>
          <w:rFonts w:ascii="Arial" w:hAnsi="Arial" w:cs="Arial"/>
          <w:color w:val="000000"/>
        </w:rPr>
        <w:t> </w:t>
      </w:r>
      <w:r w:rsidRPr="000C2141">
        <w:rPr>
          <w:rStyle w:val="Emphasis"/>
          <w:rFonts w:ascii="Arial" w:hAnsi="Arial" w:cs="Arial"/>
          <w:color w:val="000000"/>
        </w:rPr>
        <w:t>Frontiers in Psychology</w:t>
      </w:r>
      <w:r w:rsidRPr="000C2141">
        <w:rPr>
          <w:rFonts w:ascii="Arial" w:hAnsi="Arial" w:cs="Arial"/>
          <w:color w:val="000000"/>
        </w:rPr>
        <w:t>, 14, article 1261564. Available at:</w:t>
      </w:r>
      <w:r w:rsidRPr="000C2141">
        <w:rPr>
          <w:rStyle w:val="apple-converted-space"/>
          <w:rFonts w:ascii="Arial" w:hAnsi="Arial" w:cs="Arial"/>
          <w:color w:val="000000"/>
        </w:rPr>
        <w:t> </w:t>
      </w:r>
      <w:hyperlink r:id="rId25" w:history="1">
        <w:r w:rsidRPr="000C2141">
          <w:rPr>
            <w:rStyle w:val="Hyperlink"/>
            <w:rFonts w:ascii="Arial" w:hAnsi="Arial" w:cs="Arial"/>
          </w:rPr>
          <w:t>https://doi.org/10.3389/fpsyg.2023.1261564</w:t>
        </w:r>
      </w:hyperlink>
      <w:r w:rsidRPr="000C2141">
        <w:rPr>
          <w:rFonts w:ascii="Arial" w:hAnsi="Arial" w:cs="Arial"/>
          <w:color w:val="000000"/>
        </w:rPr>
        <w:t>.</w:t>
      </w:r>
    </w:p>
    <w:p w14:paraId="079C8273"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Sisk, V.F., Burgoyne, A.P., Sun, J., Butler, J.L. and Macnamara, B.N. (2018) ‘To what extent and under which circumstances are growth mind-sets important to academic achievement? Two meta-analyses’,</w:t>
      </w:r>
      <w:r w:rsidRPr="000C2141">
        <w:rPr>
          <w:rStyle w:val="apple-converted-space"/>
          <w:rFonts w:ascii="Arial" w:hAnsi="Arial" w:cs="Arial"/>
          <w:color w:val="000000"/>
        </w:rPr>
        <w:t> </w:t>
      </w:r>
      <w:r w:rsidRPr="000C2141">
        <w:rPr>
          <w:rStyle w:val="Emphasis"/>
          <w:rFonts w:ascii="Arial" w:hAnsi="Arial" w:cs="Arial"/>
          <w:color w:val="000000"/>
        </w:rPr>
        <w:t>Psychological Science</w:t>
      </w:r>
      <w:r w:rsidRPr="000C2141">
        <w:rPr>
          <w:rFonts w:ascii="Arial" w:hAnsi="Arial" w:cs="Arial"/>
          <w:color w:val="000000"/>
        </w:rPr>
        <w:t>, 29(4), pp. 549–571. Available at:</w:t>
      </w:r>
      <w:r w:rsidRPr="000C2141">
        <w:rPr>
          <w:rStyle w:val="apple-converted-space"/>
          <w:rFonts w:ascii="Arial" w:hAnsi="Arial" w:cs="Arial"/>
          <w:color w:val="000000"/>
        </w:rPr>
        <w:t> </w:t>
      </w:r>
      <w:hyperlink r:id="rId26" w:history="1">
        <w:r w:rsidRPr="000C2141">
          <w:rPr>
            <w:rStyle w:val="Hyperlink"/>
            <w:rFonts w:ascii="Arial" w:hAnsi="Arial" w:cs="Arial"/>
          </w:rPr>
          <w:t>https://doi.org/10.1177/0956797617739704</w:t>
        </w:r>
      </w:hyperlink>
      <w:r w:rsidRPr="000C2141">
        <w:rPr>
          <w:rFonts w:ascii="Arial" w:hAnsi="Arial" w:cs="Arial"/>
          <w:color w:val="000000"/>
        </w:rPr>
        <w:t>.</w:t>
      </w:r>
    </w:p>
    <w:p w14:paraId="1A451E17"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Taylor, F.W. (1911)</w:t>
      </w:r>
      <w:r w:rsidRPr="000C2141">
        <w:rPr>
          <w:rStyle w:val="apple-converted-space"/>
          <w:rFonts w:ascii="Arial" w:hAnsi="Arial" w:cs="Arial"/>
          <w:color w:val="000000"/>
        </w:rPr>
        <w:t> </w:t>
      </w:r>
      <w:r w:rsidRPr="000C2141">
        <w:rPr>
          <w:rStyle w:val="Emphasis"/>
          <w:rFonts w:ascii="Arial" w:hAnsi="Arial" w:cs="Arial"/>
          <w:color w:val="000000"/>
        </w:rPr>
        <w:t>The principles of scientific management</w:t>
      </w:r>
      <w:r w:rsidRPr="000C2141">
        <w:rPr>
          <w:rFonts w:ascii="Arial" w:hAnsi="Arial" w:cs="Arial"/>
          <w:color w:val="000000"/>
        </w:rPr>
        <w:t>. Harper &amp; Brothers.</w:t>
      </w:r>
    </w:p>
    <w:p w14:paraId="68A0278D" w14:textId="77777777" w:rsidR="00405D52" w:rsidRPr="000C2141" w:rsidRDefault="00405D52" w:rsidP="000C2141">
      <w:pPr>
        <w:pStyle w:val="NormalWeb"/>
        <w:spacing w:line="360" w:lineRule="auto"/>
        <w:jc w:val="both"/>
        <w:rPr>
          <w:rFonts w:ascii="Arial" w:hAnsi="Arial" w:cs="Arial"/>
          <w:color w:val="000000"/>
        </w:rPr>
      </w:pPr>
      <w:r w:rsidRPr="000C2141">
        <w:rPr>
          <w:rFonts w:ascii="Arial" w:hAnsi="Arial" w:cs="Arial"/>
          <w:color w:val="000000"/>
        </w:rPr>
        <w:t>Yang, L., Holtz, D., Jaffe, S., Suri, S., Sinha, S., Weston, J., Joyce, C., Shah, N., Sherman, K., Hecht, B. and Teevan, J. (2022) ‘The effects of remote work on collaboration among information workers’,</w:t>
      </w:r>
      <w:r w:rsidRPr="000C2141">
        <w:rPr>
          <w:rStyle w:val="apple-converted-space"/>
          <w:rFonts w:ascii="Arial" w:hAnsi="Arial" w:cs="Arial"/>
          <w:color w:val="000000"/>
        </w:rPr>
        <w:t> </w:t>
      </w:r>
      <w:r w:rsidRPr="000C2141">
        <w:rPr>
          <w:rStyle w:val="Emphasis"/>
          <w:rFonts w:ascii="Arial" w:hAnsi="Arial" w:cs="Arial"/>
          <w:color w:val="000000"/>
        </w:rPr>
        <w:t>Nature Human Behaviour</w:t>
      </w:r>
      <w:r w:rsidRPr="000C2141">
        <w:rPr>
          <w:rFonts w:ascii="Arial" w:hAnsi="Arial" w:cs="Arial"/>
          <w:color w:val="000000"/>
        </w:rPr>
        <w:t>, 6(1), pp. 43–54. Available at:</w:t>
      </w:r>
      <w:r w:rsidRPr="000C2141">
        <w:rPr>
          <w:rStyle w:val="apple-converted-space"/>
          <w:rFonts w:ascii="Arial" w:hAnsi="Arial" w:cs="Arial"/>
          <w:color w:val="000000"/>
        </w:rPr>
        <w:t> </w:t>
      </w:r>
      <w:hyperlink r:id="rId27" w:history="1">
        <w:r w:rsidRPr="000C2141">
          <w:rPr>
            <w:rStyle w:val="Hyperlink"/>
            <w:rFonts w:ascii="Arial" w:hAnsi="Arial" w:cs="Arial"/>
          </w:rPr>
          <w:t>https://doi.org/10.1038/s41562-021-01196-4</w:t>
        </w:r>
      </w:hyperlink>
      <w:r w:rsidRPr="000C2141">
        <w:rPr>
          <w:rFonts w:ascii="Arial" w:hAnsi="Arial" w:cs="Arial"/>
          <w:color w:val="000000"/>
        </w:rPr>
        <w:t>.</w:t>
      </w:r>
    </w:p>
    <w:p w14:paraId="4A2A7AD2" w14:textId="77777777" w:rsidR="00D950F5" w:rsidRPr="000C2141" w:rsidRDefault="00D950F5" w:rsidP="000C2141">
      <w:pPr>
        <w:spacing w:line="360" w:lineRule="auto"/>
        <w:jc w:val="both"/>
        <w:rPr>
          <w:rFonts w:ascii="Arial" w:hAnsi="Arial" w:cs="Arial"/>
        </w:rPr>
      </w:pPr>
    </w:p>
    <w:sectPr w:rsidR="00D950F5" w:rsidRPr="000C2141">
      <w:headerReference w:type="even" r:id="rId28"/>
      <w:headerReference w:type="default" r:id="rId2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344643" w14:textId="77777777" w:rsidR="00F0691E" w:rsidRDefault="00F0691E" w:rsidP="00D950F5">
      <w:pPr>
        <w:spacing w:after="0" w:line="240" w:lineRule="auto"/>
      </w:pPr>
      <w:r>
        <w:separator/>
      </w:r>
    </w:p>
  </w:endnote>
  <w:endnote w:type="continuationSeparator" w:id="0">
    <w:p w14:paraId="03F659F0" w14:textId="77777777" w:rsidR="00F0691E" w:rsidRDefault="00F0691E" w:rsidP="00D95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355265" w14:textId="77777777" w:rsidR="00F0691E" w:rsidRDefault="00F0691E" w:rsidP="00D950F5">
      <w:pPr>
        <w:spacing w:after="0" w:line="240" w:lineRule="auto"/>
      </w:pPr>
      <w:r>
        <w:separator/>
      </w:r>
    </w:p>
  </w:footnote>
  <w:footnote w:type="continuationSeparator" w:id="0">
    <w:p w14:paraId="446DA3DA" w14:textId="77777777" w:rsidR="00F0691E" w:rsidRDefault="00F0691E" w:rsidP="00D950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42826946"/>
      <w:docPartObj>
        <w:docPartGallery w:val="Page Numbers (Top of Page)"/>
        <w:docPartUnique/>
      </w:docPartObj>
    </w:sdtPr>
    <w:sdtEndPr>
      <w:rPr>
        <w:rStyle w:val="PageNumber"/>
      </w:rPr>
    </w:sdtEndPr>
    <w:sdtContent>
      <w:p w14:paraId="30C8C3C5" w14:textId="45DFA934" w:rsidR="00D950F5" w:rsidRDefault="00D950F5" w:rsidP="005140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72A4030" w14:textId="77777777" w:rsidR="00D950F5" w:rsidRDefault="00D950F5" w:rsidP="00D950F5">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947464192"/>
      <w:docPartObj>
        <w:docPartGallery w:val="Page Numbers (Top of Page)"/>
        <w:docPartUnique/>
      </w:docPartObj>
    </w:sdtPr>
    <w:sdtEndPr>
      <w:rPr>
        <w:rStyle w:val="PageNumber"/>
      </w:rPr>
    </w:sdtEndPr>
    <w:sdtContent>
      <w:p w14:paraId="2FE3EF68" w14:textId="746A2168" w:rsidR="00D950F5" w:rsidRDefault="00D950F5" w:rsidP="005140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6DB478" w14:textId="1D871EC6" w:rsidR="00D950F5" w:rsidRDefault="00D950F5" w:rsidP="00D950F5">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F1022"/>
    <w:multiLevelType w:val="hybridMultilevel"/>
    <w:tmpl w:val="4BDA7214"/>
    <w:lvl w:ilvl="0" w:tplc="EA041B5E">
      <w:start w:val="1"/>
      <w:numFmt w:val="lowerLetter"/>
      <w:lvlText w:val="%1)"/>
      <w:lvlJc w:val="left"/>
      <w:pPr>
        <w:ind w:left="1080" w:hanging="360"/>
      </w:pPr>
      <w:rPr>
        <w:rFonts w:eastAsia="Times New Roman" w:hint="default"/>
        <w:color w:val="000000"/>
        <w:u w:val="single"/>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8392E73"/>
    <w:multiLevelType w:val="hybridMultilevel"/>
    <w:tmpl w:val="374242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D13A4E"/>
    <w:multiLevelType w:val="hybridMultilevel"/>
    <w:tmpl w:val="1E9EF21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511370"/>
    <w:multiLevelType w:val="hybridMultilevel"/>
    <w:tmpl w:val="A4B64AAA"/>
    <w:lvl w:ilvl="0" w:tplc="A3E8A68A">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EC503EA"/>
    <w:multiLevelType w:val="hybridMultilevel"/>
    <w:tmpl w:val="C80AE060"/>
    <w:lvl w:ilvl="0" w:tplc="0409000F">
      <w:start w:val="1"/>
      <w:numFmt w:val="decimal"/>
      <w:lvlText w:val="%1."/>
      <w:lvlJc w:val="left"/>
      <w:pPr>
        <w:ind w:left="240" w:hanging="360"/>
      </w:pPr>
    </w:lvl>
    <w:lvl w:ilvl="1" w:tplc="04090019" w:tentative="1">
      <w:start w:val="1"/>
      <w:numFmt w:val="lowerLetter"/>
      <w:lvlText w:val="%2."/>
      <w:lvlJc w:val="left"/>
      <w:pPr>
        <w:ind w:left="960" w:hanging="360"/>
      </w:pPr>
    </w:lvl>
    <w:lvl w:ilvl="2" w:tplc="0409001B" w:tentative="1">
      <w:start w:val="1"/>
      <w:numFmt w:val="lowerRoman"/>
      <w:lvlText w:val="%3."/>
      <w:lvlJc w:val="right"/>
      <w:pPr>
        <w:ind w:left="1680" w:hanging="180"/>
      </w:pPr>
    </w:lvl>
    <w:lvl w:ilvl="3" w:tplc="0409000F" w:tentative="1">
      <w:start w:val="1"/>
      <w:numFmt w:val="decimal"/>
      <w:lvlText w:val="%4."/>
      <w:lvlJc w:val="left"/>
      <w:pPr>
        <w:ind w:left="2400" w:hanging="360"/>
      </w:pPr>
    </w:lvl>
    <w:lvl w:ilvl="4" w:tplc="04090019" w:tentative="1">
      <w:start w:val="1"/>
      <w:numFmt w:val="lowerLetter"/>
      <w:lvlText w:val="%5."/>
      <w:lvlJc w:val="left"/>
      <w:pPr>
        <w:ind w:left="3120" w:hanging="360"/>
      </w:pPr>
    </w:lvl>
    <w:lvl w:ilvl="5" w:tplc="0409001B" w:tentative="1">
      <w:start w:val="1"/>
      <w:numFmt w:val="lowerRoman"/>
      <w:lvlText w:val="%6."/>
      <w:lvlJc w:val="right"/>
      <w:pPr>
        <w:ind w:left="3840" w:hanging="180"/>
      </w:pPr>
    </w:lvl>
    <w:lvl w:ilvl="6" w:tplc="0409000F" w:tentative="1">
      <w:start w:val="1"/>
      <w:numFmt w:val="decimal"/>
      <w:lvlText w:val="%7."/>
      <w:lvlJc w:val="left"/>
      <w:pPr>
        <w:ind w:left="4560" w:hanging="360"/>
      </w:pPr>
    </w:lvl>
    <w:lvl w:ilvl="7" w:tplc="04090019" w:tentative="1">
      <w:start w:val="1"/>
      <w:numFmt w:val="lowerLetter"/>
      <w:lvlText w:val="%8."/>
      <w:lvlJc w:val="left"/>
      <w:pPr>
        <w:ind w:left="5280" w:hanging="360"/>
      </w:pPr>
    </w:lvl>
    <w:lvl w:ilvl="8" w:tplc="0409001B" w:tentative="1">
      <w:start w:val="1"/>
      <w:numFmt w:val="lowerRoman"/>
      <w:lvlText w:val="%9."/>
      <w:lvlJc w:val="right"/>
      <w:pPr>
        <w:ind w:left="6000" w:hanging="180"/>
      </w:pPr>
    </w:lvl>
  </w:abstractNum>
  <w:abstractNum w:abstractNumId="5" w15:restartNumberingAfterBreak="0">
    <w:nsid w:val="3743468A"/>
    <w:multiLevelType w:val="hybridMultilevel"/>
    <w:tmpl w:val="C12669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BA57367"/>
    <w:multiLevelType w:val="hybridMultilevel"/>
    <w:tmpl w:val="52A624B0"/>
    <w:lvl w:ilvl="0" w:tplc="FD5424F0">
      <w:start w:val="1"/>
      <w:numFmt w:val="lowerLetter"/>
      <w:lvlText w:val="%1)"/>
      <w:lvlJc w:val="left"/>
      <w:pPr>
        <w:ind w:left="720" w:hanging="360"/>
      </w:pPr>
      <w:rPr>
        <w:rFonts w:eastAsia="Times New Roman" w:hint="default"/>
        <w:color w:val="00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005D36"/>
    <w:multiLevelType w:val="hybridMultilevel"/>
    <w:tmpl w:val="0FFC7FC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9CF48DC"/>
    <w:multiLevelType w:val="hybridMultilevel"/>
    <w:tmpl w:val="73CCB70A"/>
    <w:lvl w:ilvl="0" w:tplc="EEBE87E8">
      <w:start w:val="3"/>
      <w:numFmt w:val="lowerLetter"/>
      <w:lvlText w:val="%1)"/>
      <w:lvlJc w:val="left"/>
      <w:pPr>
        <w:ind w:left="720" w:hanging="360"/>
      </w:pPr>
      <w:rPr>
        <w:rFonts w:hint="default"/>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BB10401"/>
    <w:multiLevelType w:val="hybridMultilevel"/>
    <w:tmpl w:val="9C5865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C90981"/>
    <w:multiLevelType w:val="hybridMultilevel"/>
    <w:tmpl w:val="0D18A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BCE1411"/>
    <w:multiLevelType w:val="hybridMultilevel"/>
    <w:tmpl w:val="F36E6EF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DA404A4"/>
    <w:multiLevelType w:val="hybridMultilevel"/>
    <w:tmpl w:val="4D0AFA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72BC7610"/>
    <w:multiLevelType w:val="hybridMultilevel"/>
    <w:tmpl w:val="63A42674"/>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7BE00D98"/>
    <w:multiLevelType w:val="hybridMultilevel"/>
    <w:tmpl w:val="5C220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1683012">
    <w:abstractNumId w:val="9"/>
  </w:num>
  <w:num w:numId="2" w16cid:durableId="1935671983">
    <w:abstractNumId w:val="4"/>
  </w:num>
  <w:num w:numId="3" w16cid:durableId="987126602">
    <w:abstractNumId w:val="12"/>
  </w:num>
  <w:num w:numId="4" w16cid:durableId="1107196127">
    <w:abstractNumId w:val="10"/>
  </w:num>
  <w:num w:numId="5" w16cid:durableId="1098603280">
    <w:abstractNumId w:val="7"/>
  </w:num>
  <w:num w:numId="6" w16cid:durableId="780879142">
    <w:abstractNumId w:val="8"/>
  </w:num>
  <w:num w:numId="7" w16cid:durableId="862524370">
    <w:abstractNumId w:val="2"/>
  </w:num>
  <w:num w:numId="8" w16cid:durableId="106780296">
    <w:abstractNumId w:val="0"/>
  </w:num>
  <w:num w:numId="9" w16cid:durableId="1590238125">
    <w:abstractNumId w:val="6"/>
  </w:num>
  <w:num w:numId="10" w16cid:durableId="1452356773">
    <w:abstractNumId w:val="3"/>
  </w:num>
  <w:num w:numId="11" w16cid:durableId="1488472757">
    <w:abstractNumId w:val="11"/>
  </w:num>
  <w:num w:numId="12" w16cid:durableId="336004740">
    <w:abstractNumId w:val="13"/>
  </w:num>
  <w:num w:numId="13" w16cid:durableId="899050933">
    <w:abstractNumId w:val="1"/>
  </w:num>
  <w:num w:numId="14" w16cid:durableId="368527559">
    <w:abstractNumId w:val="5"/>
  </w:num>
  <w:num w:numId="15" w16cid:durableId="3625604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0F5"/>
    <w:rsid w:val="0000779B"/>
    <w:rsid w:val="0004574C"/>
    <w:rsid w:val="00055E99"/>
    <w:rsid w:val="00097A7B"/>
    <w:rsid w:val="000A0827"/>
    <w:rsid w:val="000C2141"/>
    <w:rsid w:val="000C5938"/>
    <w:rsid w:val="000E0CE5"/>
    <w:rsid w:val="0011304C"/>
    <w:rsid w:val="001275FC"/>
    <w:rsid w:val="0015729B"/>
    <w:rsid w:val="00192A56"/>
    <w:rsid w:val="002D761A"/>
    <w:rsid w:val="00356DEC"/>
    <w:rsid w:val="003807BE"/>
    <w:rsid w:val="003A3707"/>
    <w:rsid w:val="00405D52"/>
    <w:rsid w:val="00493499"/>
    <w:rsid w:val="00495B94"/>
    <w:rsid w:val="00550BB6"/>
    <w:rsid w:val="005C063B"/>
    <w:rsid w:val="005F00E1"/>
    <w:rsid w:val="00631247"/>
    <w:rsid w:val="00655896"/>
    <w:rsid w:val="006D56DD"/>
    <w:rsid w:val="00717B13"/>
    <w:rsid w:val="00752E3C"/>
    <w:rsid w:val="007C6786"/>
    <w:rsid w:val="007D7FF9"/>
    <w:rsid w:val="007F3797"/>
    <w:rsid w:val="00812C81"/>
    <w:rsid w:val="0085516D"/>
    <w:rsid w:val="00861468"/>
    <w:rsid w:val="00865315"/>
    <w:rsid w:val="0088485D"/>
    <w:rsid w:val="008B3E66"/>
    <w:rsid w:val="008C5349"/>
    <w:rsid w:val="008E1FC3"/>
    <w:rsid w:val="00910414"/>
    <w:rsid w:val="009405AC"/>
    <w:rsid w:val="00963A52"/>
    <w:rsid w:val="00973BAF"/>
    <w:rsid w:val="009C3BE1"/>
    <w:rsid w:val="009D00E1"/>
    <w:rsid w:val="009F0DED"/>
    <w:rsid w:val="00A857C4"/>
    <w:rsid w:val="00AB757E"/>
    <w:rsid w:val="00AE035B"/>
    <w:rsid w:val="00B44B50"/>
    <w:rsid w:val="00B56A9F"/>
    <w:rsid w:val="00B84F11"/>
    <w:rsid w:val="00BB4A57"/>
    <w:rsid w:val="00BC0C36"/>
    <w:rsid w:val="00C07126"/>
    <w:rsid w:val="00C12010"/>
    <w:rsid w:val="00C457D0"/>
    <w:rsid w:val="00C93BB4"/>
    <w:rsid w:val="00D003DB"/>
    <w:rsid w:val="00D22A42"/>
    <w:rsid w:val="00D950F5"/>
    <w:rsid w:val="00E31977"/>
    <w:rsid w:val="00E40594"/>
    <w:rsid w:val="00E722C8"/>
    <w:rsid w:val="00E7722B"/>
    <w:rsid w:val="00EA6D07"/>
    <w:rsid w:val="00EB02CF"/>
    <w:rsid w:val="00EE54F5"/>
    <w:rsid w:val="00F0691E"/>
    <w:rsid w:val="00F878B4"/>
    <w:rsid w:val="00FF07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4C5DB"/>
  <w15:chartTrackingRefBased/>
  <w15:docId w15:val="{7061980B-63E4-5B4F-A5DD-3875C9B72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3797"/>
  </w:style>
  <w:style w:type="paragraph" w:styleId="Heading1">
    <w:name w:val="heading 1"/>
    <w:basedOn w:val="Normal"/>
    <w:next w:val="Normal"/>
    <w:link w:val="Heading1Char"/>
    <w:uiPriority w:val="9"/>
    <w:qFormat/>
    <w:rsid w:val="00D950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50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50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50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50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50F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50F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50F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50F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50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50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50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50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50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50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50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50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50F5"/>
    <w:rPr>
      <w:rFonts w:eastAsiaTheme="majorEastAsia" w:cstheme="majorBidi"/>
      <w:color w:val="272727" w:themeColor="text1" w:themeTint="D8"/>
    </w:rPr>
  </w:style>
  <w:style w:type="paragraph" w:styleId="Title">
    <w:name w:val="Title"/>
    <w:basedOn w:val="Normal"/>
    <w:next w:val="Normal"/>
    <w:link w:val="TitleChar"/>
    <w:uiPriority w:val="10"/>
    <w:qFormat/>
    <w:rsid w:val="00D950F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50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50F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50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50F5"/>
    <w:pPr>
      <w:spacing w:before="160"/>
      <w:jc w:val="center"/>
    </w:pPr>
    <w:rPr>
      <w:i/>
      <w:iCs/>
      <w:color w:val="404040" w:themeColor="text1" w:themeTint="BF"/>
    </w:rPr>
  </w:style>
  <w:style w:type="character" w:customStyle="1" w:styleId="QuoteChar">
    <w:name w:val="Quote Char"/>
    <w:basedOn w:val="DefaultParagraphFont"/>
    <w:link w:val="Quote"/>
    <w:uiPriority w:val="29"/>
    <w:rsid w:val="00D950F5"/>
    <w:rPr>
      <w:i/>
      <w:iCs/>
      <w:color w:val="404040" w:themeColor="text1" w:themeTint="BF"/>
    </w:rPr>
  </w:style>
  <w:style w:type="paragraph" w:styleId="ListParagraph">
    <w:name w:val="List Paragraph"/>
    <w:basedOn w:val="Normal"/>
    <w:uiPriority w:val="34"/>
    <w:qFormat/>
    <w:rsid w:val="00D950F5"/>
    <w:pPr>
      <w:ind w:left="720"/>
      <w:contextualSpacing/>
    </w:pPr>
  </w:style>
  <w:style w:type="character" w:styleId="IntenseEmphasis">
    <w:name w:val="Intense Emphasis"/>
    <w:basedOn w:val="DefaultParagraphFont"/>
    <w:uiPriority w:val="21"/>
    <w:qFormat/>
    <w:rsid w:val="00D950F5"/>
    <w:rPr>
      <w:i/>
      <w:iCs/>
      <w:color w:val="0F4761" w:themeColor="accent1" w:themeShade="BF"/>
    </w:rPr>
  </w:style>
  <w:style w:type="paragraph" w:styleId="IntenseQuote">
    <w:name w:val="Intense Quote"/>
    <w:basedOn w:val="Normal"/>
    <w:next w:val="Normal"/>
    <w:link w:val="IntenseQuoteChar"/>
    <w:uiPriority w:val="30"/>
    <w:qFormat/>
    <w:rsid w:val="00D950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50F5"/>
    <w:rPr>
      <w:i/>
      <w:iCs/>
      <w:color w:val="0F4761" w:themeColor="accent1" w:themeShade="BF"/>
    </w:rPr>
  </w:style>
  <w:style w:type="character" w:styleId="IntenseReference">
    <w:name w:val="Intense Reference"/>
    <w:basedOn w:val="DefaultParagraphFont"/>
    <w:uiPriority w:val="32"/>
    <w:qFormat/>
    <w:rsid w:val="00D950F5"/>
    <w:rPr>
      <w:b/>
      <w:bCs/>
      <w:smallCaps/>
      <w:color w:val="0F4761" w:themeColor="accent1" w:themeShade="BF"/>
      <w:spacing w:val="5"/>
    </w:rPr>
  </w:style>
  <w:style w:type="paragraph" w:styleId="NormalWeb">
    <w:name w:val="Normal (Web)"/>
    <w:basedOn w:val="Normal"/>
    <w:uiPriority w:val="99"/>
    <w:unhideWhenUsed/>
    <w:rsid w:val="00D950F5"/>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D950F5"/>
  </w:style>
  <w:style w:type="character" w:styleId="Strong">
    <w:name w:val="Strong"/>
    <w:basedOn w:val="DefaultParagraphFont"/>
    <w:uiPriority w:val="22"/>
    <w:qFormat/>
    <w:rsid w:val="00D950F5"/>
    <w:rPr>
      <w:b/>
      <w:bCs/>
    </w:rPr>
  </w:style>
  <w:style w:type="paragraph" w:styleId="Header">
    <w:name w:val="header"/>
    <w:basedOn w:val="Normal"/>
    <w:link w:val="HeaderChar"/>
    <w:uiPriority w:val="99"/>
    <w:unhideWhenUsed/>
    <w:rsid w:val="00D950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50F5"/>
  </w:style>
  <w:style w:type="paragraph" w:styleId="Footer">
    <w:name w:val="footer"/>
    <w:basedOn w:val="Normal"/>
    <w:link w:val="FooterChar"/>
    <w:uiPriority w:val="99"/>
    <w:unhideWhenUsed/>
    <w:rsid w:val="00D950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0F5"/>
  </w:style>
  <w:style w:type="character" w:styleId="PageNumber">
    <w:name w:val="page number"/>
    <w:basedOn w:val="DefaultParagraphFont"/>
    <w:uiPriority w:val="99"/>
    <w:semiHidden/>
    <w:unhideWhenUsed/>
    <w:rsid w:val="00D950F5"/>
  </w:style>
  <w:style w:type="table" w:styleId="TableGrid">
    <w:name w:val="Table Grid"/>
    <w:basedOn w:val="TableNormal"/>
    <w:uiPriority w:val="39"/>
    <w:rsid w:val="00752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5516D"/>
    <w:rPr>
      <w:i/>
      <w:iCs/>
    </w:rPr>
  </w:style>
  <w:style w:type="character" w:styleId="Hyperlink">
    <w:name w:val="Hyperlink"/>
    <w:basedOn w:val="DefaultParagraphFont"/>
    <w:uiPriority w:val="99"/>
    <w:semiHidden/>
    <w:unhideWhenUsed/>
    <w:rsid w:val="00973BAF"/>
    <w:rPr>
      <w:color w:val="0000FF"/>
      <w:u w:val="single"/>
    </w:rPr>
  </w:style>
  <w:style w:type="paragraph" w:customStyle="1" w:styleId="codex-docx-previewheading1">
    <w:name w:val="codex-docx-preview_heading1"/>
    <w:basedOn w:val="Normal"/>
    <w:rsid w:val="00B84F11"/>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codex-docx-previewheading2">
    <w:name w:val="codex-docx-preview_heading2"/>
    <w:basedOn w:val="Normal"/>
    <w:rsid w:val="00B84F11"/>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codex-docx-previewcaption">
    <w:name w:val="codex-docx-preview_caption"/>
    <w:basedOn w:val="Normal"/>
    <w:rsid w:val="00B84F11"/>
    <w:pPr>
      <w:spacing w:before="100" w:beforeAutospacing="1" w:after="100" w:afterAutospacing="1" w:line="240" w:lineRule="auto"/>
    </w:pPr>
    <w:rPr>
      <w:rFonts w:ascii="Times New Roman" w:eastAsia="Times New Roman" w:hAnsi="Times New Roman" w:cs="Times New Roman"/>
      <w:kern w:val="0"/>
      <w14:ligatures w14:val="none"/>
    </w:rPr>
  </w:style>
  <w:style w:type="paragraph" w:customStyle="1" w:styleId="codex-docx-previewheading3">
    <w:name w:val="codex-docx-preview_heading3"/>
    <w:basedOn w:val="Normal"/>
    <w:rsid w:val="00B84F11"/>
    <w:pPr>
      <w:spacing w:before="100" w:beforeAutospacing="1" w:after="100" w:afterAutospacing="1" w:line="240" w:lineRule="auto"/>
    </w:pPr>
    <w:rPr>
      <w:rFonts w:ascii="Times New Roman" w:eastAsia="Times New Roman" w:hAnsi="Times New Roman" w:cs="Times New Roman"/>
      <w:kern w:val="0"/>
      <w14:ligatures w14:val="none"/>
    </w:rPr>
  </w:style>
  <w:style w:type="table" w:styleId="TableGridLight">
    <w:name w:val="Grid Table Light"/>
    <w:basedOn w:val="TableNormal"/>
    <w:uiPriority w:val="40"/>
    <w:rsid w:val="00B84F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
    <w:name w:val="Grid Table 1 Light"/>
    <w:basedOn w:val="TableNormal"/>
    <w:uiPriority w:val="46"/>
    <w:rsid w:val="00B84F1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84F11"/>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yperlink" Target="https://doi.org/10.2307/2666999" TargetMode="External" /><Relationship Id="rId26" Type="http://schemas.openxmlformats.org/officeDocument/2006/relationships/hyperlink" Target="https://doi.org/10.1177/0956797617739704" TargetMode="External" /><Relationship Id="rId3" Type="http://schemas.openxmlformats.org/officeDocument/2006/relationships/settings" Target="settings.xml" /><Relationship Id="rId21" Type="http://schemas.openxmlformats.org/officeDocument/2006/relationships/hyperlink" Target="https://doi.org/10.1016/j.apnr.2025.151946" TargetMode="Externa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doi.org/10.1016/j.hrmr.2009.04.001" TargetMode="External" /><Relationship Id="rId25" Type="http://schemas.openxmlformats.org/officeDocument/2006/relationships/hyperlink" Target="https://doi.org/10.3389/fpsyg.2023.1261564" TargetMode="External" /><Relationship Id="rId2" Type="http://schemas.openxmlformats.org/officeDocument/2006/relationships/styles" Target="styles.xml" /><Relationship Id="rId16" Type="http://schemas.openxmlformats.org/officeDocument/2006/relationships/hyperlink" Target="https://doi.org/10.1016/j.hrmr.2021.100854" TargetMode="External" /><Relationship Id="rId20" Type="http://schemas.openxmlformats.org/officeDocument/2006/relationships/hyperlink" Target="https://doi.org/10.1016/j.hrmr.2022.100926" TargetMode="External" /><Relationship Id="rId29" Type="http://schemas.openxmlformats.org/officeDocument/2006/relationships/header" Target="head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png" /><Relationship Id="rId24" Type="http://schemas.openxmlformats.org/officeDocument/2006/relationships/hyperlink" Target="https://doi.org/10.1108/SHR-12-2016-0108" TargetMode="External" /><Relationship Id="rId5" Type="http://schemas.openxmlformats.org/officeDocument/2006/relationships/footnotes" Target="footnotes.xml" /><Relationship Id="rId15" Type="http://schemas.openxmlformats.org/officeDocument/2006/relationships/image" Target="media/image9.png" /><Relationship Id="rId23" Type="http://schemas.openxmlformats.org/officeDocument/2006/relationships/hyperlink" Target="https://doi.org/10.1108/TPM-07-2021-0049" TargetMode="External" /><Relationship Id="rId28" Type="http://schemas.openxmlformats.org/officeDocument/2006/relationships/header" Target="header1.xml" /><Relationship Id="rId10" Type="http://schemas.openxmlformats.org/officeDocument/2006/relationships/image" Target="media/image4.png" /><Relationship Id="rId19" Type="http://schemas.openxmlformats.org/officeDocument/2006/relationships/hyperlink" Target="https://doi.org/10.1016/0030-5073(76)90016-7" TargetMode="External" /><Relationship Id="rId31"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hyperlink" Target="https://doi.org/10.1111/apps.12241" TargetMode="External" /><Relationship Id="rId27" Type="http://schemas.openxmlformats.org/officeDocument/2006/relationships/hyperlink" Target="https://doi.org/10.1038/s41562-021-01196-4" TargetMode="External" /><Relationship Id="rId30"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3666</Words>
  <Characters>20898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Dhyani, Rohit (Student)</dc:creator>
  <cp:keywords/>
  <dc:description/>
  <cp:lastModifiedBy>Hiren Nathabhai Timba (2611854)</cp:lastModifiedBy>
  <cp:revision>2</cp:revision>
  <dcterms:created xsi:type="dcterms:W3CDTF">2026-10-14T12:13:00Z</dcterms:created>
  <dcterms:modified xsi:type="dcterms:W3CDTF">2026-10-14T12:13:00Z</dcterms:modified>
</cp:coreProperties>
</file>