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7CD40F" w14:textId="77777777" w:rsidR="001332C4" w:rsidRPr="007D6044" w:rsidRDefault="006B65CD" w:rsidP="007D6044">
      <w:pPr>
        <w:jc w:val="center"/>
        <w:rPr>
          <w:b/>
          <w:u w:val="single"/>
          <w:lang w:val="en"/>
        </w:rPr>
      </w:pPr>
      <w:r w:rsidRPr="007D6044">
        <w:rPr>
          <w:b/>
          <w:u w:val="single"/>
        </w:rPr>
        <w:t xml:space="preserve">Problems associated with the Archers of Classical Athens in response to </w:t>
      </w:r>
      <w:r w:rsidR="001332C4" w:rsidRPr="007D6044">
        <w:rPr>
          <w:b/>
          <w:u w:val="single"/>
          <w:lang w:val="en"/>
        </w:rPr>
        <w:t xml:space="preserve">Pritchard, D.M. 2018 ‘The Archers of Classical Athens’, </w:t>
      </w:r>
      <w:r w:rsidR="001332C4" w:rsidRPr="007D6044">
        <w:rPr>
          <w:b/>
          <w:i/>
          <w:u w:val="single"/>
          <w:lang w:val="en"/>
        </w:rPr>
        <w:t xml:space="preserve">Greece and Rome, </w:t>
      </w:r>
      <w:r w:rsidR="001332C4" w:rsidRPr="007D6044">
        <w:rPr>
          <w:b/>
          <w:u w:val="single"/>
          <w:lang w:val="en"/>
        </w:rPr>
        <w:t>65. 86-102</w:t>
      </w:r>
    </w:p>
    <w:p w14:paraId="4B230234" w14:textId="77777777" w:rsidR="00757538" w:rsidRPr="00757538" w:rsidRDefault="00757538" w:rsidP="009F0EF6">
      <w:pPr>
        <w:spacing w:line="480" w:lineRule="auto"/>
        <w:rPr>
          <w:sz w:val="10"/>
        </w:rPr>
      </w:pPr>
    </w:p>
    <w:p w14:paraId="193A53DE" w14:textId="66C91477" w:rsidR="00DA5576" w:rsidRDefault="00DA5576" w:rsidP="009F0EF6">
      <w:pPr>
        <w:spacing w:line="480" w:lineRule="auto"/>
      </w:pPr>
      <w:r>
        <w:t>The purpose of this reply is to discuss the article ‘The Archers of Classical Athens’ by David Pritchard, the article discusses what he deems to be the unresol</w:t>
      </w:r>
      <w:r w:rsidR="00931545">
        <w:t>ved issues associated with the a</w:t>
      </w:r>
      <w:r>
        <w:t xml:space="preserve">rcher corps of Classical Athens, presenting potential resolutions to these issues. </w:t>
      </w:r>
    </w:p>
    <w:p w14:paraId="29768467" w14:textId="40A96585" w:rsidR="00572E3C" w:rsidRDefault="00DA5576" w:rsidP="009F0EF6">
      <w:pPr>
        <w:spacing w:line="480" w:lineRule="auto"/>
      </w:pPr>
      <w:r>
        <w:t>The four main issues he presents with this branch of the Athenian military is the primary fact Athens took an unprecedented step in the development of troop organisation in the formation of this branch</w:t>
      </w:r>
      <w:r w:rsidR="005D7E27">
        <w:rPr>
          <w:rStyle w:val="FootnoteReference"/>
        </w:rPr>
        <w:footnoteReference w:id="1"/>
      </w:r>
      <w:r>
        <w:t xml:space="preserve"> and the fact its regulation deviates from the other branches within their own military</w:t>
      </w:r>
      <w:r w:rsidR="005D7E27">
        <w:rPr>
          <w:rStyle w:val="FootnoteReference"/>
        </w:rPr>
        <w:footnoteReference w:id="2"/>
      </w:r>
      <w:r>
        <w:t>. Secondly he</w:t>
      </w:r>
      <w:r w:rsidR="00931545">
        <w:t xml:space="preserve"> highlights the prejudices the a</w:t>
      </w:r>
      <w:r>
        <w:t>rchers faced due to the ov</w:t>
      </w:r>
      <w:r w:rsidR="00931545">
        <w:t>er glorified reputation of the h</w:t>
      </w:r>
      <w:r>
        <w:t>oplite role</w:t>
      </w:r>
      <w:r w:rsidR="005D7E27">
        <w:rPr>
          <w:rStyle w:val="FootnoteReference"/>
        </w:rPr>
        <w:footnoteReference w:id="3"/>
      </w:r>
      <w:r>
        <w:t xml:space="preserve"> and how this was effected by the Athenian </w:t>
      </w:r>
      <w:r w:rsidR="00931545">
        <w:t>c</w:t>
      </w:r>
      <w:r>
        <w:t>it</w:t>
      </w:r>
      <w:r w:rsidR="00931545">
        <w:t>izenry also serving within the a</w:t>
      </w:r>
      <w:r>
        <w:t>rcher corps</w:t>
      </w:r>
      <w:r w:rsidR="005D7E27">
        <w:rPr>
          <w:rStyle w:val="FootnoteReference"/>
        </w:rPr>
        <w:footnoteReference w:id="4"/>
      </w:r>
      <w:r>
        <w:t xml:space="preserve">. He explains how the traditional method of regulating military forces through their tribes does not work with the </w:t>
      </w:r>
      <w:r w:rsidR="00931545">
        <w:t>a</w:t>
      </w:r>
      <w:r>
        <w:t>rchers due to the fact that metics and foreigners could also serve within this corps</w:t>
      </w:r>
      <w:r w:rsidR="005D7E27">
        <w:rPr>
          <w:rStyle w:val="FootnoteReference"/>
        </w:rPr>
        <w:footnoteReference w:id="5"/>
      </w:r>
      <w:r>
        <w:t xml:space="preserve"> and the tribes were a citizen right not open to metics and others</w:t>
      </w:r>
      <w:r w:rsidR="005D7E27">
        <w:rPr>
          <w:rStyle w:val="FootnoteReference"/>
        </w:rPr>
        <w:footnoteReference w:id="6"/>
      </w:r>
      <w:r>
        <w:t>. The final issue he presents is the fact that the archer corps disappeared after eighty years of its creation</w:t>
      </w:r>
      <w:r w:rsidR="005D7E27">
        <w:rPr>
          <w:rStyle w:val="FootnoteReference"/>
        </w:rPr>
        <w:footnoteReference w:id="7"/>
      </w:r>
      <w:r>
        <w:t>, proposing the reasoning for this to be financial</w:t>
      </w:r>
      <w:r w:rsidR="005D7E27">
        <w:rPr>
          <w:rStyle w:val="FootnoteReference"/>
        </w:rPr>
        <w:footnoteReference w:id="8"/>
      </w:r>
      <w:r>
        <w:t xml:space="preserve">. </w:t>
      </w:r>
    </w:p>
    <w:p w14:paraId="591D8714" w14:textId="63BC6CE5" w:rsidR="004618CD" w:rsidRPr="004618CD" w:rsidRDefault="004618CD" w:rsidP="009F0EF6">
      <w:pPr>
        <w:spacing w:line="480" w:lineRule="auto"/>
      </w:pPr>
      <w:r>
        <w:t xml:space="preserve">The text focuses on the Peloponnesian </w:t>
      </w:r>
      <w:r w:rsidR="00931545">
        <w:t>w</w:t>
      </w:r>
      <w:r>
        <w:t>ar as a starting point for the history of this archer corps</w:t>
      </w:r>
      <w:r w:rsidR="005D7E27">
        <w:rPr>
          <w:rStyle w:val="FootnoteReference"/>
        </w:rPr>
        <w:footnoteReference w:id="9"/>
      </w:r>
      <w:r>
        <w:t>, however some debates of the dates are discussed, he cites the works of Thucydides</w:t>
      </w:r>
      <w:r w:rsidR="005D7E27">
        <w:rPr>
          <w:rStyle w:val="FootnoteReference"/>
        </w:rPr>
        <w:footnoteReference w:id="10"/>
      </w:r>
      <w:r>
        <w:t xml:space="preserve"> and Andocides</w:t>
      </w:r>
      <w:r w:rsidR="005D7E27">
        <w:rPr>
          <w:rStyle w:val="FootnoteReference"/>
        </w:rPr>
        <w:footnoteReference w:id="11"/>
      </w:r>
      <w:r>
        <w:t xml:space="preserve"> however considers the discussion that Andocides’ works are rife with inaccuracy</w:t>
      </w:r>
      <w:r w:rsidR="005D7E27">
        <w:rPr>
          <w:rStyle w:val="FootnoteReference"/>
        </w:rPr>
        <w:footnoteReference w:id="12"/>
      </w:r>
      <w:r>
        <w:t xml:space="preserve">, making the source difficult to take at </w:t>
      </w:r>
      <w:r w:rsidR="00CC5582">
        <w:t xml:space="preserve">face </w:t>
      </w:r>
      <w:r>
        <w:t xml:space="preserve">value, the correlation within the recordings of Thucydides </w:t>
      </w:r>
      <w:r>
        <w:lastRenderedPageBreak/>
        <w:t xml:space="preserve">however does make for a more stable argument point that the </w:t>
      </w:r>
      <w:r w:rsidR="00931545">
        <w:t>a</w:t>
      </w:r>
      <w:r>
        <w:t>rcher corps was developed over two stages</w:t>
      </w:r>
      <w:r w:rsidR="005D7E27">
        <w:rPr>
          <w:rStyle w:val="FootnoteReference"/>
        </w:rPr>
        <w:footnoteReference w:id="13"/>
      </w:r>
      <w:r>
        <w:t>.</w:t>
      </w:r>
    </w:p>
    <w:p w14:paraId="3168CB3F" w14:textId="37372FF2" w:rsidR="00572E3C" w:rsidRPr="001332C4" w:rsidRDefault="00572E3C" w:rsidP="009F0EF6">
      <w:pPr>
        <w:spacing w:line="480" w:lineRule="auto"/>
        <w:rPr>
          <w:rFonts w:cstheme="minorHAnsi"/>
          <w:b/>
          <w:u w:val="single"/>
        </w:rPr>
      </w:pPr>
      <w:r w:rsidRPr="00CC5582">
        <w:rPr>
          <w:rFonts w:cstheme="minorHAnsi"/>
        </w:rPr>
        <w:t>The arguments he presents are interesting</w:t>
      </w:r>
      <w:r w:rsidR="00931545">
        <w:rPr>
          <w:rFonts w:cstheme="minorHAnsi"/>
        </w:rPr>
        <w:t xml:space="preserve"> in discussion on the topic of a</w:t>
      </w:r>
      <w:r w:rsidRPr="00CC5582">
        <w:rPr>
          <w:rFonts w:cstheme="minorHAnsi"/>
        </w:rPr>
        <w:t>rchers in Athens however, the article also focuses on aspects which are very difficult to explain and does not analyse the secondary issues he has identified to a fuller extent, so while I am inclined to agree with the m</w:t>
      </w:r>
      <w:r w:rsidR="00AC1030">
        <w:rPr>
          <w:rFonts w:cstheme="minorHAnsi"/>
        </w:rPr>
        <w:t>ajority of the m</w:t>
      </w:r>
      <w:r w:rsidRPr="00CC5582">
        <w:rPr>
          <w:rFonts w:cstheme="minorHAnsi"/>
        </w:rPr>
        <w:t>ain arguments he had presented, the overall article also omits what I consider to be key discussion points.</w:t>
      </w:r>
      <w:r w:rsidR="00CC5582" w:rsidRPr="001332C4">
        <w:rPr>
          <w:rFonts w:cstheme="minorHAnsi"/>
        </w:rPr>
        <w:t xml:space="preserve"> </w:t>
      </w:r>
      <w:r w:rsidRPr="001332C4">
        <w:rPr>
          <w:rFonts w:cstheme="minorHAnsi"/>
        </w:rPr>
        <w:t>The issue with this is the lack of evidence, in modern scholarship he highlights that this topic is not as well discussed</w:t>
      </w:r>
      <w:r w:rsidR="00931545">
        <w:rPr>
          <w:rFonts w:cstheme="minorHAnsi"/>
        </w:rPr>
        <w:t xml:space="preserve"> in comparison to the works on h</w:t>
      </w:r>
      <w:r w:rsidRPr="001332C4">
        <w:rPr>
          <w:rFonts w:cstheme="minorHAnsi"/>
        </w:rPr>
        <w:t>oplites and the cavalry</w:t>
      </w:r>
      <w:r w:rsidR="005D7E27">
        <w:rPr>
          <w:rStyle w:val="FootnoteReference"/>
          <w:rFonts w:cstheme="minorHAnsi"/>
        </w:rPr>
        <w:footnoteReference w:id="14"/>
      </w:r>
      <w:r w:rsidRPr="001332C4">
        <w:rPr>
          <w:rFonts w:cstheme="minorHAnsi"/>
        </w:rPr>
        <w:t>, this presents difficulty as we rely solely on interpretations of the surviving ancient source material and do not have a large amount of discussions previously documented to work with.</w:t>
      </w:r>
    </w:p>
    <w:p w14:paraId="5C1F7BE0" w14:textId="7557B1D0" w:rsidR="006B65CD" w:rsidRDefault="00572E3C" w:rsidP="009F0EF6">
      <w:pPr>
        <w:spacing w:line="480" w:lineRule="auto"/>
        <w:rPr>
          <w:rFonts w:cstheme="minorHAnsi"/>
        </w:rPr>
      </w:pPr>
      <w:r w:rsidRPr="00CC5582">
        <w:rPr>
          <w:rFonts w:cstheme="minorHAnsi"/>
        </w:rPr>
        <w:t>Due primarily to the lack of evidence to support his resolutions, I would be inclined to respond negatively to this article</w:t>
      </w:r>
      <w:r w:rsidR="00CC5582">
        <w:rPr>
          <w:rFonts w:cstheme="minorHAnsi"/>
        </w:rPr>
        <w:t xml:space="preserve"> while I agree with his arguments for the majority of his article</w:t>
      </w:r>
      <w:r w:rsidRPr="00CC5582">
        <w:rPr>
          <w:rFonts w:cstheme="minorHAnsi"/>
        </w:rPr>
        <w:t xml:space="preserve">, </w:t>
      </w:r>
      <w:r w:rsidR="00CC5582">
        <w:rPr>
          <w:rFonts w:cstheme="minorHAnsi"/>
        </w:rPr>
        <w:t xml:space="preserve">so the purpose of this reply is to provide further evidence to support his conclusions while highlighting areas he has omitted which would make the article a stronger basis for argument. </w:t>
      </w:r>
    </w:p>
    <w:p w14:paraId="5529E511" w14:textId="56304606" w:rsidR="006B65CD" w:rsidRPr="001332C4" w:rsidRDefault="009B4FCE" w:rsidP="009F0EF6">
      <w:pPr>
        <w:spacing w:line="480" w:lineRule="auto"/>
        <w:rPr>
          <w:rFonts w:cstheme="minorHAnsi"/>
          <w:b/>
          <w:i/>
        </w:rPr>
      </w:pPr>
      <w:r>
        <w:rPr>
          <w:rFonts w:cstheme="minorHAnsi"/>
        </w:rPr>
        <w:t xml:space="preserve">The first issue is one of Athens taking an unprecedented </w:t>
      </w:r>
      <w:r w:rsidR="000F45DA">
        <w:rPr>
          <w:rFonts w:cstheme="minorHAnsi"/>
        </w:rPr>
        <w:t>step in the development of the a</w:t>
      </w:r>
      <w:r>
        <w:rPr>
          <w:rFonts w:cstheme="minorHAnsi"/>
        </w:rPr>
        <w:t xml:space="preserve">rcher corps, this issue can be discussed as a matter of perspective, all initiatives, both ancient and modern have to be unprecedented at some stage. That is what allows a polis to develop. An example of this is the development of the </w:t>
      </w:r>
      <w:r>
        <w:t>Lacedaemonian</w:t>
      </w:r>
      <w:r>
        <w:rPr>
          <w:rFonts w:cstheme="minorHAnsi"/>
        </w:rPr>
        <w:t xml:space="preserve"> constitution that implemented the </w:t>
      </w:r>
      <w:r w:rsidR="00AC1030">
        <w:rPr>
          <w:rFonts w:cstheme="minorHAnsi"/>
        </w:rPr>
        <w:t>rhetera that tempered the civil population under Lycurgus</w:t>
      </w:r>
      <w:r w:rsidR="00AC1030">
        <w:rPr>
          <w:rStyle w:val="FootnoteReference"/>
          <w:rFonts w:cstheme="minorHAnsi"/>
        </w:rPr>
        <w:footnoteReference w:id="15"/>
      </w:r>
      <w:r>
        <w:rPr>
          <w:rFonts w:cstheme="minorHAnsi"/>
        </w:rPr>
        <w:t>. My issue with this argument is that it is difficult to determine where the Athenians came to the idea of an archer corps, in this instance I would discount this as an issue</w:t>
      </w:r>
      <w:r w:rsidR="00AC1030">
        <w:rPr>
          <w:rFonts w:cstheme="minorHAnsi"/>
        </w:rPr>
        <w:t xml:space="preserve"> and focus more on the issues faced by member of this corps.</w:t>
      </w:r>
    </w:p>
    <w:p w14:paraId="63823ACD" w14:textId="65D4E620" w:rsidR="006B65CD" w:rsidRDefault="00895AE9" w:rsidP="009F0EF6">
      <w:pPr>
        <w:spacing w:line="480" w:lineRule="auto"/>
        <w:rPr>
          <w:rFonts w:cstheme="minorHAnsi"/>
        </w:rPr>
      </w:pPr>
      <w:r>
        <w:rPr>
          <w:rFonts w:cstheme="minorHAnsi"/>
        </w:rPr>
        <w:lastRenderedPageBreak/>
        <w:t xml:space="preserve">The issue surrounding the Athenian citizenry serving as archers in their corps can be broken down into sections. The primary issue facing an Athenian citizen on service as an archer is the </w:t>
      </w:r>
      <w:r w:rsidR="00CB540F">
        <w:rPr>
          <w:rFonts w:cstheme="minorHAnsi"/>
        </w:rPr>
        <w:t>prejudice</w:t>
      </w:r>
      <w:r>
        <w:rPr>
          <w:rFonts w:cstheme="minorHAnsi"/>
        </w:rPr>
        <w:t xml:space="preserve"> he would face within society for doing so. A number of ancient sources discuss the difference in esteem in which the </w:t>
      </w:r>
      <w:r w:rsidR="00931545">
        <w:rPr>
          <w:rFonts w:cstheme="minorHAnsi"/>
        </w:rPr>
        <w:t>a</w:t>
      </w:r>
      <w:r>
        <w:rPr>
          <w:rFonts w:cstheme="minorHAnsi"/>
        </w:rPr>
        <w:t>rchers are held in compari</w:t>
      </w:r>
      <w:r w:rsidR="00931545">
        <w:rPr>
          <w:rFonts w:cstheme="minorHAnsi"/>
        </w:rPr>
        <w:t>son to the soldiers serving as h</w:t>
      </w:r>
      <w:r>
        <w:rPr>
          <w:rFonts w:cstheme="minorHAnsi"/>
        </w:rPr>
        <w:t>oplites, with play writes such as Aristophanes using the archers as the personification of long running jokes within their works</w:t>
      </w:r>
      <w:r>
        <w:rPr>
          <w:rStyle w:val="FootnoteReference"/>
          <w:rFonts w:cstheme="minorHAnsi"/>
        </w:rPr>
        <w:footnoteReference w:id="16"/>
      </w:r>
      <w:r>
        <w:rPr>
          <w:rFonts w:cstheme="minorHAnsi"/>
        </w:rPr>
        <w:t xml:space="preserve">. It came down to, essentially, a debate over which was a </w:t>
      </w:r>
      <w:r w:rsidR="00670328">
        <w:rPr>
          <w:rFonts w:cstheme="minorHAnsi"/>
        </w:rPr>
        <w:t>more courageous role, with the h</w:t>
      </w:r>
      <w:r>
        <w:rPr>
          <w:rFonts w:cstheme="minorHAnsi"/>
        </w:rPr>
        <w:t xml:space="preserve">oplites regularly engaging in one to one combat, it is easy to see why the common people of </w:t>
      </w:r>
      <w:r w:rsidR="00931545">
        <w:rPr>
          <w:rFonts w:cstheme="minorHAnsi"/>
        </w:rPr>
        <w:t>the Athenian citizenry saw the a</w:t>
      </w:r>
      <w:r>
        <w:rPr>
          <w:rFonts w:cstheme="minorHAnsi"/>
        </w:rPr>
        <w:t>rchers as cowardly for their use of long ranged weaponry and the need to retreat safe distances from the enemy advance</w:t>
      </w:r>
      <w:r w:rsidR="000F45DA">
        <w:rPr>
          <w:rStyle w:val="FootnoteReference"/>
          <w:rFonts w:cstheme="minorHAnsi"/>
        </w:rPr>
        <w:footnoteReference w:id="17"/>
      </w:r>
      <w:r>
        <w:rPr>
          <w:rFonts w:cstheme="minorHAnsi"/>
        </w:rPr>
        <w:t xml:space="preserve">, </w:t>
      </w:r>
      <w:r w:rsidR="00D842E2">
        <w:rPr>
          <w:rFonts w:cstheme="minorHAnsi"/>
        </w:rPr>
        <w:t>Van Wees discusses the representation of archers in the Iliad to be hiding behind the shields of those heavily armoured as a part of a single unit however, in these cases there is little evidence suggesting that the archer corps was either integrated into the main body of the Athenian military or in completely separate units</w:t>
      </w:r>
      <w:r w:rsidR="00D842E2">
        <w:rPr>
          <w:rStyle w:val="FootnoteReference"/>
          <w:rFonts w:cstheme="minorHAnsi"/>
        </w:rPr>
        <w:footnoteReference w:id="18"/>
      </w:r>
      <w:r w:rsidR="00D842E2">
        <w:rPr>
          <w:rFonts w:cstheme="minorHAnsi"/>
        </w:rPr>
        <w:t>.</w:t>
      </w:r>
      <w:r w:rsidR="00D842E2">
        <w:rPr>
          <w:rFonts w:cstheme="minorHAnsi"/>
        </w:rPr>
        <w:t xml:space="preserve"> </w:t>
      </w:r>
      <w:r>
        <w:rPr>
          <w:rFonts w:cstheme="minorHAnsi"/>
        </w:rPr>
        <w:t>Pritchard</w:t>
      </w:r>
      <w:r w:rsidR="00D842E2">
        <w:rPr>
          <w:rFonts w:cstheme="minorHAnsi"/>
        </w:rPr>
        <w:t xml:space="preserve"> also</w:t>
      </w:r>
      <w:r>
        <w:rPr>
          <w:rFonts w:cstheme="minorHAnsi"/>
        </w:rPr>
        <w:t xml:space="preserve"> discusses this very issue in the sense that the play wri</w:t>
      </w:r>
      <w:r w:rsidR="00CB540F">
        <w:rPr>
          <w:rFonts w:cstheme="minorHAnsi"/>
        </w:rPr>
        <w:t>tes represent the views of the T</w:t>
      </w:r>
      <w:r>
        <w:rPr>
          <w:rFonts w:cstheme="minorHAnsi"/>
        </w:rPr>
        <w:t>hetes and not the elite of the citizenry who understand the military applications of the Archer corps</w:t>
      </w:r>
      <w:r w:rsidR="000F45DA">
        <w:rPr>
          <w:rStyle w:val="FootnoteReference"/>
          <w:rFonts w:cstheme="minorHAnsi"/>
        </w:rPr>
        <w:footnoteReference w:id="19"/>
      </w:r>
      <w:r>
        <w:rPr>
          <w:rFonts w:cstheme="minorHAnsi"/>
        </w:rPr>
        <w:t xml:space="preserve">, especially on board triremes in advance of the war against Persia. </w:t>
      </w:r>
      <w:r w:rsidR="00B054FB">
        <w:rPr>
          <w:rFonts w:cstheme="minorHAnsi"/>
        </w:rPr>
        <w:t>This issue has been highlighted by other modern authors including Van Wees who discusses the representation of archers in other classical plays</w:t>
      </w:r>
      <w:r w:rsidR="00B054FB">
        <w:rPr>
          <w:rStyle w:val="FootnoteReference"/>
          <w:rFonts w:cstheme="minorHAnsi"/>
        </w:rPr>
        <w:footnoteReference w:id="20"/>
      </w:r>
      <w:r w:rsidR="00B054FB">
        <w:rPr>
          <w:rFonts w:cstheme="minorHAnsi"/>
        </w:rPr>
        <w:t xml:space="preserve">. </w:t>
      </w:r>
    </w:p>
    <w:p w14:paraId="31EFF4FD" w14:textId="073E1A32" w:rsidR="00895AE9" w:rsidRDefault="00895AE9" w:rsidP="009F0EF6">
      <w:pPr>
        <w:spacing w:line="480" w:lineRule="auto"/>
        <w:rPr>
          <w:rFonts w:cstheme="minorHAnsi"/>
        </w:rPr>
      </w:pPr>
      <w:r>
        <w:rPr>
          <w:rFonts w:cstheme="minorHAnsi"/>
        </w:rPr>
        <w:t xml:space="preserve">So why did the Athenian citizenry still become archers? This is a simple answer, money. The role of an archer was cheaper initially than that of a </w:t>
      </w:r>
      <w:r w:rsidR="00931545">
        <w:rPr>
          <w:rFonts w:cstheme="minorHAnsi"/>
        </w:rPr>
        <w:t>h</w:t>
      </w:r>
      <w:r>
        <w:rPr>
          <w:rFonts w:cstheme="minorHAnsi"/>
        </w:rPr>
        <w:t xml:space="preserve">oplite as the soldier did not need to provide himself with full armour, however, the argument </w:t>
      </w:r>
      <w:r w:rsidR="00B054FB">
        <w:rPr>
          <w:rFonts w:cstheme="minorHAnsi"/>
        </w:rPr>
        <w:t>is then</w:t>
      </w:r>
      <w:r>
        <w:rPr>
          <w:rFonts w:cstheme="minorHAnsi"/>
        </w:rPr>
        <w:t xml:space="preserve"> proposed; if they could not afford to </w:t>
      </w:r>
      <w:r w:rsidR="00931545">
        <w:rPr>
          <w:rFonts w:cstheme="minorHAnsi"/>
        </w:rPr>
        <w:t>be a hoplite, why did no</w:t>
      </w:r>
      <w:r>
        <w:rPr>
          <w:rFonts w:cstheme="minorHAnsi"/>
        </w:rPr>
        <w:t>t they just join the navy?</w:t>
      </w:r>
    </w:p>
    <w:p w14:paraId="04DB7E10" w14:textId="0B8AA187" w:rsidR="00895AE9" w:rsidRPr="00895AE9" w:rsidRDefault="00D842E2" w:rsidP="009F0EF6">
      <w:pPr>
        <w:spacing w:line="480" w:lineRule="auto"/>
        <w:rPr>
          <w:rFonts w:cstheme="minorHAnsi"/>
        </w:rPr>
      </w:pPr>
      <w:r>
        <w:rPr>
          <w:rFonts w:cstheme="minorHAnsi"/>
        </w:rPr>
        <w:t xml:space="preserve">The answer to these issues remain the same, money. </w:t>
      </w:r>
      <w:r w:rsidR="00895AE9">
        <w:rPr>
          <w:rFonts w:cstheme="minorHAnsi"/>
        </w:rPr>
        <w:t xml:space="preserve">Pritchard discusses the classical view that sailors, while not necessarily engaged in hand to hand combat in the same way the </w:t>
      </w:r>
      <w:r w:rsidR="00931545">
        <w:rPr>
          <w:rFonts w:cstheme="minorHAnsi"/>
        </w:rPr>
        <w:t>h</w:t>
      </w:r>
      <w:r w:rsidR="00895AE9">
        <w:rPr>
          <w:rFonts w:cstheme="minorHAnsi"/>
        </w:rPr>
        <w:t xml:space="preserve">oplites were, </w:t>
      </w:r>
      <w:r w:rsidR="00895AE9">
        <w:rPr>
          <w:rFonts w:cstheme="minorHAnsi"/>
        </w:rPr>
        <w:lastRenderedPageBreak/>
        <w:t>were still considered to be equal to them in courage</w:t>
      </w:r>
      <w:r w:rsidR="00CB540F">
        <w:rPr>
          <w:rStyle w:val="FootnoteReference"/>
          <w:rFonts w:cstheme="minorHAnsi"/>
        </w:rPr>
        <w:footnoteReference w:id="21"/>
      </w:r>
      <w:r w:rsidR="00895AE9">
        <w:rPr>
          <w:rFonts w:cstheme="minorHAnsi"/>
        </w:rPr>
        <w:t xml:space="preserve">. </w:t>
      </w:r>
      <w:r w:rsidR="00CB540F">
        <w:rPr>
          <w:rFonts w:cstheme="minorHAnsi"/>
        </w:rPr>
        <w:t>Sailors were paid only for the time they were on campaign</w:t>
      </w:r>
      <w:r w:rsidR="00CB540F">
        <w:rPr>
          <w:rStyle w:val="FootnoteReference"/>
          <w:rFonts w:cstheme="minorHAnsi"/>
        </w:rPr>
        <w:footnoteReference w:id="22"/>
      </w:r>
      <w:r w:rsidR="00931545">
        <w:rPr>
          <w:rFonts w:cstheme="minorHAnsi"/>
        </w:rPr>
        <w:t xml:space="preserve"> while a</w:t>
      </w:r>
      <w:r w:rsidR="00CB540F">
        <w:rPr>
          <w:rFonts w:cstheme="minorHAnsi"/>
        </w:rPr>
        <w:t>rchers were employed year round at a decent wage</w:t>
      </w:r>
      <w:r w:rsidR="00CB540F">
        <w:rPr>
          <w:rStyle w:val="FootnoteReference"/>
          <w:rFonts w:cstheme="minorHAnsi"/>
        </w:rPr>
        <w:footnoteReference w:id="23"/>
      </w:r>
      <w:r w:rsidR="00CB540F">
        <w:rPr>
          <w:rFonts w:cstheme="minorHAnsi"/>
        </w:rPr>
        <w:t xml:space="preserve">, due </w:t>
      </w:r>
      <w:r w:rsidR="00931545">
        <w:rPr>
          <w:rFonts w:cstheme="minorHAnsi"/>
        </w:rPr>
        <w:t>to the modern understanding of a</w:t>
      </w:r>
      <w:r w:rsidR="00CB540F">
        <w:rPr>
          <w:rFonts w:cstheme="minorHAnsi"/>
        </w:rPr>
        <w:t xml:space="preserve">rchery, in a combat situation it would require a level of skill only achieved by constant training. So it is possible to surmise that the appeal of a full time employment for a role that was considered to be low risk in comparison to that of a </w:t>
      </w:r>
      <w:r w:rsidR="00931545">
        <w:rPr>
          <w:rFonts w:cstheme="minorHAnsi"/>
        </w:rPr>
        <w:t>h</w:t>
      </w:r>
      <w:r w:rsidR="00CB540F">
        <w:rPr>
          <w:rFonts w:cstheme="minorHAnsi"/>
        </w:rPr>
        <w:t xml:space="preserve">oplite to be appealing and worth the prejudice they would receive as a result from the rest of the citizenry. </w:t>
      </w:r>
      <w:r w:rsidR="00D05C28">
        <w:rPr>
          <w:rFonts w:cstheme="minorHAnsi"/>
        </w:rPr>
        <w:t>On the discussion of sailors in this article, Pritchard has misinterpreted a section of evidence, in the discussion of the cost of performing a particular role, he interprets Thucydides to mean that the rowers only had to supply their own cushions and rowlocks</w:t>
      </w:r>
      <w:r w:rsidR="00D05C28">
        <w:rPr>
          <w:rStyle w:val="FootnoteReference"/>
          <w:rFonts w:cstheme="minorHAnsi"/>
        </w:rPr>
        <w:footnoteReference w:id="24"/>
      </w:r>
      <w:r w:rsidR="00D05C28">
        <w:rPr>
          <w:rFonts w:cstheme="minorHAnsi"/>
        </w:rPr>
        <w:t xml:space="preserve"> however, this source is discussing an instance where the ships were carried over land between Corinth and the Athenian side of the </w:t>
      </w:r>
      <w:r w:rsidR="00710B70">
        <w:rPr>
          <w:rFonts w:cstheme="minorHAnsi"/>
        </w:rPr>
        <w:t xml:space="preserve">isthmus </w:t>
      </w:r>
      <w:r w:rsidR="00D05C28">
        <w:rPr>
          <w:rFonts w:cstheme="minorHAnsi"/>
        </w:rPr>
        <w:t>and the rowers were expected to carry their own cushions and equipment on foot</w:t>
      </w:r>
      <w:r w:rsidR="00D05C28">
        <w:rPr>
          <w:rStyle w:val="FootnoteReference"/>
          <w:rFonts w:cstheme="minorHAnsi"/>
        </w:rPr>
        <w:footnoteReference w:id="25"/>
      </w:r>
      <w:r w:rsidR="00DC111A">
        <w:rPr>
          <w:rFonts w:cstheme="minorHAnsi"/>
        </w:rPr>
        <w:t>, not supply it in the original instance</w:t>
      </w:r>
      <w:r w:rsidR="00EF3377">
        <w:rPr>
          <w:rFonts w:cstheme="minorHAnsi"/>
        </w:rPr>
        <w:t>.</w:t>
      </w:r>
      <w:r w:rsidR="00AB0293" w:rsidRPr="00AB0293">
        <w:t xml:space="preserve"> </w:t>
      </w:r>
    </w:p>
    <w:p w14:paraId="4862CF46" w14:textId="77AF790D" w:rsidR="00B136D7" w:rsidRPr="00B136D7" w:rsidRDefault="00C50446" w:rsidP="009F0EF6">
      <w:pPr>
        <w:spacing w:line="480" w:lineRule="auto"/>
        <w:rPr>
          <w:rFonts w:cstheme="minorHAnsi"/>
        </w:rPr>
      </w:pPr>
      <w:r>
        <w:rPr>
          <w:rFonts w:cstheme="minorHAnsi"/>
        </w:rPr>
        <w:t>The issue with the non-tribal organisation of the corps can be summarised with the fact that membership of the tribes was reserved for the Athenian citizenry, Aristotle discusses the Cleisthenaic reforms in which the Athenian citizenry were reorganised into ten tribes, with parts from the city, the coast and the land being combined to form these new tribes</w:t>
      </w:r>
      <w:r>
        <w:rPr>
          <w:rStyle w:val="FootnoteReference"/>
          <w:rFonts w:cstheme="minorHAnsi"/>
        </w:rPr>
        <w:footnoteReference w:id="26"/>
      </w:r>
      <w:r>
        <w:rPr>
          <w:rFonts w:cstheme="minorHAnsi"/>
        </w:rPr>
        <w:t xml:space="preserve">. Pritchard determines that due to the number of archers being utilised by Athens, it was impossible for them all to be Athenian citizens. He </w:t>
      </w:r>
      <w:r w:rsidR="00B136D7">
        <w:rPr>
          <w:rFonts w:cstheme="minorHAnsi"/>
        </w:rPr>
        <w:t xml:space="preserve">notes that during the Peloponnesian </w:t>
      </w:r>
      <w:r w:rsidR="00931545">
        <w:rPr>
          <w:rFonts w:cstheme="minorHAnsi"/>
        </w:rPr>
        <w:t>w</w:t>
      </w:r>
      <w:r w:rsidR="00B136D7">
        <w:rPr>
          <w:rFonts w:cstheme="minorHAnsi"/>
        </w:rPr>
        <w:t xml:space="preserve">ar that expeditions made up of hundreds of archers as well as those documented to have served on the triremes of the Athenian fleet, using records from 481/0 to provide evidence for conscription lists or </w:t>
      </w:r>
      <w:r w:rsidR="00B136D7">
        <w:rPr>
          <w:rFonts w:cstheme="minorHAnsi"/>
          <w:i/>
        </w:rPr>
        <w:t>katalogos</w:t>
      </w:r>
      <w:r w:rsidR="00B136D7">
        <w:rPr>
          <w:rStyle w:val="FootnoteReference"/>
          <w:rFonts w:cstheme="minorHAnsi"/>
          <w:i/>
        </w:rPr>
        <w:footnoteReference w:id="27"/>
      </w:r>
      <w:r w:rsidR="00B136D7">
        <w:rPr>
          <w:rFonts w:cstheme="minorHAnsi"/>
          <w:i/>
        </w:rPr>
        <w:t>.</w:t>
      </w:r>
      <w:r w:rsidR="00B136D7">
        <w:rPr>
          <w:rFonts w:cstheme="minorHAnsi"/>
        </w:rPr>
        <w:t xml:space="preserve"> I would be inclined to agree with this argument, due to the number of archers required for full time service, it is highly likely a large portion of this corps was made up of mercenaries and other metics. As Pritchard </w:t>
      </w:r>
      <w:r w:rsidR="00B136D7">
        <w:rPr>
          <w:rFonts w:cstheme="minorHAnsi"/>
        </w:rPr>
        <w:lastRenderedPageBreak/>
        <w:t>highlights, due to membership of a tribe being a prerogative of citizenship</w:t>
      </w:r>
      <w:r w:rsidR="00B136D7">
        <w:rPr>
          <w:rStyle w:val="FootnoteReference"/>
          <w:rFonts w:cstheme="minorHAnsi"/>
        </w:rPr>
        <w:footnoteReference w:id="28"/>
      </w:r>
      <w:r w:rsidR="00931545">
        <w:rPr>
          <w:rFonts w:cstheme="minorHAnsi"/>
        </w:rPr>
        <w:t xml:space="preserve"> it then rules the a</w:t>
      </w:r>
      <w:r w:rsidR="00B136D7">
        <w:rPr>
          <w:rFonts w:cstheme="minorHAnsi"/>
        </w:rPr>
        <w:t>rcher corps out of being regulated in the traditional tribal manner. He discusses the evidence for mercenary archers provided by Thucydides, using the extract discussing Cleon and the four hundred corps members who were doubled in man power by four hundred archers from other regions</w:t>
      </w:r>
      <w:r w:rsidR="00895AE9">
        <w:rPr>
          <w:rStyle w:val="FootnoteReference"/>
          <w:rFonts w:cstheme="minorHAnsi"/>
        </w:rPr>
        <w:footnoteReference w:id="29"/>
      </w:r>
      <w:r w:rsidR="00B136D7">
        <w:rPr>
          <w:rFonts w:cstheme="minorHAnsi"/>
        </w:rPr>
        <w:t>. While I am inclined to agree with this example, the issue surrounding the Scythian</w:t>
      </w:r>
      <w:r w:rsidR="00B76F30">
        <w:rPr>
          <w:rFonts w:cstheme="minorHAnsi"/>
        </w:rPr>
        <w:t xml:space="preserve"> archers provides the key point of debate with this issue. They served as public slaves after Athens bought them in the mid-fifth century</w:t>
      </w:r>
      <w:r w:rsidR="00B76F30">
        <w:rPr>
          <w:rStyle w:val="FootnoteReference"/>
          <w:rFonts w:cstheme="minorHAnsi"/>
        </w:rPr>
        <w:footnoteReference w:id="30"/>
      </w:r>
      <w:r w:rsidR="00B76F30">
        <w:rPr>
          <w:rFonts w:cstheme="minorHAnsi"/>
        </w:rPr>
        <w:t xml:space="preserve"> and made up the police force of Athens, Pritchard discusses the roles they carried out briefly but due to their slave status they would be ineligible to be recognised as part of a tribe. Pritchard proposes the reason for this confusion to be a misinterpretation of ancient sources in modern works. I would interpret this to mean that although the Scythian archers were slaves, it was easier to manage a smaller force with limited duties in a similar manner to those of the tribes, even if they were not granted an official place within one and be inclined to agree with Pritchard’s deduction that there was a misinterpretation.  </w:t>
      </w:r>
    </w:p>
    <w:p w14:paraId="15F36525" w14:textId="1D9D4C60" w:rsidR="006B65CD" w:rsidRDefault="00CB540F" w:rsidP="009F0EF6">
      <w:pPr>
        <w:spacing w:line="480" w:lineRule="auto"/>
        <w:rPr>
          <w:rFonts w:cstheme="minorHAnsi"/>
        </w:rPr>
      </w:pPr>
      <w:r>
        <w:rPr>
          <w:rFonts w:cstheme="minorHAnsi"/>
        </w:rPr>
        <w:t xml:space="preserve">Pritchard discusses the reason for the branches disappearance to be a financial one. As discussed previously, it appears the prospect of a full time wage for the </w:t>
      </w:r>
      <w:r w:rsidR="00931545">
        <w:rPr>
          <w:rFonts w:cstheme="minorHAnsi"/>
        </w:rPr>
        <w:t>a</w:t>
      </w:r>
      <w:r>
        <w:rPr>
          <w:rFonts w:cstheme="minorHAnsi"/>
        </w:rPr>
        <w:t>rchers of Athens led to members of society performing the role however, Pritchard notes the annual budget for the state military would struggle to sustain this</w:t>
      </w:r>
      <w:r>
        <w:rPr>
          <w:rStyle w:val="FootnoteReference"/>
          <w:rFonts w:cstheme="minorHAnsi"/>
        </w:rPr>
        <w:footnoteReference w:id="31"/>
      </w:r>
      <w:r>
        <w:rPr>
          <w:rFonts w:cstheme="minorHAnsi"/>
        </w:rPr>
        <w:t>. It is fea</w:t>
      </w:r>
      <w:r w:rsidR="000F45DA">
        <w:rPr>
          <w:rFonts w:cstheme="minorHAnsi"/>
        </w:rPr>
        <w:t>sible that in the instance the a</w:t>
      </w:r>
      <w:r>
        <w:rPr>
          <w:rFonts w:cstheme="minorHAnsi"/>
        </w:rPr>
        <w:t xml:space="preserve">rcher corps were no longer needed, they were an expensive asset of the state and a simple way to reduce costs for the state </w:t>
      </w:r>
      <w:r w:rsidR="00E168E9">
        <w:rPr>
          <w:rFonts w:cstheme="minorHAnsi"/>
        </w:rPr>
        <w:t>was to dissolve this corps</w:t>
      </w:r>
      <w:r w:rsidR="00E168E9">
        <w:rPr>
          <w:rStyle w:val="FootnoteReference"/>
          <w:rFonts w:cstheme="minorHAnsi"/>
        </w:rPr>
        <w:footnoteReference w:id="32"/>
      </w:r>
      <w:r w:rsidR="00E168E9">
        <w:rPr>
          <w:rFonts w:cstheme="minorHAnsi"/>
        </w:rPr>
        <w:t>, especially if it was one being run in a separate manner than the other branches of the Athenian military.</w:t>
      </w:r>
      <w:r w:rsidR="00CF58A7">
        <w:rPr>
          <w:rFonts w:cstheme="minorHAnsi"/>
        </w:rPr>
        <w:t xml:space="preserve"> The issue I have with this argument is the lack of evidence, due to the unusual formation and running of this branch of the Athenian military it is difficult to determine if there was any other reasons for the branch being dissolved, for example, the financial issue </w:t>
      </w:r>
      <w:r w:rsidR="00CF58A7">
        <w:rPr>
          <w:rFonts w:cstheme="minorHAnsi"/>
        </w:rPr>
        <w:lastRenderedPageBreak/>
        <w:t>previously discussed may have been appropriate due to the branch only intending to last the period of the Peloponnesian war and thus would have been an expensive, but possible expenditure</w:t>
      </w:r>
      <w:r w:rsidR="00710B70">
        <w:rPr>
          <w:rFonts w:cstheme="minorHAnsi"/>
        </w:rPr>
        <w:t>, especially once the military applications of the archers on board triremes had been identified</w:t>
      </w:r>
      <w:r w:rsidR="00710B70">
        <w:rPr>
          <w:rStyle w:val="FootnoteReference"/>
          <w:rFonts w:cstheme="minorHAnsi"/>
        </w:rPr>
        <w:footnoteReference w:id="33"/>
      </w:r>
      <w:r w:rsidR="00CF58A7">
        <w:rPr>
          <w:rFonts w:cstheme="minorHAnsi"/>
        </w:rPr>
        <w:t xml:space="preserve"> in comparison to the unsustainability of the branch existing alongsid</w:t>
      </w:r>
      <w:r w:rsidR="00710B70">
        <w:rPr>
          <w:rFonts w:cstheme="minorHAnsi"/>
        </w:rPr>
        <w:t xml:space="preserve">e the others for the long term. Without more ancient evidence from authors at the time of the </w:t>
      </w:r>
      <w:r w:rsidR="00931545">
        <w:rPr>
          <w:rFonts w:cstheme="minorHAnsi"/>
        </w:rPr>
        <w:t>c</w:t>
      </w:r>
      <w:r w:rsidR="00710B70">
        <w:rPr>
          <w:rFonts w:cstheme="minorHAnsi"/>
        </w:rPr>
        <w:t>orps existence it would be difficult to determine which of these options was more likely.</w:t>
      </w:r>
    </w:p>
    <w:p w14:paraId="38D65029" w14:textId="4FD75FE0" w:rsidR="0021773F" w:rsidRDefault="0021773F" w:rsidP="009F0EF6">
      <w:pPr>
        <w:spacing w:line="480" w:lineRule="auto"/>
        <w:rPr>
          <w:rFonts w:cstheme="minorHAnsi"/>
        </w:rPr>
      </w:pPr>
      <w:r>
        <w:rPr>
          <w:rFonts w:cstheme="minorHAnsi"/>
        </w:rPr>
        <w:t xml:space="preserve">Before I am able to conclude this reply it is relevant to look at the summarised resolutions he had proposed for the issues he has identified. He determines that the </w:t>
      </w:r>
      <w:r w:rsidR="00AE15B8">
        <w:rPr>
          <w:rFonts w:cstheme="minorHAnsi"/>
        </w:rPr>
        <w:t>origin of the archer corps coincided and believes it to be directly related to the expansion of the Athenian navy in the late 480</w:t>
      </w:r>
      <w:r w:rsidR="00931545">
        <w:rPr>
          <w:rFonts w:cstheme="minorHAnsi"/>
        </w:rPr>
        <w:t>’</w:t>
      </w:r>
      <w:r w:rsidR="00AE15B8">
        <w:rPr>
          <w:rFonts w:cstheme="minorHAnsi"/>
        </w:rPr>
        <w:t>s</w:t>
      </w:r>
      <w:r w:rsidR="009F0EF6">
        <w:rPr>
          <w:rStyle w:val="FootnoteReference"/>
          <w:rFonts w:cstheme="minorHAnsi"/>
        </w:rPr>
        <w:footnoteReference w:id="34"/>
      </w:r>
      <w:r w:rsidR="00AE15B8">
        <w:rPr>
          <w:rFonts w:cstheme="minorHAnsi"/>
        </w:rPr>
        <w:t>. I would be inclined to agree with this as the military capabilities of the archers expanded with their use aboard triremes in naval warfare</w:t>
      </w:r>
      <w:r w:rsidR="00AE15B8">
        <w:rPr>
          <w:rStyle w:val="FootnoteReference"/>
          <w:rFonts w:cstheme="minorHAnsi"/>
        </w:rPr>
        <w:footnoteReference w:id="35"/>
      </w:r>
      <w:r w:rsidR="00AE15B8">
        <w:rPr>
          <w:rFonts w:cstheme="minorHAnsi"/>
        </w:rPr>
        <w:t>. In terms of the safety of the archer role as a reason for so many willing to perform it, he has identified that they would be even safer aboard the Athenian fleet</w:t>
      </w:r>
      <w:r w:rsidR="009F0EF6">
        <w:rPr>
          <w:rStyle w:val="FootnoteReference"/>
          <w:rFonts w:cstheme="minorHAnsi"/>
        </w:rPr>
        <w:footnoteReference w:id="36"/>
      </w:r>
      <w:r w:rsidR="00AE15B8">
        <w:rPr>
          <w:rFonts w:cstheme="minorHAnsi"/>
        </w:rPr>
        <w:t xml:space="preserve"> and I would be inclined to disagree with this point. Alongside the threat of being shot by an opposing archer, the risk of drowning is also introduced, suggesting that the role is in as much danger as any other aboard the triremes, however in the case of land based battles I would be inclined to agree that the role would appear safer as they are fighting at a distance as opposed to hand to hand combat like the hoplites. He determines that the archer corps was just a way in which to organise them so that they could be deployed quickly</w:t>
      </w:r>
      <w:r w:rsidR="009F0EF6">
        <w:rPr>
          <w:rStyle w:val="FootnoteReference"/>
          <w:rFonts w:cstheme="minorHAnsi"/>
        </w:rPr>
        <w:footnoteReference w:id="37"/>
      </w:r>
      <w:r w:rsidR="00AE15B8">
        <w:rPr>
          <w:rFonts w:cstheme="minorHAnsi"/>
        </w:rPr>
        <w:t xml:space="preserve">, I would agree with this argument as the number of them on board triremes did not need to be organised in specified units to make them useful in this role, however by forming them into the archer corps </w:t>
      </w:r>
      <w:r w:rsidR="009F0EF6">
        <w:rPr>
          <w:rFonts w:cstheme="minorHAnsi"/>
        </w:rPr>
        <w:t xml:space="preserve">while it eased the way they could be managed and deployed </w:t>
      </w:r>
      <w:r w:rsidR="00AE15B8">
        <w:rPr>
          <w:rFonts w:cstheme="minorHAnsi"/>
        </w:rPr>
        <w:t>it did create the issue with the Cleisthenic tribes</w:t>
      </w:r>
      <w:r w:rsidR="009F0EF6">
        <w:rPr>
          <w:rStyle w:val="FootnoteReference"/>
          <w:rFonts w:cstheme="minorHAnsi"/>
        </w:rPr>
        <w:footnoteReference w:id="38"/>
      </w:r>
      <w:r w:rsidR="00AE15B8">
        <w:rPr>
          <w:rFonts w:cstheme="minorHAnsi"/>
        </w:rPr>
        <w:t xml:space="preserve"> and by having them as </w:t>
      </w:r>
      <w:r w:rsidR="00AE15B8">
        <w:rPr>
          <w:rFonts w:cstheme="minorHAnsi"/>
        </w:rPr>
        <w:lastRenderedPageBreak/>
        <w:t xml:space="preserve">a loosely organised corps </w:t>
      </w:r>
      <w:r w:rsidR="009F0EF6">
        <w:rPr>
          <w:rFonts w:cstheme="minorHAnsi"/>
        </w:rPr>
        <w:t xml:space="preserve">that did not conform to the tribal system </w:t>
      </w:r>
      <w:r w:rsidR="00AE15B8">
        <w:rPr>
          <w:rFonts w:cstheme="minorHAnsi"/>
        </w:rPr>
        <w:t xml:space="preserve">it would avoid the necessity to formalise its administration. </w:t>
      </w:r>
    </w:p>
    <w:p w14:paraId="02B03BB7" w14:textId="77777777" w:rsidR="00CA7A19" w:rsidRDefault="00AE15B8" w:rsidP="00CA7A19">
      <w:pPr>
        <w:spacing w:line="480" w:lineRule="auto"/>
        <w:rPr>
          <w:rFonts w:cstheme="minorHAnsi"/>
          <w:b/>
        </w:rPr>
      </w:pPr>
      <w:r>
        <w:rPr>
          <w:rFonts w:cstheme="minorHAnsi"/>
        </w:rPr>
        <w:t>In relation to the prejudice the archer corps faced it does appear from the evidence on the topic that the role of an archer was considered barbarian</w:t>
      </w:r>
      <w:r w:rsidR="009F0EF6">
        <w:rPr>
          <w:rStyle w:val="FootnoteReference"/>
          <w:rFonts w:cstheme="minorHAnsi"/>
        </w:rPr>
        <w:footnoteReference w:id="39"/>
      </w:r>
      <w:r>
        <w:rPr>
          <w:rFonts w:cstheme="minorHAnsi"/>
        </w:rPr>
        <w:t>, I would agree with Pritchard that the incentive of better, full time pay combated this and those who would require to make an annual living from their service would greatly benefit from the role</w:t>
      </w:r>
      <w:r w:rsidR="009F0EF6">
        <w:rPr>
          <w:rStyle w:val="FootnoteReference"/>
          <w:rFonts w:cstheme="minorHAnsi"/>
        </w:rPr>
        <w:footnoteReference w:id="40"/>
      </w:r>
      <w:r w:rsidR="00E80A86">
        <w:rPr>
          <w:rFonts w:cstheme="minorHAnsi"/>
        </w:rPr>
        <w:t xml:space="preserve"> but his misinterpretation of the evidence makes it difficult to determine the real reason behind why the Athenian citizenry preferred their role of an archer over the role of a rower in the navy. The financial issues the corps presented are well founded, based on the income of the archers</w:t>
      </w:r>
      <w:r w:rsidR="00E80A86">
        <w:rPr>
          <w:rStyle w:val="FootnoteReference"/>
          <w:rFonts w:cstheme="minorHAnsi"/>
        </w:rPr>
        <w:footnoteReference w:id="41"/>
      </w:r>
      <w:r w:rsidR="00E80A86">
        <w:rPr>
          <w:rFonts w:cstheme="minorHAnsi"/>
        </w:rPr>
        <w:t xml:space="preserve"> it was a substantial amount of the state’s money, however, it is not possible to determine if the archer corps was designed to last or just be in place for the duration of the Peloponnesian war. Post-war Athens would have found it difficult to justify spending that amount of money on a corps they did not require year round which leads me to believe the corps may have been an initiative to aid them during a time of war as opposed to a lasting concept, an idea Pritchard appears not to have considered. Pritchard concludes by noting that by the Corinthian war, Athens did not have any military archers</w:t>
      </w:r>
      <w:r w:rsidR="009F0EF6">
        <w:rPr>
          <w:rStyle w:val="FootnoteReference"/>
          <w:rFonts w:cstheme="minorHAnsi"/>
        </w:rPr>
        <w:footnoteReference w:id="42"/>
      </w:r>
      <w:r w:rsidR="00E80A86">
        <w:rPr>
          <w:rFonts w:cstheme="minorHAnsi"/>
        </w:rPr>
        <w:t>, which would lead me to believe they were no longer necessary between 404 and 395BC until Athens was at war again, suggesting they were only a proper corps during the time of the Peloponnesian war. I would be inclined to believe that the budget problems that arose after that would have pressured the Athenian state to either find a way to fund the archer corps in the same manner as on its inception or dissolve it entirely as an experiment and attempt to find another way to have archers within its military, a point I believe is highlighted by the corps dissolve eighty years after its creation</w:t>
      </w:r>
      <w:r w:rsidR="009F0EF6">
        <w:rPr>
          <w:rStyle w:val="FootnoteReference"/>
          <w:rFonts w:cstheme="minorHAnsi"/>
        </w:rPr>
        <w:footnoteReference w:id="43"/>
      </w:r>
      <w:r w:rsidR="00E80A86">
        <w:rPr>
          <w:rFonts w:cstheme="minorHAnsi"/>
        </w:rPr>
        <w:t>.</w:t>
      </w:r>
    </w:p>
    <w:p w14:paraId="09F899C7" w14:textId="66CA872A" w:rsidR="006B65CD" w:rsidRPr="00CA7A19" w:rsidRDefault="00CA7A19" w:rsidP="00CA7A19">
      <w:pPr>
        <w:spacing w:line="480" w:lineRule="auto"/>
        <w:rPr>
          <w:rFonts w:cstheme="minorHAnsi"/>
          <w:b/>
        </w:rPr>
      </w:pPr>
      <w:r>
        <w:lastRenderedPageBreak/>
        <w:t>To conclude</w:t>
      </w:r>
      <w:r w:rsidR="009F0EF6">
        <w:t xml:space="preserve"> this reply, while I believe a majority of his arguments were well founded and provided some discussion, his misinterpretation of the evidence and omission of certain discussion points has meant that the argument falls short in some instances. In addition to this I believe the world wide lack of evidence and discussion on the archer corps of Athens </w:t>
      </w:r>
      <w:r>
        <w:t>is partially responsible for these omissions as a lot of the inference gained from the evidence we do have is inferenced and potentially not correctly due to the issues presented with ancient sources.</w:t>
      </w:r>
    </w:p>
    <w:p w14:paraId="21302EED" w14:textId="4B6346A8" w:rsidR="00572E3C" w:rsidRDefault="00572E3C" w:rsidP="007D6044"/>
    <w:p w14:paraId="3A9A7266" w14:textId="388E96F8" w:rsidR="00CA7A19" w:rsidRDefault="00CA7A19" w:rsidP="007D6044"/>
    <w:p w14:paraId="5142871A" w14:textId="0EBD5E10" w:rsidR="00CA7A19" w:rsidRDefault="00CA7A19" w:rsidP="007D6044"/>
    <w:p w14:paraId="11CE462F" w14:textId="0BB21A3F" w:rsidR="00CA7A19" w:rsidRDefault="00CA7A19" w:rsidP="007D6044"/>
    <w:p w14:paraId="4AA599A9" w14:textId="5B6F364F" w:rsidR="00CA7A19" w:rsidRDefault="00CA7A19" w:rsidP="007D6044"/>
    <w:p w14:paraId="5483494B" w14:textId="0B1D9823" w:rsidR="00CA7A19" w:rsidRDefault="00CA7A19" w:rsidP="007D6044"/>
    <w:p w14:paraId="09623296" w14:textId="00EA895F" w:rsidR="00CA7A19" w:rsidRDefault="00CA7A19" w:rsidP="007D6044"/>
    <w:p w14:paraId="40A4A04F" w14:textId="3ACE7C17" w:rsidR="00CA7A19" w:rsidRDefault="00CA7A19" w:rsidP="007D6044"/>
    <w:p w14:paraId="1E7B4E15" w14:textId="51A8D2B8" w:rsidR="00CA7A19" w:rsidRDefault="00CA7A19" w:rsidP="007D6044"/>
    <w:p w14:paraId="54A8CBF6" w14:textId="456D0F1C" w:rsidR="00CA7A19" w:rsidRDefault="00CA7A19" w:rsidP="007D6044"/>
    <w:p w14:paraId="03E9823D" w14:textId="0C6DB574" w:rsidR="00CA7A19" w:rsidRDefault="00CA7A19" w:rsidP="007D6044"/>
    <w:p w14:paraId="67D6DFE8" w14:textId="2CCA1857" w:rsidR="00CA7A19" w:rsidRDefault="00CA7A19" w:rsidP="007D6044"/>
    <w:p w14:paraId="60149C58" w14:textId="765968AC" w:rsidR="00CA7A19" w:rsidRDefault="00CA7A19" w:rsidP="007D6044"/>
    <w:p w14:paraId="5F117296" w14:textId="0BABDAA5" w:rsidR="00CA7A19" w:rsidRDefault="00CA7A19" w:rsidP="007D6044"/>
    <w:p w14:paraId="5AEFB4B2" w14:textId="66AF8E5D" w:rsidR="00CA7A19" w:rsidRDefault="00CA7A19" w:rsidP="007D6044"/>
    <w:p w14:paraId="77F56278" w14:textId="5396E0D8" w:rsidR="00CA7A19" w:rsidRDefault="00CA7A19" w:rsidP="007D6044"/>
    <w:p w14:paraId="5E3CADF6" w14:textId="117ECCB5" w:rsidR="00CA7A19" w:rsidRDefault="00CA7A19" w:rsidP="007D6044"/>
    <w:p w14:paraId="487FEDBB" w14:textId="241E8750" w:rsidR="00CA7A19" w:rsidRDefault="00CA7A19" w:rsidP="007D6044"/>
    <w:p w14:paraId="4239DA8F" w14:textId="2EB4191C" w:rsidR="00CA7A19" w:rsidRDefault="00CA7A19" w:rsidP="007D6044"/>
    <w:p w14:paraId="4E341D0A" w14:textId="1E03CEE1" w:rsidR="00CA7A19" w:rsidRDefault="00CA7A19" w:rsidP="007D6044"/>
    <w:p w14:paraId="13244603" w14:textId="14236CBC" w:rsidR="00CA7A19" w:rsidRDefault="00CA7A19" w:rsidP="007D6044"/>
    <w:p w14:paraId="2E0F2644" w14:textId="0AE63660" w:rsidR="00CA7A19" w:rsidRDefault="00CA7A19" w:rsidP="007D6044"/>
    <w:p w14:paraId="63C54DC9" w14:textId="1DB2B99E" w:rsidR="00CA7A19" w:rsidRPr="001332C4" w:rsidRDefault="00CA7A19" w:rsidP="007D6044"/>
    <w:p w14:paraId="50850673" w14:textId="77777777" w:rsidR="00572E3C" w:rsidRPr="00931545" w:rsidRDefault="00572E3C" w:rsidP="00931545">
      <w:pPr>
        <w:jc w:val="center"/>
        <w:rPr>
          <w:b/>
          <w:u w:val="single"/>
        </w:rPr>
      </w:pPr>
      <w:bookmarkStart w:id="0" w:name="_GoBack"/>
      <w:bookmarkEnd w:id="0"/>
      <w:r w:rsidRPr="00931545">
        <w:rPr>
          <w:b/>
          <w:u w:val="single"/>
        </w:rPr>
        <w:lastRenderedPageBreak/>
        <w:t>Bibliography</w:t>
      </w:r>
    </w:p>
    <w:p w14:paraId="1A554724" w14:textId="77777777" w:rsidR="00572E3C" w:rsidRPr="001332C4" w:rsidRDefault="00572E3C" w:rsidP="007D6044">
      <w:pPr>
        <w:rPr>
          <w:lang w:val="en"/>
        </w:rPr>
      </w:pPr>
      <w:r w:rsidRPr="001332C4">
        <w:rPr>
          <w:rStyle w:val="Strong"/>
          <w:rFonts w:cstheme="minorHAnsi"/>
          <w:lang w:val="en"/>
        </w:rPr>
        <w:t>Ancient Sources</w:t>
      </w:r>
    </w:p>
    <w:p w14:paraId="22AFE734" w14:textId="1FB52950" w:rsidR="00AC1030" w:rsidRDefault="00572E3C" w:rsidP="007D6044">
      <w:pPr>
        <w:rPr>
          <w:lang w:val="en"/>
        </w:rPr>
      </w:pPr>
      <w:r w:rsidRPr="001332C4">
        <w:rPr>
          <w:lang w:val="en"/>
        </w:rPr>
        <w:t>A</w:t>
      </w:r>
      <w:r w:rsidR="00AC1030">
        <w:rPr>
          <w:lang w:val="en"/>
        </w:rPr>
        <w:t xml:space="preserve">ndocides, </w:t>
      </w:r>
      <w:r w:rsidR="00AC1030">
        <w:rPr>
          <w:i/>
          <w:lang w:val="en"/>
        </w:rPr>
        <w:t>On the Peace.</w:t>
      </w:r>
      <w:r w:rsidR="00AC1030">
        <w:rPr>
          <w:lang w:val="en"/>
        </w:rPr>
        <w:t xml:space="preserve"> K.J. </w:t>
      </w:r>
      <w:proofErr w:type="spellStart"/>
      <w:r w:rsidR="00AC1030">
        <w:rPr>
          <w:lang w:val="en"/>
        </w:rPr>
        <w:t>Maidment</w:t>
      </w:r>
      <w:proofErr w:type="spellEnd"/>
      <w:r w:rsidR="00AC1030">
        <w:rPr>
          <w:lang w:val="en"/>
        </w:rPr>
        <w:t xml:space="preserve"> (</w:t>
      </w:r>
      <w:proofErr w:type="gramStart"/>
      <w:r w:rsidR="00AC1030">
        <w:rPr>
          <w:lang w:val="en"/>
        </w:rPr>
        <w:t>trans</w:t>
      </w:r>
      <w:proofErr w:type="gramEnd"/>
      <w:r w:rsidR="00AC1030">
        <w:rPr>
          <w:lang w:val="en"/>
        </w:rPr>
        <w:t>.). 1968. London: William Heinemann.</w:t>
      </w:r>
    </w:p>
    <w:p w14:paraId="03FEB191" w14:textId="3C3B6248" w:rsidR="00AC1030" w:rsidRPr="00AC1030" w:rsidRDefault="00AC1030" w:rsidP="007D6044">
      <w:pPr>
        <w:rPr>
          <w:lang w:val="en"/>
        </w:rPr>
      </w:pPr>
      <w:r>
        <w:rPr>
          <w:lang w:val="en"/>
        </w:rPr>
        <w:t xml:space="preserve">Aristophanes, </w:t>
      </w:r>
      <w:r>
        <w:rPr>
          <w:i/>
          <w:lang w:val="en"/>
        </w:rPr>
        <w:t>Wasps.</w:t>
      </w:r>
      <w:r>
        <w:rPr>
          <w:lang w:val="en"/>
        </w:rPr>
        <w:t xml:space="preserve"> E. O’Neill (</w:t>
      </w:r>
      <w:proofErr w:type="gramStart"/>
      <w:r>
        <w:rPr>
          <w:lang w:val="en"/>
        </w:rPr>
        <w:t>trans</w:t>
      </w:r>
      <w:proofErr w:type="gramEnd"/>
      <w:r>
        <w:rPr>
          <w:lang w:val="en"/>
        </w:rPr>
        <w:t>.). 1938. New York: Random House.</w:t>
      </w:r>
    </w:p>
    <w:p w14:paraId="5496EFFE" w14:textId="52756A41" w:rsidR="00572E3C" w:rsidRPr="001332C4" w:rsidRDefault="00AC1030" w:rsidP="007D6044">
      <w:pPr>
        <w:rPr>
          <w:lang w:val="en"/>
        </w:rPr>
      </w:pPr>
      <w:r>
        <w:rPr>
          <w:lang w:val="en"/>
        </w:rPr>
        <w:t>A</w:t>
      </w:r>
      <w:r w:rsidR="00572E3C" w:rsidRPr="001332C4">
        <w:rPr>
          <w:lang w:val="en"/>
        </w:rPr>
        <w:t xml:space="preserve">ristotle, </w:t>
      </w:r>
      <w:proofErr w:type="gramStart"/>
      <w:r w:rsidR="00572E3C" w:rsidRPr="001332C4">
        <w:rPr>
          <w:rStyle w:val="Emphasis"/>
          <w:rFonts w:cstheme="minorHAnsi"/>
          <w:lang w:val="en"/>
        </w:rPr>
        <w:t>The</w:t>
      </w:r>
      <w:proofErr w:type="gramEnd"/>
      <w:r w:rsidR="00572E3C" w:rsidRPr="001332C4">
        <w:rPr>
          <w:rStyle w:val="Emphasis"/>
          <w:rFonts w:cstheme="minorHAnsi"/>
          <w:lang w:val="en"/>
        </w:rPr>
        <w:t xml:space="preserve"> Athenian Constitution.</w:t>
      </w:r>
      <w:r w:rsidR="00572E3C" w:rsidRPr="001332C4">
        <w:rPr>
          <w:lang w:val="en"/>
        </w:rPr>
        <w:t xml:space="preserve"> H. Rackham (</w:t>
      </w:r>
      <w:proofErr w:type="gramStart"/>
      <w:r w:rsidR="00572E3C" w:rsidRPr="001332C4">
        <w:rPr>
          <w:lang w:val="en"/>
        </w:rPr>
        <w:t>trans</w:t>
      </w:r>
      <w:proofErr w:type="gramEnd"/>
      <w:r w:rsidR="00572E3C" w:rsidRPr="001332C4">
        <w:rPr>
          <w:lang w:val="en"/>
        </w:rPr>
        <w:t>.). 1952. London: William Heinemann.</w:t>
      </w:r>
    </w:p>
    <w:p w14:paraId="3D81BACA" w14:textId="77777777" w:rsidR="00572E3C" w:rsidRPr="001332C4" w:rsidRDefault="00572E3C" w:rsidP="007D6044">
      <w:pPr>
        <w:rPr>
          <w:lang w:val="en"/>
        </w:rPr>
      </w:pPr>
      <w:r w:rsidRPr="001332C4">
        <w:rPr>
          <w:lang w:val="en"/>
        </w:rPr>
        <w:t xml:space="preserve">Diodorus </w:t>
      </w:r>
      <w:proofErr w:type="spellStart"/>
      <w:r w:rsidRPr="001332C4">
        <w:rPr>
          <w:lang w:val="en"/>
        </w:rPr>
        <w:t>Siculus</w:t>
      </w:r>
      <w:proofErr w:type="spellEnd"/>
      <w:r w:rsidRPr="001332C4">
        <w:rPr>
          <w:lang w:val="en"/>
        </w:rPr>
        <w:t xml:space="preserve">, </w:t>
      </w:r>
      <w:r w:rsidRPr="001332C4">
        <w:rPr>
          <w:rStyle w:val="Emphasis"/>
          <w:rFonts w:cstheme="minorHAnsi"/>
          <w:lang w:val="en"/>
        </w:rPr>
        <w:t>Library</w:t>
      </w:r>
      <w:r w:rsidRPr="001332C4">
        <w:rPr>
          <w:lang w:val="en"/>
        </w:rPr>
        <w:t xml:space="preserve">. C.H. </w:t>
      </w:r>
      <w:proofErr w:type="spellStart"/>
      <w:r w:rsidRPr="001332C4">
        <w:rPr>
          <w:lang w:val="en"/>
        </w:rPr>
        <w:t>Oldfather</w:t>
      </w:r>
      <w:proofErr w:type="spellEnd"/>
      <w:r w:rsidRPr="001332C4">
        <w:rPr>
          <w:lang w:val="en"/>
        </w:rPr>
        <w:t xml:space="preserve"> (</w:t>
      </w:r>
      <w:proofErr w:type="gramStart"/>
      <w:r w:rsidRPr="001332C4">
        <w:rPr>
          <w:lang w:val="en"/>
        </w:rPr>
        <w:t>trans</w:t>
      </w:r>
      <w:proofErr w:type="gramEnd"/>
      <w:r w:rsidRPr="001332C4">
        <w:rPr>
          <w:lang w:val="en"/>
        </w:rPr>
        <w:t>.). 1989. London: William Heinemann</w:t>
      </w:r>
    </w:p>
    <w:p w14:paraId="34E7B738" w14:textId="7ED9F5DD" w:rsidR="00572E3C" w:rsidRDefault="00572E3C" w:rsidP="007D6044">
      <w:pPr>
        <w:rPr>
          <w:lang w:val="en"/>
        </w:rPr>
      </w:pPr>
      <w:r w:rsidRPr="001332C4">
        <w:rPr>
          <w:lang w:val="en"/>
        </w:rPr>
        <w:t xml:space="preserve">Herodotus, </w:t>
      </w:r>
      <w:proofErr w:type="gramStart"/>
      <w:r w:rsidRPr="001332C4">
        <w:rPr>
          <w:rStyle w:val="Emphasis"/>
          <w:rFonts w:cstheme="minorHAnsi"/>
          <w:lang w:val="en"/>
        </w:rPr>
        <w:t>The</w:t>
      </w:r>
      <w:proofErr w:type="gramEnd"/>
      <w:r w:rsidRPr="001332C4">
        <w:rPr>
          <w:rStyle w:val="Emphasis"/>
          <w:rFonts w:cstheme="minorHAnsi"/>
          <w:lang w:val="en"/>
        </w:rPr>
        <w:t xml:space="preserve"> Histories.</w:t>
      </w:r>
      <w:r w:rsidRPr="001332C4">
        <w:rPr>
          <w:lang w:val="en"/>
        </w:rPr>
        <w:t xml:space="preserve"> A.D. Godley. (</w:t>
      </w:r>
      <w:proofErr w:type="gramStart"/>
      <w:r w:rsidRPr="001332C4">
        <w:rPr>
          <w:lang w:val="en"/>
        </w:rPr>
        <w:t>trans</w:t>
      </w:r>
      <w:proofErr w:type="gramEnd"/>
      <w:r w:rsidRPr="001332C4">
        <w:rPr>
          <w:lang w:val="en"/>
        </w:rPr>
        <w:t>.). 1920. Cambridge: Harvard University Press.</w:t>
      </w:r>
    </w:p>
    <w:p w14:paraId="0ABA0E7B" w14:textId="6CB6D431" w:rsidR="00AC1030" w:rsidRPr="00AC1030" w:rsidRDefault="00AC1030" w:rsidP="007D6044">
      <w:pPr>
        <w:rPr>
          <w:lang w:val="en"/>
        </w:rPr>
      </w:pPr>
      <w:r>
        <w:rPr>
          <w:lang w:val="en"/>
        </w:rPr>
        <w:t xml:space="preserve">Plutarch, </w:t>
      </w:r>
      <w:r>
        <w:rPr>
          <w:i/>
          <w:lang w:val="en"/>
        </w:rPr>
        <w:t>Lycurgus.</w:t>
      </w:r>
      <w:r>
        <w:rPr>
          <w:lang w:val="en"/>
        </w:rPr>
        <w:t xml:space="preserve"> B. Perrin. (</w:t>
      </w:r>
      <w:proofErr w:type="gramStart"/>
      <w:r>
        <w:rPr>
          <w:lang w:val="en"/>
        </w:rPr>
        <w:t>trans</w:t>
      </w:r>
      <w:proofErr w:type="gramEnd"/>
      <w:r>
        <w:rPr>
          <w:lang w:val="en"/>
        </w:rPr>
        <w:t xml:space="preserve">.). 1914. London: William Heinemann. </w:t>
      </w:r>
    </w:p>
    <w:p w14:paraId="386C9F09" w14:textId="77777777" w:rsidR="00572E3C" w:rsidRPr="001332C4" w:rsidRDefault="00572E3C" w:rsidP="007D6044">
      <w:pPr>
        <w:rPr>
          <w:lang w:val="en"/>
        </w:rPr>
      </w:pPr>
      <w:r w:rsidRPr="001332C4">
        <w:rPr>
          <w:lang w:val="en"/>
        </w:rPr>
        <w:t xml:space="preserve">Thucydides, </w:t>
      </w:r>
      <w:r w:rsidRPr="001332C4">
        <w:rPr>
          <w:rStyle w:val="Emphasis"/>
          <w:rFonts w:cstheme="minorHAnsi"/>
          <w:lang w:val="en"/>
        </w:rPr>
        <w:t>History of the Peloponnesian War.</w:t>
      </w:r>
      <w:r w:rsidRPr="001332C4">
        <w:rPr>
          <w:lang w:val="en"/>
        </w:rPr>
        <w:t xml:space="preserve"> B. Jowett (</w:t>
      </w:r>
      <w:proofErr w:type="gramStart"/>
      <w:r w:rsidRPr="001332C4">
        <w:rPr>
          <w:lang w:val="en"/>
        </w:rPr>
        <w:t>trans</w:t>
      </w:r>
      <w:proofErr w:type="gramEnd"/>
      <w:r w:rsidRPr="001332C4">
        <w:rPr>
          <w:lang w:val="en"/>
        </w:rPr>
        <w:t>.). 1881. Oxford: Clarendon Press.</w:t>
      </w:r>
    </w:p>
    <w:p w14:paraId="3A1DDEE2" w14:textId="77777777" w:rsidR="00572E3C" w:rsidRPr="001332C4" w:rsidRDefault="00572E3C" w:rsidP="007D6044">
      <w:pPr>
        <w:rPr>
          <w:lang w:val="en"/>
        </w:rPr>
      </w:pPr>
      <w:r w:rsidRPr="001332C4">
        <w:rPr>
          <w:lang w:val="en"/>
        </w:rPr>
        <w:t xml:space="preserve">Xenophon, </w:t>
      </w:r>
      <w:r w:rsidRPr="005D7E27">
        <w:rPr>
          <w:i/>
          <w:lang w:val="en"/>
        </w:rPr>
        <w:t>Anabasis</w:t>
      </w:r>
      <w:r w:rsidRPr="001332C4">
        <w:rPr>
          <w:lang w:val="en"/>
        </w:rPr>
        <w:t xml:space="preserve">. C.L </w:t>
      </w:r>
      <w:proofErr w:type="spellStart"/>
      <w:r w:rsidRPr="001332C4">
        <w:rPr>
          <w:lang w:val="en"/>
        </w:rPr>
        <w:t>Brownson</w:t>
      </w:r>
      <w:proofErr w:type="spellEnd"/>
      <w:r w:rsidRPr="001332C4">
        <w:rPr>
          <w:lang w:val="en"/>
        </w:rPr>
        <w:t xml:space="preserve"> (</w:t>
      </w:r>
      <w:proofErr w:type="gramStart"/>
      <w:r w:rsidRPr="001332C4">
        <w:rPr>
          <w:lang w:val="en"/>
        </w:rPr>
        <w:t>trans</w:t>
      </w:r>
      <w:proofErr w:type="gramEnd"/>
      <w:r w:rsidRPr="001332C4">
        <w:rPr>
          <w:lang w:val="en"/>
        </w:rPr>
        <w:t>.). 1922. London: William Heinemann.</w:t>
      </w:r>
    </w:p>
    <w:p w14:paraId="26FC49F0" w14:textId="77777777" w:rsidR="00572E3C" w:rsidRPr="001332C4" w:rsidRDefault="00572E3C" w:rsidP="007D6044">
      <w:pPr>
        <w:rPr>
          <w:lang w:val="en"/>
        </w:rPr>
      </w:pPr>
      <w:r w:rsidRPr="001332C4">
        <w:rPr>
          <w:lang w:val="en"/>
        </w:rPr>
        <w:t xml:space="preserve">Xenophon, </w:t>
      </w:r>
      <w:r w:rsidRPr="001332C4">
        <w:rPr>
          <w:rStyle w:val="Emphasis"/>
          <w:rFonts w:cstheme="minorHAnsi"/>
          <w:lang w:val="en"/>
        </w:rPr>
        <w:t xml:space="preserve">Hellenica. </w:t>
      </w:r>
      <w:r w:rsidRPr="005D7E27">
        <w:rPr>
          <w:rStyle w:val="Emphasis"/>
          <w:rFonts w:cstheme="minorHAnsi"/>
          <w:i w:val="0"/>
          <w:lang w:val="en"/>
        </w:rPr>
        <w:t xml:space="preserve">C.L </w:t>
      </w:r>
      <w:proofErr w:type="spellStart"/>
      <w:r w:rsidRPr="005D7E27">
        <w:rPr>
          <w:rStyle w:val="Emphasis"/>
          <w:rFonts w:cstheme="minorHAnsi"/>
          <w:i w:val="0"/>
          <w:lang w:val="en"/>
        </w:rPr>
        <w:t>Brownson</w:t>
      </w:r>
      <w:proofErr w:type="spellEnd"/>
      <w:r w:rsidRPr="005D7E27">
        <w:rPr>
          <w:rStyle w:val="Emphasis"/>
          <w:rFonts w:cstheme="minorHAnsi"/>
          <w:i w:val="0"/>
          <w:lang w:val="en"/>
        </w:rPr>
        <w:t xml:space="preserve"> (</w:t>
      </w:r>
      <w:proofErr w:type="gramStart"/>
      <w:r w:rsidRPr="005D7E27">
        <w:rPr>
          <w:rStyle w:val="Emphasis"/>
          <w:rFonts w:cstheme="minorHAnsi"/>
          <w:i w:val="0"/>
          <w:lang w:val="en"/>
        </w:rPr>
        <w:t>trans</w:t>
      </w:r>
      <w:proofErr w:type="gramEnd"/>
      <w:r w:rsidRPr="005D7E27">
        <w:rPr>
          <w:rStyle w:val="Emphasis"/>
          <w:rFonts w:cstheme="minorHAnsi"/>
          <w:i w:val="0"/>
          <w:lang w:val="en"/>
        </w:rPr>
        <w:t>.)</w:t>
      </w:r>
      <w:r w:rsidRPr="001332C4">
        <w:rPr>
          <w:rStyle w:val="Emphasis"/>
          <w:rFonts w:cstheme="minorHAnsi"/>
          <w:lang w:val="en"/>
        </w:rPr>
        <w:t xml:space="preserve">. </w:t>
      </w:r>
      <w:r w:rsidRPr="00AC1030">
        <w:rPr>
          <w:rStyle w:val="Emphasis"/>
          <w:rFonts w:cstheme="minorHAnsi"/>
          <w:i w:val="0"/>
          <w:lang w:val="en"/>
        </w:rPr>
        <w:t>1921</w:t>
      </w:r>
      <w:r w:rsidRPr="001332C4">
        <w:rPr>
          <w:rStyle w:val="Emphasis"/>
          <w:rFonts w:cstheme="minorHAnsi"/>
          <w:lang w:val="en"/>
        </w:rPr>
        <w:t xml:space="preserve">. </w:t>
      </w:r>
      <w:r w:rsidRPr="007D6044">
        <w:rPr>
          <w:rStyle w:val="Emphasis"/>
          <w:rFonts w:cstheme="minorHAnsi"/>
          <w:i w:val="0"/>
          <w:lang w:val="en"/>
        </w:rPr>
        <w:t>London: William Heinemann</w:t>
      </w:r>
      <w:r w:rsidRPr="001332C4">
        <w:rPr>
          <w:rStyle w:val="Emphasis"/>
          <w:rFonts w:cstheme="minorHAnsi"/>
          <w:lang w:val="en"/>
        </w:rPr>
        <w:t>.</w:t>
      </w:r>
    </w:p>
    <w:p w14:paraId="5459DEA6" w14:textId="77777777" w:rsidR="00AC1030" w:rsidRDefault="00AC1030" w:rsidP="007D6044"/>
    <w:p w14:paraId="0BB3CB4B" w14:textId="5A283A85" w:rsidR="00572E3C" w:rsidRPr="001332C4" w:rsidRDefault="00572E3C" w:rsidP="007D6044">
      <w:pPr>
        <w:rPr>
          <w:lang w:val="en"/>
        </w:rPr>
      </w:pPr>
      <w:r w:rsidRPr="001332C4">
        <w:rPr>
          <w:rStyle w:val="Strong"/>
          <w:rFonts w:cstheme="minorHAnsi"/>
          <w:lang w:val="en"/>
        </w:rPr>
        <w:t>Modern Scholarship</w:t>
      </w:r>
    </w:p>
    <w:p w14:paraId="0B8AB32C" w14:textId="77777777" w:rsidR="00572E3C" w:rsidRPr="001332C4" w:rsidRDefault="00572E3C" w:rsidP="007D6044">
      <w:pPr>
        <w:rPr>
          <w:lang w:val="en"/>
        </w:rPr>
      </w:pPr>
      <w:proofErr w:type="spellStart"/>
      <w:r w:rsidRPr="001332C4">
        <w:rPr>
          <w:lang w:val="en"/>
        </w:rPr>
        <w:t>Errington</w:t>
      </w:r>
      <w:proofErr w:type="spellEnd"/>
      <w:r w:rsidRPr="001332C4">
        <w:rPr>
          <w:lang w:val="en"/>
        </w:rPr>
        <w:t xml:space="preserve">, M.R. 2008. </w:t>
      </w:r>
      <w:r w:rsidRPr="001332C4">
        <w:rPr>
          <w:rStyle w:val="Emphasis"/>
          <w:rFonts w:cstheme="minorHAnsi"/>
          <w:lang w:val="en"/>
        </w:rPr>
        <w:t xml:space="preserve">A History of the Hellenistic World 323-30BC. </w:t>
      </w:r>
      <w:r w:rsidRPr="001332C4">
        <w:rPr>
          <w:lang w:val="en"/>
        </w:rPr>
        <w:t>Oxford: Blackwell Publishing.</w:t>
      </w:r>
    </w:p>
    <w:p w14:paraId="630857EE" w14:textId="77777777" w:rsidR="00572E3C" w:rsidRPr="001332C4" w:rsidRDefault="00572E3C" w:rsidP="007D6044">
      <w:pPr>
        <w:rPr>
          <w:lang w:val="en"/>
        </w:rPr>
      </w:pPr>
      <w:r w:rsidRPr="001332C4">
        <w:rPr>
          <w:lang w:val="en"/>
        </w:rPr>
        <w:t xml:space="preserve">Hunt, P. 2002. </w:t>
      </w:r>
      <w:r w:rsidRPr="001332C4">
        <w:rPr>
          <w:rStyle w:val="Emphasis"/>
          <w:rFonts w:cstheme="minorHAnsi"/>
          <w:lang w:val="en"/>
        </w:rPr>
        <w:t xml:space="preserve">Slaves, Warfare and ideology in the Greek historians. </w:t>
      </w:r>
      <w:r w:rsidRPr="001332C4">
        <w:rPr>
          <w:lang w:val="en"/>
        </w:rPr>
        <w:t>Cambridge: Cambridge University Press.</w:t>
      </w:r>
    </w:p>
    <w:p w14:paraId="52222119" w14:textId="77777777" w:rsidR="00572E3C" w:rsidRPr="001332C4" w:rsidRDefault="00572E3C" w:rsidP="007D6044">
      <w:pPr>
        <w:rPr>
          <w:lang w:val="en"/>
        </w:rPr>
      </w:pPr>
      <w:r w:rsidRPr="001332C4">
        <w:rPr>
          <w:lang w:val="en"/>
        </w:rPr>
        <w:t xml:space="preserve">Lee, J.W. 2007. </w:t>
      </w:r>
      <w:r w:rsidRPr="001332C4">
        <w:rPr>
          <w:rStyle w:val="Emphasis"/>
          <w:rFonts w:cstheme="minorHAnsi"/>
          <w:lang w:val="en"/>
        </w:rPr>
        <w:t xml:space="preserve">A Greek Army on the </w:t>
      </w:r>
      <w:proofErr w:type="gramStart"/>
      <w:r w:rsidRPr="001332C4">
        <w:rPr>
          <w:rStyle w:val="Emphasis"/>
          <w:rFonts w:cstheme="minorHAnsi"/>
          <w:lang w:val="en"/>
        </w:rPr>
        <w:t>march</w:t>
      </w:r>
      <w:proofErr w:type="gramEnd"/>
      <w:r w:rsidRPr="001332C4">
        <w:rPr>
          <w:rStyle w:val="Emphasis"/>
          <w:rFonts w:cstheme="minorHAnsi"/>
          <w:lang w:val="en"/>
        </w:rPr>
        <w:t xml:space="preserve"> soldiers and survival in Xenophon’s Anabasis.</w:t>
      </w:r>
      <w:r w:rsidRPr="001332C4">
        <w:rPr>
          <w:lang w:val="en"/>
        </w:rPr>
        <w:t xml:space="preserve"> Cambridge: Cambridge University Press.</w:t>
      </w:r>
    </w:p>
    <w:p w14:paraId="025C9B8B" w14:textId="77777777" w:rsidR="00572E3C" w:rsidRPr="001332C4" w:rsidRDefault="00572E3C" w:rsidP="007D6044">
      <w:pPr>
        <w:rPr>
          <w:lang w:val="en"/>
        </w:rPr>
      </w:pPr>
      <w:r w:rsidRPr="001332C4">
        <w:rPr>
          <w:lang w:val="en"/>
        </w:rPr>
        <w:t xml:space="preserve">Miller, M. C. 1997. </w:t>
      </w:r>
      <w:r w:rsidRPr="001332C4">
        <w:rPr>
          <w:rStyle w:val="Emphasis"/>
          <w:rFonts w:cstheme="minorHAnsi"/>
          <w:lang w:val="en"/>
        </w:rPr>
        <w:t>Athens and Persia in the fifth century BC.</w:t>
      </w:r>
      <w:r w:rsidRPr="001332C4">
        <w:rPr>
          <w:lang w:val="en"/>
        </w:rPr>
        <w:t xml:space="preserve"> New York: Cambridge University Press.</w:t>
      </w:r>
    </w:p>
    <w:p w14:paraId="35C7E6B5" w14:textId="37AA1290" w:rsidR="00572E3C" w:rsidRDefault="00572E3C" w:rsidP="007D6044">
      <w:pPr>
        <w:rPr>
          <w:lang w:val="en"/>
        </w:rPr>
      </w:pPr>
      <w:r w:rsidRPr="001332C4">
        <w:rPr>
          <w:lang w:val="en"/>
        </w:rPr>
        <w:t xml:space="preserve">Pritchard, D.M. 2015. ‘Public finance and war in ancient Greece’, </w:t>
      </w:r>
      <w:r w:rsidRPr="001332C4">
        <w:rPr>
          <w:rStyle w:val="Emphasis"/>
          <w:rFonts w:cstheme="minorHAnsi"/>
          <w:lang w:val="en"/>
        </w:rPr>
        <w:t>Greece and Rome</w:t>
      </w:r>
      <w:r w:rsidRPr="001332C4">
        <w:rPr>
          <w:lang w:val="en"/>
        </w:rPr>
        <w:t>, 62, 1, 48-59.</w:t>
      </w:r>
    </w:p>
    <w:p w14:paraId="1296F502" w14:textId="4D5A8435" w:rsidR="001332C4" w:rsidRPr="001332C4" w:rsidRDefault="001332C4" w:rsidP="007D6044">
      <w:pPr>
        <w:rPr>
          <w:lang w:val="en"/>
        </w:rPr>
      </w:pPr>
      <w:r>
        <w:rPr>
          <w:lang w:val="en"/>
        </w:rPr>
        <w:t xml:space="preserve">Pritchard, D.M. 2018 ‘The Archers of Classical Athens’, </w:t>
      </w:r>
      <w:r w:rsidRPr="005D7E27">
        <w:rPr>
          <w:i/>
          <w:lang w:val="en"/>
        </w:rPr>
        <w:t>Greece and Rome</w:t>
      </w:r>
      <w:r>
        <w:rPr>
          <w:lang w:val="en"/>
        </w:rPr>
        <w:t>, 65. 86-102</w:t>
      </w:r>
    </w:p>
    <w:p w14:paraId="50EA84F9" w14:textId="5C542BA1" w:rsidR="00572E3C" w:rsidRPr="001332C4" w:rsidRDefault="00572E3C" w:rsidP="007D6044">
      <w:pPr>
        <w:rPr>
          <w:lang w:val="en"/>
        </w:rPr>
      </w:pPr>
      <w:r w:rsidRPr="001332C4">
        <w:rPr>
          <w:lang w:val="en"/>
        </w:rPr>
        <w:t xml:space="preserve">Rich, J and Shipley, G. 1993. </w:t>
      </w:r>
      <w:r w:rsidRPr="001332C4">
        <w:rPr>
          <w:rStyle w:val="Emphasis"/>
          <w:rFonts w:cstheme="minorHAnsi"/>
          <w:lang w:val="en"/>
        </w:rPr>
        <w:t>War and Society in the Greek world.</w:t>
      </w:r>
      <w:r w:rsidR="00E168E9">
        <w:rPr>
          <w:lang w:val="en"/>
        </w:rPr>
        <w:t xml:space="preserve"> London: Rout</w:t>
      </w:r>
      <w:r w:rsidRPr="001332C4">
        <w:rPr>
          <w:lang w:val="en"/>
        </w:rPr>
        <w:t>ledge.</w:t>
      </w:r>
    </w:p>
    <w:p w14:paraId="4FFC1F6B" w14:textId="77777777" w:rsidR="00572E3C" w:rsidRPr="001332C4" w:rsidRDefault="00572E3C" w:rsidP="007D6044">
      <w:pPr>
        <w:rPr>
          <w:lang w:val="en"/>
        </w:rPr>
      </w:pPr>
      <w:r w:rsidRPr="001332C4">
        <w:rPr>
          <w:lang w:val="en"/>
        </w:rPr>
        <w:t xml:space="preserve">Sabin, P., Wees, H.V. and </w:t>
      </w:r>
      <w:proofErr w:type="spellStart"/>
      <w:r w:rsidRPr="001332C4">
        <w:rPr>
          <w:lang w:val="en"/>
        </w:rPr>
        <w:t>Whitby</w:t>
      </w:r>
      <w:proofErr w:type="spellEnd"/>
      <w:r w:rsidRPr="001332C4">
        <w:rPr>
          <w:lang w:val="en"/>
        </w:rPr>
        <w:t xml:space="preserve">, M. 2007. </w:t>
      </w:r>
      <w:r w:rsidRPr="001332C4">
        <w:rPr>
          <w:rStyle w:val="Emphasis"/>
          <w:rFonts w:cstheme="minorHAnsi"/>
          <w:lang w:val="en"/>
        </w:rPr>
        <w:t xml:space="preserve">The Cambridge History of Greek and Roman Warfare, </w:t>
      </w:r>
      <w:r w:rsidRPr="001332C4">
        <w:rPr>
          <w:lang w:val="en"/>
        </w:rPr>
        <w:t>1. Cambridge: Cambridge University Press.</w:t>
      </w:r>
    </w:p>
    <w:p w14:paraId="164E3958" w14:textId="77777777" w:rsidR="00572E3C" w:rsidRPr="001332C4" w:rsidRDefault="00572E3C" w:rsidP="007D6044">
      <w:pPr>
        <w:rPr>
          <w:lang w:val="en"/>
        </w:rPr>
      </w:pPr>
      <w:r w:rsidRPr="001332C4">
        <w:rPr>
          <w:lang w:val="en"/>
        </w:rPr>
        <w:t xml:space="preserve">Sage, M.M. 1996. </w:t>
      </w:r>
      <w:r w:rsidRPr="001332C4">
        <w:rPr>
          <w:rStyle w:val="Emphasis"/>
          <w:rFonts w:cstheme="minorHAnsi"/>
          <w:lang w:val="en"/>
        </w:rPr>
        <w:t>Warfare in Ancient Greece a sourcebook.</w:t>
      </w:r>
      <w:r w:rsidRPr="001332C4">
        <w:rPr>
          <w:lang w:val="en"/>
        </w:rPr>
        <w:t xml:space="preserve"> London: Routledge.</w:t>
      </w:r>
    </w:p>
    <w:p w14:paraId="51FAA6E8" w14:textId="77777777" w:rsidR="00572E3C" w:rsidRPr="001332C4" w:rsidRDefault="00572E3C" w:rsidP="007D6044">
      <w:pPr>
        <w:rPr>
          <w:lang w:val="en"/>
        </w:rPr>
      </w:pPr>
      <w:r w:rsidRPr="001332C4">
        <w:rPr>
          <w:lang w:val="en"/>
        </w:rPr>
        <w:t xml:space="preserve">Wees, H. 2014. </w:t>
      </w:r>
      <w:r w:rsidRPr="001332C4">
        <w:rPr>
          <w:rStyle w:val="Emphasis"/>
          <w:rFonts w:cstheme="minorHAnsi"/>
          <w:lang w:val="en"/>
        </w:rPr>
        <w:t>Greek Warfare myths and realities.</w:t>
      </w:r>
      <w:r w:rsidRPr="001332C4">
        <w:rPr>
          <w:lang w:val="en"/>
        </w:rPr>
        <w:t xml:space="preserve"> London: Duckworth.</w:t>
      </w:r>
    </w:p>
    <w:p w14:paraId="17E1E621" w14:textId="77777777" w:rsidR="00572E3C" w:rsidRPr="001332C4" w:rsidRDefault="00572E3C" w:rsidP="007D6044">
      <w:pPr>
        <w:rPr>
          <w:lang w:val="en"/>
        </w:rPr>
      </w:pPr>
      <w:r w:rsidRPr="001332C4">
        <w:rPr>
          <w:lang w:val="en"/>
        </w:rPr>
        <w:t xml:space="preserve">Wees, H. 2009. </w:t>
      </w:r>
      <w:r w:rsidRPr="001332C4">
        <w:rPr>
          <w:rStyle w:val="Emphasis"/>
          <w:rFonts w:cstheme="minorHAnsi"/>
          <w:lang w:val="en"/>
        </w:rPr>
        <w:t xml:space="preserve">War and Violence in Ancient Greece. </w:t>
      </w:r>
      <w:r w:rsidRPr="001332C4">
        <w:rPr>
          <w:lang w:val="en"/>
        </w:rPr>
        <w:t>Swansea: The classical press of Wales.</w:t>
      </w:r>
    </w:p>
    <w:p w14:paraId="50463D47" w14:textId="77777777" w:rsidR="00572E3C" w:rsidRPr="001332C4" w:rsidRDefault="00572E3C" w:rsidP="006B65CD">
      <w:pPr>
        <w:rPr>
          <w:rFonts w:cstheme="minorHAnsi"/>
          <w:b/>
          <w:u w:val="single"/>
        </w:rPr>
      </w:pPr>
    </w:p>
    <w:sectPr w:rsidR="00572E3C" w:rsidRPr="001332C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86962B" w14:textId="77777777" w:rsidR="006B65CD" w:rsidRDefault="006B65CD" w:rsidP="006B65CD">
      <w:pPr>
        <w:spacing w:after="0" w:line="240" w:lineRule="auto"/>
      </w:pPr>
      <w:r>
        <w:separator/>
      </w:r>
    </w:p>
  </w:endnote>
  <w:endnote w:type="continuationSeparator" w:id="0">
    <w:p w14:paraId="42A41170" w14:textId="77777777" w:rsidR="006B65CD" w:rsidRDefault="006B65CD" w:rsidP="006B65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77520947"/>
      <w:docPartObj>
        <w:docPartGallery w:val="Page Numbers (Bottom of Page)"/>
        <w:docPartUnique/>
      </w:docPartObj>
    </w:sdtPr>
    <w:sdtEndPr>
      <w:rPr>
        <w:noProof/>
      </w:rPr>
    </w:sdtEndPr>
    <w:sdtContent>
      <w:p w14:paraId="7F1C13ED" w14:textId="61E84942" w:rsidR="006B65CD" w:rsidRDefault="006B65CD" w:rsidP="006B65CD">
        <w:pPr>
          <w:pStyle w:val="Footer"/>
          <w:jc w:val="right"/>
        </w:pPr>
        <w:r>
          <w:t xml:space="preserve">Tamara Bowie </w:t>
        </w:r>
        <w:r>
          <w:tab/>
        </w:r>
        <w:r>
          <w:tab/>
        </w:r>
        <w:r>
          <w:fldChar w:fldCharType="begin"/>
        </w:r>
        <w:r>
          <w:instrText xml:space="preserve"> PAGE   \* MERGEFORMAT </w:instrText>
        </w:r>
        <w:r>
          <w:fldChar w:fldCharType="separate"/>
        </w:r>
        <w:r w:rsidR="00757538">
          <w:rPr>
            <w:noProof/>
          </w:rPr>
          <w:t>9</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53C038" w14:textId="77777777" w:rsidR="006B65CD" w:rsidRDefault="006B65CD" w:rsidP="006B65CD">
      <w:pPr>
        <w:spacing w:after="0" w:line="240" w:lineRule="auto"/>
      </w:pPr>
      <w:r>
        <w:separator/>
      </w:r>
    </w:p>
  </w:footnote>
  <w:footnote w:type="continuationSeparator" w:id="0">
    <w:p w14:paraId="42D5588C" w14:textId="77777777" w:rsidR="006B65CD" w:rsidRDefault="006B65CD" w:rsidP="006B65CD">
      <w:pPr>
        <w:spacing w:after="0" w:line="240" w:lineRule="auto"/>
      </w:pPr>
      <w:r>
        <w:continuationSeparator/>
      </w:r>
    </w:p>
  </w:footnote>
  <w:footnote w:id="1">
    <w:p w14:paraId="4E8C5200" w14:textId="7823D640" w:rsidR="005D7E27" w:rsidRDefault="005D7E27">
      <w:pPr>
        <w:pStyle w:val="FootnoteText"/>
      </w:pPr>
      <w:r>
        <w:rPr>
          <w:rStyle w:val="FootnoteReference"/>
        </w:rPr>
        <w:footnoteRef/>
      </w:r>
      <w:r>
        <w:t xml:space="preserve"> </w:t>
      </w:r>
      <w:r w:rsidR="000C2F0D">
        <w:t>Pritchard, 2018. 86.</w:t>
      </w:r>
    </w:p>
  </w:footnote>
  <w:footnote w:id="2">
    <w:p w14:paraId="3F82C92F" w14:textId="65B56732" w:rsidR="005D7E27" w:rsidRDefault="005D7E27">
      <w:pPr>
        <w:pStyle w:val="FootnoteText"/>
      </w:pPr>
      <w:r>
        <w:rPr>
          <w:rStyle w:val="FootnoteReference"/>
        </w:rPr>
        <w:footnoteRef/>
      </w:r>
      <w:r>
        <w:t xml:space="preserve"> </w:t>
      </w:r>
      <w:r w:rsidR="000C2F0D">
        <w:t xml:space="preserve">Pritchard, 2018. 86. </w:t>
      </w:r>
    </w:p>
  </w:footnote>
  <w:footnote w:id="3">
    <w:p w14:paraId="4A786548" w14:textId="0EB41FA9" w:rsidR="005D7E27" w:rsidRDefault="005D7E27">
      <w:pPr>
        <w:pStyle w:val="FootnoteText"/>
      </w:pPr>
      <w:r>
        <w:rPr>
          <w:rStyle w:val="FootnoteReference"/>
        </w:rPr>
        <w:footnoteRef/>
      </w:r>
      <w:r>
        <w:t xml:space="preserve"> </w:t>
      </w:r>
      <w:r w:rsidR="000C2F0D">
        <w:t>Pritchard, 2018. 86.</w:t>
      </w:r>
    </w:p>
  </w:footnote>
  <w:footnote w:id="4">
    <w:p w14:paraId="56A534EB" w14:textId="2A76C588" w:rsidR="005D7E27" w:rsidRDefault="005D7E27">
      <w:pPr>
        <w:pStyle w:val="FootnoteText"/>
      </w:pPr>
      <w:r>
        <w:rPr>
          <w:rStyle w:val="FootnoteReference"/>
        </w:rPr>
        <w:footnoteRef/>
      </w:r>
      <w:r>
        <w:t xml:space="preserve"> </w:t>
      </w:r>
      <w:r w:rsidR="000C2F0D">
        <w:t>Pritchard, 2018. 86.</w:t>
      </w:r>
    </w:p>
  </w:footnote>
  <w:footnote w:id="5">
    <w:p w14:paraId="7249793E" w14:textId="3EDC6A55" w:rsidR="005D7E27" w:rsidRDefault="005D7E27">
      <w:pPr>
        <w:pStyle w:val="FootnoteText"/>
      </w:pPr>
      <w:r>
        <w:rPr>
          <w:rStyle w:val="FootnoteReference"/>
        </w:rPr>
        <w:footnoteRef/>
      </w:r>
      <w:r>
        <w:t xml:space="preserve"> </w:t>
      </w:r>
      <w:r w:rsidR="000C2F0D">
        <w:t>Pritchard, 2018. 99.</w:t>
      </w:r>
    </w:p>
  </w:footnote>
  <w:footnote w:id="6">
    <w:p w14:paraId="613A3536" w14:textId="3E7ADC04" w:rsidR="005D7E27" w:rsidRDefault="005D7E27">
      <w:pPr>
        <w:pStyle w:val="FootnoteText"/>
      </w:pPr>
      <w:r>
        <w:rPr>
          <w:rStyle w:val="FootnoteReference"/>
        </w:rPr>
        <w:footnoteRef/>
      </w:r>
      <w:r>
        <w:t xml:space="preserve"> </w:t>
      </w:r>
      <w:r w:rsidR="000C2F0D">
        <w:t>Pritchard, 2018. 99.</w:t>
      </w:r>
    </w:p>
  </w:footnote>
  <w:footnote w:id="7">
    <w:p w14:paraId="26745916" w14:textId="166EE77D" w:rsidR="005D7E27" w:rsidRDefault="005D7E27">
      <w:pPr>
        <w:pStyle w:val="FootnoteText"/>
      </w:pPr>
      <w:r>
        <w:rPr>
          <w:rStyle w:val="FootnoteReference"/>
        </w:rPr>
        <w:footnoteRef/>
      </w:r>
      <w:r>
        <w:t xml:space="preserve"> </w:t>
      </w:r>
      <w:r w:rsidR="000C2F0D">
        <w:t>Pritchard, 2018. 86.</w:t>
      </w:r>
    </w:p>
  </w:footnote>
  <w:footnote w:id="8">
    <w:p w14:paraId="1CD8E6CD" w14:textId="7346AE88" w:rsidR="005D7E27" w:rsidRDefault="005D7E27">
      <w:pPr>
        <w:pStyle w:val="FootnoteText"/>
      </w:pPr>
      <w:r>
        <w:rPr>
          <w:rStyle w:val="FootnoteReference"/>
        </w:rPr>
        <w:footnoteRef/>
      </w:r>
      <w:r>
        <w:t xml:space="preserve"> </w:t>
      </w:r>
      <w:r w:rsidR="000C2F0D">
        <w:t>Pritchard, 2018. 98.</w:t>
      </w:r>
    </w:p>
  </w:footnote>
  <w:footnote w:id="9">
    <w:p w14:paraId="55B38625" w14:textId="22C77834" w:rsidR="005D7E27" w:rsidRDefault="005D7E27">
      <w:pPr>
        <w:pStyle w:val="FootnoteText"/>
      </w:pPr>
      <w:r>
        <w:rPr>
          <w:rStyle w:val="FootnoteReference"/>
        </w:rPr>
        <w:footnoteRef/>
      </w:r>
      <w:r>
        <w:t xml:space="preserve"> </w:t>
      </w:r>
      <w:r w:rsidR="000C2F0D">
        <w:t>Pritchard, 2018. 87.</w:t>
      </w:r>
    </w:p>
  </w:footnote>
  <w:footnote w:id="10">
    <w:p w14:paraId="6F3B691C" w14:textId="75CF3163" w:rsidR="005D7E27" w:rsidRDefault="005D7E27">
      <w:pPr>
        <w:pStyle w:val="FootnoteText"/>
      </w:pPr>
      <w:r>
        <w:rPr>
          <w:rStyle w:val="FootnoteReference"/>
        </w:rPr>
        <w:footnoteRef/>
      </w:r>
      <w:r>
        <w:t xml:space="preserve"> </w:t>
      </w:r>
      <w:r w:rsidR="000C2F0D">
        <w:t>Pritchard, 2018. 87.</w:t>
      </w:r>
    </w:p>
  </w:footnote>
  <w:footnote w:id="11">
    <w:p w14:paraId="31A12163" w14:textId="2C21F3A7" w:rsidR="005D7E27" w:rsidRDefault="005D7E27">
      <w:pPr>
        <w:pStyle w:val="FootnoteText"/>
      </w:pPr>
      <w:r>
        <w:rPr>
          <w:rStyle w:val="FootnoteReference"/>
        </w:rPr>
        <w:footnoteRef/>
      </w:r>
      <w:r>
        <w:t xml:space="preserve"> </w:t>
      </w:r>
      <w:r w:rsidR="000C2F0D">
        <w:t>Pritchard, 2018. 87.</w:t>
      </w:r>
    </w:p>
  </w:footnote>
  <w:footnote w:id="12">
    <w:p w14:paraId="709690D8" w14:textId="32A6EC33" w:rsidR="005D7E27" w:rsidRDefault="005D7E27">
      <w:pPr>
        <w:pStyle w:val="FootnoteText"/>
      </w:pPr>
      <w:r>
        <w:rPr>
          <w:rStyle w:val="FootnoteReference"/>
        </w:rPr>
        <w:footnoteRef/>
      </w:r>
      <w:r>
        <w:t xml:space="preserve"> </w:t>
      </w:r>
      <w:r w:rsidR="00757538">
        <w:t>Pritchard, 2018. 87;</w:t>
      </w:r>
      <w:r w:rsidR="000C2F0D">
        <w:t xml:space="preserve"> Plassart, 1913. 152.</w:t>
      </w:r>
    </w:p>
  </w:footnote>
  <w:footnote w:id="13">
    <w:p w14:paraId="4DA99C61" w14:textId="7AA010DB" w:rsidR="005D7E27" w:rsidRDefault="005D7E27">
      <w:pPr>
        <w:pStyle w:val="FootnoteText"/>
      </w:pPr>
      <w:r>
        <w:rPr>
          <w:rStyle w:val="FootnoteReference"/>
        </w:rPr>
        <w:footnoteRef/>
      </w:r>
      <w:r>
        <w:t xml:space="preserve"> </w:t>
      </w:r>
      <w:r w:rsidR="000C2F0D">
        <w:t>Pritchard, 2018. 87.</w:t>
      </w:r>
    </w:p>
  </w:footnote>
  <w:footnote w:id="14">
    <w:p w14:paraId="7EFEBA60" w14:textId="2997E342" w:rsidR="005D7E27" w:rsidRDefault="005D7E27">
      <w:pPr>
        <w:pStyle w:val="FootnoteText"/>
      </w:pPr>
      <w:r>
        <w:rPr>
          <w:rStyle w:val="FootnoteReference"/>
        </w:rPr>
        <w:footnoteRef/>
      </w:r>
      <w:r>
        <w:t xml:space="preserve"> </w:t>
      </w:r>
      <w:r w:rsidR="000C2F0D">
        <w:t>Pritchard, 2018. 87.</w:t>
      </w:r>
    </w:p>
  </w:footnote>
  <w:footnote w:id="15">
    <w:p w14:paraId="633B6DEB" w14:textId="2042FFED" w:rsidR="00AC1030" w:rsidRDefault="00AC1030">
      <w:pPr>
        <w:pStyle w:val="FootnoteText"/>
      </w:pPr>
      <w:r>
        <w:rPr>
          <w:rStyle w:val="FootnoteReference"/>
        </w:rPr>
        <w:footnoteRef/>
      </w:r>
      <w:r>
        <w:t xml:space="preserve"> </w:t>
      </w:r>
      <w:proofErr w:type="spellStart"/>
      <w:r w:rsidRPr="00AC1030">
        <w:t>Plut</w:t>
      </w:r>
      <w:proofErr w:type="spellEnd"/>
      <w:r w:rsidRPr="00AC1030">
        <w:t xml:space="preserve">. </w:t>
      </w:r>
      <w:r w:rsidRPr="00757538">
        <w:rPr>
          <w:i/>
        </w:rPr>
        <w:t>Lyc</w:t>
      </w:r>
      <w:r w:rsidRPr="00AC1030">
        <w:t>. 7.1</w:t>
      </w:r>
    </w:p>
  </w:footnote>
  <w:footnote w:id="16">
    <w:p w14:paraId="3DFF06FA" w14:textId="5B40EF81" w:rsidR="00895AE9" w:rsidRPr="00805A1D" w:rsidRDefault="00895AE9">
      <w:pPr>
        <w:pStyle w:val="FootnoteText"/>
      </w:pPr>
      <w:r>
        <w:rPr>
          <w:rStyle w:val="FootnoteReference"/>
        </w:rPr>
        <w:footnoteRef/>
      </w:r>
      <w:r>
        <w:t xml:space="preserve"> </w:t>
      </w:r>
      <w:r w:rsidR="00805A1D">
        <w:t xml:space="preserve">Ar. </w:t>
      </w:r>
      <w:proofErr w:type="spellStart"/>
      <w:r w:rsidR="00805A1D">
        <w:rPr>
          <w:i/>
        </w:rPr>
        <w:t>Vesp</w:t>
      </w:r>
      <w:proofErr w:type="spellEnd"/>
      <w:r w:rsidR="00805A1D">
        <w:rPr>
          <w:i/>
        </w:rPr>
        <w:t>.</w:t>
      </w:r>
      <w:r w:rsidR="00805A1D">
        <w:t xml:space="preserve"> 1082-6</w:t>
      </w:r>
    </w:p>
  </w:footnote>
  <w:footnote w:id="17">
    <w:p w14:paraId="22122F1A" w14:textId="132044DD" w:rsidR="00931545" w:rsidRDefault="000F45DA">
      <w:pPr>
        <w:pStyle w:val="FootnoteText"/>
      </w:pPr>
      <w:r>
        <w:rPr>
          <w:rStyle w:val="FootnoteReference"/>
        </w:rPr>
        <w:footnoteRef/>
      </w:r>
      <w:r>
        <w:t xml:space="preserve"> Pritchard, 2018. </w:t>
      </w:r>
      <w:r w:rsidR="00931545">
        <w:t>94.</w:t>
      </w:r>
    </w:p>
  </w:footnote>
  <w:footnote w:id="18">
    <w:p w14:paraId="74CB09A0" w14:textId="77777777" w:rsidR="00D842E2" w:rsidRDefault="00D842E2" w:rsidP="00D842E2">
      <w:pPr>
        <w:pStyle w:val="FootnoteText"/>
      </w:pPr>
      <w:r>
        <w:rPr>
          <w:rStyle w:val="FootnoteReference"/>
        </w:rPr>
        <w:footnoteRef/>
      </w:r>
      <w:r>
        <w:t xml:space="preserve"> Van Wees, 2009. 151.</w:t>
      </w:r>
    </w:p>
  </w:footnote>
  <w:footnote w:id="19">
    <w:p w14:paraId="6F10664E" w14:textId="0D04A2CD" w:rsidR="000F45DA" w:rsidRDefault="000F45DA">
      <w:pPr>
        <w:pStyle w:val="FootnoteText"/>
      </w:pPr>
      <w:r>
        <w:rPr>
          <w:rStyle w:val="FootnoteReference"/>
        </w:rPr>
        <w:footnoteRef/>
      </w:r>
      <w:r>
        <w:t xml:space="preserve"> Pritchard, 2018. </w:t>
      </w:r>
      <w:r w:rsidR="00757538">
        <w:t>97.</w:t>
      </w:r>
    </w:p>
  </w:footnote>
  <w:footnote w:id="20">
    <w:p w14:paraId="557C3F32" w14:textId="480A250C" w:rsidR="00B054FB" w:rsidRDefault="00B054FB">
      <w:pPr>
        <w:pStyle w:val="FootnoteText"/>
      </w:pPr>
      <w:r>
        <w:rPr>
          <w:rStyle w:val="FootnoteReference"/>
        </w:rPr>
        <w:footnoteRef/>
      </w:r>
      <w:r>
        <w:t xml:space="preserve"> Van Wees, 2007. 40-41.</w:t>
      </w:r>
    </w:p>
  </w:footnote>
  <w:footnote w:id="21">
    <w:p w14:paraId="1BAEACD1" w14:textId="17CFE5B1" w:rsidR="00CB540F" w:rsidRDefault="00CB540F">
      <w:pPr>
        <w:pStyle w:val="FootnoteText"/>
      </w:pPr>
      <w:r>
        <w:rPr>
          <w:rStyle w:val="FootnoteReference"/>
        </w:rPr>
        <w:footnoteRef/>
      </w:r>
      <w:r w:rsidR="00805A1D">
        <w:t xml:space="preserve"> Pritchard, 2018. 97.</w:t>
      </w:r>
    </w:p>
  </w:footnote>
  <w:footnote w:id="22">
    <w:p w14:paraId="1B5705D5" w14:textId="4F2BDD74" w:rsidR="00CB540F" w:rsidRDefault="00CB540F">
      <w:pPr>
        <w:pStyle w:val="FootnoteText"/>
      </w:pPr>
      <w:r>
        <w:rPr>
          <w:rStyle w:val="FootnoteReference"/>
        </w:rPr>
        <w:footnoteRef/>
      </w:r>
      <w:r>
        <w:t xml:space="preserve"> </w:t>
      </w:r>
      <w:r w:rsidR="00757538">
        <w:t xml:space="preserve">Pritchard, 2018, 97; </w:t>
      </w:r>
      <w:r w:rsidR="00997190">
        <w:t>Thuc.6.31.3</w:t>
      </w:r>
    </w:p>
  </w:footnote>
  <w:footnote w:id="23">
    <w:p w14:paraId="2ACFCC68" w14:textId="060FBBB8" w:rsidR="00CB540F" w:rsidRDefault="00CB540F">
      <w:pPr>
        <w:pStyle w:val="FootnoteText"/>
      </w:pPr>
      <w:r>
        <w:rPr>
          <w:rStyle w:val="FootnoteReference"/>
        </w:rPr>
        <w:footnoteRef/>
      </w:r>
      <w:r>
        <w:t xml:space="preserve"> </w:t>
      </w:r>
      <w:r w:rsidR="00997190">
        <w:t>Pritchard, 2018. 97-98.</w:t>
      </w:r>
    </w:p>
  </w:footnote>
  <w:footnote w:id="24">
    <w:p w14:paraId="07541C02" w14:textId="7768CBFC" w:rsidR="00D05C28" w:rsidRDefault="00D05C28">
      <w:pPr>
        <w:pStyle w:val="FootnoteText"/>
      </w:pPr>
      <w:r>
        <w:rPr>
          <w:rStyle w:val="FootnoteReference"/>
        </w:rPr>
        <w:footnoteRef/>
      </w:r>
      <w:r>
        <w:t xml:space="preserve"> Pritchard, 2018. 96.</w:t>
      </w:r>
    </w:p>
  </w:footnote>
  <w:footnote w:id="25">
    <w:p w14:paraId="5C12207A" w14:textId="5E6BD168" w:rsidR="00D05C28" w:rsidRDefault="00D05C28">
      <w:pPr>
        <w:pStyle w:val="FootnoteText"/>
      </w:pPr>
      <w:r>
        <w:rPr>
          <w:rStyle w:val="FootnoteReference"/>
        </w:rPr>
        <w:footnoteRef/>
      </w:r>
      <w:r>
        <w:t xml:space="preserve"> </w:t>
      </w:r>
      <w:proofErr w:type="spellStart"/>
      <w:r>
        <w:t>Thuc</w:t>
      </w:r>
      <w:proofErr w:type="spellEnd"/>
      <w:r>
        <w:t>. 2.93.2</w:t>
      </w:r>
    </w:p>
  </w:footnote>
  <w:footnote w:id="26">
    <w:p w14:paraId="1FD44970" w14:textId="70BCBE58" w:rsidR="00C50446" w:rsidRDefault="00C50446">
      <w:pPr>
        <w:pStyle w:val="FootnoteText"/>
      </w:pPr>
      <w:r>
        <w:rPr>
          <w:rStyle w:val="FootnoteReference"/>
        </w:rPr>
        <w:footnoteRef/>
      </w:r>
      <w:r>
        <w:t xml:space="preserve"> </w:t>
      </w:r>
      <w:proofErr w:type="spellStart"/>
      <w:r w:rsidR="00FD3499" w:rsidRPr="00FD3499">
        <w:t>Aristot</w:t>
      </w:r>
      <w:proofErr w:type="spellEnd"/>
      <w:r w:rsidR="00FD3499" w:rsidRPr="00FD3499">
        <w:t xml:space="preserve">. </w:t>
      </w:r>
      <w:r w:rsidR="00FD3499" w:rsidRPr="00FD3499">
        <w:rPr>
          <w:i/>
        </w:rPr>
        <w:t xml:space="preserve">Const. </w:t>
      </w:r>
      <w:proofErr w:type="spellStart"/>
      <w:r w:rsidR="00FD3499" w:rsidRPr="00FD3499">
        <w:rPr>
          <w:i/>
        </w:rPr>
        <w:t>Ath</w:t>
      </w:r>
      <w:proofErr w:type="spellEnd"/>
      <w:r w:rsidR="00FD3499" w:rsidRPr="00FD3499">
        <w:t>. 21</w:t>
      </w:r>
      <w:r w:rsidR="00FD3499">
        <w:t>.</w:t>
      </w:r>
    </w:p>
  </w:footnote>
  <w:footnote w:id="27">
    <w:p w14:paraId="0F1D1682" w14:textId="5CA4C849" w:rsidR="00B136D7" w:rsidRDefault="00B136D7">
      <w:pPr>
        <w:pStyle w:val="FootnoteText"/>
      </w:pPr>
      <w:r>
        <w:rPr>
          <w:rStyle w:val="FootnoteReference"/>
        </w:rPr>
        <w:footnoteRef/>
      </w:r>
      <w:r>
        <w:t xml:space="preserve"> </w:t>
      </w:r>
      <w:r w:rsidR="00FD3499">
        <w:t>Pritchard, 2018. 99.</w:t>
      </w:r>
    </w:p>
  </w:footnote>
  <w:footnote w:id="28">
    <w:p w14:paraId="7B5B5254" w14:textId="1F16E16E" w:rsidR="00B136D7" w:rsidRDefault="00B136D7">
      <w:pPr>
        <w:pStyle w:val="FootnoteText"/>
      </w:pPr>
      <w:r>
        <w:rPr>
          <w:rStyle w:val="FootnoteReference"/>
        </w:rPr>
        <w:footnoteRef/>
      </w:r>
      <w:r>
        <w:t xml:space="preserve"> </w:t>
      </w:r>
      <w:r w:rsidR="00757538">
        <w:t xml:space="preserve">Pritchard, 2018. 99; </w:t>
      </w:r>
      <w:proofErr w:type="spellStart"/>
      <w:r w:rsidR="00FD3499" w:rsidRPr="00FD3499">
        <w:t>Aristot</w:t>
      </w:r>
      <w:proofErr w:type="spellEnd"/>
      <w:r w:rsidR="00FD3499" w:rsidRPr="00FD3499">
        <w:t xml:space="preserve">. </w:t>
      </w:r>
      <w:r w:rsidR="00FD3499" w:rsidRPr="00FD3499">
        <w:rPr>
          <w:i/>
        </w:rPr>
        <w:t xml:space="preserve">Const. </w:t>
      </w:r>
      <w:proofErr w:type="spellStart"/>
      <w:r w:rsidR="00FD3499" w:rsidRPr="00FD3499">
        <w:rPr>
          <w:i/>
        </w:rPr>
        <w:t>Ath</w:t>
      </w:r>
      <w:proofErr w:type="spellEnd"/>
      <w:r w:rsidR="00FD3499" w:rsidRPr="00FD3499">
        <w:t>. 26</w:t>
      </w:r>
    </w:p>
  </w:footnote>
  <w:footnote w:id="29">
    <w:p w14:paraId="2CCDA8EC" w14:textId="30CB6E06" w:rsidR="00895AE9" w:rsidRDefault="00895AE9">
      <w:pPr>
        <w:pStyle w:val="FootnoteText"/>
      </w:pPr>
      <w:r>
        <w:rPr>
          <w:rStyle w:val="FootnoteReference"/>
        </w:rPr>
        <w:footnoteRef/>
      </w:r>
      <w:r>
        <w:t xml:space="preserve"> </w:t>
      </w:r>
      <w:proofErr w:type="spellStart"/>
      <w:r w:rsidR="00CA7A19" w:rsidRPr="00CA7A19">
        <w:t>Thuc</w:t>
      </w:r>
      <w:proofErr w:type="spellEnd"/>
      <w:r w:rsidR="00CA7A19" w:rsidRPr="00CA7A19">
        <w:t>. 4.28</w:t>
      </w:r>
    </w:p>
  </w:footnote>
  <w:footnote w:id="30">
    <w:p w14:paraId="0B97B667" w14:textId="1F9B06ED" w:rsidR="00B76F30" w:rsidRDefault="00B76F30">
      <w:pPr>
        <w:pStyle w:val="FootnoteText"/>
      </w:pPr>
      <w:r>
        <w:rPr>
          <w:rStyle w:val="FootnoteReference"/>
        </w:rPr>
        <w:footnoteRef/>
      </w:r>
      <w:r>
        <w:t xml:space="preserve"> </w:t>
      </w:r>
      <w:r w:rsidR="00931545">
        <w:t>Pritchard, 2018. 101.</w:t>
      </w:r>
    </w:p>
  </w:footnote>
  <w:footnote w:id="31">
    <w:p w14:paraId="295AFE66" w14:textId="5EE102D8" w:rsidR="00CB540F" w:rsidRDefault="00CB540F">
      <w:pPr>
        <w:pStyle w:val="FootnoteText"/>
      </w:pPr>
      <w:r>
        <w:rPr>
          <w:rStyle w:val="FootnoteReference"/>
        </w:rPr>
        <w:footnoteRef/>
      </w:r>
      <w:r>
        <w:t xml:space="preserve"> </w:t>
      </w:r>
      <w:r w:rsidR="00710B70">
        <w:t>Pritchard, 2018. 97.</w:t>
      </w:r>
    </w:p>
  </w:footnote>
  <w:footnote w:id="32">
    <w:p w14:paraId="0B7F7F7F" w14:textId="5C114A13" w:rsidR="00E168E9" w:rsidRDefault="00E168E9">
      <w:pPr>
        <w:pStyle w:val="FootnoteText"/>
      </w:pPr>
      <w:r>
        <w:rPr>
          <w:rStyle w:val="FootnoteReference"/>
        </w:rPr>
        <w:footnoteRef/>
      </w:r>
      <w:r>
        <w:t xml:space="preserve"> </w:t>
      </w:r>
      <w:r w:rsidR="00710B70">
        <w:t>Pritchard, 2018. 98.</w:t>
      </w:r>
    </w:p>
  </w:footnote>
  <w:footnote w:id="33">
    <w:p w14:paraId="0B38ECAA" w14:textId="3CEA5FC8" w:rsidR="00710B70" w:rsidRDefault="00710B70">
      <w:pPr>
        <w:pStyle w:val="FootnoteText"/>
      </w:pPr>
      <w:r>
        <w:rPr>
          <w:rStyle w:val="FootnoteReference"/>
        </w:rPr>
        <w:footnoteRef/>
      </w:r>
      <w:r>
        <w:t xml:space="preserve"> </w:t>
      </w:r>
      <w:proofErr w:type="spellStart"/>
      <w:r>
        <w:t>Andoc</w:t>
      </w:r>
      <w:proofErr w:type="spellEnd"/>
      <w:r>
        <w:t>. 3.</w:t>
      </w:r>
      <w:r w:rsidRPr="00710B70">
        <w:t>7</w:t>
      </w:r>
      <w:r>
        <w:t>. Discussing the strength increase of the Athenians during</w:t>
      </w:r>
      <w:r w:rsidR="009B4FCE">
        <w:t xml:space="preserve"> the</w:t>
      </w:r>
      <w:r>
        <w:t xml:space="preserve"> </w:t>
      </w:r>
      <w:r w:rsidR="009B4FCE">
        <w:t xml:space="preserve">thirty year peace treaty </w:t>
      </w:r>
      <w:r>
        <w:t>with Sparta at the end of the first Peloponnesian War</w:t>
      </w:r>
      <w:r w:rsidR="009B4FCE">
        <w:t xml:space="preserve"> in 446/455BC</w:t>
      </w:r>
      <w:r>
        <w:t>.</w:t>
      </w:r>
    </w:p>
  </w:footnote>
  <w:footnote w:id="34">
    <w:p w14:paraId="0C8EFCDF" w14:textId="10CEF429" w:rsidR="009F0EF6" w:rsidRDefault="009F0EF6">
      <w:pPr>
        <w:pStyle w:val="FootnoteText"/>
      </w:pPr>
      <w:r>
        <w:rPr>
          <w:rStyle w:val="FootnoteReference"/>
        </w:rPr>
        <w:footnoteRef/>
      </w:r>
      <w:r>
        <w:t xml:space="preserve"> Pritchard, 2018. 102.</w:t>
      </w:r>
    </w:p>
  </w:footnote>
  <w:footnote w:id="35">
    <w:p w14:paraId="0DE7E172" w14:textId="7BA0F9D9" w:rsidR="00AE15B8" w:rsidRDefault="00AE15B8">
      <w:pPr>
        <w:pStyle w:val="FootnoteText"/>
      </w:pPr>
      <w:r>
        <w:rPr>
          <w:rStyle w:val="FootnoteReference"/>
        </w:rPr>
        <w:footnoteRef/>
      </w:r>
      <w:r>
        <w:t xml:space="preserve"> </w:t>
      </w:r>
      <w:r w:rsidR="009F0EF6">
        <w:t>Pritchard, 2018. 102.</w:t>
      </w:r>
    </w:p>
  </w:footnote>
  <w:footnote w:id="36">
    <w:p w14:paraId="7484CF4B" w14:textId="7C6385D1" w:rsidR="009F0EF6" w:rsidRDefault="009F0EF6">
      <w:pPr>
        <w:pStyle w:val="FootnoteText"/>
      </w:pPr>
      <w:r>
        <w:rPr>
          <w:rStyle w:val="FootnoteReference"/>
        </w:rPr>
        <w:footnoteRef/>
      </w:r>
      <w:r>
        <w:t xml:space="preserve"> </w:t>
      </w:r>
      <w:r>
        <w:t>Pritchard, 2018. 102.</w:t>
      </w:r>
    </w:p>
  </w:footnote>
  <w:footnote w:id="37">
    <w:p w14:paraId="209473F7" w14:textId="1D33AC35" w:rsidR="009F0EF6" w:rsidRDefault="009F0EF6">
      <w:pPr>
        <w:pStyle w:val="FootnoteText"/>
      </w:pPr>
      <w:r>
        <w:rPr>
          <w:rStyle w:val="FootnoteReference"/>
        </w:rPr>
        <w:footnoteRef/>
      </w:r>
      <w:r>
        <w:t xml:space="preserve"> </w:t>
      </w:r>
      <w:r>
        <w:t>Pritchard, 2018. 102.</w:t>
      </w:r>
    </w:p>
  </w:footnote>
  <w:footnote w:id="38">
    <w:p w14:paraId="56A55E3E" w14:textId="08E4C4CC" w:rsidR="009F0EF6" w:rsidRDefault="009F0EF6">
      <w:pPr>
        <w:pStyle w:val="FootnoteText"/>
      </w:pPr>
      <w:r>
        <w:rPr>
          <w:rStyle w:val="FootnoteReference"/>
        </w:rPr>
        <w:footnoteRef/>
      </w:r>
      <w:r>
        <w:t xml:space="preserve"> </w:t>
      </w:r>
      <w:r>
        <w:t>Pritchard, 2018. 102.</w:t>
      </w:r>
    </w:p>
  </w:footnote>
  <w:footnote w:id="39">
    <w:p w14:paraId="1D11564D" w14:textId="16D52BE5" w:rsidR="009F0EF6" w:rsidRDefault="009F0EF6">
      <w:pPr>
        <w:pStyle w:val="FootnoteText"/>
      </w:pPr>
      <w:r>
        <w:rPr>
          <w:rStyle w:val="FootnoteReference"/>
        </w:rPr>
        <w:footnoteRef/>
      </w:r>
      <w:r>
        <w:t xml:space="preserve"> </w:t>
      </w:r>
      <w:r>
        <w:t>Pritchard, 2018. 102.</w:t>
      </w:r>
    </w:p>
  </w:footnote>
  <w:footnote w:id="40">
    <w:p w14:paraId="59719857" w14:textId="30B67F32" w:rsidR="009F0EF6" w:rsidRDefault="009F0EF6">
      <w:pPr>
        <w:pStyle w:val="FootnoteText"/>
      </w:pPr>
      <w:r>
        <w:rPr>
          <w:rStyle w:val="FootnoteReference"/>
        </w:rPr>
        <w:footnoteRef/>
      </w:r>
      <w:r>
        <w:t xml:space="preserve"> </w:t>
      </w:r>
      <w:r>
        <w:t>Pritchard, 2018. 102.</w:t>
      </w:r>
    </w:p>
  </w:footnote>
  <w:footnote w:id="41">
    <w:p w14:paraId="572AD9E3" w14:textId="312EC663" w:rsidR="00E80A86" w:rsidRDefault="00E80A86">
      <w:pPr>
        <w:pStyle w:val="FootnoteText"/>
      </w:pPr>
      <w:r>
        <w:rPr>
          <w:rStyle w:val="FootnoteReference"/>
        </w:rPr>
        <w:footnoteRef/>
      </w:r>
      <w:r>
        <w:t xml:space="preserve"> </w:t>
      </w:r>
      <w:r w:rsidR="00757538">
        <w:t xml:space="preserve">Pritchard, 2018. 98; </w:t>
      </w:r>
      <w:proofErr w:type="spellStart"/>
      <w:r w:rsidR="00757538">
        <w:t>Thuc</w:t>
      </w:r>
      <w:proofErr w:type="spellEnd"/>
      <w:r w:rsidR="00757538">
        <w:t>. 5.47.6</w:t>
      </w:r>
    </w:p>
  </w:footnote>
  <w:footnote w:id="42">
    <w:p w14:paraId="165A2ADF" w14:textId="6B81BD8A" w:rsidR="009F0EF6" w:rsidRDefault="009F0EF6">
      <w:pPr>
        <w:pStyle w:val="FootnoteText"/>
      </w:pPr>
      <w:r>
        <w:rPr>
          <w:rStyle w:val="FootnoteReference"/>
        </w:rPr>
        <w:footnoteRef/>
      </w:r>
      <w:r>
        <w:t xml:space="preserve"> </w:t>
      </w:r>
      <w:r>
        <w:t>Pritchard, 2018. 102.</w:t>
      </w:r>
    </w:p>
  </w:footnote>
  <w:footnote w:id="43">
    <w:p w14:paraId="5B1E668A" w14:textId="23049C40" w:rsidR="009F0EF6" w:rsidRDefault="009F0EF6">
      <w:pPr>
        <w:pStyle w:val="FootnoteText"/>
      </w:pPr>
      <w:r>
        <w:rPr>
          <w:rStyle w:val="FootnoteReference"/>
        </w:rPr>
        <w:footnoteRef/>
      </w:r>
      <w:r>
        <w:t xml:space="preserve"> </w:t>
      </w:r>
      <w:r>
        <w:t>Pritchard, 2018. 102.</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91883F" w14:textId="267BB53A" w:rsidR="006B65CD" w:rsidRDefault="006B65CD">
    <w:pPr>
      <w:pStyle w:val="Header"/>
    </w:pPr>
    <w:r w:rsidRPr="006B65CD">
      <w:t xml:space="preserve">Armies </w:t>
    </w:r>
    <w:r w:rsidR="00931545">
      <w:t>and Navies: Studies in Ancient W</w:t>
    </w:r>
    <w:r w:rsidRPr="006B65CD">
      <w:t>arfare Article Reply Plan</w:t>
    </w:r>
    <w:r>
      <w:tab/>
      <w:t>1601293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1B6635"/>
    <w:multiLevelType w:val="hybridMultilevel"/>
    <w:tmpl w:val="84BA45A6"/>
    <w:lvl w:ilvl="0" w:tplc="4A60B2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65CD"/>
    <w:rsid w:val="000C2F0D"/>
    <w:rsid w:val="000F45DA"/>
    <w:rsid w:val="001332C4"/>
    <w:rsid w:val="0021773F"/>
    <w:rsid w:val="00337843"/>
    <w:rsid w:val="004618CD"/>
    <w:rsid w:val="00470348"/>
    <w:rsid w:val="00561038"/>
    <w:rsid w:val="00572E3C"/>
    <w:rsid w:val="005C24A0"/>
    <w:rsid w:val="005D7E27"/>
    <w:rsid w:val="00606AEC"/>
    <w:rsid w:val="00670328"/>
    <w:rsid w:val="006B65CD"/>
    <w:rsid w:val="00710B70"/>
    <w:rsid w:val="00757538"/>
    <w:rsid w:val="007C10B9"/>
    <w:rsid w:val="007D6044"/>
    <w:rsid w:val="007E4F52"/>
    <w:rsid w:val="008051E9"/>
    <w:rsid w:val="00805A1D"/>
    <w:rsid w:val="00895AE9"/>
    <w:rsid w:val="008D2F3C"/>
    <w:rsid w:val="008E4CB1"/>
    <w:rsid w:val="00931545"/>
    <w:rsid w:val="00997190"/>
    <w:rsid w:val="009B4FCE"/>
    <w:rsid w:val="009F0EF6"/>
    <w:rsid w:val="00AB0293"/>
    <w:rsid w:val="00AC1030"/>
    <w:rsid w:val="00AE15B8"/>
    <w:rsid w:val="00B054FB"/>
    <w:rsid w:val="00B136D7"/>
    <w:rsid w:val="00B76F30"/>
    <w:rsid w:val="00C0390E"/>
    <w:rsid w:val="00C2447A"/>
    <w:rsid w:val="00C50446"/>
    <w:rsid w:val="00C62225"/>
    <w:rsid w:val="00CA7A19"/>
    <w:rsid w:val="00CB540F"/>
    <w:rsid w:val="00CC5582"/>
    <w:rsid w:val="00CF58A7"/>
    <w:rsid w:val="00D05C28"/>
    <w:rsid w:val="00D842E2"/>
    <w:rsid w:val="00DA5576"/>
    <w:rsid w:val="00DC111A"/>
    <w:rsid w:val="00E168E9"/>
    <w:rsid w:val="00E80A86"/>
    <w:rsid w:val="00EB4FB0"/>
    <w:rsid w:val="00EF3377"/>
    <w:rsid w:val="00FD3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8B8E3"/>
  <w15:chartTrackingRefBased/>
  <w15:docId w15:val="{9B8BD198-402D-4ECD-8ABF-887AA32F8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65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5CD"/>
  </w:style>
  <w:style w:type="paragraph" w:styleId="Footer">
    <w:name w:val="footer"/>
    <w:basedOn w:val="Normal"/>
    <w:link w:val="FooterChar"/>
    <w:uiPriority w:val="99"/>
    <w:unhideWhenUsed/>
    <w:rsid w:val="006B65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5CD"/>
  </w:style>
  <w:style w:type="paragraph" w:styleId="ListParagraph">
    <w:name w:val="List Paragraph"/>
    <w:basedOn w:val="Normal"/>
    <w:uiPriority w:val="34"/>
    <w:qFormat/>
    <w:rsid w:val="006B65CD"/>
    <w:pPr>
      <w:ind w:left="720"/>
      <w:contextualSpacing/>
    </w:pPr>
  </w:style>
  <w:style w:type="character" w:styleId="Strong">
    <w:name w:val="Strong"/>
    <w:basedOn w:val="DefaultParagraphFont"/>
    <w:uiPriority w:val="22"/>
    <w:qFormat/>
    <w:rsid w:val="00572E3C"/>
    <w:rPr>
      <w:b/>
      <w:bCs/>
    </w:rPr>
  </w:style>
  <w:style w:type="paragraph" w:styleId="NormalWeb">
    <w:name w:val="Normal (Web)"/>
    <w:basedOn w:val="Normal"/>
    <w:uiPriority w:val="99"/>
    <w:semiHidden/>
    <w:unhideWhenUsed/>
    <w:rsid w:val="00572E3C"/>
    <w:pPr>
      <w:spacing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72E3C"/>
    <w:rPr>
      <w:i/>
      <w:iCs/>
    </w:rPr>
  </w:style>
  <w:style w:type="paragraph" w:styleId="FootnoteText">
    <w:name w:val="footnote text"/>
    <w:basedOn w:val="Normal"/>
    <w:link w:val="FootnoteTextChar"/>
    <w:uiPriority w:val="99"/>
    <w:semiHidden/>
    <w:unhideWhenUsed/>
    <w:rsid w:val="00C504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50446"/>
    <w:rPr>
      <w:sz w:val="20"/>
      <w:szCs w:val="20"/>
    </w:rPr>
  </w:style>
  <w:style w:type="character" w:styleId="FootnoteReference">
    <w:name w:val="footnote reference"/>
    <w:basedOn w:val="DefaultParagraphFont"/>
    <w:uiPriority w:val="99"/>
    <w:semiHidden/>
    <w:unhideWhenUsed/>
    <w:rsid w:val="00C5044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6051481">
      <w:bodyDiv w:val="1"/>
      <w:marLeft w:val="0"/>
      <w:marRight w:val="0"/>
      <w:marTop w:val="0"/>
      <w:marBottom w:val="0"/>
      <w:divBdr>
        <w:top w:val="none" w:sz="0" w:space="0" w:color="auto"/>
        <w:left w:val="none" w:sz="0" w:space="0" w:color="auto"/>
        <w:bottom w:val="none" w:sz="0" w:space="0" w:color="auto"/>
        <w:right w:val="none" w:sz="0" w:space="0" w:color="auto"/>
      </w:divBdr>
      <w:divsChild>
        <w:div w:id="917792810">
          <w:marLeft w:val="0"/>
          <w:marRight w:val="0"/>
          <w:marTop w:val="0"/>
          <w:marBottom w:val="0"/>
          <w:divBdr>
            <w:top w:val="none" w:sz="0" w:space="0" w:color="auto"/>
            <w:left w:val="none" w:sz="0" w:space="0" w:color="auto"/>
            <w:bottom w:val="none" w:sz="0" w:space="0" w:color="auto"/>
            <w:right w:val="none" w:sz="0" w:space="0" w:color="auto"/>
          </w:divBdr>
          <w:divsChild>
            <w:div w:id="2072341583">
              <w:marLeft w:val="0"/>
              <w:marRight w:val="0"/>
              <w:marTop w:val="750"/>
              <w:marBottom w:val="0"/>
              <w:divBdr>
                <w:top w:val="none" w:sz="0" w:space="0" w:color="auto"/>
                <w:left w:val="none" w:sz="0" w:space="0" w:color="auto"/>
                <w:bottom w:val="none" w:sz="0" w:space="0" w:color="auto"/>
                <w:right w:val="none" w:sz="0" w:space="0" w:color="auto"/>
              </w:divBdr>
              <w:divsChild>
                <w:div w:id="991718814">
                  <w:marLeft w:val="0"/>
                  <w:marRight w:val="0"/>
                  <w:marTop w:val="1500"/>
                  <w:marBottom w:val="0"/>
                  <w:divBdr>
                    <w:top w:val="single" w:sz="6" w:space="0" w:color="FFFFFF"/>
                    <w:left w:val="single" w:sz="6" w:space="0" w:color="FFFFFF"/>
                    <w:bottom w:val="single" w:sz="6" w:space="0" w:color="FFFFFF"/>
                    <w:right w:val="single" w:sz="6" w:space="0" w:color="FFFFFF"/>
                  </w:divBdr>
                  <w:divsChild>
                    <w:div w:id="1049111219">
                      <w:marLeft w:val="-225"/>
                      <w:marRight w:val="-225"/>
                      <w:marTop w:val="0"/>
                      <w:marBottom w:val="0"/>
                      <w:divBdr>
                        <w:top w:val="none" w:sz="0" w:space="0" w:color="auto"/>
                        <w:left w:val="none" w:sz="0" w:space="0" w:color="auto"/>
                        <w:bottom w:val="none" w:sz="0" w:space="0" w:color="auto"/>
                        <w:right w:val="none" w:sz="0" w:space="0" w:color="auto"/>
                      </w:divBdr>
                      <w:divsChild>
                        <w:div w:id="205530146">
                          <w:marLeft w:val="0"/>
                          <w:marRight w:val="0"/>
                          <w:marTop w:val="0"/>
                          <w:marBottom w:val="0"/>
                          <w:divBdr>
                            <w:top w:val="none" w:sz="0" w:space="0" w:color="auto"/>
                            <w:left w:val="none" w:sz="0" w:space="0" w:color="auto"/>
                            <w:bottom w:val="none" w:sz="0" w:space="0" w:color="auto"/>
                            <w:right w:val="none" w:sz="0" w:space="0" w:color="auto"/>
                          </w:divBdr>
                          <w:divsChild>
                            <w:div w:id="381365395">
                              <w:marLeft w:val="0"/>
                              <w:marRight w:val="0"/>
                              <w:marTop w:val="0"/>
                              <w:marBottom w:val="0"/>
                              <w:divBdr>
                                <w:top w:val="none" w:sz="0" w:space="0" w:color="auto"/>
                                <w:left w:val="none" w:sz="0" w:space="0" w:color="auto"/>
                                <w:bottom w:val="none" w:sz="0" w:space="0" w:color="auto"/>
                                <w:right w:val="none" w:sz="0" w:space="0" w:color="auto"/>
                              </w:divBdr>
                              <w:divsChild>
                                <w:div w:id="1974403963">
                                  <w:marLeft w:val="0"/>
                                  <w:marRight w:val="0"/>
                                  <w:marTop w:val="0"/>
                                  <w:marBottom w:val="0"/>
                                  <w:divBdr>
                                    <w:top w:val="none" w:sz="0" w:space="0" w:color="auto"/>
                                    <w:left w:val="none" w:sz="0" w:space="0" w:color="auto"/>
                                    <w:bottom w:val="none" w:sz="0" w:space="0" w:color="auto"/>
                                    <w:right w:val="none" w:sz="0" w:space="0" w:color="auto"/>
                                  </w:divBdr>
                                  <w:divsChild>
                                    <w:div w:id="500857300">
                                      <w:marLeft w:val="0"/>
                                      <w:marRight w:val="0"/>
                                      <w:marTop w:val="0"/>
                                      <w:marBottom w:val="0"/>
                                      <w:divBdr>
                                        <w:top w:val="none" w:sz="0" w:space="0" w:color="auto"/>
                                        <w:left w:val="none" w:sz="0" w:space="0" w:color="auto"/>
                                        <w:bottom w:val="none" w:sz="0" w:space="0" w:color="auto"/>
                                        <w:right w:val="none" w:sz="0" w:space="0" w:color="auto"/>
                                      </w:divBdr>
                                      <w:divsChild>
                                        <w:div w:id="2025739040">
                                          <w:marLeft w:val="0"/>
                                          <w:marRight w:val="0"/>
                                          <w:marTop w:val="0"/>
                                          <w:marBottom w:val="240"/>
                                          <w:divBdr>
                                            <w:top w:val="single" w:sz="6" w:space="5" w:color="FFFFFF"/>
                                            <w:left w:val="single" w:sz="6" w:space="5" w:color="FFFFFF"/>
                                            <w:bottom w:val="single" w:sz="6" w:space="5" w:color="FFFFFF"/>
                                            <w:right w:val="single" w:sz="6" w:space="5" w:color="FFFFFF"/>
                                          </w:divBdr>
                                          <w:divsChild>
                                            <w:div w:id="524251123">
                                              <w:marLeft w:val="-225"/>
                                              <w:marRight w:val="-225"/>
                                              <w:marTop w:val="0"/>
                                              <w:marBottom w:val="0"/>
                                              <w:divBdr>
                                                <w:top w:val="none" w:sz="0" w:space="0" w:color="auto"/>
                                                <w:left w:val="none" w:sz="0" w:space="0" w:color="auto"/>
                                                <w:bottom w:val="none" w:sz="0" w:space="0" w:color="auto"/>
                                                <w:right w:val="none" w:sz="0" w:space="0" w:color="auto"/>
                                              </w:divBdr>
                                              <w:divsChild>
                                                <w:div w:id="1171339012">
                                                  <w:marLeft w:val="0"/>
                                                  <w:marRight w:val="0"/>
                                                  <w:marTop w:val="0"/>
                                                  <w:marBottom w:val="0"/>
                                                  <w:divBdr>
                                                    <w:top w:val="none" w:sz="0" w:space="0" w:color="auto"/>
                                                    <w:left w:val="none" w:sz="0" w:space="0" w:color="auto"/>
                                                    <w:bottom w:val="none" w:sz="0" w:space="0" w:color="auto"/>
                                                    <w:right w:val="none" w:sz="0" w:space="0" w:color="auto"/>
                                                  </w:divBdr>
                                                  <w:divsChild>
                                                    <w:div w:id="958998549">
                                                      <w:marLeft w:val="0"/>
                                                      <w:marRight w:val="0"/>
                                                      <w:marTop w:val="0"/>
                                                      <w:marBottom w:val="0"/>
                                                      <w:divBdr>
                                                        <w:top w:val="none" w:sz="0" w:space="0" w:color="auto"/>
                                                        <w:left w:val="none" w:sz="0" w:space="0" w:color="auto"/>
                                                        <w:bottom w:val="none" w:sz="0" w:space="0" w:color="auto"/>
                                                        <w:right w:val="none" w:sz="0" w:space="0" w:color="auto"/>
                                                      </w:divBdr>
                                                      <w:divsChild>
                                                        <w:div w:id="69299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C18D7B-A4CB-4F09-AEF4-AB1FA9749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TotalTime>
  <Pages>9</Pages>
  <Words>2451</Words>
  <Characters>13973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Bowie (1601293)</dc:creator>
  <cp:keywords/>
  <dc:description/>
  <cp:lastModifiedBy>Tamara Bowie (1601293)</cp:lastModifiedBy>
  <cp:revision>20</cp:revision>
  <dcterms:created xsi:type="dcterms:W3CDTF">2018-12-03T22:36:00Z</dcterms:created>
  <dcterms:modified xsi:type="dcterms:W3CDTF">2018-12-10T23:55:00Z</dcterms:modified>
</cp:coreProperties>
</file>