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b/>
          <w:sz w:val="24"/>
          <w:szCs w:val="24"/>
        </w:rPr>
        <w:t>Question1</w:t>
      </w:r>
      <w:r w:rsidRPr="00B92F6A">
        <w:rPr>
          <w:rFonts w:asciiTheme="majorHAnsi" w:hAnsiTheme="majorHAnsi" w:cstheme="majorHAnsi"/>
          <w:b/>
          <w:sz w:val="24"/>
          <w:szCs w:val="24"/>
        </w:rPr>
        <w:br/>
        <w:t>AC 1.1</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 purpose of employment law is to harmonise the relationship between employer and employee. It provides protection for both employers and employees in that it attempts to enforce acceptable behaviour on both parties by compelling both sides to abide by the regulations (CIPD, 2022a). It aims for fairness, justice, protection of employees and delivery of government policy.</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All societies must have agreed rules and working practices and the workplace is no different. This is what employment law does (Daniels, 2022).</w:t>
      </w:r>
    </w:p>
    <w:p w:rsidR="008508CA" w:rsidRPr="00B92F6A" w:rsidRDefault="008508CA" w:rsidP="008508CA">
      <w:pPr>
        <w:rPr>
          <w:rStyle w:val="Strong"/>
          <w:rFonts w:asciiTheme="majorHAnsi" w:hAnsiTheme="majorHAnsi" w:cstheme="majorHAnsi"/>
          <w:b w:val="0"/>
          <w:bCs w:val="0"/>
          <w:sz w:val="24"/>
          <w:szCs w:val="24"/>
        </w:rPr>
      </w:pPr>
      <w:r w:rsidRPr="00B92F6A">
        <w:rPr>
          <w:rFonts w:asciiTheme="majorHAnsi" w:hAnsiTheme="majorHAnsi" w:cstheme="majorHAnsi"/>
          <w:sz w:val="24"/>
          <w:szCs w:val="24"/>
        </w:rPr>
        <w:t xml:space="preserve">Employment law is not static. New statutes and case laws are added continually </w:t>
      </w:r>
      <w:r w:rsidRPr="00FB1066">
        <w:rPr>
          <w:rFonts w:asciiTheme="majorHAnsi" w:hAnsiTheme="majorHAnsi" w:cstheme="majorHAnsi"/>
          <w:sz w:val="24"/>
          <w:szCs w:val="24"/>
        </w:rPr>
        <w:t>so that it has become more and more complicated. It is very important to remember that changes in employment law during the past fifty years reflects changing attitudes in society, which has ushered in basic employment rights, whilst at the same time establishing appropriate arenas</w:t>
      </w:r>
      <w:r w:rsidRPr="00B92F6A">
        <w:rPr>
          <w:rFonts w:asciiTheme="majorHAnsi" w:hAnsiTheme="majorHAnsi" w:cstheme="majorHAnsi"/>
          <w:sz w:val="24"/>
          <w:szCs w:val="24"/>
        </w:rPr>
        <w:t xml:space="preserve"> to deal efficiently and inexpensively with such rights (Lockton, 2014). Employment law has both benefits and disadvantages. It prevents employers from holding too much power or from using that power unreasonably (CIPD, 2023a). It prevents discrimination in the workplace. which ensures that employees are not adversely affected by their age, gender, religion, ethnicity and so on. Employment law also protects employees from suffering harassment in their workplace (Study Smarter, 2023a).</w:t>
      </w:r>
      <w:r w:rsidRPr="00B92F6A">
        <w:rPr>
          <w:rStyle w:val="Strong"/>
          <w:rFonts w:asciiTheme="majorHAnsi" w:hAnsiTheme="majorHAnsi" w:cstheme="majorHAnsi"/>
          <w:sz w:val="24"/>
          <w:szCs w:val="24"/>
        </w:rPr>
        <w:t xml:space="preserve"> </w:t>
      </w:r>
      <w:r w:rsidRPr="00B92F6A">
        <w:rPr>
          <w:rStyle w:val="Strong"/>
          <w:rFonts w:asciiTheme="majorHAnsi" w:hAnsiTheme="majorHAnsi" w:cstheme="majorHAnsi"/>
          <w:b w:val="0"/>
          <w:sz w:val="24"/>
          <w:szCs w:val="24"/>
        </w:rPr>
        <w:t>Employment law is important to a business since employees work better in a safe working environment. Employment laws also provide economic stability which companies prefer</w:t>
      </w:r>
      <w:r w:rsidRPr="00B92F6A">
        <w:rPr>
          <w:rStyle w:val="Strong"/>
          <w:rFonts w:asciiTheme="majorHAnsi" w:hAnsiTheme="majorHAnsi" w:cstheme="majorHAnsi"/>
          <w:sz w:val="24"/>
          <w:szCs w:val="24"/>
        </w:rPr>
        <w:t xml:space="preserve"> </w:t>
      </w:r>
      <w:r w:rsidRPr="00B92F6A">
        <w:rPr>
          <w:rFonts w:asciiTheme="majorHAnsi" w:hAnsiTheme="majorHAnsi" w:cstheme="majorHAnsi"/>
          <w:sz w:val="24"/>
          <w:szCs w:val="24"/>
        </w:rPr>
        <w:t>(Study Smarter, 2023a)</w:t>
      </w:r>
      <w:r w:rsidRPr="00B92F6A">
        <w:rPr>
          <w:rStyle w:val="Strong"/>
          <w:rFonts w:asciiTheme="majorHAnsi" w:hAnsiTheme="majorHAnsi" w:cstheme="majorHAnsi"/>
          <w:sz w:val="24"/>
          <w:szCs w:val="24"/>
        </w:rPr>
        <w:t>.</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One of the major disadvantages of employment law is that it raises costs for employers and makes the UK economy less competitive against other economies (CIPD 2023a), especially those that do not have fully fledged employment regulations. Because it raises costs it deters inward investors who fear that will not have a very good return on their investment. It also increases unemployment and drags down the economy (CIPD 2023a). But employers are not worried about too much or too little regulations and are more concerned about good and bad regulations (CIPD 2017a).</w:t>
      </w:r>
    </w:p>
    <w:p w:rsidR="008508CA" w:rsidRPr="00B92F6A" w:rsidRDefault="008508CA" w:rsidP="008508CA">
      <w:pPr>
        <w:spacing w:before="100" w:beforeAutospacing="1" w:after="100" w:afterAutospacing="1" w:line="240" w:lineRule="auto"/>
        <w:rPr>
          <w:rFonts w:asciiTheme="majorHAnsi" w:eastAsia="Times New Roman" w:hAnsiTheme="majorHAnsi" w:cstheme="majorHAnsi"/>
          <w:sz w:val="24"/>
          <w:szCs w:val="24"/>
          <w:lang w:eastAsia="en-GB"/>
        </w:rPr>
      </w:pPr>
      <w:bookmarkStart w:id="0" w:name="_Hlk132289362"/>
      <w:r w:rsidRPr="00B92F6A">
        <w:rPr>
          <w:rFonts w:asciiTheme="majorHAnsi" w:hAnsiTheme="majorHAnsi" w:cstheme="majorHAnsi"/>
          <w:sz w:val="24"/>
          <w:szCs w:val="24"/>
        </w:rPr>
        <w:t xml:space="preserve">Employment law consists of common law, statutes and European law which has not been repealed (Colman Coyle, 2017a). Amongst the most important statutes are </w:t>
      </w:r>
      <w:r w:rsidRPr="00B92F6A">
        <w:rPr>
          <w:rFonts w:asciiTheme="majorHAnsi" w:eastAsia="Times New Roman" w:hAnsiTheme="majorHAnsi" w:cstheme="majorHAnsi"/>
          <w:sz w:val="24"/>
          <w:szCs w:val="24"/>
          <w:lang w:eastAsia="en-GB"/>
        </w:rPr>
        <w:t>Employment Relations Act 1999, National Minimum Wage Act 1998, Maternity and Parental Leave Regulations 1999, Transfer of undertakings regulations 1981, Equality Act 2010.</w:t>
      </w:r>
    </w:p>
    <w:p w:rsidR="008508CA" w:rsidRPr="00B92F6A" w:rsidRDefault="008508CA" w:rsidP="008508CA">
      <w:pPr>
        <w:spacing w:before="100" w:beforeAutospacing="1" w:after="100" w:afterAutospacing="1" w:line="240" w:lineRule="auto"/>
        <w:rPr>
          <w:rFonts w:asciiTheme="majorHAnsi" w:eastAsia="Times New Roman" w:hAnsiTheme="majorHAnsi" w:cstheme="majorHAnsi"/>
          <w:sz w:val="24"/>
          <w:szCs w:val="24"/>
          <w:lang w:eastAsia="en-GB"/>
        </w:rPr>
      </w:pPr>
    </w:p>
    <w:p w:rsidR="008508CA" w:rsidRPr="00B92F6A" w:rsidRDefault="008508CA" w:rsidP="008508CA">
      <w:pPr>
        <w:spacing w:before="100" w:beforeAutospacing="1" w:after="100" w:afterAutospacing="1" w:line="240" w:lineRule="auto"/>
        <w:rPr>
          <w:rFonts w:asciiTheme="majorHAnsi" w:eastAsia="Times New Roman" w:hAnsiTheme="majorHAnsi" w:cstheme="majorHAnsi"/>
          <w:sz w:val="24"/>
          <w:szCs w:val="24"/>
          <w:lang w:eastAsia="en-GB"/>
        </w:rPr>
      </w:pPr>
    </w:p>
    <w:p w:rsidR="008508CA" w:rsidRPr="00B92F6A" w:rsidRDefault="008508CA" w:rsidP="008508CA">
      <w:pPr>
        <w:spacing w:before="100" w:beforeAutospacing="1" w:after="100" w:afterAutospacing="1" w:line="240" w:lineRule="auto"/>
        <w:rPr>
          <w:rFonts w:asciiTheme="majorHAnsi" w:eastAsia="Times New Roman" w:hAnsiTheme="majorHAnsi" w:cstheme="majorHAnsi"/>
          <w:sz w:val="24"/>
          <w:szCs w:val="24"/>
          <w:lang w:eastAsia="en-GB"/>
        </w:rPr>
      </w:pPr>
    </w:p>
    <w:p w:rsidR="008508CA" w:rsidRPr="00B92F6A" w:rsidRDefault="008508CA" w:rsidP="008508CA">
      <w:pPr>
        <w:spacing w:before="100" w:beforeAutospacing="1" w:after="100" w:afterAutospacing="1" w:line="240" w:lineRule="auto"/>
        <w:rPr>
          <w:rFonts w:asciiTheme="majorHAnsi" w:eastAsia="Times New Roman" w:hAnsiTheme="majorHAnsi" w:cstheme="majorHAnsi"/>
          <w:sz w:val="24"/>
          <w:szCs w:val="24"/>
          <w:lang w:eastAsia="en-GB"/>
        </w:rPr>
      </w:pPr>
    </w:p>
    <w:p w:rsidR="008508CA" w:rsidRPr="00B92F6A" w:rsidRDefault="008508CA" w:rsidP="008508CA">
      <w:pPr>
        <w:spacing w:before="100" w:beforeAutospacing="1" w:after="100" w:afterAutospacing="1" w:line="240" w:lineRule="auto"/>
        <w:rPr>
          <w:rFonts w:asciiTheme="majorHAnsi" w:hAnsiTheme="majorHAnsi" w:cstheme="majorHAnsi"/>
          <w:sz w:val="24"/>
          <w:szCs w:val="24"/>
        </w:rPr>
      </w:pPr>
    </w:p>
    <w:p w:rsidR="008508CA" w:rsidRPr="00B92F6A" w:rsidRDefault="008508CA" w:rsidP="008508CA">
      <w:pPr>
        <w:spacing w:before="100" w:beforeAutospacing="1" w:after="100" w:afterAutospacing="1" w:line="240" w:lineRule="auto"/>
        <w:rPr>
          <w:rFonts w:asciiTheme="majorHAnsi" w:hAnsiTheme="majorHAnsi" w:cstheme="majorHAnsi"/>
          <w:b/>
          <w:sz w:val="24"/>
          <w:szCs w:val="24"/>
        </w:rPr>
      </w:pPr>
      <w:r w:rsidRPr="00B92F6A">
        <w:rPr>
          <w:rFonts w:asciiTheme="majorHAnsi" w:hAnsiTheme="majorHAnsi" w:cstheme="majorHAnsi"/>
          <w:b/>
          <w:sz w:val="24"/>
          <w:szCs w:val="24"/>
        </w:rPr>
        <w:lastRenderedPageBreak/>
        <w:t>Question 2</w:t>
      </w:r>
      <w:r w:rsidRPr="00B92F6A">
        <w:rPr>
          <w:rFonts w:asciiTheme="majorHAnsi" w:hAnsiTheme="majorHAnsi" w:cstheme="majorHAnsi"/>
          <w:b/>
          <w:sz w:val="24"/>
          <w:szCs w:val="24"/>
        </w:rPr>
        <w:br/>
        <w:t>AC 1.2</w:t>
      </w:r>
    </w:p>
    <w:p w:rsidR="008508CA" w:rsidRPr="00B92F6A" w:rsidRDefault="008508CA" w:rsidP="008508CA">
      <w:pPr>
        <w:pStyle w:val="NormalWeb"/>
        <w:shd w:val="clear" w:color="auto" w:fill="FFFFFF"/>
        <w:spacing w:before="300" w:beforeAutospacing="0" w:after="300" w:afterAutospacing="0"/>
        <w:rPr>
          <w:rFonts w:asciiTheme="majorHAnsi" w:hAnsiTheme="majorHAnsi" w:cstheme="majorHAnsi"/>
        </w:rPr>
      </w:pPr>
      <w:r w:rsidRPr="00B92F6A">
        <w:rPr>
          <w:rFonts w:asciiTheme="majorHAnsi" w:hAnsiTheme="majorHAnsi" w:cstheme="majorHAnsi"/>
        </w:rPr>
        <w:t>Legal disputes between an employer and an employee can be decided in two types of courts: Employment Tribunals and Common Law courts. Disputes can also be settled before reaching the courts through the Advisory, Conciliation and Arbitration Services (</w:t>
      </w:r>
      <w:proofErr w:type="spellStart"/>
      <w:r w:rsidRPr="00B92F6A">
        <w:rPr>
          <w:rFonts w:asciiTheme="majorHAnsi" w:hAnsiTheme="majorHAnsi" w:cstheme="majorHAnsi"/>
        </w:rPr>
        <w:t>Acas</w:t>
      </w:r>
      <w:proofErr w:type="spellEnd"/>
      <w:r w:rsidRPr="00B92F6A">
        <w:rPr>
          <w:rFonts w:asciiTheme="majorHAnsi" w:hAnsiTheme="majorHAnsi" w:cstheme="majorHAnsi"/>
        </w:rPr>
        <w:t>)</w:t>
      </w:r>
      <w:r>
        <w:rPr>
          <w:rFonts w:asciiTheme="majorHAnsi" w:hAnsiTheme="majorHAnsi" w:cstheme="majorHAnsi"/>
        </w:rPr>
        <w:t xml:space="preserve"> </w:t>
      </w:r>
      <w:r w:rsidRPr="00B92F6A">
        <w:rPr>
          <w:rFonts w:asciiTheme="majorHAnsi" w:hAnsiTheme="majorHAnsi" w:cstheme="majorHAnsi"/>
        </w:rPr>
        <w:t>(Colman Coyle, 2017a).</w:t>
      </w:r>
    </w:p>
    <w:p w:rsidR="008508CA" w:rsidRPr="00B92F6A" w:rsidRDefault="008508CA" w:rsidP="008508CA">
      <w:pPr>
        <w:pStyle w:val="NormalWeb"/>
        <w:shd w:val="clear" w:color="auto" w:fill="FFFFFF"/>
        <w:spacing w:before="300" w:beforeAutospacing="0" w:after="300" w:afterAutospacing="0"/>
        <w:rPr>
          <w:rFonts w:asciiTheme="majorHAnsi" w:hAnsiTheme="majorHAnsi" w:cstheme="majorHAnsi"/>
        </w:rPr>
      </w:pPr>
      <w:bookmarkStart w:id="1" w:name="_Hlk131950997"/>
      <w:r w:rsidRPr="00B92F6A">
        <w:rPr>
          <w:rFonts w:asciiTheme="majorHAnsi" w:hAnsiTheme="majorHAnsi" w:cstheme="majorHAnsi"/>
        </w:rPr>
        <w:t xml:space="preserve">Cases alleging breaches of statutory law (Acts of Parliament) are heard by Employment Tribunals whilst cases alleging breaches of common law (decisions by judges) are usually heard by the county court and sometimes by the High Court which can hear cases where claims for damages are for more than £50,000 (CIPD, 2022b). </w:t>
      </w:r>
      <w:bookmarkEnd w:id="1"/>
      <w:r w:rsidRPr="00B92F6A">
        <w:rPr>
          <w:rFonts w:asciiTheme="majorHAnsi" w:hAnsiTheme="majorHAnsi" w:cstheme="majorHAnsi"/>
        </w:rPr>
        <w:t>The majority of cases before employment tribunals are cases of unfair or wrongful dismissal, discrimination, equal pay, maternity or paternity leave/pay, unpaid wages/holiday pay, unlawful deductions of wages and whistleblowing (CIPD, 2022b, Lockton 2014). Most of the cases consists of claims for compensation (CIPD, 2022b). Common law courts hear cases arising from breach of contract, accidents at work, contract claims for non-payment of wages, notice pay or bonus (IDS 2014, Colman Coyle 2017a). The overwhelming majority of cases are in fact heard by the employment tribunals. At the end of the second quarter of 2022 there were almost 500,000 awaiting trial.</w:t>
      </w:r>
    </w:p>
    <w:p w:rsidR="008508CA" w:rsidRPr="00B92F6A" w:rsidRDefault="008508CA" w:rsidP="008508CA">
      <w:pPr>
        <w:rPr>
          <w:rFonts w:asciiTheme="majorHAnsi" w:eastAsia="Times New Roman" w:hAnsiTheme="majorHAnsi" w:cstheme="majorHAnsi"/>
          <w:sz w:val="24"/>
          <w:szCs w:val="24"/>
          <w:lang w:eastAsia="en-GB"/>
        </w:rPr>
      </w:pPr>
      <w:r w:rsidRPr="00B92F6A">
        <w:rPr>
          <w:rFonts w:asciiTheme="majorHAnsi" w:hAnsiTheme="majorHAnsi" w:cstheme="majorHAnsi"/>
          <w:sz w:val="24"/>
          <w:szCs w:val="24"/>
        </w:rPr>
        <w:t xml:space="preserve">Appeals against decisions made by the county and High Courts are to the Court of Appeal. Appeals from Employment Tribunals are to the Employment Appeals Tribunal (EAT). EAT judgements are very important because it informs all employment tribunals how the law should be applied by them in the future. Cases can be appealed from EAT to the Court of Appeal, but the number is very small (CIPD,2021a). Cases can be further appealed from the Court of Appeal to the Supreme Court, but this is only possible where a point of law is disputed which can affect a great number of employers and employees not involved in the case at all (CIPD 2021b).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Before the UK withdrew from the EU it was possible to appeal decisions of the Supreme Court to the European Court of Justice (ECJ) in matters that concerned European law, including employment legislation.  This does not now apply. The Supreme Court is the final court of appeal on all employment rights, including rights passed originally by the EU. But existing ECJ decisions are valid in the UK unless the Supreme Court decides otherwise (CIPD 2021a, CIPD 2022b).</w:t>
      </w:r>
    </w:p>
    <w:p w:rsidR="008508CA" w:rsidRPr="00B92F6A" w:rsidRDefault="008508CA" w:rsidP="008508CA">
      <w:pPr>
        <w:rPr>
          <w:rFonts w:asciiTheme="majorHAnsi" w:hAnsiTheme="majorHAnsi" w:cstheme="majorHAnsi"/>
          <w:sz w:val="24"/>
          <w:szCs w:val="24"/>
        </w:rPr>
      </w:pP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b/>
          <w:sz w:val="24"/>
          <w:szCs w:val="24"/>
        </w:rPr>
        <w:t>Question 3</w:t>
      </w:r>
      <w:r w:rsidRPr="00B92F6A">
        <w:rPr>
          <w:rFonts w:asciiTheme="majorHAnsi" w:hAnsiTheme="majorHAnsi" w:cstheme="majorHAnsi"/>
          <w:b/>
          <w:sz w:val="24"/>
          <w:szCs w:val="24"/>
        </w:rPr>
        <w:br/>
        <w:t>AC 1.3</w:t>
      </w:r>
    </w:p>
    <w:p w:rsidR="008508CA" w:rsidRPr="00B92F6A" w:rsidRDefault="008508CA" w:rsidP="008508CA">
      <w:pPr>
        <w:pStyle w:val="NormalWeb"/>
        <w:spacing w:before="0" w:beforeAutospacing="0" w:after="375" w:afterAutospacing="0"/>
        <w:textAlignment w:val="baseline"/>
        <w:rPr>
          <w:rFonts w:asciiTheme="majorHAnsi" w:hAnsiTheme="majorHAnsi" w:cstheme="majorHAnsi"/>
        </w:rPr>
      </w:pPr>
      <w:r w:rsidRPr="00B92F6A">
        <w:rPr>
          <w:rFonts w:asciiTheme="majorHAnsi" w:hAnsiTheme="majorHAnsi" w:cstheme="majorHAnsi"/>
        </w:rPr>
        <w:t xml:space="preserve">When an employee (the claimant) decides to bring a case against an employer (the respondent) the claimant has to inform </w:t>
      </w:r>
      <w:proofErr w:type="spellStart"/>
      <w:r w:rsidRPr="00B92F6A">
        <w:rPr>
          <w:rFonts w:asciiTheme="majorHAnsi" w:hAnsiTheme="majorHAnsi" w:cstheme="majorHAnsi"/>
        </w:rPr>
        <w:t>Acas</w:t>
      </w:r>
      <w:proofErr w:type="spellEnd"/>
      <w:r w:rsidRPr="00B92F6A">
        <w:rPr>
          <w:rFonts w:asciiTheme="majorHAnsi" w:hAnsiTheme="majorHAnsi" w:cstheme="majorHAnsi"/>
        </w:rPr>
        <w:t xml:space="preserve"> of his or her intention to pursue a claim before they can formally send it to the local employment tribunal office. </w:t>
      </w:r>
      <w:proofErr w:type="spellStart"/>
      <w:r w:rsidRPr="00B92F6A">
        <w:rPr>
          <w:rFonts w:asciiTheme="majorHAnsi" w:hAnsiTheme="majorHAnsi" w:cstheme="majorHAnsi"/>
        </w:rPr>
        <w:t>Acas</w:t>
      </w:r>
      <w:proofErr w:type="spellEnd"/>
      <w:r w:rsidRPr="00B92F6A">
        <w:rPr>
          <w:rFonts w:asciiTheme="majorHAnsi" w:hAnsiTheme="majorHAnsi" w:cstheme="majorHAnsi"/>
        </w:rPr>
        <w:t xml:space="preserve"> then has to offer conciliation for free, which is called Early Conciliation (CIPD 2021b). But either party can refuse </w:t>
      </w:r>
      <w:proofErr w:type="spellStart"/>
      <w:r w:rsidRPr="00B92F6A">
        <w:rPr>
          <w:rFonts w:asciiTheme="majorHAnsi" w:hAnsiTheme="majorHAnsi" w:cstheme="majorHAnsi"/>
        </w:rPr>
        <w:t>Acas’s</w:t>
      </w:r>
      <w:proofErr w:type="spellEnd"/>
      <w:r w:rsidRPr="00B92F6A">
        <w:rPr>
          <w:rFonts w:asciiTheme="majorHAnsi" w:hAnsiTheme="majorHAnsi" w:cstheme="majorHAnsi"/>
        </w:rPr>
        <w:t xml:space="preserve"> help and if that is the case the claimant will send the claim to the tribunal office (form ET1) and the respondent will reply (form ET3). Copies of both forms will be sent to </w:t>
      </w:r>
      <w:proofErr w:type="spellStart"/>
      <w:r w:rsidRPr="00B92F6A">
        <w:rPr>
          <w:rFonts w:asciiTheme="majorHAnsi" w:hAnsiTheme="majorHAnsi" w:cstheme="majorHAnsi"/>
        </w:rPr>
        <w:t>Acas</w:t>
      </w:r>
      <w:proofErr w:type="spellEnd"/>
      <w:r w:rsidRPr="00B92F6A">
        <w:rPr>
          <w:rFonts w:asciiTheme="majorHAnsi" w:hAnsiTheme="majorHAnsi" w:cstheme="majorHAnsi"/>
        </w:rPr>
        <w:t xml:space="preserve"> </w:t>
      </w:r>
      <w:r w:rsidRPr="00B92F6A">
        <w:rPr>
          <w:rFonts w:asciiTheme="majorHAnsi" w:hAnsiTheme="majorHAnsi" w:cstheme="majorHAnsi"/>
        </w:rPr>
        <w:lastRenderedPageBreak/>
        <w:t>who can still offer conciliation right up until the tribunal makes its judgement (</w:t>
      </w:r>
      <w:r w:rsidRPr="00B92F6A">
        <w:rPr>
          <w:rFonts w:asciiTheme="majorHAnsi" w:hAnsiTheme="majorHAnsi" w:cstheme="majorHAnsi"/>
          <w:iCs/>
        </w:rPr>
        <w:t>IDS 2014)</w:t>
      </w:r>
      <w:r w:rsidRPr="00B92F6A">
        <w:rPr>
          <w:rFonts w:asciiTheme="majorHAnsi" w:hAnsiTheme="majorHAnsi" w:cstheme="majorHAnsi"/>
        </w:rPr>
        <w:t xml:space="preserve">. However, if both sides agree to </w:t>
      </w:r>
      <w:proofErr w:type="spellStart"/>
      <w:r w:rsidRPr="00B92F6A">
        <w:rPr>
          <w:rFonts w:asciiTheme="majorHAnsi" w:hAnsiTheme="majorHAnsi" w:cstheme="majorHAnsi"/>
        </w:rPr>
        <w:t>Acas</w:t>
      </w:r>
      <w:proofErr w:type="spellEnd"/>
      <w:r w:rsidRPr="00B92F6A">
        <w:rPr>
          <w:rFonts w:asciiTheme="majorHAnsi" w:hAnsiTheme="majorHAnsi" w:cstheme="majorHAnsi"/>
        </w:rPr>
        <w:t xml:space="preserve"> conciliation, </w:t>
      </w:r>
      <w:proofErr w:type="spellStart"/>
      <w:r w:rsidRPr="00B92F6A">
        <w:rPr>
          <w:rFonts w:asciiTheme="majorHAnsi" w:hAnsiTheme="majorHAnsi" w:cstheme="majorHAnsi"/>
        </w:rPr>
        <w:t>Acas</w:t>
      </w:r>
      <w:proofErr w:type="spellEnd"/>
      <w:r w:rsidRPr="00B92F6A">
        <w:rPr>
          <w:rFonts w:asciiTheme="majorHAnsi" w:hAnsiTheme="majorHAnsi" w:cstheme="majorHAnsi"/>
        </w:rPr>
        <w:t xml:space="preserve"> will issue form COT3 and legal proceedings will terminate (Daniels, 2022, CIPD 2022b). There are strict time limits.  In most cases, a claimant has 3 </w:t>
      </w:r>
      <w:proofErr w:type="gramStart"/>
      <w:r w:rsidRPr="00B92F6A">
        <w:rPr>
          <w:rFonts w:asciiTheme="majorHAnsi" w:hAnsiTheme="majorHAnsi" w:cstheme="majorHAnsi"/>
        </w:rPr>
        <w:t>months</w:t>
      </w:r>
      <w:proofErr w:type="gramEnd"/>
      <w:r w:rsidRPr="00B92F6A">
        <w:rPr>
          <w:rFonts w:asciiTheme="majorHAnsi" w:hAnsiTheme="majorHAnsi" w:cstheme="majorHAnsi"/>
        </w:rPr>
        <w:t xml:space="preserve"> minus 1 day to submit a claim from the date the problem at work happened. (</w:t>
      </w:r>
      <w:proofErr w:type="spellStart"/>
      <w:r w:rsidRPr="00B92F6A">
        <w:rPr>
          <w:rFonts w:asciiTheme="majorHAnsi" w:hAnsiTheme="majorHAnsi" w:cstheme="majorHAnsi"/>
        </w:rPr>
        <w:t>Acas</w:t>
      </w:r>
      <w:proofErr w:type="spellEnd"/>
      <w:r w:rsidRPr="00B92F6A">
        <w:rPr>
          <w:rFonts w:asciiTheme="majorHAnsi" w:hAnsiTheme="majorHAnsi" w:cstheme="majorHAnsi"/>
        </w:rPr>
        <w:t>, 2022a).</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Cases can also be settled without recourse to the Employment Tribunal (ET) through private arbitration or by using the </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Arbitration Scheme. The latter has to be paid for and it has not been widely used because it only deals with unfair dismissal claims and flexible working. Parties can also settle a dispute between themselves both before and after the tribunal proceedings have begun without the need for a COT3. If such an agreement is signed, then the claimant cannot make any future claims </w:t>
      </w:r>
      <w:bookmarkStart w:id="2" w:name="_Hlk132182973"/>
      <w:r w:rsidRPr="00B92F6A">
        <w:rPr>
          <w:rFonts w:asciiTheme="majorHAnsi" w:hAnsiTheme="majorHAnsi" w:cstheme="majorHAnsi"/>
          <w:sz w:val="24"/>
          <w:szCs w:val="24"/>
        </w:rPr>
        <w:t>(IDS, 2014).</w:t>
      </w:r>
      <w:bookmarkEnd w:id="2"/>
      <w:r w:rsidRPr="00B92F6A">
        <w:rPr>
          <w:rFonts w:asciiTheme="majorHAnsi" w:hAnsiTheme="majorHAnsi" w:cstheme="majorHAnsi"/>
          <w:sz w:val="24"/>
          <w:szCs w:val="24"/>
        </w:rPr>
        <w:t xml:space="preserve">  All such agreements must be in writing (</w:t>
      </w:r>
      <w:proofErr w:type="spellStart"/>
      <w:r w:rsidRPr="00B92F6A">
        <w:rPr>
          <w:rFonts w:asciiTheme="majorHAnsi" w:hAnsiTheme="majorHAnsi" w:cstheme="majorHAnsi"/>
          <w:sz w:val="24"/>
          <w:szCs w:val="24"/>
        </w:rPr>
        <w:t>Brown,et.al</w:t>
      </w:r>
      <w:proofErr w:type="spellEnd"/>
      <w:r w:rsidRPr="00B92F6A">
        <w:rPr>
          <w:rFonts w:asciiTheme="majorHAnsi" w:hAnsiTheme="majorHAnsi" w:cstheme="majorHAnsi"/>
          <w:sz w:val="24"/>
          <w:szCs w:val="24"/>
        </w:rPr>
        <w:t xml:space="preserve">. 2000).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A dispute can also be settled before a full ET through judicial meditation. This usually occurs when the judge thinks that the case can be settled through his mediation (CIPD 2022b, Daniels, 2022). Settling disputes before a full hearing - called alternative dispute resolution (ADR) - are now widely encouraged. There are a number of advantages to ADR including less expense, speedier solutions and avoiding a permanent breakdown in employment relationship (CIPD,2022b).</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If a case reaches a tribunal hearing, the judge (an experienced lawyer) having read all the evidence provided by the parties in the dispute (or by their representatives) will examine and cross-examine witnesses. Then after final submissions from both parties the EAT will consider and bring in its verdict If the claimant wins, a monetary compensation will be awarded (Daniels, 2022, UNISON 2023, Brown, </w:t>
      </w:r>
      <w:proofErr w:type="spellStart"/>
      <w:proofErr w:type="gramStart"/>
      <w:r w:rsidRPr="00B92F6A">
        <w:rPr>
          <w:rFonts w:asciiTheme="majorHAnsi" w:hAnsiTheme="majorHAnsi" w:cstheme="majorHAnsi"/>
          <w:sz w:val="24"/>
          <w:szCs w:val="24"/>
        </w:rPr>
        <w:t>et,al</w:t>
      </w:r>
      <w:proofErr w:type="spellEnd"/>
      <w:proofErr w:type="gramEnd"/>
      <w:r w:rsidRPr="00B92F6A">
        <w:rPr>
          <w:rFonts w:asciiTheme="majorHAnsi" w:hAnsiTheme="majorHAnsi" w:cstheme="majorHAnsi"/>
          <w:sz w:val="24"/>
          <w:szCs w:val="24"/>
        </w:rPr>
        <w:t>, 2000). Either party can appeal to an EAT and to other higher courts but only on a point of law (Daniels, 2022).</w:t>
      </w:r>
    </w:p>
    <w:p w:rsidR="008508CA" w:rsidRPr="00B92F6A" w:rsidRDefault="008508CA" w:rsidP="008508CA">
      <w:pPr>
        <w:rPr>
          <w:rFonts w:asciiTheme="majorHAnsi" w:hAnsiTheme="majorHAnsi" w:cstheme="majorHAnsi"/>
          <w:sz w:val="24"/>
          <w:szCs w:val="24"/>
        </w:rPr>
      </w:pP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b/>
          <w:bCs/>
          <w:sz w:val="24"/>
          <w:szCs w:val="24"/>
        </w:rPr>
        <w:t>Question 4</w:t>
      </w:r>
      <w:r w:rsidRPr="00B92F6A">
        <w:rPr>
          <w:rFonts w:asciiTheme="majorHAnsi" w:hAnsiTheme="majorHAnsi" w:cstheme="majorHAnsi"/>
          <w:b/>
          <w:bCs/>
          <w:sz w:val="24"/>
          <w:szCs w:val="24"/>
        </w:rPr>
        <w:br/>
        <w:t>AC 2.1</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Numerous Acts and Regulations relating to employment relationships that affect pre-employment issues have been passed (CIPD, 2022d).  The most important is the Equality Act 2010, which makes it unlawful for employers to discriminate against employees or job applicants (CIPD, 2022d).</w:t>
      </w:r>
    </w:p>
    <w:p w:rsidR="008508CA" w:rsidRPr="00B92F6A" w:rsidRDefault="008508CA" w:rsidP="008508CA">
      <w:pPr>
        <w:rPr>
          <w:rFonts w:asciiTheme="majorHAnsi" w:eastAsia="Calibri" w:hAnsiTheme="majorHAnsi" w:cstheme="majorHAnsi"/>
          <w:sz w:val="24"/>
          <w:szCs w:val="24"/>
        </w:rPr>
      </w:pPr>
      <w:r w:rsidRPr="00B92F6A">
        <w:rPr>
          <w:rFonts w:asciiTheme="majorHAnsi" w:hAnsiTheme="majorHAnsi" w:cstheme="majorHAnsi"/>
          <w:sz w:val="24"/>
          <w:szCs w:val="24"/>
        </w:rPr>
        <w:t xml:space="preserve">There are nine protected characteristics under EA 2010, they are: age, disability, gender reassignment, marriage and civil partnership, </w:t>
      </w:r>
      <w:r w:rsidRPr="00B92F6A">
        <w:rPr>
          <w:rFonts w:asciiTheme="majorHAnsi" w:eastAsia="Calibri" w:hAnsiTheme="majorHAnsi" w:cstheme="majorHAnsi"/>
          <w:sz w:val="24"/>
          <w:szCs w:val="24"/>
        </w:rPr>
        <w:t>pregnancy and maternity, race, religion, sex and sexual orientation.  These protected characteristics cover employees, workers, job applicants and ex-employees.</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Charlotte and Madeleine need to understand that sex discrimination (female in this case) and age discrimination, older or younger (older in this case) are unlawful (Daniels, 2022).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Section 39(1)(a) EA 2010 states that you cannot discriminate whilst recruiting and selecting staff.  Charlotte and Madeline need to ensure that they treat everyone fairly and that they </w:t>
      </w:r>
      <w:r w:rsidRPr="00B92F6A">
        <w:rPr>
          <w:rFonts w:asciiTheme="majorHAnsi" w:hAnsiTheme="majorHAnsi" w:cstheme="majorHAnsi"/>
          <w:sz w:val="24"/>
          <w:szCs w:val="24"/>
        </w:rPr>
        <w:lastRenderedPageBreak/>
        <w:t xml:space="preserve">are seen to do so.  S13 EA 2010 states that if they do not short list a candidate because </w:t>
      </w:r>
      <w:r w:rsidRPr="00B92F6A">
        <w:rPr>
          <w:rFonts w:asciiTheme="majorHAnsi" w:hAnsiTheme="majorHAnsi" w:cstheme="majorHAnsi"/>
          <w:color w:val="000000" w:themeColor="text1"/>
          <w:sz w:val="24"/>
          <w:szCs w:val="24"/>
        </w:rPr>
        <w:t xml:space="preserve">they are </w:t>
      </w:r>
      <w:r w:rsidRPr="00B92F6A">
        <w:rPr>
          <w:rFonts w:asciiTheme="majorHAnsi" w:hAnsiTheme="majorHAnsi" w:cstheme="majorHAnsi"/>
          <w:sz w:val="24"/>
          <w:szCs w:val="24"/>
        </w:rPr>
        <w:t xml:space="preserve">female or because they are older; then this is direct discrimination and would be unlawful (Taylor, Wilkinson, 2022).  </w:t>
      </w:r>
    </w:p>
    <w:p w:rsidR="008508CA" w:rsidRPr="00B92F6A" w:rsidRDefault="008508CA" w:rsidP="008508CA">
      <w:pPr>
        <w:rPr>
          <w:rFonts w:asciiTheme="majorHAnsi" w:eastAsiaTheme="minorEastAsia" w:hAnsiTheme="majorHAnsi" w:cstheme="majorHAnsi"/>
          <w:sz w:val="24"/>
          <w:szCs w:val="24"/>
        </w:rPr>
      </w:pPr>
      <w:r w:rsidRPr="00B92F6A">
        <w:rPr>
          <w:rFonts w:asciiTheme="majorHAnsi" w:hAnsiTheme="majorHAnsi" w:cstheme="majorHAnsi"/>
          <w:sz w:val="24"/>
          <w:szCs w:val="24"/>
        </w:rPr>
        <w:t>When writing a job description, Charlotte and Madeleine should avoid phrases such as ‘recent graduate’, especially if it is not an actual requirement of the job (</w:t>
      </w:r>
      <w:r w:rsidRPr="00B92F6A">
        <w:rPr>
          <w:rFonts w:asciiTheme="majorHAnsi" w:eastAsiaTheme="minorEastAsia" w:hAnsiTheme="majorHAnsi" w:cstheme="majorHAnsi"/>
          <w:sz w:val="24"/>
          <w:szCs w:val="24"/>
        </w:rPr>
        <w:t xml:space="preserve">gov.uk 2023b).  This is called indirect discrimination under s19 EA 2010.   </w:t>
      </w:r>
      <w:r w:rsidRPr="00B92F6A">
        <w:rPr>
          <w:rFonts w:asciiTheme="majorHAnsi" w:hAnsiTheme="majorHAnsi" w:cstheme="majorHAnsi"/>
          <w:sz w:val="24"/>
          <w:szCs w:val="24"/>
        </w:rPr>
        <w:t xml:space="preserve">When recruiting, there are some questions that they cannot ask the candidates e.g. if they have children, are they planning to have children and </w:t>
      </w:r>
      <w:r w:rsidRPr="00B92F6A">
        <w:rPr>
          <w:rFonts w:asciiTheme="majorHAnsi" w:eastAsiaTheme="minorEastAsia" w:hAnsiTheme="majorHAnsi" w:cstheme="majorHAnsi"/>
          <w:sz w:val="24"/>
          <w:szCs w:val="24"/>
        </w:rPr>
        <w:t xml:space="preserve">how old they are </w:t>
      </w:r>
      <w:r w:rsidRPr="00B92F6A">
        <w:rPr>
          <w:rFonts w:asciiTheme="majorHAnsi" w:hAnsiTheme="majorHAnsi" w:cstheme="majorHAnsi"/>
          <w:sz w:val="24"/>
          <w:szCs w:val="24"/>
        </w:rPr>
        <w:t>(</w:t>
      </w:r>
      <w:r w:rsidRPr="00B92F6A">
        <w:rPr>
          <w:rFonts w:asciiTheme="majorHAnsi" w:eastAsiaTheme="minorEastAsia" w:hAnsiTheme="majorHAnsi" w:cstheme="majorHAnsi"/>
          <w:sz w:val="24"/>
          <w:szCs w:val="24"/>
        </w:rPr>
        <w:t xml:space="preserve">gov.uk 2023b).  </w:t>
      </w:r>
    </w:p>
    <w:p w:rsidR="008508CA" w:rsidRPr="00B92F6A" w:rsidRDefault="008508CA" w:rsidP="008508CA">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If a tribunal finds that the employers have discriminated against an employee or potential employee, they could:</w:t>
      </w:r>
    </w:p>
    <w:p w:rsidR="008508CA" w:rsidRPr="00B92F6A" w:rsidRDefault="008508CA" w:rsidP="008508CA">
      <w:pPr>
        <w:pStyle w:val="ListParagraph"/>
        <w:numPr>
          <w:ilvl w:val="0"/>
          <w:numId w:val="1"/>
        </w:num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Make a declaration as to the rights of the complainant and the respondent in relation to the matters to which the proceedings relate</w:t>
      </w:r>
    </w:p>
    <w:p w:rsidR="008508CA" w:rsidRPr="00B92F6A" w:rsidRDefault="008508CA" w:rsidP="008508CA">
      <w:pPr>
        <w:pStyle w:val="ListParagraph"/>
        <w:numPr>
          <w:ilvl w:val="0"/>
          <w:numId w:val="1"/>
        </w:num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Order Charlotte and Madeleine to pay compensation (see Vento bands below)</w:t>
      </w:r>
    </w:p>
    <w:p w:rsidR="008508CA" w:rsidRPr="00B92F6A" w:rsidRDefault="008508CA" w:rsidP="008508CA">
      <w:pPr>
        <w:pStyle w:val="ListParagraph"/>
        <w:numPr>
          <w:ilvl w:val="0"/>
          <w:numId w:val="1"/>
        </w:num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Make recommendations so that the owners take specific steps to prevent a similar situation from happening again</w:t>
      </w:r>
    </w:p>
    <w:p w:rsidR="008508CA" w:rsidRPr="00B92F6A" w:rsidRDefault="008508CA" w:rsidP="008508CA">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 xml:space="preserve">Vento bands is a compensation for injury to feelings.  The </w:t>
      </w:r>
      <w:r w:rsidRPr="00B92F6A">
        <w:rPr>
          <w:rFonts w:asciiTheme="majorHAnsi" w:eastAsiaTheme="minorEastAsia" w:hAnsiTheme="majorHAnsi" w:cstheme="majorHAnsi"/>
          <w:color w:val="000000" w:themeColor="text1"/>
          <w:sz w:val="24"/>
          <w:szCs w:val="24"/>
        </w:rPr>
        <w:t xml:space="preserve">tribunal </w:t>
      </w:r>
      <w:r w:rsidRPr="00B92F6A">
        <w:rPr>
          <w:rFonts w:asciiTheme="majorHAnsi" w:eastAsiaTheme="minorEastAsia" w:hAnsiTheme="majorHAnsi" w:cstheme="majorHAnsi"/>
          <w:sz w:val="24"/>
          <w:szCs w:val="24"/>
        </w:rPr>
        <w:t xml:space="preserve">could order Peachy Desserts Ltd to pay compensation depending on how serious the cases are.  </w:t>
      </w:r>
      <w:r w:rsidRPr="00B92F6A">
        <w:rPr>
          <w:rFonts w:asciiTheme="majorHAnsi" w:hAnsiTheme="majorHAnsi" w:cstheme="majorHAnsi"/>
          <w:sz w:val="24"/>
          <w:szCs w:val="24"/>
        </w:rPr>
        <w:t>Courts and Tribunals Judiciary (2023a)</w:t>
      </w:r>
      <w:r w:rsidRPr="00B92F6A">
        <w:rPr>
          <w:rFonts w:asciiTheme="majorHAnsi" w:eastAsiaTheme="minorEastAsia" w:hAnsiTheme="majorHAnsi" w:cstheme="majorHAnsi"/>
          <w:sz w:val="24"/>
          <w:szCs w:val="24"/>
        </w:rPr>
        <w:t xml:space="preserve"> states that from 6 April 2023 the banding are as follows:</w:t>
      </w:r>
    </w:p>
    <w:tbl>
      <w:tblPr>
        <w:tblStyle w:val="TableGrid"/>
        <w:tblW w:w="0" w:type="auto"/>
        <w:tblLayout w:type="fixed"/>
        <w:tblLook w:val="06A0" w:firstRow="1" w:lastRow="0" w:firstColumn="1" w:lastColumn="0" w:noHBand="1" w:noVBand="1"/>
      </w:tblPr>
      <w:tblGrid>
        <w:gridCol w:w="1742"/>
        <w:gridCol w:w="3035"/>
        <w:gridCol w:w="4053"/>
      </w:tblGrid>
      <w:tr w:rsidR="008508CA" w:rsidRPr="00B92F6A" w:rsidTr="00F5705F">
        <w:trPr>
          <w:trHeight w:val="300"/>
        </w:trPr>
        <w:tc>
          <w:tcPr>
            <w:tcW w:w="1742"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Type of band</w:t>
            </w:r>
          </w:p>
        </w:tc>
        <w:tc>
          <w:tcPr>
            <w:tcW w:w="3035" w:type="dxa"/>
          </w:tcPr>
          <w:p w:rsidR="008508CA" w:rsidRPr="00B92F6A" w:rsidRDefault="008508CA" w:rsidP="00F5705F">
            <w:pPr>
              <w:spacing w:line="259" w:lineRule="auto"/>
              <w:rPr>
                <w:rFonts w:asciiTheme="majorHAnsi" w:hAnsiTheme="majorHAnsi" w:cstheme="majorHAnsi"/>
                <w:sz w:val="24"/>
                <w:szCs w:val="24"/>
              </w:rPr>
            </w:pPr>
            <w:r w:rsidRPr="00B92F6A">
              <w:rPr>
                <w:rFonts w:asciiTheme="majorHAnsi" w:eastAsia="Calibri" w:hAnsiTheme="majorHAnsi" w:cstheme="majorHAnsi"/>
                <w:sz w:val="24"/>
                <w:szCs w:val="24"/>
              </w:rPr>
              <w:t>Compensation</w:t>
            </w:r>
          </w:p>
        </w:tc>
        <w:tc>
          <w:tcPr>
            <w:tcW w:w="4053" w:type="dxa"/>
          </w:tcPr>
          <w:p w:rsidR="008508CA" w:rsidRPr="00B92F6A" w:rsidRDefault="008508CA" w:rsidP="00F5705F">
            <w:pPr>
              <w:spacing w:line="259" w:lineRule="auto"/>
              <w:rPr>
                <w:rFonts w:asciiTheme="majorHAnsi" w:hAnsiTheme="majorHAnsi" w:cstheme="majorHAnsi"/>
                <w:sz w:val="24"/>
                <w:szCs w:val="24"/>
              </w:rPr>
            </w:pPr>
            <w:r w:rsidRPr="00B92F6A">
              <w:rPr>
                <w:rFonts w:asciiTheme="majorHAnsi" w:eastAsiaTheme="minorEastAsia" w:hAnsiTheme="majorHAnsi" w:cstheme="majorHAnsi"/>
                <w:sz w:val="24"/>
                <w:szCs w:val="24"/>
              </w:rPr>
              <w:t>Seriousness of cases</w:t>
            </w:r>
          </w:p>
        </w:tc>
      </w:tr>
      <w:tr w:rsidR="008508CA" w:rsidRPr="00B92F6A" w:rsidTr="00F5705F">
        <w:trPr>
          <w:trHeight w:val="300"/>
        </w:trPr>
        <w:tc>
          <w:tcPr>
            <w:tcW w:w="1742"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Lower bands</w:t>
            </w:r>
          </w:p>
        </w:tc>
        <w:tc>
          <w:tcPr>
            <w:tcW w:w="3035" w:type="dxa"/>
          </w:tcPr>
          <w:p w:rsidR="008508CA" w:rsidRPr="00B92F6A" w:rsidRDefault="008508CA" w:rsidP="00F5705F">
            <w:pPr>
              <w:rPr>
                <w:rFonts w:asciiTheme="majorHAnsi" w:eastAsia="Calibri" w:hAnsiTheme="majorHAnsi" w:cstheme="majorHAnsi"/>
                <w:sz w:val="24"/>
                <w:szCs w:val="24"/>
              </w:rPr>
            </w:pPr>
            <w:r w:rsidRPr="00B92F6A">
              <w:rPr>
                <w:rFonts w:asciiTheme="majorHAnsi" w:eastAsia="Calibri" w:hAnsiTheme="majorHAnsi" w:cstheme="majorHAnsi"/>
                <w:sz w:val="24"/>
                <w:szCs w:val="24"/>
              </w:rPr>
              <w:t>£1,100 to £11,200</w:t>
            </w:r>
          </w:p>
        </w:tc>
        <w:tc>
          <w:tcPr>
            <w:tcW w:w="4053"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less serious cases</w:t>
            </w:r>
          </w:p>
        </w:tc>
      </w:tr>
      <w:tr w:rsidR="008508CA" w:rsidRPr="00B92F6A" w:rsidTr="00F5705F">
        <w:trPr>
          <w:trHeight w:val="300"/>
        </w:trPr>
        <w:tc>
          <w:tcPr>
            <w:tcW w:w="1742"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Middle bands</w:t>
            </w:r>
          </w:p>
        </w:tc>
        <w:tc>
          <w:tcPr>
            <w:tcW w:w="3035"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£11,200 to £33,700</w:t>
            </w:r>
          </w:p>
        </w:tc>
        <w:tc>
          <w:tcPr>
            <w:tcW w:w="4053"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cases not meriting an upper band award</w:t>
            </w:r>
          </w:p>
        </w:tc>
      </w:tr>
      <w:tr w:rsidR="008508CA" w:rsidRPr="00B92F6A" w:rsidTr="00F5705F">
        <w:trPr>
          <w:trHeight w:val="300"/>
        </w:trPr>
        <w:tc>
          <w:tcPr>
            <w:tcW w:w="1742"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Upper bands</w:t>
            </w:r>
          </w:p>
        </w:tc>
        <w:tc>
          <w:tcPr>
            <w:tcW w:w="3035"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£33,700 to £56,200</w:t>
            </w:r>
          </w:p>
        </w:tc>
        <w:tc>
          <w:tcPr>
            <w:tcW w:w="4053"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the most serious cases</w:t>
            </w:r>
          </w:p>
        </w:tc>
      </w:tr>
      <w:tr w:rsidR="008508CA" w:rsidRPr="00B92F6A" w:rsidTr="00F5705F">
        <w:trPr>
          <w:trHeight w:val="300"/>
        </w:trPr>
        <w:tc>
          <w:tcPr>
            <w:tcW w:w="1742"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exceptional cases</w:t>
            </w:r>
          </w:p>
        </w:tc>
        <w:tc>
          <w:tcPr>
            <w:tcW w:w="3035" w:type="dxa"/>
          </w:tcPr>
          <w:p w:rsidR="008508CA" w:rsidRPr="00B92F6A" w:rsidRDefault="008508CA" w:rsidP="00F5705F">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capable of exceeding £56,200</w:t>
            </w:r>
          </w:p>
        </w:tc>
        <w:tc>
          <w:tcPr>
            <w:tcW w:w="4053" w:type="dxa"/>
          </w:tcPr>
          <w:p w:rsidR="008508CA" w:rsidRPr="00B92F6A" w:rsidRDefault="008508CA" w:rsidP="00F5705F">
            <w:pPr>
              <w:rPr>
                <w:rFonts w:asciiTheme="majorHAnsi" w:eastAsiaTheme="minorEastAsia" w:hAnsiTheme="majorHAnsi" w:cstheme="majorHAnsi"/>
                <w:sz w:val="24"/>
                <w:szCs w:val="24"/>
              </w:rPr>
            </w:pPr>
          </w:p>
        </w:tc>
      </w:tr>
    </w:tbl>
    <w:p w:rsidR="008508CA" w:rsidRPr="00B92F6A" w:rsidRDefault="008508CA" w:rsidP="008508CA">
      <w:pPr>
        <w:spacing w:before="100" w:beforeAutospacing="1" w:after="100" w:afterAutospacing="1" w:line="240" w:lineRule="auto"/>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 xml:space="preserve">In </w:t>
      </w:r>
      <w:r w:rsidRPr="00B92F6A">
        <w:rPr>
          <w:rFonts w:asciiTheme="majorHAnsi" w:eastAsiaTheme="minorEastAsia" w:hAnsiTheme="majorHAnsi" w:cstheme="majorHAnsi"/>
          <w:i/>
          <w:sz w:val="24"/>
          <w:szCs w:val="24"/>
        </w:rPr>
        <w:t>Cunningham v BMS Sales Ltd (2007),</w:t>
      </w:r>
      <w:r w:rsidRPr="00B92F6A">
        <w:rPr>
          <w:rFonts w:asciiTheme="majorHAnsi" w:eastAsiaTheme="minorEastAsia" w:hAnsiTheme="majorHAnsi" w:cstheme="majorHAnsi"/>
          <w:sz w:val="24"/>
          <w:szCs w:val="24"/>
        </w:rPr>
        <w:t xml:space="preserve"> the ET ruled that because BMS Sales Ltd asked Cunningham his age during an interview and he did not get the job, therefore, the tribunal found that Cunningham was discriminated by BMS Sales Ltd.  Because of this, the company had to pay Cunningham 5,000 euros.</w:t>
      </w:r>
    </w:p>
    <w:p w:rsidR="008508CA" w:rsidRPr="00B92F6A" w:rsidRDefault="008508CA" w:rsidP="008508CA">
      <w:pPr>
        <w:pStyle w:val="NormalWeb"/>
        <w:spacing w:before="0" w:beforeAutospacing="0" w:after="375" w:afterAutospacing="0"/>
        <w:textAlignment w:val="baseline"/>
        <w:rPr>
          <w:rFonts w:asciiTheme="majorHAnsi" w:hAnsiTheme="majorHAnsi" w:cstheme="majorHAnsi"/>
          <w:b/>
        </w:rPr>
      </w:pPr>
      <w:r w:rsidRPr="00B92F6A">
        <w:rPr>
          <w:rFonts w:asciiTheme="majorHAnsi" w:hAnsiTheme="majorHAnsi" w:cstheme="majorHAnsi"/>
          <w:b/>
        </w:rPr>
        <w:t>Question 5</w:t>
      </w:r>
      <w:r w:rsidRPr="00B92F6A">
        <w:rPr>
          <w:rFonts w:asciiTheme="majorHAnsi" w:hAnsiTheme="majorHAnsi" w:cstheme="majorHAnsi"/>
          <w:b/>
        </w:rPr>
        <w:br/>
        <w:t>AC 2.2</w:t>
      </w:r>
    </w:p>
    <w:p w:rsidR="008508CA" w:rsidRPr="00B92F6A" w:rsidRDefault="008508CA" w:rsidP="008508CA">
      <w:pPr>
        <w:spacing w:line="240" w:lineRule="auto"/>
        <w:jc w:val="both"/>
        <w:rPr>
          <w:rFonts w:asciiTheme="majorHAnsi" w:hAnsiTheme="majorHAnsi" w:cstheme="majorHAnsi"/>
          <w:sz w:val="24"/>
          <w:szCs w:val="24"/>
        </w:rPr>
      </w:pPr>
      <w:r w:rsidRPr="00B92F6A">
        <w:rPr>
          <w:rFonts w:asciiTheme="majorHAnsi" w:hAnsiTheme="majorHAnsi" w:cstheme="majorHAnsi"/>
          <w:sz w:val="24"/>
          <w:szCs w:val="24"/>
        </w:rPr>
        <w:t>Equal pay is covered by EA 2010 and was developed in the UK in the 1970s after campaigns with trade unions and women’s group (</w:t>
      </w:r>
      <w:proofErr w:type="spellStart"/>
      <w:r w:rsidRPr="00B92F6A">
        <w:rPr>
          <w:rFonts w:asciiTheme="majorHAnsi" w:hAnsiTheme="majorHAnsi" w:cstheme="majorHAnsi"/>
          <w:sz w:val="24"/>
          <w:szCs w:val="24"/>
        </w:rPr>
        <w:t>Silkin</w:t>
      </w:r>
      <w:proofErr w:type="spellEnd"/>
      <w:r w:rsidRPr="00B92F6A">
        <w:rPr>
          <w:rFonts w:asciiTheme="majorHAnsi" w:hAnsiTheme="majorHAnsi" w:cstheme="majorHAnsi"/>
          <w:sz w:val="24"/>
          <w:szCs w:val="24"/>
        </w:rPr>
        <w:t>, 2022).  The Act states that it is unlawful to discriminate between men and women, as it is the law, employers must follow it.</w:t>
      </w:r>
    </w:p>
    <w:p w:rsidR="008508CA" w:rsidRPr="00B92F6A" w:rsidRDefault="008508CA" w:rsidP="008508CA">
      <w:pPr>
        <w:spacing w:line="240" w:lineRule="auto"/>
        <w:jc w:val="both"/>
        <w:rPr>
          <w:rFonts w:asciiTheme="majorHAnsi" w:hAnsiTheme="majorHAnsi" w:cstheme="majorHAnsi"/>
          <w:sz w:val="24"/>
          <w:szCs w:val="24"/>
        </w:rPr>
      </w:pPr>
    </w:p>
    <w:p w:rsidR="008508CA" w:rsidRPr="00B92F6A" w:rsidRDefault="008508CA" w:rsidP="008508CA">
      <w:pPr>
        <w:spacing w:line="240" w:lineRule="auto"/>
        <w:jc w:val="both"/>
        <w:rPr>
          <w:rFonts w:asciiTheme="majorHAnsi" w:hAnsiTheme="majorHAnsi" w:cstheme="majorHAnsi"/>
          <w:sz w:val="24"/>
          <w:szCs w:val="24"/>
        </w:rPr>
      </w:pPr>
      <w:r w:rsidRPr="00B92F6A">
        <w:rPr>
          <w:rFonts w:asciiTheme="majorHAnsi" w:hAnsiTheme="majorHAnsi" w:cstheme="majorHAnsi"/>
          <w:sz w:val="24"/>
          <w:szCs w:val="24"/>
        </w:rPr>
        <w:t>Equal pay focuses on terms and conditions of the contract as well as pay (Daniels, 2022). If men and women are in the same employment performing equal work then they must receive equal pay, unless any differences can be justified (Equality Human Right, 2021).</w:t>
      </w:r>
    </w:p>
    <w:p w:rsidR="008508CA" w:rsidRPr="00B92F6A" w:rsidRDefault="008508CA" w:rsidP="008508CA">
      <w:pPr>
        <w:spacing w:line="240" w:lineRule="auto"/>
        <w:jc w:val="both"/>
        <w:rPr>
          <w:rFonts w:asciiTheme="majorHAnsi" w:hAnsiTheme="majorHAnsi" w:cstheme="majorHAnsi"/>
          <w:sz w:val="24"/>
          <w:szCs w:val="24"/>
        </w:rPr>
      </w:pPr>
      <w:r w:rsidRPr="00B92F6A">
        <w:rPr>
          <w:rFonts w:asciiTheme="majorHAnsi" w:hAnsiTheme="majorHAnsi" w:cstheme="majorHAnsi"/>
          <w:sz w:val="24"/>
          <w:szCs w:val="24"/>
        </w:rPr>
        <w:lastRenderedPageBreak/>
        <w:t>S65 EA 2010 states that equal work counts as either:</w:t>
      </w:r>
    </w:p>
    <w:p w:rsidR="008508CA" w:rsidRPr="00B92F6A" w:rsidRDefault="008508CA" w:rsidP="008508CA">
      <w:pPr>
        <w:pStyle w:val="ListParagraph"/>
        <w:numPr>
          <w:ilvl w:val="0"/>
          <w:numId w:val="17"/>
        </w:numPr>
        <w:rPr>
          <w:rFonts w:asciiTheme="majorHAnsi" w:hAnsiTheme="majorHAnsi" w:cstheme="majorHAnsi"/>
          <w:sz w:val="24"/>
          <w:szCs w:val="24"/>
        </w:rPr>
      </w:pPr>
      <w:r w:rsidRPr="00B92F6A">
        <w:rPr>
          <w:rFonts w:asciiTheme="majorHAnsi" w:hAnsiTheme="majorHAnsi" w:cstheme="majorHAnsi"/>
          <w:sz w:val="24"/>
          <w:szCs w:val="24"/>
        </w:rPr>
        <w:t>similar work – where job and skills that are the same or roughly the same</w:t>
      </w:r>
    </w:p>
    <w:p w:rsidR="008508CA" w:rsidRPr="00B92F6A" w:rsidRDefault="008508CA" w:rsidP="008508CA">
      <w:pPr>
        <w:pStyle w:val="ListParagraph"/>
        <w:numPr>
          <w:ilvl w:val="0"/>
          <w:numId w:val="17"/>
        </w:numPr>
        <w:rPr>
          <w:rFonts w:asciiTheme="majorHAnsi" w:hAnsiTheme="majorHAnsi" w:cstheme="majorHAnsi"/>
          <w:sz w:val="24"/>
          <w:szCs w:val="24"/>
        </w:rPr>
      </w:pPr>
      <w:r w:rsidRPr="00B92F6A">
        <w:rPr>
          <w:rFonts w:asciiTheme="majorHAnsi" w:hAnsiTheme="majorHAnsi" w:cstheme="majorHAnsi"/>
          <w:sz w:val="24"/>
          <w:szCs w:val="24"/>
        </w:rPr>
        <w:t xml:space="preserve">work is rated as equivalent - following a job evaluation scheme </w:t>
      </w:r>
    </w:p>
    <w:p w:rsidR="008508CA" w:rsidRPr="00B92F6A" w:rsidRDefault="008508CA" w:rsidP="008508CA">
      <w:pPr>
        <w:pStyle w:val="ListParagraph"/>
        <w:numPr>
          <w:ilvl w:val="0"/>
          <w:numId w:val="17"/>
        </w:numPr>
        <w:rPr>
          <w:rFonts w:asciiTheme="majorHAnsi" w:hAnsiTheme="majorHAnsi" w:cstheme="majorHAnsi"/>
          <w:sz w:val="24"/>
          <w:szCs w:val="24"/>
        </w:rPr>
      </w:pPr>
      <w:r w:rsidRPr="00B92F6A">
        <w:rPr>
          <w:rFonts w:asciiTheme="majorHAnsi" w:hAnsiTheme="majorHAnsi" w:cstheme="majorHAnsi"/>
          <w:sz w:val="24"/>
          <w:szCs w:val="24"/>
        </w:rPr>
        <w:t xml:space="preserve">work is of equal value – where two jobs are very different, but the employee claims that they require similar skill and ability </w:t>
      </w:r>
    </w:p>
    <w:p w:rsidR="008508CA" w:rsidRPr="00B92F6A" w:rsidRDefault="008508CA" w:rsidP="008508CA">
      <w:pPr>
        <w:spacing w:line="240" w:lineRule="auto"/>
        <w:jc w:val="both"/>
        <w:rPr>
          <w:rFonts w:asciiTheme="majorHAnsi" w:eastAsia="Calibri" w:hAnsiTheme="majorHAnsi" w:cstheme="majorHAnsi"/>
          <w:sz w:val="24"/>
          <w:szCs w:val="24"/>
        </w:rPr>
      </w:pPr>
      <w:r w:rsidRPr="00B92F6A">
        <w:rPr>
          <w:rFonts w:asciiTheme="majorHAnsi" w:eastAsia="Calibri" w:hAnsiTheme="majorHAnsi" w:cstheme="majorHAnsi"/>
          <w:sz w:val="24"/>
          <w:szCs w:val="24"/>
        </w:rPr>
        <w:t>ET will be looking at the two jobs overall and not into small tasks that happens occasionally (Daniels, 2022).</w:t>
      </w:r>
    </w:p>
    <w:p w:rsidR="008508CA" w:rsidRPr="00B92F6A" w:rsidRDefault="008508CA" w:rsidP="008508CA">
      <w:pPr>
        <w:spacing w:line="240" w:lineRule="auto"/>
        <w:jc w:val="both"/>
        <w:rPr>
          <w:rFonts w:asciiTheme="majorHAnsi" w:eastAsia="Calibri" w:hAnsiTheme="majorHAnsi" w:cstheme="majorHAnsi"/>
          <w:sz w:val="24"/>
          <w:szCs w:val="24"/>
        </w:rPr>
      </w:pPr>
      <w:r w:rsidRPr="00B92F6A">
        <w:rPr>
          <w:rFonts w:asciiTheme="majorHAnsi" w:eastAsia="Calibri" w:hAnsiTheme="majorHAnsi" w:cstheme="majorHAnsi"/>
          <w:sz w:val="24"/>
          <w:szCs w:val="24"/>
        </w:rPr>
        <w:t>Cat will need to find a comparator to compare another manager’s work that:</w:t>
      </w:r>
    </w:p>
    <w:p w:rsidR="008508CA" w:rsidRPr="00B92F6A" w:rsidRDefault="008508CA" w:rsidP="008508CA">
      <w:pPr>
        <w:pStyle w:val="ListParagraph"/>
        <w:numPr>
          <w:ilvl w:val="0"/>
          <w:numId w:val="18"/>
        </w:numPr>
        <w:spacing w:line="240" w:lineRule="auto"/>
        <w:jc w:val="both"/>
        <w:rPr>
          <w:rFonts w:asciiTheme="majorHAnsi" w:eastAsia="Calibri" w:hAnsiTheme="majorHAnsi" w:cstheme="majorHAnsi"/>
          <w:sz w:val="24"/>
          <w:szCs w:val="24"/>
        </w:rPr>
      </w:pPr>
      <w:r w:rsidRPr="00B92F6A">
        <w:rPr>
          <w:rFonts w:asciiTheme="majorHAnsi" w:eastAsia="Calibri" w:hAnsiTheme="majorHAnsi" w:cstheme="majorHAnsi"/>
          <w:sz w:val="24"/>
          <w:szCs w:val="24"/>
        </w:rPr>
        <w:t>is from the opposite sex (but not Kit’s)</w:t>
      </w:r>
    </w:p>
    <w:p w:rsidR="008508CA" w:rsidRPr="00B92F6A" w:rsidRDefault="008508CA" w:rsidP="008508CA">
      <w:pPr>
        <w:pStyle w:val="ListParagraph"/>
        <w:numPr>
          <w:ilvl w:val="0"/>
          <w:numId w:val="18"/>
        </w:numPr>
        <w:spacing w:line="240" w:lineRule="auto"/>
        <w:jc w:val="both"/>
        <w:rPr>
          <w:rFonts w:asciiTheme="majorHAnsi" w:eastAsia="Calibri" w:hAnsiTheme="majorHAnsi" w:cstheme="majorHAnsi"/>
          <w:sz w:val="24"/>
          <w:szCs w:val="24"/>
        </w:rPr>
      </w:pPr>
      <w:r w:rsidRPr="00B92F6A">
        <w:rPr>
          <w:rFonts w:asciiTheme="majorHAnsi" w:eastAsia="Calibri" w:hAnsiTheme="majorHAnsi" w:cstheme="majorHAnsi"/>
          <w:sz w:val="24"/>
          <w:szCs w:val="24"/>
        </w:rPr>
        <w:t>is doing equal work for her employer (or ex-employee).</w:t>
      </w:r>
    </w:p>
    <w:p w:rsidR="008508CA" w:rsidRPr="00B92F6A" w:rsidRDefault="008508CA" w:rsidP="008508CA">
      <w:pPr>
        <w:spacing w:line="240" w:lineRule="auto"/>
        <w:jc w:val="both"/>
        <w:rPr>
          <w:rFonts w:asciiTheme="majorHAnsi" w:hAnsiTheme="majorHAnsi" w:cstheme="majorHAnsi"/>
          <w:sz w:val="24"/>
          <w:szCs w:val="24"/>
        </w:rPr>
      </w:pPr>
      <w:r w:rsidRPr="00B92F6A">
        <w:rPr>
          <w:rFonts w:asciiTheme="majorHAnsi" w:eastAsia="Calibri" w:hAnsiTheme="majorHAnsi" w:cstheme="majorHAnsi"/>
          <w:sz w:val="24"/>
          <w:szCs w:val="24"/>
        </w:rPr>
        <w:t xml:space="preserve">If Charlotte’s comment that Kit ‘deserved the extra money’ meant that he has extra duties and responsibilities and the tribunal disagree, then this would be classed as </w:t>
      </w:r>
      <w:r w:rsidRPr="00B92F6A">
        <w:rPr>
          <w:rFonts w:asciiTheme="majorHAnsi" w:hAnsiTheme="majorHAnsi" w:cstheme="majorHAnsi"/>
          <w:sz w:val="24"/>
          <w:szCs w:val="24"/>
        </w:rPr>
        <w:t xml:space="preserve">pay discrimination.  Charlotte and Madeleine would have to pay the money owed or pay damages limited to maximum of 2 years before the proceedings were instigated (Daniels, 2022).  </w:t>
      </w:r>
    </w:p>
    <w:p w:rsidR="008508CA" w:rsidRPr="00B92F6A" w:rsidRDefault="008508CA" w:rsidP="008508CA">
      <w:pPr>
        <w:spacing w:line="240" w:lineRule="auto"/>
        <w:jc w:val="both"/>
        <w:rPr>
          <w:rFonts w:asciiTheme="majorHAnsi" w:hAnsiTheme="majorHAnsi" w:cstheme="majorHAnsi"/>
          <w:sz w:val="24"/>
          <w:szCs w:val="24"/>
        </w:rPr>
      </w:pPr>
      <w:r w:rsidRPr="00B92F6A">
        <w:rPr>
          <w:rFonts w:asciiTheme="majorHAnsi" w:hAnsiTheme="majorHAnsi" w:cstheme="majorHAnsi"/>
          <w:sz w:val="24"/>
          <w:szCs w:val="24"/>
        </w:rPr>
        <w:t xml:space="preserve">In the famous case </w:t>
      </w:r>
      <w:r w:rsidRPr="00B92F6A">
        <w:rPr>
          <w:rFonts w:asciiTheme="majorHAnsi" w:hAnsiTheme="majorHAnsi" w:cstheme="majorHAnsi"/>
          <w:i/>
          <w:sz w:val="24"/>
          <w:szCs w:val="24"/>
        </w:rPr>
        <w:t xml:space="preserve">Hayward v </w:t>
      </w:r>
      <w:proofErr w:type="spellStart"/>
      <w:r w:rsidRPr="00B92F6A">
        <w:rPr>
          <w:rFonts w:asciiTheme="majorHAnsi" w:hAnsiTheme="majorHAnsi" w:cstheme="majorHAnsi"/>
          <w:i/>
          <w:sz w:val="24"/>
          <w:szCs w:val="24"/>
        </w:rPr>
        <w:t>Cammell</w:t>
      </w:r>
      <w:proofErr w:type="spellEnd"/>
      <w:r w:rsidRPr="00B92F6A">
        <w:rPr>
          <w:rFonts w:asciiTheme="majorHAnsi" w:hAnsiTheme="majorHAnsi" w:cstheme="majorHAnsi"/>
          <w:i/>
          <w:sz w:val="24"/>
          <w:szCs w:val="24"/>
        </w:rPr>
        <w:t xml:space="preserve"> Laird Ltd (1988</w:t>
      </w:r>
      <w:r w:rsidRPr="00B92F6A">
        <w:rPr>
          <w:rFonts w:asciiTheme="majorHAnsi" w:hAnsiTheme="majorHAnsi" w:cstheme="majorHAnsi"/>
          <w:sz w:val="24"/>
          <w:szCs w:val="24"/>
        </w:rPr>
        <w:t xml:space="preserve">), the lady was a cook and she compared her job to three men’s job (Jefferson, 2016).  She got £99 a week and the men got £113 a week. Eventually, </w:t>
      </w:r>
      <w:proofErr w:type="spellStart"/>
      <w:r w:rsidRPr="00B92F6A">
        <w:rPr>
          <w:rFonts w:asciiTheme="majorHAnsi" w:hAnsiTheme="majorHAnsi" w:cstheme="majorHAnsi"/>
          <w:sz w:val="24"/>
          <w:szCs w:val="24"/>
        </w:rPr>
        <w:t>Cammell</w:t>
      </w:r>
      <w:proofErr w:type="spellEnd"/>
      <w:r w:rsidRPr="00B92F6A">
        <w:rPr>
          <w:rFonts w:asciiTheme="majorHAnsi" w:hAnsiTheme="majorHAnsi" w:cstheme="majorHAnsi"/>
          <w:sz w:val="24"/>
          <w:szCs w:val="24"/>
        </w:rPr>
        <w:t xml:space="preserve"> Laird Ltd had to back pay £2,000 (which is around £6,860 in 2023) (British Library, 2013).</w:t>
      </w:r>
    </w:p>
    <w:p w:rsidR="008508CA" w:rsidRPr="00B92F6A" w:rsidRDefault="008508CA" w:rsidP="008508CA">
      <w:pPr>
        <w:spacing w:line="240" w:lineRule="auto"/>
        <w:jc w:val="both"/>
        <w:rPr>
          <w:rFonts w:asciiTheme="majorHAnsi" w:hAnsiTheme="majorHAnsi" w:cstheme="majorHAnsi"/>
          <w:sz w:val="24"/>
          <w:szCs w:val="24"/>
        </w:rPr>
      </w:pPr>
      <w:r w:rsidRPr="00B92F6A">
        <w:rPr>
          <w:rFonts w:asciiTheme="majorHAnsi" w:hAnsiTheme="majorHAnsi" w:cstheme="majorHAnsi"/>
          <w:sz w:val="24"/>
          <w:szCs w:val="24"/>
        </w:rPr>
        <w:t xml:space="preserve">Since 2017, every 5 April Madeleine and Charlotte must carry out an equal pay audit which they have to publish on their website and be left there for three years.  Non-compliance could result in a tribunal imposing financial penalty. Their gender pay report must be done within 12 months (CIPD, 2022e, Daniel, 2022).  </w:t>
      </w:r>
    </w:p>
    <w:p w:rsidR="008508CA" w:rsidRPr="00B92F6A" w:rsidRDefault="008508CA" w:rsidP="008508CA">
      <w:pPr>
        <w:spacing w:line="240" w:lineRule="auto"/>
        <w:jc w:val="both"/>
        <w:rPr>
          <w:rFonts w:asciiTheme="majorHAnsi" w:hAnsiTheme="majorHAnsi" w:cstheme="majorHAnsi"/>
          <w:sz w:val="24"/>
          <w:szCs w:val="24"/>
        </w:rPr>
      </w:pP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b/>
          <w:sz w:val="24"/>
          <w:szCs w:val="24"/>
        </w:rPr>
        <w:t>Question 6</w:t>
      </w:r>
      <w:r w:rsidRPr="00B92F6A">
        <w:rPr>
          <w:rFonts w:asciiTheme="majorHAnsi" w:hAnsiTheme="majorHAnsi" w:cstheme="majorHAnsi"/>
          <w:b/>
          <w:sz w:val="24"/>
          <w:szCs w:val="24"/>
        </w:rPr>
        <w:br/>
        <w:t>AC 3.1</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Redundancy is a form of dismissal.  Under the Employment Rights Act 1996 s136, a dismissal for redundancy occurs when the employer needs to reduce the number of employees due to:</w:t>
      </w:r>
    </w:p>
    <w:p w:rsidR="008508CA" w:rsidRPr="00B92F6A" w:rsidRDefault="008508CA" w:rsidP="008508CA">
      <w:pPr>
        <w:pStyle w:val="ListParagraph"/>
        <w:numPr>
          <w:ilvl w:val="0"/>
          <w:numId w:val="3"/>
        </w:numPr>
        <w:rPr>
          <w:rFonts w:asciiTheme="majorHAnsi" w:hAnsiTheme="majorHAnsi" w:cstheme="majorHAnsi"/>
          <w:sz w:val="24"/>
          <w:szCs w:val="24"/>
        </w:rPr>
      </w:pPr>
      <w:r w:rsidRPr="00B92F6A">
        <w:rPr>
          <w:rFonts w:asciiTheme="majorHAnsi" w:hAnsiTheme="majorHAnsi" w:cstheme="majorHAnsi"/>
          <w:sz w:val="24"/>
          <w:szCs w:val="24"/>
        </w:rPr>
        <w:t xml:space="preserve">employer closing or intend to close the business </w:t>
      </w:r>
    </w:p>
    <w:p w:rsidR="008508CA" w:rsidRPr="00B92F6A" w:rsidRDefault="008508CA" w:rsidP="008508CA">
      <w:pPr>
        <w:pStyle w:val="ListParagraph"/>
        <w:numPr>
          <w:ilvl w:val="0"/>
          <w:numId w:val="3"/>
        </w:numPr>
        <w:rPr>
          <w:rFonts w:asciiTheme="majorHAnsi" w:hAnsiTheme="majorHAnsi" w:cstheme="majorHAnsi"/>
          <w:sz w:val="24"/>
          <w:szCs w:val="24"/>
        </w:rPr>
      </w:pPr>
      <w:r w:rsidRPr="00B92F6A">
        <w:rPr>
          <w:rFonts w:asciiTheme="majorHAnsi" w:hAnsiTheme="majorHAnsi" w:cstheme="majorHAnsi"/>
          <w:sz w:val="24"/>
          <w:szCs w:val="24"/>
        </w:rPr>
        <w:t>changing the number of roles needed to do a certain work</w:t>
      </w:r>
    </w:p>
    <w:p w:rsidR="008508CA" w:rsidRPr="00B92F6A" w:rsidRDefault="008508CA" w:rsidP="008508CA">
      <w:pPr>
        <w:pStyle w:val="ListParagraph"/>
        <w:numPr>
          <w:ilvl w:val="0"/>
          <w:numId w:val="3"/>
        </w:numPr>
        <w:rPr>
          <w:rFonts w:asciiTheme="majorHAnsi" w:hAnsiTheme="majorHAnsi" w:cstheme="majorHAnsi"/>
          <w:sz w:val="24"/>
          <w:szCs w:val="24"/>
        </w:rPr>
      </w:pPr>
      <w:r w:rsidRPr="00B92F6A">
        <w:rPr>
          <w:rFonts w:asciiTheme="majorHAnsi" w:hAnsiTheme="majorHAnsi" w:cstheme="majorHAnsi"/>
          <w:sz w:val="24"/>
          <w:szCs w:val="24"/>
        </w:rPr>
        <w:t>changing location</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2023a, Oxford Dictionary of Law, 2022).</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Therefore, redundancy is a fair reason for dismissal.  To reduce the potential of employees claiming unfair dismissal before an employment tribunal, Charlotte and Madeleine should ensure that they:</w:t>
      </w:r>
    </w:p>
    <w:p w:rsidR="008508CA" w:rsidRPr="00B92F6A" w:rsidRDefault="008508CA" w:rsidP="008508CA">
      <w:pPr>
        <w:pStyle w:val="ListParagraph"/>
        <w:numPr>
          <w:ilvl w:val="0"/>
          <w:numId w:val="2"/>
        </w:numPr>
        <w:rPr>
          <w:rFonts w:asciiTheme="majorHAnsi" w:hAnsiTheme="majorHAnsi" w:cstheme="majorHAnsi"/>
          <w:sz w:val="24"/>
          <w:szCs w:val="24"/>
        </w:rPr>
      </w:pPr>
      <w:r w:rsidRPr="00B92F6A">
        <w:rPr>
          <w:rFonts w:asciiTheme="majorHAnsi" w:hAnsiTheme="majorHAnsi" w:cstheme="majorHAnsi"/>
          <w:sz w:val="24"/>
          <w:szCs w:val="24"/>
        </w:rPr>
        <w:t>note the reason for closure clearly in writing (Edge, 2003)</w:t>
      </w:r>
    </w:p>
    <w:p w:rsidR="008508CA" w:rsidRPr="00B92F6A" w:rsidRDefault="008508CA" w:rsidP="008508CA">
      <w:pPr>
        <w:pStyle w:val="ListParagraph"/>
        <w:numPr>
          <w:ilvl w:val="0"/>
          <w:numId w:val="2"/>
        </w:numPr>
        <w:rPr>
          <w:rFonts w:asciiTheme="majorHAnsi" w:hAnsiTheme="majorHAnsi" w:cstheme="majorHAnsi"/>
          <w:sz w:val="24"/>
          <w:szCs w:val="24"/>
        </w:rPr>
      </w:pPr>
      <w:r w:rsidRPr="00B92F6A">
        <w:rPr>
          <w:rFonts w:asciiTheme="majorHAnsi" w:hAnsiTheme="majorHAnsi" w:cstheme="majorHAnsi"/>
          <w:sz w:val="24"/>
          <w:szCs w:val="24"/>
        </w:rPr>
        <w:t>implement a communication strategy to ensure that employees have all the correct information</w:t>
      </w:r>
    </w:p>
    <w:p w:rsidR="008508CA" w:rsidRPr="00B92F6A" w:rsidRDefault="008508CA" w:rsidP="008508CA">
      <w:pPr>
        <w:pStyle w:val="ListParagraph"/>
        <w:numPr>
          <w:ilvl w:val="0"/>
          <w:numId w:val="2"/>
        </w:numPr>
        <w:rPr>
          <w:rFonts w:asciiTheme="majorHAnsi" w:hAnsiTheme="majorHAnsi" w:cstheme="majorHAnsi"/>
          <w:sz w:val="24"/>
          <w:szCs w:val="24"/>
        </w:rPr>
      </w:pPr>
      <w:r w:rsidRPr="00B92F6A">
        <w:rPr>
          <w:rFonts w:asciiTheme="majorHAnsi" w:hAnsiTheme="majorHAnsi" w:cstheme="majorHAnsi"/>
          <w:sz w:val="24"/>
          <w:szCs w:val="24"/>
        </w:rPr>
        <w:t>give reasonable warning</w:t>
      </w:r>
    </w:p>
    <w:p w:rsidR="008508CA" w:rsidRPr="00B92F6A" w:rsidRDefault="008508CA" w:rsidP="008508CA">
      <w:pPr>
        <w:pStyle w:val="ListParagraph"/>
        <w:numPr>
          <w:ilvl w:val="0"/>
          <w:numId w:val="2"/>
        </w:numPr>
        <w:rPr>
          <w:rFonts w:asciiTheme="majorHAnsi" w:hAnsiTheme="majorHAnsi" w:cstheme="majorHAnsi"/>
          <w:sz w:val="24"/>
          <w:szCs w:val="24"/>
        </w:rPr>
      </w:pPr>
      <w:r w:rsidRPr="00B92F6A">
        <w:rPr>
          <w:rFonts w:asciiTheme="majorHAnsi" w:hAnsiTheme="majorHAnsi" w:cstheme="majorHAnsi"/>
          <w:sz w:val="24"/>
          <w:szCs w:val="24"/>
        </w:rPr>
        <w:lastRenderedPageBreak/>
        <w:t xml:space="preserve">offer counselling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2023a)</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Charlotte and Madeleine need to understand that every employee is entitled to statuary redundancy pay depending on their age and if they have worked for the company for more than two years.  The following statuary pay is based on weekly pay before tax (</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2023a):</w:t>
      </w:r>
    </w:p>
    <w:p w:rsidR="008508CA" w:rsidRPr="00B92F6A" w:rsidRDefault="008508CA" w:rsidP="008508CA">
      <w:pPr>
        <w:pStyle w:val="ListParagraph"/>
        <w:numPr>
          <w:ilvl w:val="0"/>
          <w:numId w:val="4"/>
        </w:numPr>
        <w:rPr>
          <w:rFonts w:asciiTheme="majorHAnsi" w:hAnsiTheme="majorHAnsi" w:cstheme="majorHAnsi"/>
          <w:sz w:val="24"/>
          <w:szCs w:val="24"/>
        </w:rPr>
      </w:pPr>
      <w:r w:rsidRPr="00B92F6A">
        <w:rPr>
          <w:rFonts w:asciiTheme="majorHAnsi" w:hAnsiTheme="majorHAnsi" w:cstheme="majorHAnsi"/>
          <w:sz w:val="24"/>
          <w:szCs w:val="24"/>
        </w:rPr>
        <w:t>41 and over - 1.5 week pay for each full year working for the company</w:t>
      </w:r>
    </w:p>
    <w:p w:rsidR="008508CA" w:rsidRPr="00B92F6A" w:rsidRDefault="008508CA" w:rsidP="008508CA">
      <w:pPr>
        <w:pStyle w:val="ListParagraph"/>
        <w:numPr>
          <w:ilvl w:val="0"/>
          <w:numId w:val="4"/>
        </w:numPr>
        <w:rPr>
          <w:rFonts w:asciiTheme="majorHAnsi" w:hAnsiTheme="majorHAnsi" w:cstheme="majorHAnsi"/>
          <w:sz w:val="24"/>
          <w:szCs w:val="24"/>
        </w:rPr>
      </w:pPr>
      <w:proofErr w:type="gramStart"/>
      <w:r w:rsidRPr="00B92F6A">
        <w:rPr>
          <w:rFonts w:asciiTheme="majorHAnsi" w:hAnsiTheme="majorHAnsi" w:cstheme="majorHAnsi"/>
          <w:sz w:val="24"/>
          <w:szCs w:val="24"/>
        </w:rPr>
        <w:t>22  -</w:t>
      </w:r>
      <w:proofErr w:type="gramEnd"/>
      <w:r w:rsidRPr="00B92F6A">
        <w:rPr>
          <w:rFonts w:asciiTheme="majorHAnsi" w:hAnsiTheme="majorHAnsi" w:cstheme="majorHAnsi"/>
          <w:sz w:val="24"/>
          <w:szCs w:val="24"/>
        </w:rPr>
        <w:t xml:space="preserve"> 40 - 1 week pay for each full year working for the company</w:t>
      </w:r>
    </w:p>
    <w:p w:rsidR="008508CA" w:rsidRPr="00B92F6A" w:rsidRDefault="008508CA" w:rsidP="008508CA">
      <w:pPr>
        <w:pStyle w:val="ListParagraph"/>
        <w:numPr>
          <w:ilvl w:val="0"/>
          <w:numId w:val="4"/>
        </w:numPr>
        <w:rPr>
          <w:rFonts w:asciiTheme="majorHAnsi" w:hAnsiTheme="majorHAnsi" w:cstheme="majorHAnsi"/>
          <w:sz w:val="24"/>
          <w:szCs w:val="24"/>
        </w:rPr>
      </w:pPr>
      <w:r w:rsidRPr="00B92F6A">
        <w:rPr>
          <w:rFonts w:asciiTheme="majorHAnsi" w:hAnsiTheme="majorHAnsi" w:cstheme="majorHAnsi"/>
          <w:sz w:val="24"/>
          <w:szCs w:val="24"/>
        </w:rPr>
        <w:t>17 - 21 - half a week's week pay for each full year working for the company.</w:t>
      </w: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sz w:val="24"/>
          <w:szCs w:val="24"/>
        </w:rPr>
        <w:t xml:space="preserve">Therefore, the owners need to pay Saffron </w:t>
      </w:r>
      <w:r w:rsidRPr="00B92F6A">
        <w:rPr>
          <w:rFonts w:asciiTheme="majorHAnsi" w:hAnsiTheme="majorHAnsi" w:cstheme="majorHAnsi"/>
          <w:b/>
          <w:sz w:val="24"/>
          <w:szCs w:val="24"/>
        </w:rPr>
        <w:t>£1,750</w:t>
      </w:r>
      <w:r w:rsidRPr="00B92F6A">
        <w:rPr>
          <w:rFonts w:asciiTheme="majorHAnsi" w:hAnsiTheme="majorHAnsi" w:cstheme="majorHAnsi"/>
          <w:sz w:val="24"/>
          <w:szCs w:val="24"/>
        </w:rPr>
        <w:t xml:space="preserve"> (£350 weekly wage x </w:t>
      </w:r>
      <w:proofErr w:type="gramStart"/>
      <w:r w:rsidRPr="00B92F6A">
        <w:rPr>
          <w:rFonts w:asciiTheme="majorHAnsi" w:hAnsiTheme="majorHAnsi" w:cstheme="majorHAnsi"/>
          <w:sz w:val="24"/>
          <w:szCs w:val="24"/>
        </w:rPr>
        <w:t>5 year</w:t>
      </w:r>
      <w:proofErr w:type="gramEnd"/>
      <w:r w:rsidRPr="00B92F6A">
        <w:rPr>
          <w:rFonts w:asciiTheme="majorHAnsi" w:hAnsiTheme="majorHAnsi" w:cstheme="majorHAnsi"/>
          <w:sz w:val="24"/>
          <w:szCs w:val="24"/>
        </w:rPr>
        <w:t xml:space="preserve"> service).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There is a maximum weekly amount to calculate redundancy pay, which is £643 and although Angelica’s wage is £700 per week, the owner will need to pay </w:t>
      </w:r>
      <w:r w:rsidRPr="00B92F6A">
        <w:rPr>
          <w:rFonts w:asciiTheme="majorHAnsi" w:hAnsiTheme="majorHAnsi" w:cstheme="majorHAnsi"/>
          <w:b/>
          <w:sz w:val="24"/>
          <w:szCs w:val="24"/>
        </w:rPr>
        <w:t xml:space="preserve">£7,716 </w:t>
      </w:r>
      <w:r w:rsidRPr="00B92F6A">
        <w:rPr>
          <w:rFonts w:asciiTheme="majorHAnsi" w:hAnsiTheme="majorHAnsi" w:cstheme="majorHAnsi"/>
          <w:sz w:val="24"/>
          <w:szCs w:val="24"/>
        </w:rPr>
        <w:t xml:space="preserve">(£643 1.5 weekly wage x </w:t>
      </w:r>
      <w:proofErr w:type="gramStart"/>
      <w:r w:rsidRPr="00B92F6A">
        <w:rPr>
          <w:rFonts w:asciiTheme="majorHAnsi" w:hAnsiTheme="majorHAnsi" w:cstheme="majorHAnsi"/>
          <w:sz w:val="24"/>
          <w:szCs w:val="24"/>
        </w:rPr>
        <w:t>8 year</w:t>
      </w:r>
      <w:proofErr w:type="gramEnd"/>
      <w:r w:rsidRPr="00B92F6A">
        <w:rPr>
          <w:rFonts w:asciiTheme="majorHAnsi" w:hAnsiTheme="majorHAnsi" w:cstheme="majorHAnsi"/>
          <w:sz w:val="24"/>
          <w:szCs w:val="24"/>
        </w:rPr>
        <w:t xml:space="preserve"> service)</w:t>
      </w:r>
      <w:r w:rsidRPr="00B92F6A">
        <w:rPr>
          <w:rFonts w:asciiTheme="majorHAnsi" w:hAnsiTheme="majorHAnsi" w:cstheme="majorHAnsi"/>
          <w:b/>
          <w:sz w:val="24"/>
          <w:szCs w:val="24"/>
        </w:rPr>
        <w:t xml:space="preserve"> </w:t>
      </w:r>
      <w:r w:rsidRPr="00B92F6A">
        <w:rPr>
          <w:rFonts w:asciiTheme="majorHAnsi" w:hAnsiTheme="majorHAnsi" w:cstheme="majorHAnsi"/>
          <w:sz w:val="24"/>
          <w:szCs w:val="24"/>
        </w:rPr>
        <w:t>and not £8,400.</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As Chip, Cherry, Reese and Carmel have not worked for the company for two years they are not entitled to any statuary redundancy pay.  However, Charlotte and Madeleine correctly state that they will pay each person two weeks’ notice as specified in their contracts.  Therefore, all four will receive £450 (9x25 + 9x25=£450).</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(These payments are based on the information given and assuming the employees do not work regular overtime or get any bonuses or commission) (</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2023a).</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If Charlotte and Madeleine do not pay Angelica and Saffron their statutory redundancy payment they could file a claim to the tribunal under section 163 </w:t>
      </w:r>
      <w:r>
        <w:rPr>
          <w:rFonts w:asciiTheme="majorHAnsi" w:hAnsiTheme="majorHAnsi" w:cstheme="majorHAnsi"/>
          <w:sz w:val="24"/>
          <w:szCs w:val="24"/>
        </w:rPr>
        <w:t>of the Employment Rights Act (</w:t>
      </w:r>
      <w:r w:rsidRPr="00B92F6A">
        <w:rPr>
          <w:rFonts w:asciiTheme="majorHAnsi" w:hAnsiTheme="majorHAnsi" w:cstheme="majorHAnsi"/>
          <w:sz w:val="24"/>
          <w:szCs w:val="24"/>
        </w:rPr>
        <w:t>ERA</w:t>
      </w:r>
      <w:r>
        <w:rPr>
          <w:rFonts w:asciiTheme="majorHAnsi" w:hAnsiTheme="majorHAnsi" w:cstheme="majorHAnsi"/>
          <w:sz w:val="24"/>
          <w:szCs w:val="24"/>
        </w:rPr>
        <w:t>)</w:t>
      </w:r>
      <w:r w:rsidRPr="00B92F6A">
        <w:rPr>
          <w:rFonts w:asciiTheme="majorHAnsi" w:hAnsiTheme="majorHAnsi" w:cstheme="majorHAnsi"/>
          <w:sz w:val="24"/>
          <w:szCs w:val="24"/>
        </w:rPr>
        <w:t xml:space="preserve"> 1996 (</w:t>
      </w:r>
      <w:proofErr w:type="spellStart"/>
      <w:r w:rsidRPr="00B92F6A">
        <w:rPr>
          <w:rFonts w:asciiTheme="majorHAnsi" w:hAnsiTheme="majorHAnsi" w:cstheme="majorHAnsi"/>
          <w:sz w:val="24"/>
          <w:szCs w:val="24"/>
        </w:rPr>
        <w:t>Gray</w:t>
      </w:r>
      <w:proofErr w:type="spellEnd"/>
      <w:r w:rsidRPr="00B92F6A">
        <w:rPr>
          <w:rFonts w:asciiTheme="majorHAnsi" w:hAnsiTheme="majorHAnsi" w:cstheme="majorHAnsi"/>
          <w:sz w:val="24"/>
          <w:szCs w:val="24"/>
        </w:rPr>
        <w:t>, Chambers, 2022).</w:t>
      </w:r>
    </w:p>
    <w:p w:rsidR="008508CA" w:rsidRPr="00B92F6A" w:rsidRDefault="008508CA" w:rsidP="008508CA">
      <w:pPr>
        <w:rPr>
          <w:rFonts w:asciiTheme="majorHAnsi" w:hAnsiTheme="majorHAnsi" w:cstheme="majorHAnsi"/>
          <w:sz w:val="24"/>
          <w:szCs w:val="24"/>
        </w:rPr>
      </w:pP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b/>
          <w:sz w:val="24"/>
          <w:szCs w:val="24"/>
        </w:rPr>
        <w:t>Question 7</w:t>
      </w:r>
      <w:r w:rsidRPr="00B92F6A">
        <w:rPr>
          <w:rFonts w:asciiTheme="majorHAnsi" w:hAnsiTheme="majorHAnsi" w:cstheme="majorHAnsi"/>
          <w:b/>
          <w:sz w:val="24"/>
          <w:szCs w:val="24"/>
        </w:rPr>
        <w:br/>
        <w:t>AC 3.2</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Transfer of Undertakings Protection of Employment Regulation 1981 was created to protect employees’ rights when a company is transferred to a new owner (</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2023a).  This Regulation was amended in 2006 and again in 2014.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There are two types of transfer protect under TUPE 1981:</w:t>
      </w:r>
    </w:p>
    <w:p w:rsidR="008508CA" w:rsidRPr="00B92F6A" w:rsidRDefault="008508CA" w:rsidP="008508CA">
      <w:pPr>
        <w:pStyle w:val="ListParagraph"/>
        <w:numPr>
          <w:ilvl w:val="0"/>
          <w:numId w:val="19"/>
        </w:numPr>
        <w:rPr>
          <w:rFonts w:asciiTheme="majorHAnsi" w:hAnsiTheme="majorHAnsi" w:cstheme="majorHAnsi"/>
          <w:sz w:val="24"/>
          <w:szCs w:val="24"/>
        </w:rPr>
      </w:pPr>
      <w:r w:rsidRPr="00B92F6A">
        <w:rPr>
          <w:rFonts w:asciiTheme="majorHAnsi" w:hAnsiTheme="majorHAnsi" w:cstheme="majorHAnsi"/>
          <w:sz w:val="24"/>
          <w:szCs w:val="24"/>
        </w:rPr>
        <w:t>Business transfer – where one a business or part of a business moves from one employer to another</w:t>
      </w:r>
    </w:p>
    <w:p w:rsidR="008508CA" w:rsidRPr="00B92F6A" w:rsidRDefault="008508CA" w:rsidP="008508CA">
      <w:pPr>
        <w:pStyle w:val="ListParagraph"/>
        <w:numPr>
          <w:ilvl w:val="0"/>
          <w:numId w:val="19"/>
        </w:numPr>
        <w:rPr>
          <w:rFonts w:asciiTheme="majorHAnsi" w:hAnsiTheme="majorHAnsi" w:cstheme="majorHAnsi"/>
          <w:sz w:val="24"/>
          <w:szCs w:val="24"/>
        </w:rPr>
      </w:pPr>
      <w:r w:rsidRPr="00B92F6A">
        <w:rPr>
          <w:rFonts w:asciiTheme="majorHAnsi" w:hAnsiTheme="majorHAnsi" w:cstheme="majorHAnsi"/>
          <w:sz w:val="24"/>
          <w:szCs w:val="24"/>
        </w:rPr>
        <w:t>Service provision changes – where a contracts are being taken over</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(gov.uk, 2023c).  In Madeleine and Charlotte’s case it is a business transfer.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The advice given is based on the change of contracts, assuming the owners have told the staff that the transfer is happening, when and why, how it will affect the employees etc.  If this information has not been given, the owners could be taken to the tribunal and </w:t>
      </w:r>
      <w:proofErr w:type="spellStart"/>
      <w:r w:rsidRPr="00B92F6A">
        <w:rPr>
          <w:rFonts w:asciiTheme="majorHAnsi" w:hAnsiTheme="majorHAnsi" w:cstheme="majorHAnsi"/>
          <w:sz w:val="24"/>
          <w:szCs w:val="24"/>
        </w:rPr>
        <w:t>Reg</w:t>
      </w:r>
      <w:proofErr w:type="spellEnd"/>
      <w:r w:rsidRPr="00B92F6A">
        <w:rPr>
          <w:rFonts w:asciiTheme="majorHAnsi" w:hAnsiTheme="majorHAnsi" w:cstheme="majorHAnsi"/>
          <w:sz w:val="24"/>
          <w:szCs w:val="24"/>
        </w:rPr>
        <w:t xml:space="preserve"> 12 (5) TUPE states that minimum of £500 per employee compensation must be paid.</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lastRenderedPageBreak/>
        <w:t>When a TUPE takes place Madeline and Charlotte needs to understand that contracts should be transferred from Crumby Cakes to Peachy Desserts without any change; they will need to stay the same (</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2023b).  This includes pay, hours, holidays, continuity of service and trade union recognition (Daniels, 2022).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However,  Madeline and Charlotte can change the terms and conditions of the contract if:</w:t>
      </w:r>
      <w:r w:rsidRPr="00B92F6A">
        <w:rPr>
          <w:rFonts w:asciiTheme="majorHAnsi" w:hAnsiTheme="majorHAnsi" w:cstheme="majorHAnsi"/>
          <w:sz w:val="24"/>
          <w:szCs w:val="24"/>
        </w:rPr>
        <w:br/>
        <w:t>• the reason is unrelated to the transfer</w:t>
      </w:r>
      <w:r w:rsidRPr="00B92F6A">
        <w:rPr>
          <w:rFonts w:asciiTheme="majorHAnsi" w:hAnsiTheme="majorHAnsi" w:cstheme="majorHAnsi"/>
          <w:sz w:val="24"/>
          <w:szCs w:val="24"/>
        </w:rPr>
        <w:br/>
        <w:t>• the change is to improve the employees’ contract</w:t>
      </w:r>
      <w:r w:rsidRPr="00B92F6A">
        <w:rPr>
          <w:rFonts w:asciiTheme="majorHAnsi" w:hAnsiTheme="majorHAnsi" w:cstheme="majorHAnsi"/>
          <w:sz w:val="24"/>
          <w:szCs w:val="24"/>
        </w:rPr>
        <w:br/>
        <w:t>• there is an economic, technical or organisational reason (ETO)</w:t>
      </w:r>
      <w:r w:rsidRPr="00B92F6A">
        <w:rPr>
          <w:rFonts w:asciiTheme="majorHAnsi" w:hAnsiTheme="majorHAnsi" w:cstheme="majorHAnsi"/>
          <w:sz w:val="24"/>
          <w:szCs w:val="24"/>
        </w:rPr>
        <w:br/>
        <w:t>• the terms of the employment contract permit variation, for example, a mobility</w:t>
      </w:r>
      <w:r w:rsidRPr="00B92F6A">
        <w:rPr>
          <w:rFonts w:asciiTheme="majorHAnsi" w:hAnsiTheme="majorHAnsi" w:cstheme="majorHAnsi"/>
          <w:sz w:val="24"/>
          <w:szCs w:val="24"/>
        </w:rPr>
        <w:br/>
        <w:t>clause</w:t>
      </w:r>
      <w:r w:rsidRPr="00B92F6A">
        <w:rPr>
          <w:rFonts w:asciiTheme="majorHAnsi" w:hAnsiTheme="majorHAnsi" w:cstheme="majorHAnsi"/>
          <w:sz w:val="24"/>
          <w:szCs w:val="24"/>
        </w:rPr>
        <w:br/>
        <w:t>• a change to the location of employment after the transfer can be an ETO reason</w:t>
      </w:r>
      <w:r w:rsidRPr="00B92F6A">
        <w:rPr>
          <w:rFonts w:asciiTheme="majorHAnsi" w:hAnsiTheme="majorHAnsi" w:cstheme="majorHAnsi"/>
          <w:sz w:val="24"/>
          <w:szCs w:val="24"/>
        </w:rPr>
        <w:br/>
        <w:t>• there has been an agreement to change in terms and conditions</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Certain occupational pension scheme can be excluded to be automatically transferred (</w:t>
      </w:r>
      <w:proofErr w:type="spellStart"/>
      <w:r w:rsidRPr="00B92F6A">
        <w:rPr>
          <w:rFonts w:asciiTheme="majorHAnsi" w:hAnsiTheme="majorHAnsi" w:cstheme="majorHAnsi"/>
          <w:sz w:val="24"/>
          <w:szCs w:val="24"/>
        </w:rPr>
        <w:t>Reg</w:t>
      </w:r>
      <w:proofErr w:type="spellEnd"/>
      <w:r w:rsidRPr="00B92F6A">
        <w:rPr>
          <w:rFonts w:asciiTheme="majorHAnsi" w:hAnsiTheme="majorHAnsi" w:cstheme="majorHAnsi"/>
          <w:sz w:val="24"/>
          <w:szCs w:val="24"/>
        </w:rPr>
        <w:t xml:space="preserve"> 10 TUPE 2006), but if Crumbly Cakes gave their employees a pension then Charlotte and Madeline must provide some sort of a pension agreement (</w:t>
      </w:r>
      <w:proofErr w:type="spellStart"/>
      <w:r w:rsidRPr="00B92F6A">
        <w:rPr>
          <w:rFonts w:asciiTheme="majorHAnsi" w:hAnsiTheme="majorHAnsi" w:cstheme="majorHAnsi"/>
          <w:sz w:val="24"/>
          <w:szCs w:val="24"/>
        </w:rPr>
        <w:t>Wyn</w:t>
      </w:r>
      <w:proofErr w:type="spellEnd"/>
      <w:r w:rsidRPr="00B92F6A">
        <w:rPr>
          <w:rFonts w:asciiTheme="majorHAnsi" w:hAnsiTheme="majorHAnsi" w:cstheme="majorHAnsi"/>
          <w:sz w:val="24"/>
          <w:szCs w:val="24"/>
        </w:rPr>
        <w:t xml:space="preserve">-Evans, 2022).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An employee can object to being transferred to the new employer, but by doing so, they do not have any right to stay with the old employer and will have deemed to have resigned.  Usually, they will not be able to take a claim for redundancy or unfair dismissal (Prospect, 2003a).  </w:t>
      </w: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sz w:val="24"/>
          <w:szCs w:val="24"/>
        </w:rPr>
        <w:t xml:space="preserve">If they do change the terms and conditions of employment, employees may take them to the tribunal and they can order the owners to pay appropriate compensation not exceeding 13 weeks’ pay for the employees (Oxford Dictionary of Law, 2022). </w:t>
      </w:r>
    </w:p>
    <w:p w:rsidR="008508CA" w:rsidRPr="00B92F6A" w:rsidRDefault="008508CA" w:rsidP="008508CA">
      <w:pPr>
        <w:rPr>
          <w:rFonts w:asciiTheme="majorHAnsi" w:hAnsiTheme="majorHAnsi" w:cstheme="majorHAnsi"/>
          <w:sz w:val="24"/>
          <w:szCs w:val="24"/>
        </w:rPr>
      </w:pP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b/>
          <w:sz w:val="24"/>
          <w:szCs w:val="24"/>
        </w:rPr>
        <w:t>Question 8</w:t>
      </w:r>
      <w:r w:rsidRPr="00B92F6A">
        <w:rPr>
          <w:rFonts w:asciiTheme="majorHAnsi" w:hAnsiTheme="majorHAnsi" w:cstheme="majorHAnsi"/>
          <w:b/>
          <w:sz w:val="24"/>
          <w:szCs w:val="24"/>
        </w:rPr>
        <w:br/>
        <w:t>AC 4.2</w:t>
      </w:r>
    </w:p>
    <w:p w:rsidR="008508CA" w:rsidRPr="00B92F6A" w:rsidRDefault="008508CA" w:rsidP="008508CA">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The National Minimum Wage Act 1998 provides a minimum hourly wage for workers (Jefferson, 2016).  In 2016 the Government introduced a National Living Wage for those aged 25 and over.  In 2021 it was changed to those aged 23 and over (Daniels, 2022).  If employees receive tips or any other allowances paid by the employer, the employer still need to pay individuals the NMW or NLW (Jefferson, 2016).</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 Low Pay Commission advises ministers on an appropriate level for the NMW.  It recommends a wage that will maximize living standards for the lowest-paid workers, but which is not so high as to have a serious negative impact on levels of employment (Taylor, Wilkinson, 2022)</w:t>
      </w:r>
      <w:r w:rsidRPr="00B92F6A">
        <w:rPr>
          <w:rFonts w:asciiTheme="majorHAnsi" w:eastAsiaTheme="minorEastAsia" w:hAnsiTheme="majorHAnsi" w:cstheme="majorHAnsi"/>
          <w:sz w:val="24"/>
          <w:szCs w:val="24"/>
        </w:rPr>
        <w:t>.</w:t>
      </w:r>
    </w:p>
    <w:p w:rsidR="008508CA" w:rsidRPr="00B92F6A" w:rsidRDefault="008508CA" w:rsidP="008508CA">
      <w:pPr>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 xml:space="preserve">The rates are reviewed annually.  From 1 April 2023 the National Minimum Wage has increased to:  </w:t>
      </w:r>
    </w:p>
    <w:p w:rsidR="008508CA" w:rsidRPr="00B92F6A" w:rsidRDefault="008508CA" w:rsidP="008508CA">
      <w:pPr>
        <w:pStyle w:val="ListParagraph"/>
        <w:numPr>
          <w:ilvl w:val="0"/>
          <w:numId w:val="6"/>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National Living Wage (23+)</w:t>
      </w:r>
      <w:r w:rsidRPr="00B92F6A">
        <w:rPr>
          <w:rFonts w:asciiTheme="majorHAnsi" w:hAnsiTheme="majorHAnsi" w:cstheme="majorHAnsi"/>
          <w:sz w:val="24"/>
          <w:szCs w:val="24"/>
        </w:rPr>
        <w:tab/>
      </w:r>
      <w:r w:rsidRPr="00B92F6A">
        <w:rPr>
          <w:rFonts w:asciiTheme="majorHAnsi" w:eastAsiaTheme="minorEastAsia" w:hAnsiTheme="majorHAnsi" w:cstheme="majorHAnsi"/>
          <w:sz w:val="24"/>
          <w:szCs w:val="24"/>
          <w:lang w:eastAsia="en-GB"/>
        </w:rPr>
        <w:t>£10.42</w:t>
      </w:r>
    </w:p>
    <w:p w:rsidR="008508CA" w:rsidRPr="00B92F6A" w:rsidRDefault="008508CA" w:rsidP="008508CA">
      <w:pPr>
        <w:pStyle w:val="ListParagraph"/>
        <w:numPr>
          <w:ilvl w:val="0"/>
          <w:numId w:val="6"/>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21-</w:t>
      </w:r>
      <w:proofErr w:type="gramStart"/>
      <w:r w:rsidRPr="00B92F6A">
        <w:rPr>
          <w:rFonts w:asciiTheme="majorHAnsi" w:eastAsiaTheme="minorEastAsia" w:hAnsiTheme="majorHAnsi" w:cstheme="majorHAnsi"/>
          <w:sz w:val="24"/>
          <w:szCs w:val="24"/>
          <w:lang w:eastAsia="en-GB"/>
        </w:rPr>
        <w:t>22 Year Old</w:t>
      </w:r>
      <w:proofErr w:type="gramEnd"/>
      <w:r w:rsidRPr="00B92F6A">
        <w:rPr>
          <w:rFonts w:asciiTheme="majorHAnsi" w:eastAsiaTheme="minorEastAsia" w:hAnsiTheme="majorHAnsi" w:cstheme="majorHAnsi"/>
          <w:sz w:val="24"/>
          <w:szCs w:val="24"/>
          <w:lang w:eastAsia="en-GB"/>
        </w:rPr>
        <w:t xml:space="preserve"> Rate</w:t>
      </w:r>
      <w:r w:rsidRPr="00B92F6A">
        <w:rPr>
          <w:rFonts w:asciiTheme="majorHAnsi" w:hAnsiTheme="majorHAnsi" w:cstheme="majorHAnsi"/>
          <w:sz w:val="24"/>
          <w:szCs w:val="24"/>
        </w:rPr>
        <w:tab/>
      </w:r>
      <w:r w:rsidRPr="00B92F6A">
        <w:rPr>
          <w:rFonts w:asciiTheme="majorHAnsi" w:hAnsiTheme="majorHAnsi" w:cstheme="majorHAnsi"/>
          <w:sz w:val="24"/>
          <w:szCs w:val="24"/>
        </w:rPr>
        <w:tab/>
      </w:r>
      <w:r w:rsidRPr="00B92F6A">
        <w:rPr>
          <w:rFonts w:asciiTheme="majorHAnsi" w:eastAsiaTheme="minorEastAsia" w:hAnsiTheme="majorHAnsi" w:cstheme="majorHAnsi"/>
          <w:sz w:val="24"/>
          <w:szCs w:val="24"/>
          <w:lang w:eastAsia="en-GB"/>
        </w:rPr>
        <w:t>£10.18</w:t>
      </w:r>
    </w:p>
    <w:p w:rsidR="008508CA" w:rsidRPr="00B92F6A" w:rsidRDefault="008508CA" w:rsidP="008508CA">
      <w:pPr>
        <w:pStyle w:val="ListParagraph"/>
        <w:numPr>
          <w:ilvl w:val="0"/>
          <w:numId w:val="6"/>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18-</w:t>
      </w:r>
      <w:proofErr w:type="gramStart"/>
      <w:r w:rsidRPr="00B92F6A">
        <w:rPr>
          <w:rFonts w:asciiTheme="majorHAnsi" w:eastAsiaTheme="minorEastAsia" w:hAnsiTheme="majorHAnsi" w:cstheme="majorHAnsi"/>
          <w:sz w:val="24"/>
          <w:szCs w:val="24"/>
          <w:lang w:eastAsia="en-GB"/>
        </w:rPr>
        <w:t>20 Year Old</w:t>
      </w:r>
      <w:proofErr w:type="gramEnd"/>
      <w:r w:rsidRPr="00B92F6A">
        <w:rPr>
          <w:rFonts w:asciiTheme="majorHAnsi" w:eastAsiaTheme="minorEastAsia" w:hAnsiTheme="majorHAnsi" w:cstheme="majorHAnsi"/>
          <w:sz w:val="24"/>
          <w:szCs w:val="24"/>
          <w:lang w:eastAsia="en-GB"/>
        </w:rPr>
        <w:t xml:space="preserve"> Rate</w:t>
      </w:r>
      <w:r w:rsidRPr="00B92F6A">
        <w:rPr>
          <w:rFonts w:asciiTheme="majorHAnsi" w:hAnsiTheme="majorHAnsi" w:cstheme="majorHAnsi"/>
          <w:sz w:val="24"/>
          <w:szCs w:val="24"/>
        </w:rPr>
        <w:tab/>
      </w:r>
      <w:r w:rsidRPr="00B92F6A">
        <w:rPr>
          <w:rFonts w:asciiTheme="majorHAnsi" w:hAnsiTheme="majorHAnsi" w:cstheme="majorHAnsi"/>
          <w:sz w:val="24"/>
          <w:szCs w:val="24"/>
        </w:rPr>
        <w:tab/>
      </w:r>
      <w:r w:rsidRPr="00B92F6A">
        <w:rPr>
          <w:rFonts w:asciiTheme="majorHAnsi" w:eastAsiaTheme="minorEastAsia" w:hAnsiTheme="majorHAnsi" w:cstheme="majorHAnsi"/>
          <w:sz w:val="24"/>
          <w:szCs w:val="24"/>
          <w:lang w:eastAsia="en-GB"/>
        </w:rPr>
        <w:t>£7.49</w:t>
      </w:r>
    </w:p>
    <w:p w:rsidR="008508CA" w:rsidRPr="00B92F6A" w:rsidRDefault="008508CA" w:rsidP="008508CA">
      <w:pPr>
        <w:pStyle w:val="ListParagraph"/>
        <w:numPr>
          <w:ilvl w:val="0"/>
          <w:numId w:val="6"/>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lastRenderedPageBreak/>
        <w:t>16-</w:t>
      </w:r>
      <w:proofErr w:type="gramStart"/>
      <w:r w:rsidRPr="00B92F6A">
        <w:rPr>
          <w:rFonts w:asciiTheme="majorHAnsi" w:eastAsiaTheme="minorEastAsia" w:hAnsiTheme="majorHAnsi" w:cstheme="majorHAnsi"/>
          <w:sz w:val="24"/>
          <w:szCs w:val="24"/>
          <w:lang w:eastAsia="en-GB"/>
        </w:rPr>
        <w:t>17 Year Old</w:t>
      </w:r>
      <w:proofErr w:type="gramEnd"/>
      <w:r w:rsidRPr="00B92F6A">
        <w:rPr>
          <w:rFonts w:asciiTheme="majorHAnsi" w:eastAsiaTheme="minorEastAsia" w:hAnsiTheme="majorHAnsi" w:cstheme="majorHAnsi"/>
          <w:sz w:val="24"/>
          <w:szCs w:val="24"/>
          <w:lang w:eastAsia="en-GB"/>
        </w:rPr>
        <w:t xml:space="preserve"> Rate</w:t>
      </w:r>
      <w:r w:rsidRPr="00B92F6A">
        <w:rPr>
          <w:rFonts w:asciiTheme="majorHAnsi" w:hAnsiTheme="majorHAnsi" w:cstheme="majorHAnsi"/>
          <w:sz w:val="24"/>
          <w:szCs w:val="24"/>
        </w:rPr>
        <w:tab/>
      </w:r>
      <w:r w:rsidRPr="00B92F6A">
        <w:rPr>
          <w:rFonts w:asciiTheme="majorHAnsi" w:hAnsiTheme="majorHAnsi" w:cstheme="majorHAnsi"/>
          <w:sz w:val="24"/>
          <w:szCs w:val="24"/>
        </w:rPr>
        <w:tab/>
      </w:r>
      <w:r w:rsidRPr="00B92F6A">
        <w:rPr>
          <w:rFonts w:asciiTheme="majorHAnsi" w:eastAsiaTheme="minorEastAsia" w:hAnsiTheme="majorHAnsi" w:cstheme="majorHAnsi"/>
          <w:sz w:val="24"/>
          <w:szCs w:val="24"/>
          <w:lang w:eastAsia="en-GB"/>
        </w:rPr>
        <w:t>£5.28</w:t>
      </w:r>
    </w:p>
    <w:p w:rsidR="008508CA" w:rsidRPr="00B92F6A" w:rsidRDefault="008508CA" w:rsidP="008508CA">
      <w:pPr>
        <w:pStyle w:val="ListParagraph"/>
        <w:numPr>
          <w:ilvl w:val="0"/>
          <w:numId w:val="6"/>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Apprentice Rate</w:t>
      </w:r>
      <w:r w:rsidRPr="00B92F6A">
        <w:rPr>
          <w:rFonts w:asciiTheme="majorHAnsi" w:hAnsiTheme="majorHAnsi" w:cstheme="majorHAnsi"/>
          <w:sz w:val="24"/>
          <w:szCs w:val="24"/>
        </w:rPr>
        <w:tab/>
      </w:r>
      <w:r w:rsidRPr="00B92F6A">
        <w:rPr>
          <w:rFonts w:asciiTheme="majorHAnsi" w:hAnsiTheme="majorHAnsi" w:cstheme="majorHAnsi"/>
          <w:sz w:val="24"/>
          <w:szCs w:val="24"/>
        </w:rPr>
        <w:tab/>
      </w:r>
      <w:r w:rsidRPr="00B92F6A">
        <w:rPr>
          <w:rFonts w:asciiTheme="majorHAnsi" w:eastAsiaTheme="minorEastAsia" w:hAnsiTheme="majorHAnsi" w:cstheme="majorHAnsi"/>
          <w:sz w:val="24"/>
          <w:szCs w:val="24"/>
          <w:lang w:eastAsia="en-GB"/>
        </w:rPr>
        <w:t>£5.28</w:t>
      </w:r>
    </w:p>
    <w:p w:rsidR="008508CA" w:rsidRPr="00B92F6A" w:rsidRDefault="008508CA" w:rsidP="008508CA">
      <w:pPr>
        <w:pStyle w:val="ListParagraph"/>
        <w:numPr>
          <w:ilvl w:val="0"/>
          <w:numId w:val="6"/>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Accommodation Offset</w:t>
      </w:r>
      <w:r w:rsidRPr="00B92F6A">
        <w:rPr>
          <w:rFonts w:asciiTheme="majorHAnsi" w:hAnsiTheme="majorHAnsi" w:cstheme="majorHAnsi"/>
          <w:sz w:val="24"/>
          <w:szCs w:val="24"/>
        </w:rPr>
        <w:tab/>
      </w:r>
      <w:r w:rsidRPr="00B92F6A">
        <w:rPr>
          <w:rFonts w:asciiTheme="majorHAnsi" w:eastAsiaTheme="minorEastAsia" w:hAnsiTheme="majorHAnsi" w:cstheme="majorHAnsi"/>
          <w:sz w:val="24"/>
          <w:szCs w:val="24"/>
          <w:lang w:eastAsia="en-GB"/>
        </w:rPr>
        <w:t>£9.10</w:t>
      </w:r>
    </w:p>
    <w:p w:rsidR="008508CA" w:rsidRPr="00B92F6A" w:rsidRDefault="008508CA" w:rsidP="008508CA">
      <w:pPr>
        <w:spacing w:after="0" w:line="240" w:lineRule="auto"/>
        <w:rPr>
          <w:rFonts w:asciiTheme="majorHAnsi" w:eastAsiaTheme="minorEastAsia" w:hAnsiTheme="majorHAnsi" w:cstheme="majorHAnsi"/>
          <w:sz w:val="24"/>
          <w:szCs w:val="24"/>
          <w:lang w:eastAsia="en-GB"/>
        </w:rPr>
      </w:pPr>
    </w:p>
    <w:p w:rsidR="008508CA" w:rsidRPr="00B92F6A" w:rsidRDefault="008508CA" w:rsidP="008508CA">
      <w:pPr>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The below advice is given to Charlotte and Madeleine is based on:</w:t>
      </w:r>
    </w:p>
    <w:p w:rsidR="008508CA" w:rsidRPr="00B92F6A" w:rsidRDefault="008508CA" w:rsidP="008508CA">
      <w:pPr>
        <w:pStyle w:val="ListParagraph"/>
        <w:numPr>
          <w:ilvl w:val="0"/>
          <w:numId w:val="20"/>
        </w:numPr>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that they have an employee that is 23+</w:t>
      </w:r>
    </w:p>
    <w:p w:rsidR="008508CA" w:rsidRPr="00B92F6A" w:rsidRDefault="008508CA" w:rsidP="008508CA">
      <w:pPr>
        <w:pStyle w:val="ListParagraph"/>
        <w:numPr>
          <w:ilvl w:val="0"/>
          <w:numId w:val="20"/>
        </w:numPr>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the fact that they want to pay them the same</w:t>
      </w:r>
    </w:p>
    <w:p w:rsidR="008508CA" w:rsidRPr="00B92F6A" w:rsidRDefault="008508CA" w:rsidP="008508CA">
      <w:pPr>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They are more than welcome to pay everyone the same, but they will need to increase everyone’s wages from £9 to £10.42.  If the owners stick to £9 and refuse to pay the correct amount, under NMW Regulations, the 21-year-old+ can ask to see their records.  If the owners refuse, then the employees can make an application to the Employment Tribunal to assess the situation. (Daniels, 2022).</w:t>
      </w:r>
    </w:p>
    <w:p w:rsidR="008508CA" w:rsidRPr="00B92F6A" w:rsidRDefault="008508CA" w:rsidP="008508CA">
      <w:p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If the owners do not pay the NMW and NLW then they could:</w:t>
      </w:r>
    </w:p>
    <w:p w:rsidR="008508CA" w:rsidRPr="00B92F6A" w:rsidRDefault="008508CA" w:rsidP="008508CA">
      <w:pPr>
        <w:pStyle w:val="ListParagraph"/>
        <w:numPr>
          <w:ilvl w:val="0"/>
          <w:numId w:val="5"/>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be given notice to pay money owed up to maximum of six years</w:t>
      </w:r>
    </w:p>
    <w:p w:rsidR="008508CA" w:rsidRPr="00B92F6A" w:rsidRDefault="008508CA" w:rsidP="008508CA">
      <w:pPr>
        <w:pStyle w:val="ListParagraph"/>
        <w:numPr>
          <w:ilvl w:val="0"/>
          <w:numId w:val="5"/>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pay a fine up to a maximum £20,000 for each employer (under the Small Businesses Enterprises and Employment Act 2015)</w:t>
      </w:r>
    </w:p>
    <w:p w:rsidR="008508CA" w:rsidRPr="00B92F6A" w:rsidRDefault="008508CA" w:rsidP="008508CA">
      <w:pPr>
        <w:pStyle w:val="ListParagraph"/>
        <w:numPr>
          <w:ilvl w:val="0"/>
          <w:numId w:val="5"/>
        </w:numPr>
        <w:spacing w:after="0" w:line="240" w:lineRule="auto"/>
        <w:rPr>
          <w:rFonts w:asciiTheme="majorHAnsi" w:eastAsiaTheme="minorEastAsia" w:hAnsiTheme="majorHAnsi" w:cstheme="majorHAnsi"/>
          <w:sz w:val="24"/>
          <w:szCs w:val="24"/>
          <w:lang w:eastAsia="en-GB"/>
        </w:rPr>
      </w:pPr>
      <w:r w:rsidRPr="00B92F6A">
        <w:rPr>
          <w:rFonts w:asciiTheme="majorHAnsi" w:eastAsiaTheme="minorEastAsia" w:hAnsiTheme="majorHAnsi" w:cstheme="majorHAnsi"/>
          <w:sz w:val="24"/>
          <w:szCs w:val="24"/>
          <w:lang w:eastAsia="en-GB"/>
        </w:rPr>
        <w:t>be named and shamed by The Government (</w:t>
      </w:r>
      <w:proofErr w:type="spellStart"/>
      <w:r w:rsidRPr="00B92F6A">
        <w:rPr>
          <w:rFonts w:asciiTheme="majorHAnsi" w:eastAsiaTheme="minorEastAsia" w:hAnsiTheme="majorHAnsi" w:cstheme="majorHAnsi"/>
          <w:sz w:val="24"/>
          <w:szCs w:val="24"/>
          <w:lang w:eastAsia="en-GB"/>
        </w:rPr>
        <w:t>Acas</w:t>
      </w:r>
      <w:proofErr w:type="spellEnd"/>
      <w:r w:rsidRPr="00B92F6A">
        <w:rPr>
          <w:rFonts w:asciiTheme="majorHAnsi" w:eastAsiaTheme="minorEastAsia" w:hAnsiTheme="majorHAnsi" w:cstheme="majorHAnsi"/>
          <w:sz w:val="24"/>
          <w:szCs w:val="24"/>
          <w:lang w:eastAsia="en-GB"/>
        </w:rPr>
        <w:t>, 2023c, Daniels, 2022).</w:t>
      </w:r>
    </w:p>
    <w:p w:rsidR="008508CA" w:rsidRPr="00B92F6A" w:rsidRDefault="008508CA" w:rsidP="008508CA">
      <w:pPr>
        <w:spacing w:after="0" w:line="240" w:lineRule="auto"/>
        <w:rPr>
          <w:rFonts w:asciiTheme="majorHAnsi" w:eastAsiaTheme="minorEastAsia" w:hAnsiTheme="majorHAnsi" w:cstheme="majorHAnsi"/>
          <w:sz w:val="24"/>
          <w:szCs w:val="24"/>
          <w:lang w:eastAsia="en-GB"/>
        </w:rPr>
      </w:pPr>
    </w:p>
    <w:p w:rsidR="008508CA" w:rsidRPr="00B92F6A" w:rsidRDefault="008508CA" w:rsidP="008508CA">
      <w:pPr>
        <w:rPr>
          <w:rFonts w:asciiTheme="majorHAnsi" w:hAnsiTheme="majorHAnsi" w:cstheme="majorHAnsi"/>
          <w:b/>
          <w:bCs/>
          <w:sz w:val="24"/>
          <w:szCs w:val="24"/>
        </w:rPr>
      </w:pPr>
      <w:r w:rsidRPr="00B92F6A">
        <w:rPr>
          <w:rFonts w:asciiTheme="majorHAnsi" w:hAnsiTheme="majorHAnsi" w:cstheme="majorHAnsi"/>
          <w:b/>
          <w:bCs/>
          <w:sz w:val="24"/>
          <w:szCs w:val="24"/>
        </w:rPr>
        <w:t>Question 9</w:t>
      </w:r>
      <w:r w:rsidRPr="00B92F6A">
        <w:rPr>
          <w:rFonts w:asciiTheme="majorHAnsi" w:hAnsiTheme="majorHAnsi" w:cstheme="majorHAnsi"/>
          <w:b/>
          <w:bCs/>
          <w:sz w:val="24"/>
          <w:szCs w:val="24"/>
        </w:rPr>
        <w:br/>
        <w:t>AC 4.2</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 Working Time Regulations 1998 was created to protect employees from overworking and working long hours.  Employers have the duty of care to ensure that their employees take regular breaks and time off work (CIPD, 2022g).</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ERA 1996 states that there are three main types of employment status. These are; worker, employee and self-employed.  Some of the rights a worker has are written terms, paid holiday and National Minimum Wage (</w:t>
      </w: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2022c).</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Under WTR 1998 Kit is entitled to:</w:t>
      </w:r>
    </w:p>
    <w:p w:rsidR="008508CA" w:rsidRPr="00B92F6A" w:rsidRDefault="008508CA" w:rsidP="008508CA">
      <w:pPr>
        <w:pStyle w:val="ListParagraph"/>
        <w:numPr>
          <w:ilvl w:val="0"/>
          <w:numId w:val="8"/>
        </w:numPr>
        <w:rPr>
          <w:rFonts w:asciiTheme="majorHAnsi" w:hAnsiTheme="majorHAnsi" w:cstheme="majorHAnsi"/>
          <w:sz w:val="24"/>
          <w:szCs w:val="24"/>
        </w:rPr>
      </w:pPr>
      <w:r w:rsidRPr="00B92F6A">
        <w:rPr>
          <w:rFonts w:asciiTheme="majorHAnsi" w:hAnsiTheme="majorHAnsi" w:cstheme="majorHAnsi"/>
          <w:sz w:val="24"/>
          <w:szCs w:val="24"/>
        </w:rPr>
        <w:t xml:space="preserve">at least 11 </w:t>
      </w:r>
      <w:proofErr w:type="gramStart"/>
      <w:r w:rsidRPr="00B92F6A">
        <w:rPr>
          <w:rFonts w:asciiTheme="majorHAnsi" w:hAnsiTheme="majorHAnsi" w:cstheme="majorHAnsi"/>
          <w:sz w:val="24"/>
          <w:szCs w:val="24"/>
        </w:rPr>
        <w:t>hours</w:t>
      </w:r>
      <w:proofErr w:type="gramEnd"/>
      <w:r w:rsidRPr="00B92F6A">
        <w:rPr>
          <w:rFonts w:asciiTheme="majorHAnsi" w:hAnsiTheme="majorHAnsi" w:cstheme="majorHAnsi"/>
          <w:sz w:val="24"/>
          <w:szCs w:val="24"/>
        </w:rPr>
        <w:t xml:space="preserve"> rest in every 24-hours period (R10)</w:t>
      </w:r>
    </w:p>
    <w:p w:rsidR="008508CA" w:rsidRPr="00B92F6A" w:rsidRDefault="008508CA" w:rsidP="008508CA">
      <w:pPr>
        <w:pStyle w:val="ListParagraph"/>
        <w:numPr>
          <w:ilvl w:val="0"/>
          <w:numId w:val="8"/>
        </w:numPr>
        <w:rPr>
          <w:rFonts w:asciiTheme="majorHAnsi" w:hAnsiTheme="majorHAnsi" w:cstheme="majorHAnsi"/>
          <w:sz w:val="24"/>
          <w:szCs w:val="24"/>
        </w:rPr>
      </w:pPr>
      <w:r w:rsidRPr="00B92F6A">
        <w:rPr>
          <w:rFonts w:asciiTheme="majorHAnsi" w:hAnsiTheme="majorHAnsi" w:cstheme="majorHAnsi"/>
          <w:sz w:val="24"/>
          <w:szCs w:val="24"/>
        </w:rPr>
        <w:t>at least 24 hours of uninterrupted rest in every seven-day period (R11)</w:t>
      </w:r>
    </w:p>
    <w:p w:rsidR="008508CA" w:rsidRPr="00B92F6A" w:rsidRDefault="008508CA" w:rsidP="008508CA">
      <w:pPr>
        <w:pStyle w:val="ListParagraph"/>
        <w:numPr>
          <w:ilvl w:val="0"/>
          <w:numId w:val="8"/>
        </w:numPr>
        <w:rPr>
          <w:rFonts w:asciiTheme="majorHAnsi" w:eastAsia="Calibri" w:hAnsiTheme="majorHAnsi" w:cstheme="majorHAnsi"/>
          <w:sz w:val="24"/>
          <w:szCs w:val="24"/>
        </w:rPr>
      </w:pPr>
      <w:r w:rsidRPr="00B92F6A">
        <w:rPr>
          <w:rFonts w:asciiTheme="majorHAnsi" w:hAnsiTheme="majorHAnsi" w:cstheme="majorHAnsi"/>
          <w:sz w:val="24"/>
          <w:szCs w:val="24"/>
        </w:rPr>
        <w:t xml:space="preserve">20 minutes break as he works over 6 hours a day outside workstation </w:t>
      </w:r>
      <w:r w:rsidRPr="00B92F6A">
        <w:rPr>
          <w:rFonts w:asciiTheme="majorHAnsi" w:eastAsia="Calibri" w:hAnsiTheme="majorHAnsi" w:cstheme="majorHAnsi"/>
          <w:sz w:val="24"/>
          <w:szCs w:val="24"/>
        </w:rPr>
        <w:t>(R12)</w:t>
      </w:r>
    </w:p>
    <w:p w:rsidR="008508CA" w:rsidRPr="00B92F6A" w:rsidRDefault="008508CA" w:rsidP="008508CA">
      <w:pPr>
        <w:pStyle w:val="ListParagraph"/>
        <w:numPr>
          <w:ilvl w:val="0"/>
          <w:numId w:val="8"/>
        </w:numPr>
        <w:rPr>
          <w:rFonts w:asciiTheme="majorHAnsi" w:hAnsiTheme="majorHAnsi" w:cstheme="majorHAnsi"/>
          <w:sz w:val="24"/>
          <w:szCs w:val="24"/>
        </w:rPr>
      </w:pPr>
      <w:r w:rsidRPr="00B92F6A">
        <w:rPr>
          <w:rFonts w:asciiTheme="majorHAnsi" w:hAnsiTheme="majorHAnsi" w:cstheme="majorHAnsi"/>
          <w:sz w:val="24"/>
          <w:szCs w:val="24"/>
        </w:rPr>
        <w:t>28 days paid annual leave including 8 UK public holidays and to be paid a sum equivalent to a week’s pay for each week of leave (R13)</w:t>
      </w:r>
    </w:p>
    <w:p w:rsidR="008508CA" w:rsidRPr="00B92F6A" w:rsidRDefault="008508CA" w:rsidP="008508CA">
      <w:pPr>
        <w:pStyle w:val="ListParagraph"/>
        <w:numPr>
          <w:ilvl w:val="0"/>
          <w:numId w:val="8"/>
        </w:numPr>
        <w:rPr>
          <w:rFonts w:asciiTheme="majorHAnsi" w:hAnsiTheme="majorHAnsi" w:cstheme="majorHAnsi"/>
          <w:sz w:val="24"/>
          <w:szCs w:val="24"/>
        </w:rPr>
      </w:pPr>
      <w:r w:rsidRPr="00B92F6A">
        <w:rPr>
          <w:rFonts w:asciiTheme="majorHAnsi" w:hAnsiTheme="majorHAnsi" w:cstheme="majorHAnsi"/>
          <w:sz w:val="24"/>
          <w:szCs w:val="24"/>
        </w:rPr>
        <w:t xml:space="preserve">an average of 48 hours per week over a 17-week reference </w:t>
      </w:r>
    </w:p>
    <w:p w:rsidR="008508CA" w:rsidRPr="00B92F6A" w:rsidRDefault="008508CA" w:rsidP="008508CA">
      <w:pPr>
        <w:ind w:left="405"/>
        <w:rPr>
          <w:rFonts w:asciiTheme="majorHAnsi" w:hAnsiTheme="majorHAnsi" w:cstheme="majorHAnsi"/>
          <w:sz w:val="24"/>
          <w:szCs w:val="24"/>
        </w:rPr>
      </w:pPr>
      <w:r w:rsidRPr="00B92F6A">
        <w:rPr>
          <w:rFonts w:asciiTheme="majorHAnsi" w:hAnsiTheme="majorHAnsi" w:cstheme="majorHAnsi"/>
          <w:sz w:val="24"/>
          <w:szCs w:val="24"/>
        </w:rPr>
        <w:t>Therefore, Kit could take Charlotte and Madeleine to ET as they do not comply with any of these regulations as he:</w:t>
      </w:r>
    </w:p>
    <w:p w:rsidR="008508CA" w:rsidRPr="00B92F6A" w:rsidRDefault="008508CA" w:rsidP="008508CA">
      <w:pPr>
        <w:pStyle w:val="ListParagraph"/>
        <w:numPr>
          <w:ilvl w:val="0"/>
          <w:numId w:val="7"/>
        </w:numPr>
        <w:rPr>
          <w:rFonts w:asciiTheme="majorHAnsi" w:hAnsiTheme="majorHAnsi" w:cstheme="majorHAnsi"/>
          <w:sz w:val="24"/>
          <w:szCs w:val="24"/>
        </w:rPr>
      </w:pPr>
      <w:r w:rsidRPr="00B92F6A">
        <w:rPr>
          <w:rFonts w:asciiTheme="majorHAnsi" w:hAnsiTheme="majorHAnsi" w:cstheme="majorHAnsi"/>
          <w:sz w:val="24"/>
          <w:szCs w:val="24"/>
        </w:rPr>
        <w:t>does not get sufficient hours of rest in 24 hours if he covers for his manager</w:t>
      </w:r>
    </w:p>
    <w:p w:rsidR="008508CA" w:rsidRPr="00B92F6A" w:rsidRDefault="008508CA" w:rsidP="008508CA">
      <w:pPr>
        <w:pStyle w:val="ListParagraph"/>
        <w:numPr>
          <w:ilvl w:val="0"/>
          <w:numId w:val="7"/>
        </w:numPr>
        <w:rPr>
          <w:rFonts w:asciiTheme="majorHAnsi" w:hAnsiTheme="majorHAnsi" w:cstheme="majorHAnsi"/>
          <w:sz w:val="24"/>
          <w:szCs w:val="24"/>
        </w:rPr>
      </w:pPr>
      <w:r w:rsidRPr="00B92F6A">
        <w:rPr>
          <w:rFonts w:asciiTheme="majorHAnsi" w:hAnsiTheme="majorHAnsi" w:cstheme="majorHAnsi"/>
          <w:sz w:val="24"/>
          <w:szCs w:val="24"/>
        </w:rPr>
        <w:t>does not get adequate breaks</w:t>
      </w:r>
    </w:p>
    <w:p w:rsidR="008508CA" w:rsidRPr="00B92F6A" w:rsidRDefault="008508CA" w:rsidP="008508CA">
      <w:pPr>
        <w:pStyle w:val="ListParagraph"/>
        <w:numPr>
          <w:ilvl w:val="0"/>
          <w:numId w:val="7"/>
        </w:numPr>
        <w:rPr>
          <w:rFonts w:asciiTheme="majorHAnsi" w:hAnsiTheme="majorHAnsi" w:cstheme="majorHAnsi"/>
          <w:sz w:val="24"/>
          <w:szCs w:val="24"/>
        </w:rPr>
      </w:pPr>
      <w:r w:rsidRPr="00B92F6A">
        <w:rPr>
          <w:rFonts w:asciiTheme="majorHAnsi" w:hAnsiTheme="majorHAnsi" w:cstheme="majorHAnsi"/>
          <w:sz w:val="24"/>
          <w:szCs w:val="24"/>
        </w:rPr>
        <w:t>does not get sufficient days off</w:t>
      </w:r>
    </w:p>
    <w:p w:rsidR="008508CA" w:rsidRPr="00B92F6A" w:rsidRDefault="008508CA" w:rsidP="008508CA">
      <w:pPr>
        <w:pStyle w:val="ListParagraph"/>
        <w:numPr>
          <w:ilvl w:val="0"/>
          <w:numId w:val="7"/>
        </w:numPr>
        <w:rPr>
          <w:rFonts w:asciiTheme="majorHAnsi" w:hAnsiTheme="majorHAnsi" w:cstheme="majorHAnsi"/>
          <w:sz w:val="24"/>
          <w:szCs w:val="24"/>
        </w:rPr>
      </w:pPr>
      <w:r w:rsidRPr="00B92F6A">
        <w:rPr>
          <w:rFonts w:asciiTheme="majorHAnsi" w:hAnsiTheme="majorHAnsi" w:cstheme="majorHAnsi"/>
          <w:sz w:val="24"/>
          <w:szCs w:val="24"/>
        </w:rPr>
        <w:lastRenderedPageBreak/>
        <w:t>works 12 hours a day 5 days a week which is an average of 60 hours a week (and more if he covers his manager).</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Kit could also report his situation to the Health and Safety Executive or to the local authority.  If ET finds Kit’s complaint well founded, Charlotte and Madeleine might have to pay compensation.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In </w:t>
      </w:r>
      <w:r w:rsidRPr="00B92F6A">
        <w:rPr>
          <w:rFonts w:asciiTheme="majorHAnsi" w:hAnsiTheme="majorHAnsi" w:cstheme="majorHAnsi"/>
          <w:i/>
          <w:sz w:val="24"/>
          <w:szCs w:val="24"/>
        </w:rPr>
        <w:t>Gomes v Higher Level Care (20</w:t>
      </w:r>
      <w:r w:rsidRPr="00B92F6A">
        <w:rPr>
          <w:rFonts w:asciiTheme="majorHAnsi" w:eastAsia="Calibri" w:hAnsiTheme="majorHAnsi" w:cstheme="majorHAnsi"/>
          <w:i/>
          <w:sz w:val="24"/>
          <w:szCs w:val="24"/>
        </w:rPr>
        <w:t xml:space="preserve">16) </w:t>
      </w:r>
      <w:r w:rsidRPr="00B92F6A">
        <w:rPr>
          <w:rFonts w:asciiTheme="majorHAnsi" w:eastAsia="Calibri" w:hAnsiTheme="majorHAnsi" w:cstheme="majorHAnsi"/>
          <w:sz w:val="24"/>
          <w:szCs w:val="24"/>
        </w:rPr>
        <w:t>case, Gomes was rewarded £1,220 of</w:t>
      </w:r>
      <w:r w:rsidRPr="00B92F6A">
        <w:rPr>
          <w:rFonts w:asciiTheme="majorHAnsi" w:hAnsiTheme="majorHAnsi" w:cstheme="majorHAnsi"/>
          <w:sz w:val="24"/>
          <w:szCs w:val="24"/>
        </w:rPr>
        <w:t xml:space="preserve"> compensation for pecuniary loss under Regulation 30 WTR 1998 as Gomes did not get his full 20 </w:t>
      </w:r>
      <w:proofErr w:type="gramStart"/>
      <w:r w:rsidRPr="00B92F6A">
        <w:rPr>
          <w:rFonts w:asciiTheme="majorHAnsi" w:hAnsiTheme="majorHAnsi" w:cstheme="majorHAnsi"/>
          <w:sz w:val="24"/>
          <w:szCs w:val="24"/>
        </w:rPr>
        <w:t>minutes</w:t>
      </w:r>
      <w:proofErr w:type="gramEnd"/>
      <w:r w:rsidRPr="00B92F6A">
        <w:rPr>
          <w:rFonts w:asciiTheme="majorHAnsi" w:hAnsiTheme="majorHAnsi" w:cstheme="majorHAnsi"/>
          <w:sz w:val="24"/>
          <w:szCs w:val="24"/>
        </w:rPr>
        <w:t xml:space="preserve"> break.</w:t>
      </w:r>
    </w:p>
    <w:p w:rsidR="008508CA" w:rsidRPr="00B92F6A" w:rsidRDefault="008508CA" w:rsidP="008508CA">
      <w:pPr>
        <w:rPr>
          <w:rFonts w:asciiTheme="majorHAnsi" w:hAnsiTheme="majorHAnsi" w:cstheme="majorHAnsi"/>
          <w:b/>
          <w:bCs/>
          <w:sz w:val="24"/>
          <w:szCs w:val="24"/>
        </w:rPr>
      </w:pPr>
    </w:p>
    <w:p w:rsidR="008508CA" w:rsidRPr="00B92F6A" w:rsidRDefault="008508CA" w:rsidP="008508CA">
      <w:pPr>
        <w:rPr>
          <w:rFonts w:asciiTheme="majorHAnsi" w:hAnsiTheme="majorHAnsi" w:cstheme="majorHAnsi"/>
          <w:b/>
          <w:bCs/>
          <w:sz w:val="24"/>
          <w:szCs w:val="24"/>
        </w:rPr>
      </w:pPr>
      <w:r w:rsidRPr="00B92F6A">
        <w:rPr>
          <w:rFonts w:asciiTheme="majorHAnsi" w:hAnsiTheme="majorHAnsi" w:cstheme="majorHAnsi"/>
          <w:b/>
          <w:bCs/>
          <w:sz w:val="24"/>
          <w:szCs w:val="24"/>
        </w:rPr>
        <w:t>Question 10</w:t>
      </w:r>
      <w:r w:rsidRPr="00B92F6A">
        <w:rPr>
          <w:rFonts w:asciiTheme="majorHAnsi" w:hAnsiTheme="majorHAnsi" w:cstheme="majorHAnsi"/>
          <w:b/>
          <w:bCs/>
          <w:sz w:val="24"/>
          <w:szCs w:val="24"/>
        </w:rPr>
        <w:br/>
        <w:t>AC 4.3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For the purpose of this explanation, mother, father and husband will be used.</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A number of statutes protect maternity and parental leave, such as Maternity and Parental Leave Regulations 1999, Employments Rights Act 1996, Employment Act 2002 and EA 2010.</w:t>
      </w:r>
    </w:p>
    <w:p w:rsidR="008508CA" w:rsidRPr="00B92F6A" w:rsidRDefault="008508CA" w:rsidP="008508CA">
      <w:pPr>
        <w:rPr>
          <w:rFonts w:asciiTheme="majorHAnsi" w:hAnsiTheme="majorHAnsi" w:cstheme="majorHAnsi"/>
          <w:sz w:val="24"/>
          <w:szCs w:val="24"/>
          <w:u w:val="single"/>
        </w:rPr>
      </w:pPr>
      <w:r w:rsidRPr="00B92F6A">
        <w:rPr>
          <w:rFonts w:asciiTheme="majorHAnsi" w:hAnsiTheme="majorHAnsi" w:cstheme="majorHAnsi"/>
          <w:sz w:val="24"/>
          <w:szCs w:val="24"/>
          <w:u w:val="single"/>
        </w:rPr>
        <w:t>Antenatal care and risk assessment</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Section 55 and 56 ERA 1996 states that Coco is allowed to paid time off for antenatal care.  If not, she can complain to ET which could decide that the refusal was unjustified and compel the Company to pay her a sum equivalent to what she would have received for the period of time off requested (Daniels, 2022).  Similar to what happened in </w:t>
      </w:r>
      <w:r w:rsidRPr="00B92F6A">
        <w:rPr>
          <w:rFonts w:asciiTheme="majorHAnsi" w:hAnsiTheme="majorHAnsi" w:cstheme="majorHAnsi"/>
          <w:i/>
          <w:sz w:val="24"/>
          <w:szCs w:val="24"/>
        </w:rPr>
        <w:t xml:space="preserve">Gregory v </w:t>
      </w:r>
      <w:proofErr w:type="spellStart"/>
      <w:r w:rsidRPr="00B92F6A">
        <w:rPr>
          <w:rFonts w:asciiTheme="majorHAnsi" w:hAnsiTheme="majorHAnsi" w:cstheme="majorHAnsi"/>
          <w:i/>
          <w:sz w:val="24"/>
          <w:szCs w:val="24"/>
        </w:rPr>
        <w:t>Tudsbury</w:t>
      </w:r>
      <w:proofErr w:type="spellEnd"/>
      <w:r w:rsidRPr="00B92F6A">
        <w:rPr>
          <w:rFonts w:asciiTheme="majorHAnsi" w:hAnsiTheme="majorHAnsi" w:cstheme="majorHAnsi"/>
          <w:i/>
          <w:sz w:val="24"/>
          <w:szCs w:val="24"/>
        </w:rPr>
        <w:t xml:space="preserve"> Ltd (1982) </w:t>
      </w:r>
      <w:r w:rsidRPr="00B92F6A">
        <w:rPr>
          <w:rFonts w:asciiTheme="majorHAnsi" w:hAnsiTheme="majorHAnsi" w:cstheme="majorHAnsi"/>
          <w:sz w:val="24"/>
          <w:szCs w:val="24"/>
        </w:rPr>
        <w:t xml:space="preserve">when </w:t>
      </w:r>
      <w:proofErr w:type="spellStart"/>
      <w:r w:rsidRPr="00B92F6A">
        <w:rPr>
          <w:rFonts w:asciiTheme="majorHAnsi" w:hAnsiTheme="majorHAnsi" w:cstheme="majorHAnsi"/>
          <w:sz w:val="24"/>
          <w:szCs w:val="24"/>
        </w:rPr>
        <w:t>Tudsbury</w:t>
      </w:r>
      <w:proofErr w:type="spellEnd"/>
      <w:r w:rsidRPr="00B92F6A">
        <w:rPr>
          <w:rFonts w:asciiTheme="majorHAnsi" w:hAnsiTheme="majorHAnsi" w:cstheme="majorHAnsi"/>
          <w:sz w:val="24"/>
          <w:szCs w:val="24"/>
        </w:rPr>
        <w:t xml:space="preserve"> Ltd refused to pay for her antenatal care, even with a doctor’s note.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Charlotte and Madeline would also need to take a risk assessment for Coco to see if it is too dangerous for her or her unborn child.  If it is, then she should be moved to an alternative employment or suspended on full pay on maternity grounds.</w:t>
      </w:r>
    </w:p>
    <w:p w:rsidR="008508CA" w:rsidRPr="00B92F6A" w:rsidRDefault="008508CA" w:rsidP="008508CA">
      <w:pPr>
        <w:rPr>
          <w:rFonts w:asciiTheme="majorHAnsi" w:hAnsiTheme="majorHAnsi" w:cstheme="majorHAnsi"/>
          <w:sz w:val="24"/>
          <w:szCs w:val="24"/>
          <w:u w:val="single"/>
        </w:rPr>
      </w:pPr>
      <w:r w:rsidRPr="00B92F6A">
        <w:rPr>
          <w:rFonts w:asciiTheme="majorHAnsi" w:hAnsiTheme="majorHAnsi" w:cstheme="majorHAnsi"/>
          <w:sz w:val="24"/>
          <w:szCs w:val="24"/>
          <w:u w:val="single"/>
        </w:rPr>
        <w:t>Maternity leave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There are three periods of maternity leave u</w:t>
      </w:r>
      <w:r w:rsidRPr="00B92F6A">
        <w:rPr>
          <w:rFonts w:asciiTheme="majorHAnsi" w:hAnsiTheme="majorHAnsi" w:cstheme="majorHAnsi"/>
          <w:bCs/>
          <w:sz w:val="24"/>
          <w:szCs w:val="24"/>
        </w:rPr>
        <w:t>nder</w:t>
      </w:r>
      <w:r w:rsidRPr="00B92F6A">
        <w:rPr>
          <w:rFonts w:asciiTheme="majorHAnsi" w:hAnsiTheme="majorHAnsi" w:cstheme="majorHAnsi"/>
          <w:b/>
          <w:bCs/>
          <w:sz w:val="24"/>
          <w:szCs w:val="24"/>
        </w:rPr>
        <w:t xml:space="preserve"> </w:t>
      </w:r>
      <w:r w:rsidRPr="00B92F6A">
        <w:rPr>
          <w:rFonts w:asciiTheme="majorHAnsi" w:hAnsiTheme="majorHAnsi" w:cstheme="majorHAnsi"/>
          <w:sz w:val="24"/>
          <w:szCs w:val="24"/>
        </w:rPr>
        <w:t>S71-73 ERA 1996:</w:t>
      </w:r>
    </w:p>
    <w:p w:rsidR="008508CA" w:rsidRPr="00B92F6A" w:rsidRDefault="008508CA" w:rsidP="008508CA">
      <w:pPr>
        <w:pStyle w:val="ListParagraph"/>
        <w:numPr>
          <w:ilvl w:val="0"/>
          <w:numId w:val="9"/>
        </w:numPr>
        <w:rPr>
          <w:rFonts w:asciiTheme="majorHAnsi" w:hAnsiTheme="majorHAnsi" w:cstheme="majorHAnsi"/>
          <w:sz w:val="24"/>
          <w:szCs w:val="24"/>
        </w:rPr>
      </w:pPr>
      <w:r w:rsidRPr="00B92F6A">
        <w:rPr>
          <w:rFonts w:asciiTheme="majorHAnsi" w:hAnsiTheme="majorHAnsi" w:cstheme="majorHAnsi"/>
          <w:sz w:val="24"/>
          <w:szCs w:val="24"/>
        </w:rPr>
        <w:t>Compulsory Maternity Leave (a compulsorily two weeks off, immediately after childbirth)</w:t>
      </w:r>
    </w:p>
    <w:p w:rsidR="008508CA" w:rsidRPr="00B92F6A" w:rsidRDefault="008508CA" w:rsidP="008508CA">
      <w:pPr>
        <w:pStyle w:val="ListParagraph"/>
        <w:numPr>
          <w:ilvl w:val="0"/>
          <w:numId w:val="13"/>
        </w:numPr>
        <w:rPr>
          <w:rFonts w:asciiTheme="majorHAnsi" w:hAnsiTheme="majorHAnsi" w:cstheme="majorHAnsi"/>
          <w:sz w:val="24"/>
          <w:szCs w:val="24"/>
        </w:rPr>
      </w:pPr>
      <w:r w:rsidRPr="00B92F6A">
        <w:rPr>
          <w:rFonts w:asciiTheme="majorHAnsi" w:hAnsiTheme="majorHAnsi" w:cstheme="majorHAnsi"/>
          <w:sz w:val="24"/>
          <w:szCs w:val="24"/>
        </w:rPr>
        <w:t>Ordinary Maternity Leave (26 weeks off, regardless of their length of service)</w:t>
      </w:r>
    </w:p>
    <w:p w:rsidR="008508CA" w:rsidRPr="00B92F6A" w:rsidRDefault="008508CA" w:rsidP="008508CA">
      <w:pPr>
        <w:pStyle w:val="ListParagraph"/>
        <w:numPr>
          <w:ilvl w:val="0"/>
          <w:numId w:val="13"/>
        </w:numPr>
        <w:rPr>
          <w:rFonts w:asciiTheme="majorHAnsi" w:hAnsiTheme="majorHAnsi" w:cstheme="majorHAnsi"/>
          <w:sz w:val="24"/>
          <w:szCs w:val="24"/>
        </w:rPr>
      </w:pPr>
      <w:r w:rsidRPr="00B92F6A">
        <w:rPr>
          <w:rFonts w:asciiTheme="majorHAnsi" w:hAnsiTheme="majorHAnsi" w:cstheme="majorHAnsi"/>
          <w:sz w:val="24"/>
          <w:szCs w:val="24"/>
        </w:rPr>
        <w:t>Additional Maternity Leave (another 26 weeks off to start immediately after Ordinary Maternity Leave)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(Prospect, 2003b).</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As Coco has worked for 26 continuous weeks for the employer, she is legally allowed.</w:t>
      </w:r>
    </w:p>
    <w:p w:rsidR="008508CA" w:rsidRPr="00B92F6A" w:rsidRDefault="008508CA" w:rsidP="008508CA">
      <w:pPr>
        <w:pStyle w:val="ListParagraph"/>
        <w:numPr>
          <w:ilvl w:val="0"/>
          <w:numId w:val="12"/>
        </w:numPr>
        <w:rPr>
          <w:rFonts w:asciiTheme="majorHAnsi" w:hAnsiTheme="majorHAnsi" w:cstheme="majorHAnsi"/>
          <w:sz w:val="24"/>
          <w:szCs w:val="24"/>
        </w:rPr>
      </w:pPr>
      <w:r w:rsidRPr="00B92F6A">
        <w:rPr>
          <w:rFonts w:asciiTheme="majorHAnsi" w:hAnsiTheme="majorHAnsi" w:cstheme="majorHAnsi"/>
          <w:sz w:val="24"/>
          <w:szCs w:val="24"/>
        </w:rPr>
        <w:t xml:space="preserve">52 weeks Maternity Leave </w:t>
      </w:r>
    </w:p>
    <w:p w:rsidR="008508CA" w:rsidRPr="00B92F6A" w:rsidRDefault="008508CA" w:rsidP="008508CA">
      <w:pPr>
        <w:pStyle w:val="ListParagraph"/>
        <w:numPr>
          <w:ilvl w:val="0"/>
          <w:numId w:val="12"/>
        </w:numPr>
        <w:rPr>
          <w:rFonts w:asciiTheme="majorHAnsi" w:hAnsiTheme="majorHAnsi" w:cstheme="majorHAnsi"/>
          <w:sz w:val="24"/>
          <w:szCs w:val="24"/>
        </w:rPr>
      </w:pPr>
      <w:r w:rsidRPr="00B92F6A">
        <w:rPr>
          <w:rFonts w:asciiTheme="majorHAnsi" w:hAnsiTheme="majorHAnsi" w:cstheme="majorHAnsi"/>
          <w:sz w:val="24"/>
          <w:szCs w:val="24"/>
        </w:rPr>
        <w:t>statuary Maternity Pay for 39 weeks.</w:t>
      </w:r>
    </w:p>
    <w:p w:rsidR="008508CA" w:rsidRPr="00B92F6A" w:rsidRDefault="008508CA" w:rsidP="008508CA">
      <w:pPr>
        <w:pStyle w:val="ListParagraph"/>
        <w:numPr>
          <w:ilvl w:val="0"/>
          <w:numId w:val="12"/>
        </w:numPr>
        <w:rPr>
          <w:rFonts w:asciiTheme="majorHAnsi" w:hAnsiTheme="majorHAnsi" w:cstheme="majorHAnsi"/>
          <w:sz w:val="24"/>
          <w:szCs w:val="24"/>
        </w:rPr>
      </w:pPr>
      <w:r w:rsidRPr="00B92F6A">
        <w:rPr>
          <w:rFonts w:asciiTheme="majorHAnsi" w:hAnsiTheme="majorHAnsi" w:cstheme="majorHAnsi"/>
          <w:sz w:val="24"/>
          <w:szCs w:val="24"/>
        </w:rPr>
        <w:t>to accrue statutory or contractual holiday throughout the maternity leave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 leave payments are:</w:t>
      </w:r>
    </w:p>
    <w:p w:rsidR="008508CA" w:rsidRPr="00B92F6A" w:rsidRDefault="008508CA" w:rsidP="008508CA">
      <w:pPr>
        <w:pStyle w:val="ListParagraph"/>
        <w:numPr>
          <w:ilvl w:val="0"/>
          <w:numId w:val="11"/>
        </w:numPr>
        <w:rPr>
          <w:rFonts w:asciiTheme="majorHAnsi" w:hAnsiTheme="majorHAnsi" w:cstheme="majorHAnsi"/>
          <w:sz w:val="24"/>
          <w:szCs w:val="24"/>
        </w:rPr>
      </w:pPr>
      <w:r w:rsidRPr="00B92F6A">
        <w:rPr>
          <w:rFonts w:asciiTheme="majorHAnsi" w:hAnsiTheme="majorHAnsi" w:cstheme="majorHAnsi"/>
          <w:sz w:val="24"/>
          <w:szCs w:val="24"/>
        </w:rPr>
        <w:lastRenderedPageBreak/>
        <w:t>a rate of 90% of average weekly earnings for the first 6 weeks</w:t>
      </w:r>
    </w:p>
    <w:p w:rsidR="008508CA" w:rsidRPr="00B92F6A" w:rsidRDefault="008508CA" w:rsidP="008508CA">
      <w:pPr>
        <w:pStyle w:val="ListParagraph"/>
        <w:numPr>
          <w:ilvl w:val="0"/>
          <w:numId w:val="11"/>
        </w:numPr>
        <w:rPr>
          <w:rFonts w:asciiTheme="majorHAnsi" w:hAnsiTheme="majorHAnsi" w:cstheme="majorHAnsi"/>
          <w:sz w:val="24"/>
          <w:szCs w:val="24"/>
        </w:rPr>
      </w:pPr>
      <w:r w:rsidRPr="00B92F6A">
        <w:rPr>
          <w:rFonts w:asciiTheme="majorHAnsi" w:hAnsiTheme="majorHAnsi" w:cstheme="majorHAnsi"/>
          <w:sz w:val="24"/>
          <w:szCs w:val="24"/>
        </w:rPr>
        <w:t>£172.48 per week for the remaining 33 weeks (employers can choose to pay more if they wish)</w:t>
      </w:r>
    </w:p>
    <w:p w:rsidR="008508CA" w:rsidRPr="00B92F6A" w:rsidRDefault="008508CA" w:rsidP="008508CA">
      <w:pPr>
        <w:rPr>
          <w:rFonts w:asciiTheme="majorHAnsi" w:hAnsiTheme="majorHAnsi" w:cstheme="majorHAnsi"/>
          <w:sz w:val="24"/>
          <w:szCs w:val="24"/>
          <w:u w:val="single"/>
        </w:rPr>
      </w:pPr>
      <w:r w:rsidRPr="00B92F6A">
        <w:rPr>
          <w:rFonts w:asciiTheme="majorHAnsi" w:hAnsiTheme="majorHAnsi" w:cstheme="majorHAnsi"/>
          <w:sz w:val="24"/>
          <w:szCs w:val="24"/>
          <w:u w:val="single"/>
        </w:rPr>
        <w:t>Keeping in touch days</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If Coco wants to work for up to 10 keeping in touch days during her maternity leave, she can and she would return to work without losing any entitlement to her maternity pay. This is to keep some relationship between her and her employer (Daniels, 2022).</w:t>
      </w:r>
    </w:p>
    <w:p w:rsidR="008508CA" w:rsidRPr="00B92F6A" w:rsidRDefault="008508CA" w:rsidP="008508CA">
      <w:pPr>
        <w:rPr>
          <w:rFonts w:asciiTheme="majorHAnsi" w:hAnsiTheme="majorHAnsi" w:cstheme="majorHAnsi"/>
          <w:sz w:val="24"/>
          <w:szCs w:val="24"/>
          <w:u w:val="single"/>
        </w:rPr>
      </w:pPr>
      <w:r w:rsidRPr="00B92F6A">
        <w:rPr>
          <w:rFonts w:asciiTheme="majorHAnsi" w:hAnsiTheme="majorHAnsi" w:cstheme="majorHAnsi"/>
          <w:sz w:val="24"/>
          <w:szCs w:val="24"/>
          <w:u w:val="single"/>
        </w:rPr>
        <w:t>Returning to work</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When returning to work Coco’s job must be exactly the same as it was when she left and Maternity Equality Clause s73 EA 2010 says that if there has been any pay increase since the mother has been off, then the increase must be paid.  If this does not happen it would be automatically an unfair dismissal related to pregnancy (unless it is impossible for her to go back to her old job, therefore they must find her another suitable job within the Company).</w:t>
      </w:r>
    </w:p>
    <w:p w:rsidR="008508CA" w:rsidRPr="00B92F6A" w:rsidRDefault="008508CA" w:rsidP="008508CA">
      <w:pPr>
        <w:rPr>
          <w:rFonts w:asciiTheme="majorHAnsi" w:hAnsiTheme="majorHAnsi" w:cstheme="majorHAnsi"/>
          <w:sz w:val="24"/>
          <w:szCs w:val="24"/>
          <w:u w:val="single"/>
        </w:rPr>
      </w:pPr>
      <w:r w:rsidRPr="00B92F6A">
        <w:rPr>
          <w:rFonts w:asciiTheme="majorHAnsi" w:hAnsiTheme="majorHAnsi" w:cstheme="majorHAnsi"/>
          <w:sz w:val="24"/>
          <w:szCs w:val="24"/>
          <w:u w:val="single"/>
        </w:rPr>
        <w:t>Paternity leave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Paternity leave was introduced by the EA 2002.  If the father has been with the employer for 26 weeks, he</w:t>
      </w:r>
      <w:r w:rsidRPr="00B92F6A">
        <w:rPr>
          <w:rFonts w:asciiTheme="majorHAnsi" w:hAnsiTheme="majorHAnsi" w:cstheme="majorHAnsi"/>
          <w:color w:val="FF0000"/>
          <w:sz w:val="24"/>
          <w:szCs w:val="24"/>
        </w:rPr>
        <w:t xml:space="preserve"> </w:t>
      </w:r>
      <w:r w:rsidRPr="00B92F6A">
        <w:rPr>
          <w:rFonts w:asciiTheme="majorHAnsi" w:hAnsiTheme="majorHAnsi" w:cstheme="majorHAnsi"/>
          <w:sz w:val="24"/>
          <w:szCs w:val="24"/>
        </w:rPr>
        <w:t>is entitled to either one or two weeks leave as long as they</w:t>
      </w:r>
    </w:p>
    <w:p w:rsidR="008508CA" w:rsidRPr="00B92F6A" w:rsidRDefault="008508CA" w:rsidP="008508CA">
      <w:pPr>
        <w:pStyle w:val="ListParagraph"/>
        <w:numPr>
          <w:ilvl w:val="0"/>
          <w:numId w:val="10"/>
        </w:numPr>
        <w:rPr>
          <w:rFonts w:asciiTheme="majorHAnsi" w:hAnsiTheme="majorHAnsi" w:cstheme="majorHAnsi"/>
          <w:sz w:val="24"/>
          <w:szCs w:val="24"/>
        </w:rPr>
      </w:pPr>
      <w:r w:rsidRPr="00B92F6A">
        <w:rPr>
          <w:rFonts w:asciiTheme="majorHAnsi" w:hAnsiTheme="majorHAnsi" w:cstheme="majorHAnsi"/>
          <w:sz w:val="24"/>
          <w:szCs w:val="24"/>
        </w:rPr>
        <w:t>are within 56 days of childbirth</w:t>
      </w:r>
    </w:p>
    <w:p w:rsidR="008508CA" w:rsidRPr="00B92F6A" w:rsidRDefault="008508CA" w:rsidP="008508CA">
      <w:pPr>
        <w:pStyle w:val="ListParagraph"/>
        <w:numPr>
          <w:ilvl w:val="0"/>
          <w:numId w:val="10"/>
        </w:numPr>
        <w:rPr>
          <w:rFonts w:asciiTheme="majorHAnsi" w:hAnsiTheme="majorHAnsi" w:cstheme="majorHAnsi"/>
          <w:sz w:val="24"/>
          <w:szCs w:val="24"/>
        </w:rPr>
      </w:pPr>
      <w:r w:rsidRPr="00B92F6A">
        <w:rPr>
          <w:rFonts w:asciiTheme="majorHAnsi" w:hAnsiTheme="majorHAnsi" w:cstheme="majorHAnsi"/>
          <w:sz w:val="24"/>
          <w:szCs w:val="24"/>
        </w:rPr>
        <w:t>do not take one day off here and there they have to be in block of one week or two weeks (unless the father and mother has decided on shared parental leave).</w:t>
      </w:r>
    </w:p>
    <w:p w:rsidR="008508CA" w:rsidRPr="00B92F6A" w:rsidRDefault="008508CA" w:rsidP="008508CA">
      <w:pPr>
        <w:rPr>
          <w:rFonts w:asciiTheme="majorHAnsi" w:hAnsiTheme="majorHAnsi" w:cstheme="majorHAnsi"/>
          <w:sz w:val="24"/>
          <w:szCs w:val="24"/>
          <w:u w:val="single"/>
        </w:rPr>
      </w:pPr>
      <w:r w:rsidRPr="00B92F6A">
        <w:rPr>
          <w:rFonts w:asciiTheme="majorHAnsi" w:hAnsiTheme="majorHAnsi" w:cstheme="majorHAnsi"/>
          <w:sz w:val="24"/>
          <w:szCs w:val="24"/>
          <w:u w:val="single"/>
        </w:rPr>
        <w:t>Adoption leave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Adoption leave and pay mirrors maternity leave.</w:t>
      </w:r>
      <w:r w:rsidRPr="00B92F6A">
        <w:rPr>
          <w:rFonts w:asciiTheme="majorHAnsi" w:hAnsiTheme="majorHAnsi" w:cstheme="majorHAnsi"/>
          <w:color w:val="FF0000"/>
          <w:sz w:val="24"/>
          <w:szCs w:val="24"/>
        </w:rPr>
        <w:t xml:space="preserve">  </w:t>
      </w:r>
      <w:r w:rsidRPr="00B92F6A">
        <w:rPr>
          <w:rFonts w:asciiTheme="majorHAnsi" w:hAnsiTheme="majorHAnsi" w:cstheme="majorHAnsi"/>
          <w:sz w:val="24"/>
          <w:szCs w:val="24"/>
        </w:rPr>
        <w:t xml:space="preserve">When a couple adopts only one of them can take the adoption leave. The one that will be taking the time off is allowed 5 days paid time off to meet the child or any meetings regarding adoption. </w:t>
      </w:r>
    </w:p>
    <w:p w:rsidR="008508CA" w:rsidRPr="00B92F6A" w:rsidRDefault="008508CA" w:rsidP="008508CA">
      <w:pPr>
        <w:rPr>
          <w:rFonts w:asciiTheme="majorHAnsi" w:hAnsiTheme="majorHAnsi" w:cstheme="majorHAnsi"/>
          <w:sz w:val="24"/>
          <w:szCs w:val="24"/>
        </w:rPr>
      </w:pPr>
    </w:p>
    <w:p w:rsidR="008508CA" w:rsidRPr="00B92F6A" w:rsidRDefault="008508CA" w:rsidP="008508CA">
      <w:pPr>
        <w:rPr>
          <w:rFonts w:asciiTheme="majorHAnsi" w:hAnsiTheme="majorHAnsi" w:cstheme="majorHAnsi"/>
          <w:b/>
          <w:sz w:val="24"/>
          <w:szCs w:val="24"/>
        </w:rPr>
      </w:pPr>
      <w:r w:rsidRPr="00B92F6A">
        <w:rPr>
          <w:rFonts w:asciiTheme="majorHAnsi" w:hAnsiTheme="majorHAnsi" w:cstheme="majorHAnsi"/>
          <w:b/>
          <w:sz w:val="24"/>
          <w:szCs w:val="24"/>
        </w:rPr>
        <w:t>Question 11</w:t>
      </w:r>
      <w:r w:rsidRPr="00B92F6A">
        <w:rPr>
          <w:rFonts w:asciiTheme="majorHAnsi" w:hAnsiTheme="majorHAnsi" w:cstheme="majorHAnsi"/>
          <w:b/>
          <w:sz w:val="24"/>
          <w:szCs w:val="24"/>
        </w:rPr>
        <w:br/>
        <w:t>AC 4.4</w:t>
      </w:r>
    </w:p>
    <w:p w:rsidR="008508CA" w:rsidRPr="00B92F6A" w:rsidRDefault="008508CA" w:rsidP="008508CA">
      <w:pPr>
        <w:rPr>
          <w:rFonts w:asciiTheme="majorHAnsi" w:hAnsiTheme="majorHAnsi" w:cstheme="majorHAnsi"/>
          <w:sz w:val="24"/>
          <w:szCs w:val="24"/>
        </w:rPr>
      </w:pPr>
      <w:r>
        <w:rPr>
          <w:rFonts w:asciiTheme="majorHAnsi" w:hAnsiTheme="majorHAnsi" w:cstheme="majorHAnsi"/>
          <w:sz w:val="24"/>
          <w:szCs w:val="24"/>
        </w:rPr>
        <w:t xml:space="preserve">EA 2002 </w:t>
      </w:r>
      <w:proofErr w:type="spellStart"/>
      <w:r>
        <w:rPr>
          <w:rFonts w:asciiTheme="majorHAnsi" w:hAnsiTheme="majorHAnsi" w:cstheme="majorHAnsi"/>
          <w:sz w:val="24"/>
          <w:szCs w:val="24"/>
        </w:rPr>
        <w:t>allowes</w:t>
      </w:r>
      <w:proofErr w:type="spellEnd"/>
      <w:r w:rsidRPr="00B92F6A">
        <w:rPr>
          <w:rFonts w:asciiTheme="majorHAnsi" w:hAnsiTheme="majorHAnsi" w:cstheme="majorHAnsi"/>
          <w:sz w:val="24"/>
          <w:szCs w:val="24"/>
        </w:rPr>
        <w:t xml:space="preserve"> employees to request flexible working in order to care for a child under 6.  This was extended by the Work and Families Act 2006 to include employees who </w:t>
      </w:r>
      <w:r w:rsidRPr="00B92F6A">
        <w:rPr>
          <w:rFonts w:asciiTheme="majorHAnsi" w:hAnsiTheme="majorHAnsi" w:cstheme="majorHAnsi"/>
          <w:color w:val="000000" w:themeColor="text1"/>
          <w:sz w:val="24"/>
          <w:szCs w:val="24"/>
        </w:rPr>
        <w:t>care</w:t>
      </w:r>
      <w:r w:rsidRPr="00B92F6A">
        <w:rPr>
          <w:rFonts w:asciiTheme="majorHAnsi" w:hAnsiTheme="majorHAnsi" w:cstheme="majorHAnsi"/>
          <w:color w:val="FF0000"/>
          <w:sz w:val="24"/>
          <w:szCs w:val="24"/>
        </w:rPr>
        <w:t xml:space="preserve"> </w:t>
      </w:r>
      <w:r w:rsidRPr="00B92F6A">
        <w:rPr>
          <w:rFonts w:asciiTheme="majorHAnsi" w:hAnsiTheme="majorHAnsi" w:cstheme="majorHAnsi"/>
          <w:sz w:val="24"/>
          <w:szCs w:val="24"/>
        </w:rPr>
        <w:t xml:space="preserve">for a spouse, adult relative or relative who lived in the same address, and parents with children up to the age of 16 (Lockton, 2014).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If Chelsea has been employed by Peachy Desserts Ltd for over 26 continuous weeks and has not made a similar request in the last 12 months, then she is legally allowed to make a flexible working request to</w:t>
      </w:r>
    </w:p>
    <w:p w:rsidR="008508CA" w:rsidRPr="00B92F6A" w:rsidRDefault="008508CA" w:rsidP="008508CA">
      <w:pPr>
        <w:pStyle w:val="ListParagraph"/>
        <w:numPr>
          <w:ilvl w:val="0"/>
          <w:numId w:val="15"/>
        </w:numPr>
        <w:rPr>
          <w:rFonts w:asciiTheme="majorHAnsi" w:hAnsiTheme="majorHAnsi" w:cstheme="majorHAnsi"/>
          <w:sz w:val="24"/>
          <w:szCs w:val="24"/>
        </w:rPr>
      </w:pPr>
      <w:r w:rsidRPr="00B92F6A">
        <w:rPr>
          <w:rFonts w:asciiTheme="majorHAnsi" w:hAnsiTheme="majorHAnsi" w:cstheme="majorHAnsi"/>
          <w:sz w:val="24"/>
          <w:szCs w:val="24"/>
        </w:rPr>
        <w:t>reduce the number of days she works</w:t>
      </w:r>
    </w:p>
    <w:p w:rsidR="008508CA" w:rsidRPr="00B92F6A" w:rsidRDefault="008508CA" w:rsidP="008508CA">
      <w:pPr>
        <w:pStyle w:val="ListParagraph"/>
        <w:numPr>
          <w:ilvl w:val="0"/>
          <w:numId w:val="15"/>
        </w:numPr>
        <w:rPr>
          <w:rFonts w:asciiTheme="majorHAnsi" w:hAnsiTheme="majorHAnsi" w:cstheme="majorHAnsi"/>
          <w:sz w:val="24"/>
          <w:szCs w:val="24"/>
        </w:rPr>
      </w:pPr>
      <w:r w:rsidRPr="00B92F6A">
        <w:rPr>
          <w:rFonts w:asciiTheme="majorHAnsi" w:hAnsiTheme="majorHAnsi" w:cstheme="majorHAnsi"/>
          <w:sz w:val="24"/>
          <w:szCs w:val="24"/>
        </w:rPr>
        <w:t>reduce or vary the days she works</w:t>
      </w:r>
    </w:p>
    <w:p w:rsidR="008508CA" w:rsidRPr="00B92F6A" w:rsidRDefault="008508CA" w:rsidP="008508CA">
      <w:pPr>
        <w:pStyle w:val="ListParagraph"/>
        <w:numPr>
          <w:ilvl w:val="0"/>
          <w:numId w:val="15"/>
        </w:numPr>
        <w:rPr>
          <w:rFonts w:asciiTheme="majorHAnsi" w:hAnsiTheme="majorHAnsi" w:cstheme="majorHAnsi"/>
          <w:sz w:val="24"/>
          <w:szCs w:val="24"/>
        </w:rPr>
      </w:pPr>
      <w:r w:rsidRPr="00B92F6A">
        <w:rPr>
          <w:rFonts w:asciiTheme="majorHAnsi" w:hAnsiTheme="majorHAnsi" w:cstheme="majorHAnsi"/>
          <w:sz w:val="24"/>
          <w:szCs w:val="24"/>
        </w:rPr>
        <w:t>request to work from a different location</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lastRenderedPageBreak/>
        <w:t>(Daniels, 2022).</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Charlotte and Madeleine need to respond in a reasonable manner by weighing the pros and cons of the application (gov.uk, 2023e) and they have up to 3 months of receipt to respond to Chelsea’s </w:t>
      </w:r>
      <w:r w:rsidRPr="00B92F6A">
        <w:rPr>
          <w:rFonts w:asciiTheme="majorHAnsi" w:hAnsiTheme="majorHAnsi" w:cstheme="majorHAnsi"/>
          <w:color w:val="000000" w:themeColor="text1"/>
          <w:sz w:val="24"/>
          <w:szCs w:val="24"/>
        </w:rPr>
        <w:t>application</w:t>
      </w:r>
      <w:r w:rsidRPr="00B92F6A">
        <w:rPr>
          <w:rFonts w:asciiTheme="majorHAnsi" w:hAnsiTheme="majorHAnsi" w:cstheme="majorHAnsi"/>
          <w:color w:val="FF0000"/>
          <w:sz w:val="24"/>
          <w:szCs w:val="24"/>
        </w:rPr>
        <w:t>.</w:t>
      </w:r>
      <w:r w:rsidRPr="00B92F6A">
        <w:rPr>
          <w:rFonts w:asciiTheme="majorHAnsi" w:hAnsiTheme="majorHAnsi" w:cstheme="majorHAnsi"/>
          <w:sz w:val="24"/>
          <w:szCs w:val="24"/>
        </w:rPr>
        <w:t xml:space="preserve">  S80G EL 2010 lists the procedure and rules that employers must follow after receiving the request (</w:t>
      </w:r>
      <w:proofErr w:type="spellStart"/>
      <w:r w:rsidRPr="00B92F6A">
        <w:rPr>
          <w:rFonts w:asciiTheme="majorHAnsi" w:hAnsiTheme="majorHAnsi" w:cstheme="majorHAnsi"/>
          <w:sz w:val="24"/>
          <w:szCs w:val="24"/>
        </w:rPr>
        <w:t>Gray</w:t>
      </w:r>
      <w:proofErr w:type="spellEnd"/>
      <w:r w:rsidRPr="00B92F6A">
        <w:rPr>
          <w:rFonts w:asciiTheme="majorHAnsi" w:hAnsiTheme="majorHAnsi" w:cstheme="majorHAnsi"/>
          <w:sz w:val="24"/>
          <w:szCs w:val="24"/>
        </w:rPr>
        <w:t>, Chambers, 2021).</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The owners of Peachy Dessert Ltd are allowed to reject the application on the grounds of:</w:t>
      </w:r>
    </w:p>
    <w:p w:rsidR="008508CA" w:rsidRPr="00B92F6A" w:rsidRDefault="008508CA" w:rsidP="008508CA">
      <w:pPr>
        <w:pStyle w:val="ListParagraph"/>
        <w:numPr>
          <w:ilvl w:val="0"/>
          <w:numId w:val="16"/>
        </w:numPr>
        <w:rPr>
          <w:rFonts w:asciiTheme="majorHAnsi" w:hAnsiTheme="majorHAnsi" w:cstheme="majorHAnsi"/>
          <w:sz w:val="24"/>
          <w:szCs w:val="24"/>
        </w:rPr>
      </w:pPr>
      <w:r w:rsidRPr="00B92F6A">
        <w:rPr>
          <w:rFonts w:asciiTheme="majorHAnsi" w:hAnsiTheme="majorHAnsi" w:cstheme="majorHAnsi"/>
          <w:sz w:val="24"/>
          <w:szCs w:val="24"/>
        </w:rPr>
        <w:t>extra cost would damage the business</w:t>
      </w:r>
    </w:p>
    <w:p w:rsidR="008508CA" w:rsidRPr="00B92F6A" w:rsidRDefault="008508CA" w:rsidP="008508CA">
      <w:pPr>
        <w:pStyle w:val="ListParagraph"/>
        <w:numPr>
          <w:ilvl w:val="0"/>
          <w:numId w:val="16"/>
        </w:numPr>
        <w:rPr>
          <w:rFonts w:asciiTheme="majorHAnsi" w:hAnsiTheme="majorHAnsi" w:cstheme="majorHAnsi"/>
          <w:sz w:val="24"/>
          <w:szCs w:val="24"/>
        </w:rPr>
      </w:pPr>
      <w:r w:rsidRPr="00B92F6A">
        <w:rPr>
          <w:rFonts w:asciiTheme="majorHAnsi" w:hAnsiTheme="majorHAnsi" w:cstheme="majorHAnsi"/>
          <w:sz w:val="24"/>
          <w:szCs w:val="24"/>
        </w:rPr>
        <w:t>not enough work to do during the proposed working times</w:t>
      </w:r>
    </w:p>
    <w:p w:rsidR="008508CA" w:rsidRPr="00B92F6A" w:rsidRDefault="008508CA" w:rsidP="008508CA">
      <w:pPr>
        <w:pStyle w:val="ListParagraph"/>
        <w:numPr>
          <w:ilvl w:val="0"/>
          <w:numId w:val="16"/>
        </w:numPr>
        <w:rPr>
          <w:rFonts w:asciiTheme="majorHAnsi" w:hAnsiTheme="majorHAnsi" w:cstheme="majorHAnsi"/>
          <w:sz w:val="24"/>
          <w:szCs w:val="24"/>
        </w:rPr>
      </w:pPr>
      <w:r w:rsidRPr="00B92F6A">
        <w:rPr>
          <w:rFonts w:asciiTheme="majorHAnsi" w:hAnsiTheme="majorHAnsi" w:cstheme="majorHAnsi"/>
          <w:sz w:val="24"/>
          <w:szCs w:val="24"/>
        </w:rPr>
        <w:t>work cannot be</w:t>
      </w:r>
      <w:r w:rsidRPr="00B92F6A">
        <w:rPr>
          <w:rFonts w:asciiTheme="majorHAnsi" w:hAnsiTheme="majorHAnsi" w:cstheme="majorHAnsi"/>
          <w:color w:val="FF0000"/>
          <w:sz w:val="24"/>
          <w:szCs w:val="24"/>
        </w:rPr>
        <w:t xml:space="preserve"> </w:t>
      </w:r>
      <w:r w:rsidRPr="00B92F6A">
        <w:rPr>
          <w:rFonts w:asciiTheme="majorHAnsi" w:hAnsiTheme="majorHAnsi" w:cstheme="majorHAnsi"/>
          <w:color w:val="000000" w:themeColor="text1"/>
          <w:sz w:val="24"/>
          <w:szCs w:val="24"/>
        </w:rPr>
        <w:t>reorganized</w:t>
      </w:r>
      <w:r w:rsidRPr="00B92F6A">
        <w:rPr>
          <w:rFonts w:asciiTheme="majorHAnsi" w:hAnsiTheme="majorHAnsi" w:cstheme="majorHAnsi"/>
          <w:color w:val="FF0000"/>
          <w:sz w:val="24"/>
          <w:szCs w:val="24"/>
        </w:rPr>
        <w:t xml:space="preserve"> </w:t>
      </w:r>
      <w:r w:rsidRPr="00B92F6A">
        <w:rPr>
          <w:rFonts w:asciiTheme="majorHAnsi" w:hAnsiTheme="majorHAnsi" w:cstheme="majorHAnsi"/>
          <w:sz w:val="24"/>
          <w:szCs w:val="24"/>
        </w:rPr>
        <w:t>among other staff</w:t>
      </w:r>
    </w:p>
    <w:p w:rsidR="008508CA" w:rsidRPr="00B92F6A" w:rsidRDefault="008508CA" w:rsidP="008508CA">
      <w:pPr>
        <w:pStyle w:val="ListParagraph"/>
        <w:numPr>
          <w:ilvl w:val="0"/>
          <w:numId w:val="16"/>
        </w:numPr>
        <w:rPr>
          <w:rFonts w:asciiTheme="majorHAnsi" w:hAnsiTheme="majorHAnsi" w:cstheme="majorHAnsi"/>
          <w:sz w:val="24"/>
          <w:szCs w:val="24"/>
        </w:rPr>
      </w:pPr>
      <w:r w:rsidRPr="00B92F6A">
        <w:rPr>
          <w:rFonts w:asciiTheme="majorHAnsi" w:hAnsiTheme="majorHAnsi" w:cstheme="majorHAnsi"/>
          <w:sz w:val="24"/>
          <w:szCs w:val="24"/>
        </w:rPr>
        <w:t>recruitment</w:t>
      </w:r>
      <w:r w:rsidRPr="00B92F6A">
        <w:rPr>
          <w:rFonts w:asciiTheme="majorHAnsi" w:hAnsiTheme="majorHAnsi" w:cstheme="majorHAnsi"/>
          <w:color w:val="FF0000"/>
          <w:sz w:val="24"/>
          <w:szCs w:val="24"/>
        </w:rPr>
        <w:t xml:space="preserve"> </w:t>
      </w:r>
      <w:r w:rsidRPr="00B92F6A">
        <w:rPr>
          <w:rFonts w:asciiTheme="majorHAnsi" w:hAnsiTheme="majorHAnsi" w:cstheme="majorHAnsi"/>
          <w:sz w:val="24"/>
          <w:szCs w:val="24"/>
        </w:rPr>
        <w:t xml:space="preserve">problems </w:t>
      </w:r>
    </w:p>
    <w:p w:rsidR="008508CA" w:rsidRPr="00B92F6A" w:rsidRDefault="008508CA" w:rsidP="008508CA">
      <w:pPr>
        <w:pStyle w:val="ListParagraph"/>
        <w:numPr>
          <w:ilvl w:val="0"/>
          <w:numId w:val="16"/>
        </w:numPr>
        <w:rPr>
          <w:rFonts w:asciiTheme="majorHAnsi" w:hAnsiTheme="majorHAnsi" w:cstheme="majorHAnsi"/>
          <w:sz w:val="24"/>
          <w:szCs w:val="24"/>
        </w:rPr>
      </w:pPr>
      <w:r w:rsidRPr="00B92F6A">
        <w:rPr>
          <w:rFonts w:asciiTheme="majorHAnsi" w:hAnsiTheme="majorHAnsi" w:cstheme="majorHAnsi"/>
          <w:sz w:val="24"/>
          <w:szCs w:val="24"/>
        </w:rPr>
        <w:t>quality and performance might be affected</w:t>
      </w:r>
    </w:p>
    <w:p w:rsidR="008508CA" w:rsidRPr="00B92F6A" w:rsidRDefault="008508CA" w:rsidP="008508CA">
      <w:pPr>
        <w:pStyle w:val="ListParagraph"/>
        <w:numPr>
          <w:ilvl w:val="0"/>
          <w:numId w:val="16"/>
        </w:numPr>
        <w:rPr>
          <w:rFonts w:asciiTheme="majorHAnsi" w:hAnsiTheme="majorHAnsi" w:cstheme="majorHAnsi"/>
          <w:sz w:val="24"/>
          <w:szCs w:val="24"/>
        </w:rPr>
      </w:pPr>
      <w:r w:rsidRPr="00B92F6A">
        <w:rPr>
          <w:rFonts w:asciiTheme="majorHAnsi" w:hAnsiTheme="majorHAnsi" w:cstheme="majorHAnsi"/>
          <w:sz w:val="24"/>
          <w:szCs w:val="24"/>
        </w:rPr>
        <w:t>business might not be able to meet customer demands</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 (Citizens Advice</w:t>
      </w:r>
      <w:r>
        <w:rPr>
          <w:rFonts w:asciiTheme="majorHAnsi" w:hAnsiTheme="majorHAnsi" w:cstheme="majorHAnsi"/>
          <w:sz w:val="24"/>
          <w:szCs w:val="24"/>
        </w:rPr>
        <w:t>,</w:t>
      </w:r>
      <w:r w:rsidRPr="00B92F6A">
        <w:rPr>
          <w:rFonts w:asciiTheme="majorHAnsi" w:hAnsiTheme="majorHAnsi" w:cstheme="majorHAnsi"/>
          <w:sz w:val="24"/>
          <w:szCs w:val="24"/>
        </w:rPr>
        <w:t xml:space="preserve"> 2023b).</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Chelsea has the right to take the owners to the tribunal</w:t>
      </w:r>
      <w:r w:rsidRPr="00B92F6A">
        <w:rPr>
          <w:rFonts w:asciiTheme="majorHAnsi" w:hAnsiTheme="majorHAnsi" w:cstheme="majorHAnsi"/>
          <w:color w:val="FF0000"/>
          <w:sz w:val="24"/>
          <w:szCs w:val="24"/>
        </w:rPr>
        <w:t xml:space="preserve"> </w:t>
      </w:r>
      <w:r w:rsidRPr="00B92F6A">
        <w:rPr>
          <w:rFonts w:asciiTheme="majorHAnsi" w:hAnsiTheme="majorHAnsi" w:cstheme="majorHAnsi"/>
          <w:sz w:val="24"/>
          <w:szCs w:val="24"/>
        </w:rPr>
        <w:t>if she thinks they have failed to follow the Company’s procedure or if they have rejected the application on incorrect facts (</w:t>
      </w:r>
      <w:proofErr w:type="spellStart"/>
      <w:r w:rsidRPr="00B92F6A">
        <w:rPr>
          <w:rFonts w:asciiTheme="majorHAnsi" w:hAnsiTheme="majorHAnsi" w:cstheme="majorHAnsi"/>
          <w:sz w:val="24"/>
          <w:szCs w:val="24"/>
        </w:rPr>
        <w:t>Gray</w:t>
      </w:r>
      <w:proofErr w:type="spellEnd"/>
      <w:r w:rsidRPr="00B92F6A">
        <w:rPr>
          <w:rFonts w:asciiTheme="majorHAnsi" w:hAnsiTheme="majorHAnsi" w:cstheme="majorHAnsi"/>
          <w:sz w:val="24"/>
          <w:szCs w:val="24"/>
        </w:rPr>
        <w:t>, Chambers, 2021). If Chelsea is successful, the tribunal:</w:t>
      </w:r>
    </w:p>
    <w:p w:rsidR="008508CA" w:rsidRPr="00B92F6A" w:rsidRDefault="008508CA" w:rsidP="008508CA">
      <w:pPr>
        <w:pStyle w:val="ListParagraph"/>
        <w:numPr>
          <w:ilvl w:val="0"/>
          <w:numId w:val="14"/>
        </w:numPr>
        <w:rPr>
          <w:rFonts w:asciiTheme="majorHAnsi" w:hAnsiTheme="majorHAnsi" w:cstheme="majorHAnsi"/>
          <w:sz w:val="24"/>
          <w:szCs w:val="24"/>
        </w:rPr>
      </w:pPr>
      <w:r w:rsidRPr="00B92F6A">
        <w:rPr>
          <w:rFonts w:asciiTheme="majorHAnsi" w:hAnsiTheme="majorHAnsi" w:cstheme="majorHAnsi"/>
          <w:sz w:val="24"/>
          <w:szCs w:val="24"/>
        </w:rPr>
        <w:t>must make a declaration to that effect</w:t>
      </w:r>
    </w:p>
    <w:p w:rsidR="008508CA" w:rsidRPr="00B92F6A" w:rsidRDefault="008508CA" w:rsidP="008508CA">
      <w:pPr>
        <w:pStyle w:val="ListParagraph"/>
        <w:numPr>
          <w:ilvl w:val="0"/>
          <w:numId w:val="14"/>
        </w:numPr>
        <w:rPr>
          <w:rFonts w:asciiTheme="majorHAnsi" w:hAnsiTheme="majorHAnsi" w:cstheme="majorHAnsi"/>
          <w:sz w:val="24"/>
          <w:szCs w:val="24"/>
        </w:rPr>
      </w:pPr>
      <w:r w:rsidRPr="00B92F6A">
        <w:rPr>
          <w:rFonts w:asciiTheme="majorHAnsi" w:hAnsiTheme="majorHAnsi" w:cstheme="majorHAnsi"/>
          <w:sz w:val="24"/>
          <w:szCs w:val="24"/>
        </w:rPr>
        <w:t>may make an order for reconsideration of the application</w:t>
      </w:r>
    </w:p>
    <w:p w:rsidR="008508CA" w:rsidRPr="00B92F6A" w:rsidRDefault="008508CA" w:rsidP="008508CA">
      <w:pPr>
        <w:pStyle w:val="ListParagraph"/>
        <w:numPr>
          <w:ilvl w:val="0"/>
          <w:numId w:val="14"/>
        </w:numPr>
        <w:rPr>
          <w:rFonts w:asciiTheme="majorHAnsi" w:hAnsiTheme="majorHAnsi" w:cstheme="majorHAnsi"/>
          <w:sz w:val="24"/>
          <w:szCs w:val="24"/>
        </w:rPr>
      </w:pPr>
      <w:r w:rsidRPr="00B92F6A">
        <w:rPr>
          <w:rFonts w:asciiTheme="majorHAnsi" w:hAnsiTheme="majorHAnsi" w:cstheme="majorHAnsi"/>
          <w:sz w:val="24"/>
          <w:szCs w:val="24"/>
        </w:rPr>
        <w:t>may make an order that compensation must be paid</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The maximum amount of compensation that can be awarded is eight weeks pay (Jefferson, 2014). In </w:t>
      </w:r>
      <w:r w:rsidRPr="00B92F6A">
        <w:rPr>
          <w:rFonts w:asciiTheme="majorHAnsi" w:hAnsiTheme="majorHAnsi" w:cstheme="majorHAnsi"/>
          <w:i/>
          <w:sz w:val="24"/>
          <w:szCs w:val="24"/>
        </w:rPr>
        <w:t xml:space="preserve">King v Tesco Store Ltd </w:t>
      </w:r>
      <w:r w:rsidRPr="00B92F6A">
        <w:rPr>
          <w:rFonts w:asciiTheme="majorHAnsi" w:eastAsia="Calibri" w:hAnsiTheme="majorHAnsi" w:cstheme="majorHAnsi"/>
          <w:i/>
          <w:sz w:val="24"/>
          <w:szCs w:val="24"/>
        </w:rPr>
        <w:t>2017</w:t>
      </w:r>
      <w:r w:rsidRPr="00B92F6A">
        <w:rPr>
          <w:rFonts w:asciiTheme="majorHAnsi" w:eastAsia="Calibri" w:hAnsiTheme="majorHAnsi" w:cstheme="majorHAnsi"/>
          <w:sz w:val="24"/>
          <w:szCs w:val="24"/>
        </w:rPr>
        <w:t xml:space="preserve">, King was awarded </w:t>
      </w:r>
      <w:r w:rsidRPr="00B92F6A">
        <w:rPr>
          <w:rFonts w:asciiTheme="majorHAnsi" w:hAnsiTheme="majorHAnsi" w:cstheme="majorHAnsi"/>
          <w:sz w:val="24"/>
          <w:szCs w:val="24"/>
        </w:rPr>
        <w:t>£2,664, the maximum amount as the supermarket did not handle the flexible working request properly.</w:t>
      </w: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BD1712" w:rsidRDefault="00BD1712" w:rsidP="008508CA">
      <w:pPr>
        <w:pStyle w:val="NormalWeb"/>
        <w:spacing w:before="0" w:beforeAutospacing="0" w:after="375" w:afterAutospacing="0"/>
        <w:textAlignment w:val="baseline"/>
        <w:rPr>
          <w:rFonts w:asciiTheme="majorHAnsi" w:hAnsiTheme="majorHAnsi" w:cstheme="majorHAnsi"/>
          <w:b/>
        </w:rPr>
      </w:pPr>
    </w:p>
    <w:p w:rsidR="008508CA" w:rsidRPr="00B92F6A" w:rsidRDefault="008508CA" w:rsidP="008508CA">
      <w:pPr>
        <w:pStyle w:val="NormalWeb"/>
        <w:spacing w:before="0" w:beforeAutospacing="0" w:after="375" w:afterAutospacing="0"/>
        <w:textAlignment w:val="baseline"/>
        <w:rPr>
          <w:rFonts w:asciiTheme="majorHAnsi" w:hAnsiTheme="majorHAnsi" w:cstheme="majorHAnsi"/>
          <w:b/>
        </w:rPr>
      </w:pPr>
      <w:bookmarkStart w:id="3" w:name="_GoBack"/>
      <w:bookmarkEnd w:id="3"/>
      <w:r w:rsidRPr="00B92F6A">
        <w:rPr>
          <w:rFonts w:asciiTheme="majorHAnsi" w:hAnsiTheme="majorHAnsi" w:cstheme="majorHAnsi"/>
          <w:b/>
        </w:rPr>
        <w:lastRenderedPageBreak/>
        <w:t>Bibliography</w:t>
      </w:r>
    </w:p>
    <w:p w:rsidR="008508CA" w:rsidRPr="00B92F6A" w:rsidRDefault="008508CA" w:rsidP="008508CA">
      <w:pPr>
        <w:rPr>
          <w:rFonts w:asciiTheme="majorHAnsi" w:hAnsiTheme="majorHAnsi" w:cstheme="majorHAnsi"/>
          <w:sz w:val="24"/>
          <w:szCs w:val="24"/>
        </w:rPr>
      </w:pP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(2021a) Your TUPE rights - employee advice </w:t>
      </w:r>
      <w:hyperlink r:id="rId5" w:history="1">
        <w:r w:rsidRPr="00B92F6A">
          <w:rPr>
            <w:rStyle w:val="Hyperlink"/>
            <w:rFonts w:asciiTheme="majorHAnsi" w:hAnsiTheme="majorHAnsi" w:cstheme="majorHAnsi"/>
            <w:sz w:val="24"/>
            <w:szCs w:val="24"/>
          </w:rPr>
          <w:t>https://www.acas.org.uk/employee-rights-during-a-tupe-transfer</w:t>
        </w:r>
      </w:hyperlink>
      <w:r w:rsidRPr="00B92F6A">
        <w:rPr>
          <w:rFonts w:asciiTheme="majorHAnsi" w:hAnsiTheme="majorHAnsi" w:cstheme="majorHAnsi"/>
          <w:sz w:val="24"/>
          <w:szCs w:val="24"/>
        </w:rPr>
        <w:t xml:space="preserve"> (Accessed 16.04.2023)</w:t>
      </w:r>
    </w:p>
    <w:p w:rsidR="008508CA" w:rsidRPr="00B92F6A" w:rsidRDefault="008508CA" w:rsidP="008508CA">
      <w:pPr>
        <w:rPr>
          <w:rFonts w:asciiTheme="majorHAnsi" w:hAnsiTheme="majorHAnsi" w:cstheme="majorHAnsi"/>
          <w:sz w:val="24"/>
          <w:szCs w:val="24"/>
        </w:rPr>
      </w:pP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(2021b) Your TUPE rights - employee advice </w:t>
      </w:r>
      <w:hyperlink r:id="rId6" w:history="1">
        <w:r w:rsidRPr="00B92F6A">
          <w:rPr>
            <w:rStyle w:val="Hyperlink"/>
            <w:rFonts w:asciiTheme="majorHAnsi" w:hAnsiTheme="majorHAnsi" w:cstheme="majorHAnsi"/>
            <w:sz w:val="24"/>
            <w:szCs w:val="24"/>
          </w:rPr>
          <w:t>https://www.acas.org.uk/employee-rights-during-a-tupe-transfer/transferring-to-your-new-employer</w:t>
        </w:r>
      </w:hyperlink>
      <w:r w:rsidRPr="00B92F6A">
        <w:rPr>
          <w:rFonts w:asciiTheme="majorHAnsi" w:hAnsiTheme="majorHAnsi" w:cstheme="majorHAnsi"/>
          <w:sz w:val="24"/>
          <w:szCs w:val="24"/>
        </w:rPr>
        <w:t xml:space="preserve"> (Accessed, 19.04.2023)</w:t>
      </w:r>
    </w:p>
    <w:p w:rsidR="008508CA" w:rsidRPr="00B92F6A" w:rsidRDefault="008508CA" w:rsidP="008508CA">
      <w:pPr>
        <w:pStyle w:val="NormalWeb"/>
        <w:spacing w:before="0" w:beforeAutospacing="0" w:after="375" w:afterAutospacing="0"/>
        <w:textAlignment w:val="baseline"/>
        <w:rPr>
          <w:rStyle w:val="Hyperlink"/>
          <w:rFonts w:asciiTheme="majorHAnsi" w:hAnsiTheme="majorHAnsi" w:cstheme="majorHAnsi"/>
        </w:rPr>
      </w:pPr>
      <w:proofErr w:type="spellStart"/>
      <w:r w:rsidRPr="00B92F6A">
        <w:rPr>
          <w:rFonts w:asciiTheme="majorHAnsi" w:hAnsiTheme="majorHAnsi" w:cstheme="majorHAnsi"/>
        </w:rPr>
        <w:t>Acas</w:t>
      </w:r>
      <w:proofErr w:type="spellEnd"/>
      <w:r w:rsidRPr="00B92F6A">
        <w:rPr>
          <w:rFonts w:asciiTheme="majorHAnsi" w:hAnsiTheme="majorHAnsi" w:cstheme="majorHAnsi"/>
        </w:rPr>
        <w:t xml:space="preserve"> (2022a) Making a claim to an employment tribunal </w:t>
      </w:r>
      <w:hyperlink r:id="rId7" w:history="1">
        <w:r w:rsidRPr="00B92F6A">
          <w:rPr>
            <w:rStyle w:val="Hyperlink"/>
            <w:rFonts w:asciiTheme="majorHAnsi" w:hAnsiTheme="majorHAnsi" w:cstheme="majorHAnsi"/>
          </w:rPr>
          <w:t>https://www.acas.org.uk/making-a-claim-to-an-employment-tribunal</w:t>
        </w:r>
      </w:hyperlink>
      <w:r w:rsidRPr="00B92F6A">
        <w:rPr>
          <w:rStyle w:val="Hyperlink"/>
          <w:rFonts w:asciiTheme="majorHAnsi" w:hAnsiTheme="majorHAnsi" w:cstheme="majorHAnsi"/>
        </w:rPr>
        <w:t xml:space="preserve"> (Accessed 12.04.2023)</w:t>
      </w:r>
    </w:p>
    <w:p w:rsidR="008508CA" w:rsidRPr="00B92F6A" w:rsidRDefault="008508CA" w:rsidP="008508CA">
      <w:pPr>
        <w:spacing w:before="100" w:beforeAutospacing="1" w:after="100" w:afterAutospacing="1" w:line="240" w:lineRule="auto"/>
        <w:rPr>
          <w:rFonts w:asciiTheme="majorHAnsi" w:hAnsiTheme="majorHAnsi" w:cstheme="majorHAnsi"/>
          <w:sz w:val="24"/>
          <w:szCs w:val="24"/>
        </w:rPr>
      </w:pP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(2022b) Equal pay and the law </w:t>
      </w:r>
      <w:hyperlink r:id="rId8" w:history="1">
        <w:r w:rsidRPr="00B92F6A">
          <w:rPr>
            <w:rStyle w:val="Hyperlink"/>
            <w:rFonts w:asciiTheme="majorHAnsi" w:hAnsiTheme="majorHAnsi" w:cstheme="majorHAnsi"/>
            <w:sz w:val="24"/>
            <w:szCs w:val="24"/>
          </w:rPr>
          <w:t>https://www.acas.org.uk/equal-pay/equal-pay-law</w:t>
        </w:r>
      </w:hyperlink>
      <w:r w:rsidRPr="00B92F6A">
        <w:rPr>
          <w:rFonts w:asciiTheme="majorHAnsi" w:hAnsiTheme="majorHAnsi" w:cstheme="majorHAnsi"/>
          <w:sz w:val="24"/>
          <w:szCs w:val="24"/>
        </w:rPr>
        <w:t xml:space="preserve"> (Accessed 29.03.2023)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ACAS (2022c) Checking your employment rights </w:t>
      </w:r>
      <w:hyperlink r:id="rId9" w:history="1">
        <w:r w:rsidRPr="00B92F6A">
          <w:rPr>
            <w:rStyle w:val="Hyperlink"/>
            <w:rFonts w:asciiTheme="majorHAnsi" w:hAnsiTheme="majorHAnsi" w:cstheme="majorHAnsi"/>
            <w:sz w:val="24"/>
            <w:szCs w:val="24"/>
          </w:rPr>
          <w:t>https://www.acas.org.uk/checking-your-employment-rights</w:t>
        </w:r>
      </w:hyperlink>
      <w:r w:rsidRPr="00B92F6A">
        <w:rPr>
          <w:rFonts w:asciiTheme="majorHAnsi" w:hAnsiTheme="majorHAnsi" w:cstheme="majorHAnsi"/>
          <w:sz w:val="24"/>
          <w:szCs w:val="24"/>
        </w:rPr>
        <w:t xml:space="preserve"> (Accessed 12.04.2023)</w:t>
      </w:r>
    </w:p>
    <w:p w:rsidR="008508CA" w:rsidRPr="00B92F6A" w:rsidRDefault="008508CA" w:rsidP="008508CA">
      <w:pPr>
        <w:rPr>
          <w:rFonts w:asciiTheme="majorHAnsi" w:hAnsiTheme="majorHAnsi" w:cstheme="majorHAnsi"/>
          <w:sz w:val="24"/>
          <w:szCs w:val="24"/>
        </w:rPr>
      </w:pPr>
      <w:proofErr w:type="spellStart"/>
      <w:r w:rsidRPr="00B92F6A">
        <w:rPr>
          <w:rFonts w:asciiTheme="majorHAnsi" w:hAnsiTheme="majorHAnsi" w:cstheme="majorHAnsi"/>
          <w:sz w:val="24"/>
          <w:szCs w:val="24"/>
        </w:rPr>
        <w:t>Acas</w:t>
      </w:r>
      <w:proofErr w:type="spellEnd"/>
      <w:r w:rsidRPr="00B92F6A">
        <w:rPr>
          <w:rFonts w:asciiTheme="majorHAnsi" w:hAnsiTheme="majorHAnsi" w:cstheme="majorHAnsi"/>
          <w:sz w:val="24"/>
          <w:szCs w:val="24"/>
        </w:rPr>
        <w:t xml:space="preserve"> (2023a) Your rights during redundancy https://www.acas.org.uk/your-rights-during-redundancy</w:t>
      </w:r>
      <w:r w:rsidRPr="00B92F6A">
        <w:rPr>
          <w:rStyle w:val="Hyperlink"/>
          <w:rFonts w:asciiTheme="majorHAnsi" w:hAnsiTheme="majorHAnsi" w:cstheme="majorHAnsi"/>
          <w:sz w:val="24"/>
          <w:szCs w:val="24"/>
        </w:rPr>
        <w:t xml:space="preserve"> (Accessed 19.04.2023)</w:t>
      </w:r>
    </w:p>
    <w:p w:rsidR="008508CA" w:rsidRPr="00B92F6A" w:rsidRDefault="008508CA" w:rsidP="008508CA">
      <w:pPr>
        <w:pStyle w:val="ListParagraph"/>
        <w:ind w:left="0"/>
        <w:rPr>
          <w:rFonts w:asciiTheme="majorHAnsi" w:eastAsiaTheme="minorEastAsia" w:hAnsiTheme="majorHAnsi" w:cstheme="majorHAnsi"/>
          <w:sz w:val="24"/>
          <w:szCs w:val="24"/>
        </w:rPr>
      </w:pPr>
      <w:proofErr w:type="spellStart"/>
      <w:r w:rsidRPr="00B92F6A">
        <w:rPr>
          <w:rFonts w:asciiTheme="majorHAnsi" w:eastAsiaTheme="minorEastAsia" w:hAnsiTheme="majorHAnsi" w:cstheme="majorHAnsi"/>
          <w:sz w:val="24"/>
          <w:szCs w:val="24"/>
        </w:rPr>
        <w:t>Acas</w:t>
      </w:r>
      <w:proofErr w:type="spellEnd"/>
      <w:r w:rsidRPr="00B92F6A">
        <w:rPr>
          <w:rFonts w:asciiTheme="majorHAnsi" w:eastAsiaTheme="minorEastAsia" w:hAnsiTheme="majorHAnsi" w:cstheme="majorHAnsi"/>
          <w:sz w:val="24"/>
          <w:szCs w:val="24"/>
        </w:rPr>
        <w:t xml:space="preserve"> (2023b) National Minimum Wage entitlement </w:t>
      </w:r>
      <w:hyperlink r:id="rId10">
        <w:r w:rsidRPr="00B92F6A">
          <w:rPr>
            <w:rStyle w:val="Hyperlink"/>
            <w:rFonts w:asciiTheme="majorHAnsi" w:eastAsiaTheme="minorEastAsia" w:hAnsiTheme="majorHAnsi" w:cstheme="majorHAnsi"/>
            <w:sz w:val="24"/>
            <w:szCs w:val="24"/>
          </w:rPr>
          <w:t>https://www.acas.org.uk/national-minimum-wage-entitlement/if-an-employer-does-not-pay-minimum-wage</w:t>
        </w:r>
      </w:hyperlink>
      <w:r w:rsidRPr="00B92F6A">
        <w:rPr>
          <w:rFonts w:asciiTheme="majorHAnsi" w:eastAsiaTheme="minorEastAsia" w:hAnsiTheme="majorHAnsi" w:cstheme="majorHAnsi"/>
          <w:sz w:val="24"/>
          <w:szCs w:val="24"/>
        </w:rPr>
        <w:t xml:space="preserve"> (Accessed 15.04.2023)</w:t>
      </w:r>
    </w:p>
    <w:p w:rsidR="008508CA" w:rsidRPr="00B92F6A" w:rsidRDefault="008508CA" w:rsidP="008508CA">
      <w:pPr>
        <w:pStyle w:val="ListParagraph"/>
        <w:ind w:left="0"/>
        <w:rPr>
          <w:rFonts w:asciiTheme="majorHAnsi" w:eastAsiaTheme="minorEastAsia" w:hAnsiTheme="majorHAnsi" w:cstheme="majorHAnsi"/>
          <w:sz w:val="24"/>
          <w:szCs w:val="24"/>
        </w:rPr>
      </w:pPr>
    </w:p>
    <w:p w:rsidR="008508CA" w:rsidRPr="00B92F6A" w:rsidRDefault="008508CA" w:rsidP="008508CA">
      <w:pPr>
        <w:pStyle w:val="ListParagraph"/>
        <w:ind w:left="0"/>
        <w:rPr>
          <w:rFonts w:asciiTheme="majorHAnsi" w:eastAsiaTheme="minorEastAsia" w:hAnsiTheme="majorHAnsi" w:cstheme="majorHAnsi"/>
          <w:sz w:val="24"/>
          <w:szCs w:val="24"/>
        </w:rPr>
      </w:pPr>
      <w:r w:rsidRPr="00B92F6A">
        <w:rPr>
          <w:rFonts w:asciiTheme="majorHAnsi" w:eastAsiaTheme="minorEastAsia" w:hAnsiTheme="majorHAnsi" w:cstheme="majorHAnsi"/>
          <w:sz w:val="24"/>
          <w:szCs w:val="24"/>
        </w:rPr>
        <w:t>British Library (2013) Sisterhood and after https://www.bl.uk/sisterhood/articles/equal-pay-and-equality-legislation (22.04.2023)</w:t>
      </w:r>
    </w:p>
    <w:p w:rsidR="008508CA" w:rsidRPr="00B92F6A" w:rsidRDefault="008508CA" w:rsidP="008508CA">
      <w:pPr>
        <w:pStyle w:val="NormalWeb"/>
        <w:spacing w:before="0" w:beforeAutospacing="0" w:after="375" w:afterAutospacing="0"/>
        <w:textAlignment w:val="baseline"/>
        <w:rPr>
          <w:rFonts w:asciiTheme="majorHAnsi" w:hAnsiTheme="majorHAnsi" w:cstheme="majorHAnsi"/>
        </w:rPr>
      </w:pPr>
      <w:r w:rsidRPr="00B92F6A">
        <w:rPr>
          <w:rStyle w:val="Hyperlink"/>
          <w:rFonts w:asciiTheme="majorHAnsi" w:hAnsiTheme="majorHAnsi" w:cstheme="majorHAnsi"/>
        </w:rPr>
        <w:t xml:space="preserve">Brown, T., </w:t>
      </w:r>
      <w:proofErr w:type="spellStart"/>
      <w:r w:rsidRPr="00B92F6A">
        <w:rPr>
          <w:rStyle w:val="Hyperlink"/>
          <w:rFonts w:asciiTheme="majorHAnsi" w:hAnsiTheme="majorHAnsi" w:cstheme="majorHAnsi"/>
        </w:rPr>
        <w:t>Mortlock</w:t>
      </w:r>
      <w:proofErr w:type="spellEnd"/>
      <w:r w:rsidRPr="00B92F6A">
        <w:rPr>
          <w:rStyle w:val="Hyperlink"/>
          <w:rFonts w:asciiTheme="majorHAnsi" w:hAnsiTheme="majorHAnsi" w:cstheme="majorHAnsi"/>
        </w:rPr>
        <w:t xml:space="preserve">, H., Rankin, C., Phillips, A., (2000) </w:t>
      </w:r>
      <w:r w:rsidRPr="00B92F6A">
        <w:rPr>
          <w:rStyle w:val="Hyperlink"/>
          <w:rFonts w:asciiTheme="majorHAnsi" w:hAnsiTheme="majorHAnsi" w:cstheme="majorHAnsi"/>
          <w:i/>
          <w:iCs/>
        </w:rPr>
        <w:t xml:space="preserve">Employment tribunal claims a practical guide </w:t>
      </w:r>
      <w:r w:rsidRPr="00B92F6A">
        <w:rPr>
          <w:rStyle w:val="Hyperlink"/>
          <w:rFonts w:asciiTheme="majorHAnsi" w:hAnsiTheme="majorHAnsi" w:cstheme="majorHAnsi"/>
          <w:iCs/>
        </w:rPr>
        <w:t>The Stationary Office, London</w:t>
      </w:r>
      <w:r w:rsidRPr="00B92F6A">
        <w:rPr>
          <w:rStyle w:val="Hyperlink"/>
          <w:rFonts w:asciiTheme="majorHAnsi" w:hAnsiTheme="majorHAnsi" w:cstheme="majorHAnsi"/>
          <w:i/>
          <w:iCs/>
        </w:rPr>
        <w:t xml:space="preserve">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(2017a) Employment regulation in the UK:  burden or benefit? Survey report https://beta.cipduat.co.uk/Images/employment-regulation-in-the-UK_2017-burden-or-benefit_tcm18-21622.pdf (Accessed 10.04.2023)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(2021b) Employment law in the UK: the court system https://www.cipd.co.uk/knowledge/fundamentals/emp-law/about/uk-court-system-factsheet#gref (Accessed 11.04.2023)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(2021b) Employment law in the UK: the court system https://www.cipd.co.uk/knowledge/fundamentals/emp-law/about/uk-court-system-factsheet#gref (Accessed 11.04.2023)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(2022a) Employment law https://www.cipd.co.uk/knowledge/fundamentals/emp-law#gref (09.04.2023)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(2022b) The role of employment tribunals https://www.cipd.co.uk/knowledge/fundamentals/emp-law/tribunals/factsheet#gref (Accessed 11.04.2023)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lastRenderedPageBreak/>
        <w:t xml:space="preserve">CID (2022c) Tribunal claims Q&amp;As https://www.cipd.co.uk/knowledge/fundamentals/emp-law/tribunals/questions#gref (Accessed 12.04.2023)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CIPD (2022d) Recruitment and selection Q&amp;As https://www.cipd.co.uk/knowledge/fundamentals/emp-law/recruitment/questions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(2022e) Pay Fairness and Pay Reporting https://www.cipd.co.uk/knowledge/strategy/reward/pay-fairness-reporting-factsheet (Accessed 28.03.2023)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(2022f) Transfer of undertakings (TUPE): an introduction https://www.cipd.co.uk/knowledge/fundamentals/emp-law/tupe/factsheet (Accessed, 19.04.2023)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CIPD (2022g) Working hours and time off work https://www.cipd.co.uk/knowledge/fundamentals/emp-law/working-time/factsheet (Accessed 12.04.2023)</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CIPD (2023a) Understanding Employment Law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Citizens Advice (2020) Victimisation https://www.citizensadvice.org.uk/law-and-courts/discrimination/check-what-type-of-discrimination-youve-experienced/victimisation/ (Accessed 10.04.2023)</w:t>
      </w:r>
    </w:p>
    <w:p w:rsidR="008508C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Citizens Advice (2023a) https://www.citizensadvice.org.uk/law-and-courts/discrimination/check-what-type-of-discrimination-youve-experienced/justifying-discrimination/ (Accessed 11.04.2023)</w:t>
      </w:r>
    </w:p>
    <w:p w:rsidR="008508CA" w:rsidRPr="00B92F6A" w:rsidRDefault="008508CA" w:rsidP="007B4D0D">
      <w:pPr>
        <w:spacing w:after="0"/>
        <w:contextualSpacing/>
        <w:rPr>
          <w:rFonts w:asciiTheme="majorHAnsi" w:hAnsiTheme="majorHAnsi" w:cstheme="majorHAnsi"/>
          <w:sz w:val="24"/>
          <w:szCs w:val="24"/>
        </w:rPr>
      </w:pPr>
      <w:r w:rsidRPr="00B92F6A">
        <w:rPr>
          <w:rFonts w:asciiTheme="majorHAnsi" w:hAnsiTheme="majorHAnsi" w:cstheme="majorHAnsi"/>
          <w:sz w:val="24"/>
          <w:szCs w:val="24"/>
        </w:rPr>
        <w:t>Citizens Advice (2023b) Applying for flexible working https://www.citizensadvice.org.uk/work/flexible-working/applying-for-flexible-working/ (Accessed 03.04.2023)</w:t>
      </w:r>
    </w:p>
    <w:p w:rsidR="007B4D0D" w:rsidRDefault="007B4D0D" w:rsidP="007B4D0D">
      <w:pPr>
        <w:spacing w:before="100" w:beforeAutospacing="1" w:after="0" w:line="240" w:lineRule="auto"/>
        <w:contextualSpacing/>
        <w:rPr>
          <w:rFonts w:asciiTheme="majorHAnsi" w:hAnsiTheme="majorHAnsi" w:cstheme="majorHAnsi"/>
          <w:sz w:val="24"/>
          <w:szCs w:val="24"/>
        </w:rPr>
      </w:pPr>
    </w:p>
    <w:p w:rsidR="007B4D0D" w:rsidRDefault="008508CA" w:rsidP="007B4D0D">
      <w:pPr>
        <w:spacing w:before="100" w:beforeAutospacing="1" w:after="0" w:line="240" w:lineRule="auto"/>
        <w:contextualSpacing/>
        <w:rPr>
          <w:rFonts w:asciiTheme="majorHAnsi" w:hAnsiTheme="majorHAnsi" w:cstheme="majorHAnsi"/>
          <w:sz w:val="24"/>
          <w:szCs w:val="24"/>
        </w:rPr>
      </w:pPr>
      <w:r w:rsidRPr="00B92F6A">
        <w:rPr>
          <w:rFonts w:asciiTheme="majorHAnsi" w:hAnsiTheme="majorHAnsi" w:cstheme="majorHAnsi"/>
          <w:sz w:val="24"/>
          <w:szCs w:val="24"/>
        </w:rPr>
        <w:t xml:space="preserve">Colman Coyle (2017a) An overview of employment law in England and Wales </w:t>
      </w:r>
      <w:hyperlink r:id="rId11" w:history="1">
        <w:r w:rsidR="007B4D0D" w:rsidRPr="008416E5">
          <w:rPr>
            <w:rStyle w:val="Hyperlink"/>
            <w:rFonts w:asciiTheme="majorHAnsi" w:hAnsiTheme="majorHAnsi" w:cstheme="majorHAnsi"/>
            <w:sz w:val="24"/>
            <w:szCs w:val="24"/>
          </w:rPr>
          <w:t>https://www.colmancoyle.com/wp-content/uploads/2017/04/An-overview-of-UK-</w:t>
        </w:r>
      </w:hyperlink>
    </w:p>
    <w:p w:rsidR="007B4D0D" w:rsidRDefault="008508CA" w:rsidP="007B4D0D">
      <w:pPr>
        <w:spacing w:before="100" w:beforeAutospacing="1" w:after="0" w:line="240" w:lineRule="auto"/>
        <w:contextualSpacing/>
        <w:rPr>
          <w:rFonts w:asciiTheme="majorHAnsi" w:hAnsiTheme="majorHAnsi" w:cstheme="majorHAnsi"/>
          <w:sz w:val="24"/>
          <w:szCs w:val="24"/>
        </w:rPr>
      </w:pPr>
      <w:r w:rsidRPr="00B92F6A">
        <w:rPr>
          <w:rFonts w:asciiTheme="majorHAnsi" w:hAnsiTheme="majorHAnsi" w:cstheme="majorHAnsi"/>
          <w:sz w:val="24"/>
          <w:szCs w:val="24"/>
        </w:rPr>
        <w:t>Employment-Law-document.pdf (Accessed 10.04.2023)</w:t>
      </w:r>
    </w:p>
    <w:p w:rsidR="007B4D0D" w:rsidRDefault="007B4D0D" w:rsidP="007B4D0D">
      <w:pPr>
        <w:spacing w:before="100" w:beforeAutospacing="1" w:after="0" w:line="240" w:lineRule="auto"/>
        <w:contextualSpacing/>
        <w:rPr>
          <w:rFonts w:asciiTheme="majorHAnsi" w:eastAsia="Times New Roman" w:hAnsiTheme="majorHAnsi" w:cstheme="majorHAnsi"/>
          <w:sz w:val="24"/>
          <w:szCs w:val="24"/>
          <w:lang w:eastAsia="en-GB"/>
        </w:rPr>
      </w:pPr>
    </w:p>
    <w:p w:rsidR="008508CA" w:rsidRPr="00F955A5" w:rsidRDefault="008508CA" w:rsidP="007B4D0D">
      <w:pPr>
        <w:spacing w:before="100" w:beforeAutospacing="1" w:after="0" w:line="240" w:lineRule="auto"/>
        <w:contextualSpacing/>
        <w:rPr>
          <w:rFonts w:asciiTheme="majorHAnsi" w:eastAsia="Times New Roman" w:hAnsiTheme="majorHAnsi" w:cstheme="majorHAnsi"/>
          <w:sz w:val="16"/>
          <w:szCs w:val="16"/>
          <w:lang w:eastAsia="en-GB"/>
        </w:rPr>
      </w:pPr>
      <w:r w:rsidRPr="00B92F6A">
        <w:rPr>
          <w:rFonts w:asciiTheme="majorHAnsi" w:eastAsia="Times New Roman" w:hAnsiTheme="majorHAnsi" w:cstheme="majorHAnsi"/>
          <w:sz w:val="24"/>
          <w:szCs w:val="24"/>
          <w:lang w:eastAsia="en-GB"/>
        </w:rPr>
        <w:t>Courts and Tribunals Judiciary (2023a) What are the Employment Tribunals https://www.judiciary.uk/courts-and-tribunals/tribunals/employment-tribunal/employment-tribunal-england-wales/work-of-the-employment-tribunal/what-is-the-employment-tribunal/ (Accessed 11.04.2023)</w:t>
      </w:r>
    </w:p>
    <w:p w:rsidR="007B4D0D" w:rsidRPr="00F955A5" w:rsidRDefault="007B4D0D" w:rsidP="007B4D0D">
      <w:pPr>
        <w:spacing w:after="0" w:line="240" w:lineRule="auto"/>
        <w:contextualSpacing/>
        <w:rPr>
          <w:rFonts w:asciiTheme="majorHAnsi" w:hAnsiTheme="majorHAnsi" w:cstheme="majorHAnsi"/>
          <w:sz w:val="16"/>
          <w:szCs w:val="16"/>
        </w:rPr>
      </w:pPr>
    </w:p>
    <w:p w:rsidR="007B4D0D" w:rsidRPr="00F955A5" w:rsidRDefault="008508CA" w:rsidP="007B4D0D">
      <w:pPr>
        <w:spacing w:after="0" w:line="240" w:lineRule="auto"/>
        <w:contextualSpacing/>
        <w:rPr>
          <w:rFonts w:asciiTheme="majorHAnsi" w:hAnsiTheme="majorHAnsi" w:cstheme="majorHAnsi"/>
          <w:sz w:val="16"/>
          <w:szCs w:val="16"/>
        </w:rPr>
      </w:pPr>
      <w:r w:rsidRPr="00B92F6A">
        <w:rPr>
          <w:rFonts w:asciiTheme="majorHAnsi" w:hAnsiTheme="majorHAnsi" w:cstheme="majorHAnsi"/>
          <w:sz w:val="24"/>
          <w:szCs w:val="24"/>
        </w:rPr>
        <w:t>Courts and Tribunals Judiciary (2023b) https://www.judiciary.uk/wp-content/uploads/2023/03/Vento-bands-presidential-guidance-April-2023-addendum.pdf (Accessed 10.04.2023)</w:t>
      </w:r>
      <w:r w:rsidR="007B4D0D" w:rsidRPr="00F955A5">
        <w:rPr>
          <w:rFonts w:asciiTheme="majorHAnsi" w:hAnsiTheme="majorHAnsi" w:cstheme="majorHAnsi"/>
          <w:sz w:val="16"/>
          <w:szCs w:val="16"/>
        </w:rPr>
        <w:br/>
      </w:r>
    </w:p>
    <w:p w:rsidR="007B4D0D" w:rsidRPr="007B4D0D" w:rsidRDefault="008508CA" w:rsidP="007B4D0D">
      <w:pPr>
        <w:spacing w:after="0" w:line="240" w:lineRule="auto"/>
        <w:contextualSpacing/>
        <w:rPr>
          <w:rFonts w:asciiTheme="majorHAnsi" w:eastAsiaTheme="minorEastAsia" w:hAnsiTheme="majorHAnsi" w:cstheme="majorHAnsi"/>
          <w:sz w:val="16"/>
          <w:szCs w:val="16"/>
        </w:rPr>
      </w:pPr>
      <w:r w:rsidRPr="00B92F6A">
        <w:rPr>
          <w:rFonts w:asciiTheme="majorHAnsi" w:eastAsiaTheme="minorEastAsia" w:hAnsiTheme="majorHAnsi" w:cstheme="majorHAnsi"/>
        </w:rPr>
        <w:t>Cunningham v BMS Sales Ltd (2007) FEB/EE/2007/017</w:t>
      </w:r>
    </w:p>
    <w:p w:rsidR="007B4D0D" w:rsidRPr="007B4D0D" w:rsidRDefault="007B4D0D" w:rsidP="007B4D0D">
      <w:pPr>
        <w:spacing w:after="0" w:line="240" w:lineRule="auto"/>
        <w:contextualSpacing/>
        <w:rPr>
          <w:rFonts w:asciiTheme="majorHAnsi" w:eastAsiaTheme="minorEastAsia" w:hAnsiTheme="majorHAnsi" w:cstheme="majorHAnsi"/>
          <w:sz w:val="16"/>
          <w:szCs w:val="16"/>
        </w:rPr>
      </w:pPr>
    </w:p>
    <w:p w:rsidR="008508CA" w:rsidRPr="007B4D0D" w:rsidRDefault="008508CA" w:rsidP="007B4D0D">
      <w:pPr>
        <w:spacing w:after="0" w:line="240" w:lineRule="auto"/>
        <w:contextualSpacing/>
        <w:rPr>
          <w:rFonts w:asciiTheme="majorHAnsi" w:hAnsiTheme="majorHAnsi" w:cstheme="majorHAnsi"/>
          <w:sz w:val="16"/>
          <w:szCs w:val="16"/>
        </w:rPr>
      </w:pPr>
      <w:r w:rsidRPr="00B92F6A">
        <w:rPr>
          <w:rFonts w:asciiTheme="majorHAnsi" w:hAnsiTheme="majorHAnsi" w:cstheme="majorHAnsi"/>
        </w:rPr>
        <w:t xml:space="preserve">Daniels, K., (2022) </w:t>
      </w:r>
      <w:r w:rsidRPr="00B92F6A">
        <w:rPr>
          <w:rFonts w:asciiTheme="majorHAnsi" w:hAnsiTheme="majorHAnsi" w:cstheme="majorHAnsi"/>
          <w:i/>
        </w:rPr>
        <w:t>Introduction to Employment Law</w:t>
      </w:r>
      <w:r w:rsidRPr="00B92F6A">
        <w:rPr>
          <w:rFonts w:asciiTheme="majorHAnsi" w:hAnsiTheme="majorHAnsi" w:cstheme="majorHAnsi"/>
        </w:rPr>
        <w:t xml:space="preserve"> 6</w:t>
      </w:r>
      <w:r w:rsidRPr="00B92F6A">
        <w:rPr>
          <w:rFonts w:asciiTheme="majorHAnsi" w:hAnsiTheme="majorHAnsi" w:cstheme="majorHAnsi"/>
          <w:vertAlign w:val="superscript"/>
        </w:rPr>
        <w:t>th</w:t>
      </w:r>
      <w:r w:rsidRPr="00B92F6A">
        <w:rPr>
          <w:rFonts w:asciiTheme="majorHAnsi" w:hAnsiTheme="majorHAnsi" w:cstheme="majorHAnsi"/>
        </w:rPr>
        <w:t xml:space="preserve"> edition </w:t>
      </w:r>
      <w:proofErr w:type="spellStart"/>
      <w:r w:rsidRPr="00B92F6A">
        <w:rPr>
          <w:rFonts w:asciiTheme="majorHAnsi" w:hAnsiTheme="majorHAnsi" w:cstheme="majorHAnsi"/>
        </w:rPr>
        <w:t>Kogan</w:t>
      </w:r>
      <w:proofErr w:type="spellEnd"/>
      <w:r w:rsidRPr="00B92F6A">
        <w:rPr>
          <w:rFonts w:asciiTheme="majorHAnsi" w:hAnsiTheme="majorHAnsi" w:cstheme="majorHAnsi"/>
        </w:rPr>
        <w:t xml:space="preserve"> Page, London </w:t>
      </w:r>
    </w:p>
    <w:p w:rsidR="007B4D0D" w:rsidRPr="007B4D0D" w:rsidRDefault="007B4D0D" w:rsidP="007B4D0D">
      <w:pPr>
        <w:pStyle w:val="NormalWeb"/>
        <w:spacing w:before="0" w:beforeAutospacing="0" w:after="0" w:afterAutospacing="0"/>
        <w:textAlignment w:val="baseline"/>
        <w:rPr>
          <w:rFonts w:asciiTheme="majorHAnsi" w:hAnsiTheme="majorHAnsi" w:cstheme="majorHAnsi"/>
          <w:sz w:val="16"/>
          <w:szCs w:val="16"/>
        </w:rPr>
      </w:pPr>
    </w:p>
    <w:p w:rsidR="008508CA" w:rsidRPr="007B4D0D" w:rsidRDefault="008508CA" w:rsidP="007B4D0D">
      <w:pPr>
        <w:pStyle w:val="NormalWeb"/>
        <w:spacing w:before="0" w:beforeAutospacing="0" w:after="0" w:afterAutospacing="0"/>
        <w:textAlignment w:val="baseline"/>
        <w:rPr>
          <w:rFonts w:asciiTheme="majorHAnsi" w:hAnsiTheme="majorHAnsi" w:cstheme="majorHAnsi"/>
          <w:sz w:val="16"/>
          <w:szCs w:val="16"/>
        </w:rPr>
      </w:pPr>
      <w:r>
        <w:rPr>
          <w:rFonts w:asciiTheme="majorHAnsi" w:hAnsiTheme="majorHAnsi" w:cstheme="majorHAnsi"/>
        </w:rPr>
        <w:lastRenderedPageBreak/>
        <w:t xml:space="preserve">Edge, H. (2003) </w:t>
      </w:r>
      <w:r>
        <w:rPr>
          <w:rFonts w:asciiTheme="majorHAnsi" w:hAnsiTheme="majorHAnsi" w:cstheme="majorHAnsi"/>
          <w:i/>
        </w:rPr>
        <w:t xml:space="preserve">Dismissal Legal Essentials </w:t>
      </w:r>
      <w:r>
        <w:rPr>
          <w:rFonts w:asciiTheme="majorHAnsi" w:hAnsiTheme="majorHAnsi" w:cstheme="majorHAnsi"/>
        </w:rPr>
        <w:t>3</w:t>
      </w:r>
      <w:r w:rsidRPr="008508CA">
        <w:rPr>
          <w:rFonts w:asciiTheme="majorHAnsi" w:hAnsiTheme="majorHAnsi" w:cstheme="majorHAnsi"/>
          <w:vertAlign w:val="superscript"/>
        </w:rPr>
        <w:t>rd</w:t>
      </w:r>
      <w:r>
        <w:rPr>
          <w:rFonts w:asciiTheme="majorHAnsi" w:hAnsiTheme="majorHAnsi" w:cstheme="majorHAnsi"/>
        </w:rPr>
        <w:t xml:space="preserve"> edition </w:t>
      </w:r>
      <w:r w:rsidRPr="00B92F6A">
        <w:rPr>
          <w:rFonts w:asciiTheme="majorHAnsi" w:hAnsiTheme="majorHAnsi" w:cstheme="majorHAnsi"/>
        </w:rPr>
        <w:t>Institute of Personnel and Development: London</w:t>
      </w:r>
    </w:p>
    <w:p w:rsidR="007B4D0D" w:rsidRPr="007B4D0D" w:rsidRDefault="007B4D0D" w:rsidP="007B4D0D">
      <w:pPr>
        <w:pStyle w:val="NormalWeb"/>
        <w:spacing w:before="0" w:beforeAutospacing="0" w:after="0" w:afterAutospacing="0"/>
        <w:textAlignment w:val="baseline"/>
        <w:rPr>
          <w:rFonts w:asciiTheme="majorHAnsi" w:eastAsiaTheme="minorEastAsia" w:hAnsiTheme="majorHAnsi" w:cstheme="majorHAnsi"/>
          <w:sz w:val="16"/>
          <w:szCs w:val="16"/>
        </w:rPr>
      </w:pPr>
    </w:p>
    <w:p w:rsidR="008508CA" w:rsidRPr="007B4D0D" w:rsidRDefault="008508CA" w:rsidP="007B4D0D">
      <w:pPr>
        <w:spacing w:after="0" w:line="240" w:lineRule="auto"/>
        <w:rPr>
          <w:rFonts w:asciiTheme="majorHAnsi" w:hAnsiTheme="majorHAnsi" w:cstheme="majorHAnsi"/>
          <w:sz w:val="16"/>
          <w:szCs w:val="16"/>
        </w:rPr>
      </w:pPr>
      <w:r w:rsidRPr="00B92F6A">
        <w:rPr>
          <w:rFonts w:asciiTheme="majorHAnsi" w:eastAsiaTheme="minorEastAsia" w:hAnsiTheme="majorHAnsi" w:cstheme="majorHAnsi"/>
          <w:sz w:val="24"/>
          <w:szCs w:val="24"/>
        </w:rPr>
        <w:t>Equality Human Rights (2019) What is harassment and victimisation?</w:t>
      </w:r>
      <w:r w:rsidRPr="00B92F6A">
        <w:rPr>
          <w:rStyle w:val="Hyperlink"/>
          <w:rFonts w:asciiTheme="majorHAnsi" w:eastAsiaTheme="minorEastAsia" w:hAnsiTheme="majorHAnsi" w:cstheme="majorHAnsi"/>
          <w:sz w:val="24"/>
          <w:szCs w:val="24"/>
        </w:rPr>
        <w:t xml:space="preserve"> </w:t>
      </w:r>
      <w:r w:rsidRPr="00B92F6A">
        <w:rPr>
          <w:rFonts w:asciiTheme="majorHAnsi" w:hAnsiTheme="majorHAnsi" w:cstheme="majorHAnsi"/>
          <w:sz w:val="24"/>
          <w:szCs w:val="24"/>
        </w:rPr>
        <w:t>https://www.equalityhumanrights.com/en/advice-and-guidance/what-harassment-and-victimisation (Accessed 10.04.2023)</w:t>
      </w:r>
    </w:p>
    <w:p w:rsidR="007B4D0D" w:rsidRPr="007B4D0D" w:rsidRDefault="007B4D0D" w:rsidP="007B4D0D">
      <w:pPr>
        <w:spacing w:after="0" w:line="240" w:lineRule="auto"/>
        <w:rPr>
          <w:rFonts w:asciiTheme="majorHAnsi" w:hAnsiTheme="majorHAnsi" w:cstheme="majorHAnsi"/>
          <w:sz w:val="16"/>
          <w:szCs w:val="16"/>
        </w:rPr>
      </w:pPr>
    </w:p>
    <w:p w:rsidR="008508CA" w:rsidRPr="007B4D0D" w:rsidRDefault="008508CA" w:rsidP="007B4D0D">
      <w:pPr>
        <w:spacing w:after="0" w:line="240" w:lineRule="auto"/>
        <w:rPr>
          <w:rFonts w:asciiTheme="majorHAnsi" w:hAnsiTheme="majorHAnsi" w:cstheme="majorHAnsi"/>
          <w:sz w:val="16"/>
          <w:szCs w:val="16"/>
        </w:rPr>
      </w:pPr>
      <w:r w:rsidRPr="00B92F6A">
        <w:rPr>
          <w:rFonts w:asciiTheme="majorHAnsi" w:hAnsiTheme="majorHAnsi" w:cstheme="majorHAnsi"/>
          <w:sz w:val="24"/>
          <w:szCs w:val="24"/>
        </w:rPr>
        <w:t>Equality Human Right (2021) What is Equal Pay? https://www.equalityhumanrights.com/en/advice-and-guidance/what-equal-pay (Accessed 28.03.2023)</w:t>
      </w:r>
    </w:p>
    <w:p w:rsidR="007B4D0D" w:rsidRPr="007B4D0D" w:rsidRDefault="007B4D0D" w:rsidP="007B4D0D">
      <w:pPr>
        <w:spacing w:after="0" w:line="240" w:lineRule="auto"/>
        <w:rPr>
          <w:rFonts w:asciiTheme="majorHAnsi" w:hAnsiTheme="majorHAnsi" w:cstheme="majorHAnsi"/>
          <w:sz w:val="16"/>
          <w:szCs w:val="16"/>
        </w:rPr>
      </w:pPr>
    </w:p>
    <w:p w:rsidR="008508CA" w:rsidRPr="00F955A5" w:rsidRDefault="008508CA" w:rsidP="00F955A5">
      <w:pPr>
        <w:pStyle w:val="NormalWeb"/>
        <w:spacing w:before="0" w:beforeAutospacing="0" w:after="375" w:afterAutospacing="0"/>
        <w:textAlignment w:val="baseline"/>
        <w:rPr>
          <w:rFonts w:asciiTheme="majorHAnsi" w:eastAsia="Calibri" w:hAnsiTheme="majorHAnsi" w:cstheme="majorHAnsi"/>
          <w:sz w:val="16"/>
          <w:szCs w:val="16"/>
        </w:rPr>
      </w:pPr>
      <w:r w:rsidRPr="00B92F6A">
        <w:rPr>
          <w:rFonts w:asciiTheme="majorHAnsi" w:hAnsiTheme="majorHAnsi" w:cstheme="majorHAnsi"/>
        </w:rPr>
        <w:t xml:space="preserve">Gomez v Higher Level Care </w:t>
      </w:r>
      <w:r w:rsidRPr="00B92F6A">
        <w:rPr>
          <w:rFonts w:asciiTheme="majorHAnsi" w:eastAsia="Calibri" w:hAnsiTheme="majorHAnsi" w:cstheme="majorHAnsi"/>
        </w:rPr>
        <w:t>UKEAT/0017/16</w:t>
      </w:r>
      <w:r w:rsidR="00F955A5">
        <w:rPr>
          <w:rFonts w:asciiTheme="majorHAnsi" w:eastAsia="Calibri" w:hAnsiTheme="majorHAnsi" w:cstheme="majorHAnsi"/>
          <w:sz w:val="16"/>
          <w:szCs w:val="16"/>
        </w:rPr>
        <w:br/>
      </w:r>
      <w:r w:rsidR="00F955A5">
        <w:rPr>
          <w:rFonts w:asciiTheme="majorHAnsi" w:eastAsia="Calibri" w:hAnsiTheme="majorHAnsi" w:cstheme="majorHAnsi"/>
          <w:sz w:val="16"/>
          <w:szCs w:val="16"/>
        </w:rPr>
        <w:br/>
      </w:r>
      <w:r w:rsidR="00F955A5">
        <w:rPr>
          <w:rFonts w:asciiTheme="majorHAnsi" w:hAnsiTheme="majorHAnsi" w:cstheme="majorHAnsi"/>
        </w:rPr>
        <w:t>g</w:t>
      </w:r>
      <w:r w:rsidRPr="00B92F6A">
        <w:rPr>
          <w:rFonts w:asciiTheme="majorHAnsi" w:hAnsiTheme="majorHAnsi" w:cstheme="majorHAnsi"/>
        </w:rPr>
        <w:t>ov.uk (2023a) Equality Act 20120: Guidance https://www.gov.uk/guidance/equality-act-2010-</w:t>
      </w:r>
      <w:r w:rsidRPr="00B92F6A">
        <w:rPr>
          <w:rFonts w:asciiTheme="majorHAnsi" w:eastAsiaTheme="minorEastAsia" w:hAnsiTheme="majorHAnsi" w:cstheme="majorHAnsi"/>
        </w:rPr>
        <w:t>guidance (Accessed 22.03.20223)</w:t>
      </w:r>
      <w:r w:rsidR="00F955A5" w:rsidRPr="00F955A5">
        <w:rPr>
          <w:rFonts w:asciiTheme="majorHAnsi" w:eastAsiaTheme="minorEastAsia" w:hAnsiTheme="majorHAnsi" w:cstheme="majorHAnsi"/>
          <w:sz w:val="16"/>
          <w:szCs w:val="16"/>
        </w:rPr>
        <w:br/>
      </w:r>
      <w:r w:rsidR="00F955A5" w:rsidRPr="00F955A5">
        <w:rPr>
          <w:rFonts w:asciiTheme="majorHAnsi" w:eastAsiaTheme="minorEastAsia" w:hAnsiTheme="majorHAnsi" w:cstheme="majorHAnsi"/>
          <w:sz w:val="16"/>
          <w:szCs w:val="16"/>
        </w:rPr>
        <w:br/>
      </w:r>
      <w:r>
        <w:rPr>
          <w:rFonts w:asciiTheme="majorHAnsi" w:eastAsiaTheme="minorEastAsia" w:hAnsiTheme="majorHAnsi" w:cstheme="majorHAnsi"/>
        </w:rPr>
        <w:t>g</w:t>
      </w:r>
      <w:r w:rsidRPr="00B92F6A">
        <w:rPr>
          <w:rFonts w:asciiTheme="majorHAnsi" w:eastAsiaTheme="minorEastAsia" w:hAnsiTheme="majorHAnsi" w:cstheme="majorHAnsi"/>
        </w:rPr>
        <w:t>ov.uk (2023b) Employers: preventing discrimination https://www.gov.uk/employer-preventing-discrimination/recruitment (Accessed 23.03.20223)</w:t>
      </w:r>
      <w:r w:rsidR="00F955A5" w:rsidRPr="00F955A5">
        <w:rPr>
          <w:rFonts w:asciiTheme="majorHAnsi" w:eastAsiaTheme="minorEastAsia" w:hAnsiTheme="majorHAnsi" w:cstheme="majorHAnsi"/>
          <w:sz w:val="16"/>
          <w:szCs w:val="16"/>
        </w:rPr>
        <w:br/>
      </w:r>
      <w:r w:rsidR="00F955A5" w:rsidRPr="00F955A5">
        <w:rPr>
          <w:rFonts w:asciiTheme="majorHAnsi" w:eastAsiaTheme="minorEastAsia" w:hAnsiTheme="majorHAnsi" w:cstheme="majorHAnsi"/>
          <w:sz w:val="16"/>
          <w:szCs w:val="16"/>
        </w:rPr>
        <w:br/>
      </w:r>
      <w:r>
        <w:rPr>
          <w:rFonts w:asciiTheme="majorHAnsi" w:eastAsiaTheme="minorEastAsia" w:hAnsiTheme="majorHAnsi" w:cstheme="majorHAnsi"/>
        </w:rPr>
        <w:t>g</w:t>
      </w:r>
      <w:r w:rsidRPr="00B92F6A">
        <w:rPr>
          <w:rFonts w:asciiTheme="majorHAnsi" w:eastAsiaTheme="minorEastAsia" w:hAnsiTheme="majorHAnsi" w:cstheme="majorHAnsi"/>
        </w:rPr>
        <w:t xml:space="preserve">ov.uk (2023c) </w:t>
      </w:r>
      <w:r w:rsidRPr="00F955A5">
        <w:rPr>
          <w:rFonts w:asciiTheme="majorHAnsi" w:hAnsiTheme="majorHAnsi" w:cstheme="majorHAnsi"/>
        </w:rPr>
        <w:t>Business transfers, takeovers and TUPE</w:t>
      </w:r>
      <w:r w:rsidRPr="00B92F6A">
        <w:t xml:space="preserve"> </w:t>
      </w:r>
      <w:r w:rsidRPr="00F955A5">
        <w:rPr>
          <w:rFonts w:asciiTheme="majorHAnsi" w:hAnsiTheme="majorHAnsi" w:cstheme="majorHAnsi"/>
        </w:rPr>
        <w:t>https://www.gov.uk/transfers-takeovers</w:t>
      </w:r>
      <w:r w:rsidRPr="00B92F6A">
        <w:rPr>
          <w:rFonts w:asciiTheme="majorHAnsi" w:hAnsiTheme="majorHAnsi" w:cstheme="majorHAnsi"/>
        </w:rPr>
        <w:t xml:space="preserve"> (Accessed 23.04.2023)</w:t>
      </w:r>
    </w:p>
    <w:p w:rsidR="008508CA" w:rsidRPr="00B92F6A" w:rsidRDefault="008508CA" w:rsidP="008508CA">
      <w:pPr>
        <w:spacing w:after="0" w:line="240" w:lineRule="auto"/>
        <w:rPr>
          <w:rFonts w:asciiTheme="majorHAnsi" w:eastAsiaTheme="minorEastAsia" w:hAnsiTheme="majorHAnsi" w:cstheme="majorHAnsi"/>
          <w:sz w:val="24"/>
          <w:szCs w:val="24"/>
        </w:rPr>
      </w:pPr>
      <w:r>
        <w:rPr>
          <w:rFonts w:asciiTheme="majorHAnsi" w:hAnsiTheme="majorHAnsi" w:cstheme="majorHAnsi"/>
          <w:sz w:val="24"/>
          <w:szCs w:val="24"/>
        </w:rPr>
        <w:t>g</w:t>
      </w:r>
      <w:r w:rsidRPr="00B92F6A">
        <w:rPr>
          <w:rFonts w:asciiTheme="majorHAnsi" w:hAnsiTheme="majorHAnsi" w:cstheme="majorHAnsi"/>
          <w:sz w:val="24"/>
          <w:szCs w:val="24"/>
        </w:rPr>
        <w:t>ov.uk</w:t>
      </w:r>
      <w:r w:rsidRPr="00B92F6A">
        <w:rPr>
          <w:rFonts w:asciiTheme="majorHAnsi" w:eastAsiaTheme="minorEastAsia" w:hAnsiTheme="majorHAnsi" w:cstheme="majorHAnsi"/>
          <w:sz w:val="24"/>
          <w:szCs w:val="24"/>
          <w:lang w:eastAsia="en-GB"/>
        </w:rPr>
        <w:t xml:space="preserve"> (2023d) National Minimum Wage and National Living Wage rates</w:t>
      </w:r>
      <w:r w:rsidRPr="00B92F6A">
        <w:rPr>
          <w:rFonts w:asciiTheme="majorHAnsi" w:hAnsiTheme="majorHAnsi" w:cstheme="majorHAnsi"/>
          <w:sz w:val="24"/>
          <w:szCs w:val="24"/>
        </w:rPr>
        <w:t xml:space="preserve"> </w:t>
      </w:r>
      <w:r w:rsidRPr="00B92F6A">
        <w:rPr>
          <w:rFonts w:asciiTheme="majorHAnsi" w:eastAsiaTheme="minorEastAsia" w:hAnsiTheme="majorHAnsi" w:cstheme="majorHAnsi"/>
          <w:sz w:val="24"/>
          <w:szCs w:val="24"/>
          <w:lang w:eastAsia="en-GB"/>
        </w:rPr>
        <w:t>https://www.gov.uk/national-minimum-wage-rates</w:t>
      </w:r>
      <w:r w:rsidRPr="00B92F6A">
        <w:rPr>
          <w:rFonts w:asciiTheme="majorHAnsi" w:eastAsiaTheme="minorEastAsia" w:hAnsiTheme="majorHAnsi" w:cstheme="majorHAnsi"/>
          <w:sz w:val="24"/>
          <w:szCs w:val="24"/>
        </w:rPr>
        <w:t xml:space="preserve"> (Accessed 15.04.2023)</w:t>
      </w:r>
    </w:p>
    <w:p w:rsidR="008508CA" w:rsidRPr="00B92F6A" w:rsidRDefault="008508CA" w:rsidP="008508CA">
      <w:pPr>
        <w:spacing w:after="0" w:line="240" w:lineRule="auto"/>
        <w:rPr>
          <w:rFonts w:asciiTheme="majorHAnsi" w:eastAsiaTheme="minorEastAsia" w:hAnsiTheme="majorHAnsi" w:cstheme="majorHAnsi"/>
          <w:sz w:val="24"/>
          <w:szCs w:val="24"/>
        </w:rPr>
      </w:pPr>
    </w:p>
    <w:p w:rsidR="008508CA" w:rsidRPr="00B92F6A" w:rsidRDefault="008508CA" w:rsidP="008508CA">
      <w:pPr>
        <w:rPr>
          <w:rFonts w:asciiTheme="majorHAnsi" w:hAnsiTheme="majorHAnsi" w:cstheme="majorHAnsi"/>
          <w:sz w:val="24"/>
          <w:szCs w:val="24"/>
        </w:rPr>
      </w:pPr>
      <w:r>
        <w:rPr>
          <w:rFonts w:asciiTheme="majorHAnsi" w:hAnsiTheme="majorHAnsi" w:cstheme="majorHAnsi"/>
          <w:sz w:val="24"/>
          <w:szCs w:val="24"/>
        </w:rPr>
        <w:t>g</w:t>
      </w:r>
      <w:r w:rsidRPr="00B92F6A">
        <w:rPr>
          <w:rFonts w:asciiTheme="majorHAnsi" w:hAnsiTheme="majorHAnsi" w:cstheme="majorHAnsi"/>
          <w:sz w:val="24"/>
          <w:szCs w:val="24"/>
        </w:rPr>
        <w:t>ov.uk (2023e) Flexible Working https://www.gov.uk/flexible-working (Accessed 03.04.2023)</w:t>
      </w:r>
    </w:p>
    <w:p w:rsidR="008508CA" w:rsidRPr="00B92F6A" w:rsidRDefault="008508CA" w:rsidP="008508CA">
      <w:pPr>
        <w:rPr>
          <w:rFonts w:asciiTheme="majorHAnsi" w:hAnsiTheme="majorHAnsi" w:cstheme="majorHAnsi"/>
          <w:sz w:val="24"/>
          <w:szCs w:val="24"/>
        </w:rPr>
      </w:pPr>
      <w:r>
        <w:rPr>
          <w:rFonts w:asciiTheme="majorHAnsi" w:hAnsiTheme="majorHAnsi" w:cstheme="majorHAnsi"/>
          <w:sz w:val="24"/>
          <w:szCs w:val="24"/>
        </w:rPr>
        <w:t>g</w:t>
      </w:r>
      <w:r w:rsidRPr="00B92F6A">
        <w:rPr>
          <w:rFonts w:asciiTheme="majorHAnsi" w:hAnsiTheme="majorHAnsi" w:cstheme="majorHAnsi"/>
          <w:sz w:val="24"/>
          <w:szCs w:val="24"/>
        </w:rPr>
        <w:t>ov.uk (2023f) Flexible Working https://www.gov.uk/flexible-working/appeals (Accessed 04.04.2023)</w:t>
      </w:r>
    </w:p>
    <w:p w:rsidR="008508CA" w:rsidRPr="00B92F6A" w:rsidRDefault="008508CA" w:rsidP="008508CA">
      <w:pPr>
        <w:spacing w:line="257" w:lineRule="auto"/>
        <w:rPr>
          <w:rFonts w:asciiTheme="majorHAnsi" w:eastAsia="Calibri" w:hAnsiTheme="majorHAnsi" w:cstheme="majorHAnsi"/>
          <w:sz w:val="24"/>
          <w:szCs w:val="24"/>
        </w:rPr>
      </w:pPr>
      <w:proofErr w:type="spellStart"/>
      <w:r w:rsidRPr="00B92F6A">
        <w:rPr>
          <w:rFonts w:asciiTheme="majorHAnsi" w:eastAsia="Calibri" w:hAnsiTheme="majorHAnsi" w:cstheme="majorHAnsi"/>
          <w:sz w:val="24"/>
          <w:szCs w:val="24"/>
        </w:rPr>
        <w:t>Gray</w:t>
      </w:r>
      <w:proofErr w:type="spellEnd"/>
      <w:r w:rsidRPr="00B92F6A">
        <w:rPr>
          <w:rFonts w:asciiTheme="majorHAnsi" w:eastAsia="Calibri" w:hAnsiTheme="majorHAnsi" w:cstheme="majorHAnsi"/>
          <w:sz w:val="24"/>
          <w:szCs w:val="24"/>
        </w:rPr>
        <w:t xml:space="preserve"> B., Chambers L. (2021) </w:t>
      </w:r>
      <w:r w:rsidRPr="00B92F6A">
        <w:rPr>
          <w:rFonts w:asciiTheme="majorHAnsi" w:eastAsia="Calibri" w:hAnsiTheme="majorHAnsi" w:cstheme="majorHAnsi"/>
          <w:i/>
          <w:iCs/>
          <w:sz w:val="24"/>
          <w:szCs w:val="24"/>
        </w:rPr>
        <w:t xml:space="preserve">Employment Tribunal Handbook 2021-2022 </w:t>
      </w:r>
      <w:r w:rsidRPr="00B92F6A">
        <w:rPr>
          <w:rFonts w:asciiTheme="majorHAnsi" w:eastAsia="Calibri" w:hAnsiTheme="majorHAnsi" w:cstheme="majorHAnsi"/>
          <w:sz w:val="24"/>
          <w:szCs w:val="24"/>
        </w:rPr>
        <w:t>Eighth edition Bath Publishing Limited:  Bath</w:t>
      </w:r>
    </w:p>
    <w:p w:rsidR="008508CA" w:rsidRPr="00B92F6A" w:rsidRDefault="008508CA" w:rsidP="008508CA">
      <w:pPr>
        <w:pStyle w:val="NormalWeb"/>
        <w:spacing w:before="0" w:beforeAutospacing="0" w:after="375" w:afterAutospacing="0"/>
        <w:textAlignment w:val="baseline"/>
        <w:rPr>
          <w:rFonts w:asciiTheme="majorHAnsi" w:eastAsia="Calibri" w:hAnsiTheme="majorHAnsi" w:cstheme="majorHAnsi"/>
        </w:rPr>
      </w:pPr>
      <w:r w:rsidRPr="00B92F6A">
        <w:rPr>
          <w:rFonts w:asciiTheme="majorHAnsi" w:hAnsiTheme="majorHAnsi" w:cstheme="majorHAnsi"/>
        </w:rPr>
        <w:t xml:space="preserve">Gregory v </w:t>
      </w:r>
      <w:proofErr w:type="spellStart"/>
      <w:r w:rsidRPr="00B92F6A">
        <w:rPr>
          <w:rFonts w:asciiTheme="majorHAnsi" w:hAnsiTheme="majorHAnsi" w:cstheme="majorHAnsi"/>
        </w:rPr>
        <w:t>Tudsbury</w:t>
      </w:r>
      <w:proofErr w:type="spellEnd"/>
      <w:r w:rsidRPr="00B92F6A">
        <w:rPr>
          <w:rFonts w:asciiTheme="majorHAnsi" w:hAnsiTheme="majorHAnsi" w:cstheme="majorHAnsi"/>
        </w:rPr>
        <w:t xml:space="preserve"> Ltd (1982) IRLR 267</w:t>
      </w:r>
    </w:p>
    <w:p w:rsidR="008508CA" w:rsidRPr="00B92F6A" w:rsidRDefault="008508CA" w:rsidP="008508CA">
      <w:pPr>
        <w:pStyle w:val="NormalWeb"/>
        <w:spacing w:before="0" w:beforeAutospacing="0" w:after="375" w:afterAutospacing="0"/>
        <w:textAlignment w:val="baseline"/>
        <w:rPr>
          <w:rFonts w:asciiTheme="majorHAnsi" w:hAnsiTheme="majorHAnsi" w:cstheme="majorHAnsi"/>
        </w:rPr>
      </w:pPr>
      <w:r w:rsidRPr="00B92F6A">
        <w:rPr>
          <w:rFonts w:asciiTheme="majorHAnsi" w:hAnsiTheme="majorHAnsi" w:cstheme="majorHAnsi"/>
        </w:rPr>
        <w:t xml:space="preserve">Hayward v </w:t>
      </w:r>
      <w:proofErr w:type="spellStart"/>
      <w:r w:rsidRPr="00B92F6A">
        <w:rPr>
          <w:rFonts w:asciiTheme="majorHAnsi" w:hAnsiTheme="majorHAnsi" w:cstheme="majorHAnsi"/>
        </w:rPr>
        <w:t>Cammell</w:t>
      </w:r>
      <w:proofErr w:type="spellEnd"/>
      <w:r w:rsidRPr="00B92F6A">
        <w:rPr>
          <w:rFonts w:asciiTheme="majorHAnsi" w:hAnsiTheme="majorHAnsi" w:cstheme="majorHAnsi"/>
        </w:rPr>
        <w:t xml:space="preserve"> Laird Ltd (1988) AC 894 </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iCs/>
          <w:sz w:val="24"/>
          <w:szCs w:val="24"/>
        </w:rPr>
        <w:t>IDS (2014)</w:t>
      </w:r>
      <w:r w:rsidRPr="00B92F6A">
        <w:rPr>
          <w:rFonts w:asciiTheme="majorHAnsi" w:hAnsiTheme="majorHAnsi" w:cstheme="majorHAnsi"/>
          <w:i/>
          <w:iCs/>
          <w:sz w:val="24"/>
          <w:szCs w:val="24"/>
        </w:rPr>
        <w:t xml:space="preserve"> Employment Tribunal Practice and Procedure</w:t>
      </w:r>
      <w:r w:rsidRPr="00B92F6A">
        <w:rPr>
          <w:rFonts w:asciiTheme="majorHAnsi" w:hAnsiTheme="majorHAnsi" w:cstheme="majorHAnsi"/>
          <w:sz w:val="24"/>
          <w:szCs w:val="24"/>
        </w:rPr>
        <w:t xml:space="preserve"> </w:t>
      </w:r>
      <w:r w:rsidRPr="00B92F6A">
        <w:rPr>
          <w:rFonts w:asciiTheme="majorHAnsi" w:hAnsiTheme="majorHAnsi" w:cstheme="majorHAnsi"/>
          <w:i/>
          <w:iCs/>
          <w:sz w:val="24"/>
          <w:szCs w:val="24"/>
        </w:rPr>
        <w:t>Employment Law Handbook</w:t>
      </w:r>
      <w:r w:rsidRPr="00B92F6A">
        <w:rPr>
          <w:rFonts w:asciiTheme="majorHAnsi" w:hAnsiTheme="majorHAnsi" w:cstheme="majorHAnsi"/>
          <w:sz w:val="24"/>
          <w:szCs w:val="24"/>
        </w:rPr>
        <w:t>, 2</w:t>
      </w:r>
      <w:r w:rsidRPr="00B92F6A">
        <w:rPr>
          <w:rFonts w:asciiTheme="majorHAnsi" w:hAnsiTheme="majorHAnsi" w:cstheme="majorHAnsi"/>
          <w:sz w:val="24"/>
          <w:szCs w:val="24"/>
          <w:vertAlign w:val="superscript"/>
        </w:rPr>
        <w:t>nd</w:t>
      </w:r>
      <w:r w:rsidRPr="00B92F6A">
        <w:rPr>
          <w:rFonts w:asciiTheme="majorHAnsi" w:hAnsiTheme="majorHAnsi" w:cstheme="majorHAnsi"/>
          <w:sz w:val="24"/>
          <w:szCs w:val="24"/>
        </w:rPr>
        <w:t xml:space="preserve"> edition Thompson Reuters London</w:t>
      </w:r>
    </w:p>
    <w:p w:rsidR="008508CA" w:rsidRPr="00B92F6A" w:rsidRDefault="008508CA" w:rsidP="008508CA">
      <w:pPr>
        <w:rPr>
          <w:rFonts w:asciiTheme="majorHAnsi" w:hAnsiTheme="majorHAnsi" w:cstheme="majorHAnsi"/>
          <w:sz w:val="24"/>
          <w:szCs w:val="24"/>
        </w:rPr>
      </w:pPr>
      <w:r w:rsidRPr="00B92F6A">
        <w:rPr>
          <w:rFonts w:asciiTheme="majorHAnsi" w:eastAsiaTheme="minorEastAsia" w:hAnsiTheme="majorHAnsi" w:cstheme="majorHAnsi"/>
          <w:sz w:val="24"/>
          <w:szCs w:val="24"/>
        </w:rPr>
        <w:t xml:space="preserve">Jefferson, M., (2016) </w:t>
      </w:r>
      <w:r w:rsidRPr="00B92F6A">
        <w:rPr>
          <w:rFonts w:asciiTheme="majorHAnsi" w:eastAsiaTheme="minorEastAsia" w:hAnsiTheme="majorHAnsi" w:cstheme="majorHAnsi"/>
          <w:i/>
          <w:iCs/>
          <w:sz w:val="24"/>
          <w:szCs w:val="24"/>
        </w:rPr>
        <w:t xml:space="preserve">Concentrate Employment Law </w:t>
      </w:r>
      <w:r w:rsidRPr="00B92F6A">
        <w:rPr>
          <w:rFonts w:asciiTheme="majorHAnsi" w:eastAsiaTheme="minorEastAsia" w:hAnsiTheme="majorHAnsi" w:cstheme="majorHAnsi"/>
          <w:sz w:val="24"/>
          <w:szCs w:val="24"/>
        </w:rPr>
        <w:t>5</w:t>
      </w:r>
      <w:r w:rsidRPr="00B92F6A">
        <w:rPr>
          <w:rFonts w:asciiTheme="majorHAnsi" w:eastAsiaTheme="minorEastAsia" w:hAnsiTheme="majorHAnsi" w:cstheme="majorHAnsi"/>
          <w:sz w:val="24"/>
          <w:szCs w:val="24"/>
          <w:vertAlign w:val="superscript"/>
        </w:rPr>
        <w:t>th</w:t>
      </w:r>
      <w:r w:rsidRPr="00B92F6A">
        <w:rPr>
          <w:rFonts w:asciiTheme="majorHAnsi" w:eastAsiaTheme="minorEastAsia" w:hAnsiTheme="majorHAnsi" w:cstheme="majorHAnsi"/>
          <w:sz w:val="24"/>
          <w:szCs w:val="24"/>
        </w:rPr>
        <w:t xml:space="preserve"> edition Oxford Press: Oxford</w:t>
      </w:r>
    </w:p>
    <w:p w:rsidR="008508CA" w:rsidRPr="00F955A5" w:rsidRDefault="008508CA" w:rsidP="00F955A5">
      <w:pPr>
        <w:pStyle w:val="NormalWeb"/>
        <w:spacing w:before="0" w:beforeAutospacing="0" w:after="0" w:afterAutospacing="0"/>
        <w:textAlignment w:val="baseline"/>
        <w:rPr>
          <w:rFonts w:asciiTheme="majorHAnsi" w:eastAsia="Calibri" w:hAnsiTheme="majorHAnsi" w:cstheme="majorHAnsi"/>
          <w:sz w:val="16"/>
          <w:szCs w:val="16"/>
        </w:rPr>
      </w:pPr>
      <w:r w:rsidRPr="00B92F6A">
        <w:rPr>
          <w:rFonts w:asciiTheme="majorHAnsi" w:hAnsiTheme="majorHAnsi" w:cstheme="majorHAnsi"/>
        </w:rPr>
        <w:t xml:space="preserve">King v Tesco Store Ltd </w:t>
      </w:r>
      <w:r w:rsidRPr="00B92F6A">
        <w:rPr>
          <w:rFonts w:asciiTheme="majorHAnsi" w:eastAsia="Calibri" w:hAnsiTheme="majorHAnsi" w:cstheme="majorHAnsi"/>
        </w:rPr>
        <w:t>2301268/2017</w:t>
      </w:r>
    </w:p>
    <w:p w:rsidR="00F955A5" w:rsidRPr="00F955A5" w:rsidRDefault="00F955A5" w:rsidP="00F955A5">
      <w:pPr>
        <w:pStyle w:val="NormalWeb"/>
        <w:spacing w:before="0" w:beforeAutospacing="0" w:after="0" w:afterAutospacing="0"/>
        <w:textAlignment w:val="baseline"/>
        <w:rPr>
          <w:rFonts w:asciiTheme="majorHAnsi" w:eastAsia="Calibri" w:hAnsiTheme="majorHAnsi" w:cstheme="majorHAnsi"/>
          <w:sz w:val="16"/>
          <w:szCs w:val="16"/>
        </w:rPr>
      </w:pPr>
    </w:p>
    <w:p w:rsidR="00F955A5" w:rsidRDefault="008508CA" w:rsidP="00F955A5">
      <w:pPr>
        <w:pStyle w:val="NormalWeb"/>
        <w:spacing w:before="0" w:beforeAutospacing="0" w:after="0" w:afterAutospacing="0"/>
        <w:textAlignment w:val="baseline"/>
        <w:rPr>
          <w:rFonts w:asciiTheme="majorHAnsi" w:hAnsiTheme="majorHAnsi" w:cstheme="majorHAnsi"/>
        </w:rPr>
      </w:pPr>
      <w:r w:rsidRPr="00B92F6A">
        <w:rPr>
          <w:rFonts w:asciiTheme="majorHAnsi" w:hAnsiTheme="majorHAnsi" w:cstheme="majorHAnsi"/>
        </w:rPr>
        <w:t>LITRG Group (2023) What tax do I pay on redundancy payments? https://www.litrg.org.uk/tax-guides/employment/what-tax-do-i-pay-redundancy-payments (Accessed 19.04.2023)</w:t>
      </w:r>
    </w:p>
    <w:p w:rsidR="00F955A5" w:rsidRPr="00F955A5" w:rsidRDefault="00F955A5" w:rsidP="00F955A5">
      <w:pPr>
        <w:pStyle w:val="NormalWeb"/>
        <w:spacing w:before="0" w:beforeAutospacing="0" w:after="0" w:afterAutospacing="0"/>
        <w:textAlignment w:val="baseline"/>
        <w:rPr>
          <w:rFonts w:asciiTheme="majorHAnsi" w:hAnsiTheme="majorHAnsi" w:cstheme="majorHAnsi"/>
          <w:sz w:val="16"/>
          <w:szCs w:val="16"/>
        </w:rPr>
      </w:pP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Lockton, D., (2014) </w:t>
      </w:r>
      <w:r w:rsidRPr="00B92F6A">
        <w:rPr>
          <w:rFonts w:asciiTheme="majorHAnsi" w:hAnsiTheme="majorHAnsi" w:cstheme="majorHAnsi"/>
          <w:i/>
          <w:iCs/>
          <w:sz w:val="24"/>
          <w:szCs w:val="24"/>
        </w:rPr>
        <w:t xml:space="preserve">Employment Law </w:t>
      </w:r>
      <w:r w:rsidRPr="00B92F6A">
        <w:rPr>
          <w:rFonts w:asciiTheme="majorHAnsi" w:hAnsiTheme="majorHAnsi" w:cstheme="majorHAnsi"/>
          <w:iCs/>
          <w:sz w:val="24"/>
          <w:szCs w:val="24"/>
        </w:rPr>
        <w:t>9</w:t>
      </w:r>
      <w:r w:rsidRPr="00B92F6A">
        <w:rPr>
          <w:rFonts w:asciiTheme="majorHAnsi" w:hAnsiTheme="majorHAnsi" w:cstheme="majorHAnsi"/>
          <w:iCs/>
          <w:sz w:val="24"/>
          <w:szCs w:val="24"/>
          <w:vertAlign w:val="superscript"/>
        </w:rPr>
        <w:t>th</w:t>
      </w:r>
      <w:r w:rsidRPr="00B92F6A">
        <w:rPr>
          <w:rFonts w:asciiTheme="majorHAnsi" w:hAnsiTheme="majorHAnsi" w:cstheme="majorHAnsi"/>
          <w:sz w:val="24"/>
          <w:szCs w:val="24"/>
        </w:rPr>
        <w:t xml:space="preserve">edition </w:t>
      </w:r>
      <w:r w:rsidRPr="00B92F6A">
        <w:rPr>
          <w:rFonts w:asciiTheme="majorHAnsi" w:hAnsiTheme="majorHAnsi" w:cstheme="majorHAnsi"/>
          <w:iCs/>
          <w:sz w:val="24"/>
          <w:szCs w:val="24"/>
        </w:rPr>
        <w:t>Palgrave Macmillan</w:t>
      </w:r>
      <w:r w:rsidRPr="00B92F6A">
        <w:rPr>
          <w:rFonts w:asciiTheme="majorHAnsi" w:hAnsiTheme="majorHAnsi" w:cstheme="majorHAnsi"/>
          <w:sz w:val="24"/>
          <w:szCs w:val="24"/>
        </w:rPr>
        <w:t>: Basingstoke</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 xml:space="preserve">Prospect (2003a) </w:t>
      </w:r>
      <w:r w:rsidRPr="00B92F6A">
        <w:rPr>
          <w:rFonts w:asciiTheme="majorHAnsi" w:hAnsiTheme="majorHAnsi" w:cstheme="majorHAnsi"/>
          <w:i/>
          <w:sz w:val="24"/>
          <w:szCs w:val="24"/>
        </w:rPr>
        <w:t>TUPE Regulations Members’ Guide</w:t>
      </w:r>
      <w:r w:rsidRPr="00B92F6A">
        <w:rPr>
          <w:rFonts w:asciiTheme="majorHAnsi" w:hAnsiTheme="majorHAnsi" w:cstheme="majorHAnsi"/>
          <w:sz w:val="24"/>
          <w:szCs w:val="24"/>
        </w:rPr>
        <w:t xml:space="preserve"> Prospect: London</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lastRenderedPageBreak/>
        <w:t xml:space="preserve">Prospect (2003b) </w:t>
      </w:r>
      <w:r w:rsidRPr="00B92F6A">
        <w:rPr>
          <w:rFonts w:asciiTheme="majorHAnsi" w:hAnsiTheme="majorHAnsi" w:cstheme="majorHAnsi"/>
          <w:i/>
          <w:iCs/>
          <w:sz w:val="24"/>
          <w:szCs w:val="24"/>
        </w:rPr>
        <w:t xml:space="preserve">Maternity Rights Members’ Guide </w:t>
      </w:r>
      <w:r w:rsidRPr="00B92F6A">
        <w:rPr>
          <w:rFonts w:asciiTheme="majorHAnsi" w:hAnsiTheme="majorHAnsi" w:cstheme="majorHAnsi"/>
          <w:sz w:val="24"/>
          <w:szCs w:val="24"/>
        </w:rPr>
        <w:t>Prospect: London</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Study Smarter (2023a) https://www.studysmarter.co.uk/explanations/business-studies/influences-on-business/employment-law/#:~:text=A%20few%20benefits%20of%20employment,examples%20of%20employment%20law (Accessed 09.04.2023)</w:t>
      </w:r>
    </w:p>
    <w:p w:rsidR="008508CA" w:rsidRPr="00B92F6A" w:rsidRDefault="008508CA" w:rsidP="008508CA">
      <w:pPr>
        <w:rPr>
          <w:rFonts w:asciiTheme="majorHAnsi" w:hAnsiTheme="majorHAnsi" w:cstheme="majorHAnsi"/>
          <w:sz w:val="24"/>
          <w:szCs w:val="24"/>
        </w:rPr>
      </w:pPr>
      <w:proofErr w:type="spellStart"/>
      <w:r w:rsidRPr="00B92F6A">
        <w:rPr>
          <w:rFonts w:asciiTheme="majorHAnsi" w:hAnsiTheme="majorHAnsi" w:cstheme="majorHAnsi"/>
          <w:sz w:val="24"/>
          <w:szCs w:val="24"/>
        </w:rPr>
        <w:t>Suddards</w:t>
      </w:r>
      <w:proofErr w:type="spellEnd"/>
      <w:r w:rsidRPr="00B92F6A">
        <w:rPr>
          <w:rFonts w:asciiTheme="majorHAnsi" w:hAnsiTheme="majorHAnsi" w:cstheme="majorHAnsi"/>
          <w:sz w:val="24"/>
          <w:szCs w:val="24"/>
        </w:rPr>
        <w:t xml:space="preserve">, H., (1999) </w:t>
      </w:r>
      <w:r w:rsidRPr="00B92F6A">
        <w:rPr>
          <w:rFonts w:asciiTheme="majorHAnsi" w:hAnsiTheme="majorHAnsi" w:cstheme="majorHAnsi"/>
          <w:i/>
          <w:iCs/>
          <w:sz w:val="24"/>
          <w:szCs w:val="24"/>
        </w:rPr>
        <w:t xml:space="preserve">Maternity Rights </w:t>
      </w:r>
      <w:r w:rsidRPr="00B92F6A">
        <w:rPr>
          <w:rFonts w:asciiTheme="majorHAnsi" w:hAnsiTheme="majorHAnsi" w:cstheme="majorHAnsi"/>
          <w:sz w:val="24"/>
          <w:szCs w:val="24"/>
        </w:rPr>
        <w:t>Institute</w:t>
      </w:r>
      <w:r w:rsidRPr="00B92F6A">
        <w:rPr>
          <w:rFonts w:asciiTheme="majorHAnsi" w:hAnsiTheme="majorHAnsi" w:cstheme="majorHAnsi"/>
          <w:sz w:val="24"/>
          <w:szCs w:val="24"/>
        </w:rPr>
        <w:t xml:space="preserve"> of Personnel and Development: London</w:t>
      </w:r>
    </w:p>
    <w:p w:rsidR="008508CA" w:rsidRPr="00B92F6A" w:rsidRDefault="008508CA" w:rsidP="008508CA">
      <w:pPr>
        <w:rPr>
          <w:rFonts w:asciiTheme="majorHAnsi" w:hAnsiTheme="majorHAnsi" w:cstheme="majorHAnsi"/>
          <w:sz w:val="24"/>
          <w:szCs w:val="24"/>
        </w:rPr>
      </w:pPr>
      <w:proofErr w:type="spellStart"/>
      <w:r w:rsidRPr="00B92F6A">
        <w:rPr>
          <w:rFonts w:asciiTheme="majorHAnsi" w:hAnsiTheme="majorHAnsi" w:cstheme="majorHAnsi"/>
          <w:sz w:val="24"/>
          <w:szCs w:val="24"/>
        </w:rPr>
        <w:t>Silkin</w:t>
      </w:r>
      <w:proofErr w:type="spellEnd"/>
      <w:r w:rsidRPr="00B92F6A">
        <w:rPr>
          <w:rFonts w:asciiTheme="majorHAnsi" w:hAnsiTheme="majorHAnsi" w:cstheme="majorHAnsi"/>
          <w:sz w:val="24"/>
          <w:szCs w:val="24"/>
        </w:rPr>
        <w:t>, L., (2022) Equal Pay https://www.lewissilkin.com/en/insights/equal-pay (Accessed 22.04.2023)</w:t>
      </w:r>
    </w:p>
    <w:p w:rsidR="008508CA" w:rsidRPr="00B92F6A" w:rsidRDefault="008508CA" w:rsidP="008508CA">
      <w:pPr>
        <w:rPr>
          <w:rFonts w:asciiTheme="majorHAnsi" w:hAnsiTheme="majorHAnsi" w:cstheme="majorHAnsi"/>
          <w:i/>
          <w:iCs/>
          <w:sz w:val="24"/>
          <w:szCs w:val="24"/>
        </w:rPr>
      </w:pPr>
      <w:r w:rsidRPr="00B92F6A">
        <w:rPr>
          <w:rFonts w:asciiTheme="majorHAnsi" w:hAnsiTheme="majorHAnsi" w:cstheme="majorHAnsi"/>
          <w:sz w:val="24"/>
          <w:szCs w:val="24"/>
        </w:rPr>
        <w:t xml:space="preserve">Taylor, S., Wilkinson, K., (2022) Chapter 4 </w:t>
      </w:r>
      <w:r w:rsidRPr="00B92F6A">
        <w:rPr>
          <w:rFonts w:asciiTheme="majorHAnsi" w:hAnsiTheme="majorHAnsi" w:cstheme="majorHAnsi"/>
          <w:i/>
          <w:iCs/>
          <w:sz w:val="24"/>
          <w:szCs w:val="24"/>
        </w:rPr>
        <w:t xml:space="preserve">Human Resources Management People and Organisation </w:t>
      </w:r>
      <w:r w:rsidRPr="00B92F6A">
        <w:rPr>
          <w:rFonts w:asciiTheme="majorHAnsi" w:hAnsiTheme="majorHAnsi" w:cstheme="majorHAnsi"/>
          <w:sz w:val="24"/>
          <w:szCs w:val="24"/>
        </w:rPr>
        <w:t xml:space="preserve">by Taylor, S., </w:t>
      </w:r>
      <w:proofErr w:type="spellStart"/>
      <w:r w:rsidRPr="00B92F6A">
        <w:rPr>
          <w:rFonts w:asciiTheme="majorHAnsi" w:hAnsiTheme="majorHAnsi" w:cstheme="majorHAnsi"/>
          <w:sz w:val="24"/>
          <w:szCs w:val="24"/>
        </w:rPr>
        <w:t>Woodhams</w:t>
      </w:r>
      <w:proofErr w:type="spellEnd"/>
      <w:r w:rsidRPr="00B92F6A">
        <w:rPr>
          <w:rFonts w:asciiTheme="majorHAnsi" w:hAnsiTheme="majorHAnsi" w:cstheme="majorHAnsi"/>
          <w:sz w:val="24"/>
          <w:szCs w:val="24"/>
        </w:rPr>
        <w:t>, C.</w:t>
      </w:r>
    </w:p>
    <w:p w:rsidR="008508CA" w:rsidRPr="00B92F6A" w:rsidRDefault="008508CA" w:rsidP="008508CA">
      <w:pPr>
        <w:rPr>
          <w:rFonts w:asciiTheme="majorHAnsi" w:hAnsiTheme="majorHAnsi" w:cstheme="majorHAnsi"/>
          <w:sz w:val="24"/>
          <w:szCs w:val="24"/>
        </w:rPr>
      </w:pPr>
      <w:r w:rsidRPr="00B92F6A">
        <w:rPr>
          <w:rFonts w:asciiTheme="majorHAnsi" w:hAnsiTheme="majorHAnsi" w:cstheme="majorHAnsi"/>
          <w:sz w:val="24"/>
          <w:szCs w:val="24"/>
        </w:rPr>
        <w:t>UNISON (2023) Employment tribunals https://www.unison.org.uk/get-help/knowledge/disputes-grievances/employment-tribunals/#:~:text=At%20the%20employment%20tribunal%20hearing,what%20any%20award%20should%20be (Accessed, 13.04.2023)</w:t>
      </w:r>
    </w:p>
    <w:p w:rsidR="00612CEF" w:rsidRPr="00F955A5" w:rsidRDefault="008508CA">
      <w:pPr>
        <w:rPr>
          <w:rFonts w:asciiTheme="majorHAnsi" w:hAnsiTheme="majorHAnsi" w:cstheme="majorHAnsi"/>
          <w:i/>
          <w:sz w:val="24"/>
          <w:szCs w:val="24"/>
        </w:rPr>
      </w:pPr>
      <w:proofErr w:type="spellStart"/>
      <w:r w:rsidRPr="00B92F6A">
        <w:rPr>
          <w:rFonts w:asciiTheme="majorHAnsi" w:hAnsiTheme="majorHAnsi" w:cstheme="majorHAnsi"/>
          <w:sz w:val="24"/>
          <w:szCs w:val="24"/>
        </w:rPr>
        <w:t>Wyn</w:t>
      </w:r>
      <w:proofErr w:type="spellEnd"/>
      <w:r w:rsidRPr="00B92F6A">
        <w:rPr>
          <w:rFonts w:asciiTheme="majorHAnsi" w:hAnsiTheme="majorHAnsi" w:cstheme="majorHAnsi"/>
          <w:sz w:val="24"/>
          <w:szCs w:val="24"/>
        </w:rPr>
        <w:t xml:space="preserve">-Evans, C., (2022) </w:t>
      </w:r>
      <w:r w:rsidRPr="00B92F6A">
        <w:rPr>
          <w:rFonts w:asciiTheme="majorHAnsi" w:hAnsiTheme="majorHAnsi" w:cstheme="majorHAnsi"/>
          <w:i/>
          <w:sz w:val="24"/>
          <w:szCs w:val="24"/>
        </w:rPr>
        <w:t xml:space="preserve">The Law of TUPE Transfers </w:t>
      </w:r>
      <w:r w:rsidRPr="00B92F6A">
        <w:rPr>
          <w:rFonts w:asciiTheme="majorHAnsi" w:hAnsiTheme="majorHAnsi" w:cstheme="majorHAnsi"/>
          <w:sz w:val="24"/>
          <w:szCs w:val="24"/>
        </w:rPr>
        <w:t xml:space="preserve">3rth edition Oxford </w:t>
      </w:r>
      <w:proofErr w:type="gramStart"/>
      <w:r w:rsidRPr="00B92F6A">
        <w:rPr>
          <w:rFonts w:asciiTheme="majorHAnsi" w:hAnsiTheme="majorHAnsi" w:cstheme="majorHAnsi"/>
          <w:sz w:val="24"/>
          <w:szCs w:val="24"/>
        </w:rPr>
        <w:t>Press :</w:t>
      </w:r>
      <w:proofErr w:type="gramEnd"/>
      <w:r w:rsidRPr="00B92F6A">
        <w:rPr>
          <w:rFonts w:asciiTheme="majorHAnsi" w:hAnsiTheme="majorHAnsi" w:cstheme="majorHAnsi"/>
          <w:sz w:val="24"/>
          <w:szCs w:val="24"/>
        </w:rPr>
        <w:t xml:space="preserve"> Oxford</w:t>
      </w:r>
      <w:bookmarkEnd w:id="0"/>
    </w:p>
    <w:sectPr w:rsidR="00612CEF" w:rsidRPr="00F955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534DE"/>
    <w:multiLevelType w:val="hybridMultilevel"/>
    <w:tmpl w:val="C2E0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77845"/>
    <w:multiLevelType w:val="hybridMultilevel"/>
    <w:tmpl w:val="54967C24"/>
    <w:lvl w:ilvl="0" w:tplc="E93A1918">
      <w:start w:val="1"/>
      <w:numFmt w:val="bullet"/>
      <w:lvlText w:val=""/>
      <w:lvlJc w:val="left"/>
      <w:pPr>
        <w:ind w:left="720" w:hanging="360"/>
      </w:pPr>
      <w:rPr>
        <w:rFonts w:ascii="Symbol" w:hAnsi="Symbol" w:hint="default"/>
      </w:rPr>
    </w:lvl>
    <w:lvl w:ilvl="1" w:tplc="00D8C136">
      <w:start w:val="1"/>
      <w:numFmt w:val="bullet"/>
      <w:lvlText w:val="o"/>
      <w:lvlJc w:val="left"/>
      <w:pPr>
        <w:ind w:left="1440" w:hanging="360"/>
      </w:pPr>
      <w:rPr>
        <w:rFonts w:ascii="Courier New" w:hAnsi="Courier New" w:hint="default"/>
      </w:rPr>
    </w:lvl>
    <w:lvl w:ilvl="2" w:tplc="E08CF0D8">
      <w:start w:val="1"/>
      <w:numFmt w:val="bullet"/>
      <w:lvlText w:val=""/>
      <w:lvlJc w:val="left"/>
      <w:pPr>
        <w:ind w:left="2160" w:hanging="360"/>
      </w:pPr>
      <w:rPr>
        <w:rFonts w:ascii="Wingdings" w:hAnsi="Wingdings" w:hint="default"/>
      </w:rPr>
    </w:lvl>
    <w:lvl w:ilvl="3" w:tplc="4DD6718A">
      <w:start w:val="1"/>
      <w:numFmt w:val="bullet"/>
      <w:lvlText w:val=""/>
      <w:lvlJc w:val="left"/>
      <w:pPr>
        <w:ind w:left="2880" w:hanging="360"/>
      </w:pPr>
      <w:rPr>
        <w:rFonts w:ascii="Symbol" w:hAnsi="Symbol" w:hint="default"/>
      </w:rPr>
    </w:lvl>
    <w:lvl w:ilvl="4" w:tplc="19E4B4CA">
      <w:start w:val="1"/>
      <w:numFmt w:val="bullet"/>
      <w:lvlText w:val="o"/>
      <w:lvlJc w:val="left"/>
      <w:pPr>
        <w:ind w:left="3600" w:hanging="360"/>
      </w:pPr>
      <w:rPr>
        <w:rFonts w:ascii="Courier New" w:hAnsi="Courier New" w:hint="default"/>
      </w:rPr>
    </w:lvl>
    <w:lvl w:ilvl="5" w:tplc="2BC0C430">
      <w:start w:val="1"/>
      <w:numFmt w:val="bullet"/>
      <w:lvlText w:val=""/>
      <w:lvlJc w:val="left"/>
      <w:pPr>
        <w:ind w:left="4320" w:hanging="360"/>
      </w:pPr>
      <w:rPr>
        <w:rFonts w:ascii="Wingdings" w:hAnsi="Wingdings" w:hint="default"/>
      </w:rPr>
    </w:lvl>
    <w:lvl w:ilvl="6" w:tplc="F31E5456">
      <w:start w:val="1"/>
      <w:numFmt w:val="bullet"/>
      <w:lvlText w:val=""/>
      <w:lvlJc w:val="left"/>
      <w:pPr>
        <w:ind w:left="5040" w:hanging="360"/>
      </w:pPr>
      <w:rPr>
        <w:rFonts w:ascii="Symbol" w:hAnsi="Symbol" w:hint="default"/>
      </w:rPr>
    </w:lvl>
    <w:lvl w:ilvl="7" w:tplc="CAD85744">
      <w:start w:val="1"/>
      <w:numFmt w:val="bullet"/>
      <w:lvlText w:val="o"/>
      <w:lvlJc w:val="left"/>
      <w:pPr>
        <w:ind w:left="5760" w:hanging="360"/>
      </w:pPr>
      <w:rPr>
        <w:rFonts w:ascii="Courier New" w:hAnsi="Courier New" w:hint="default"/>
      </w:rPr>
    </w:lvl>
    <w:lvl w:ilvl="8" w:tplc="610095CC">
      <w:start w:val="1"/>
      <w:numFmt w:val="bullet"/>
      <w:lvlText w:val=""/>
      <w:lvlJc w:val="left"/>
      <w:pPr>
        <w:ind w:left="6480" w:hanging="360"/>
      </w:pPr>
      <w:rPr>
        <w:rFonts w:ascii="Wingdings" w:hAnsi="Wingdings" w:hint="default"/>
      </w:rPr>
    </w:lvl>
  </w:abstractNum>
  <w:abstractNum w:abstractNumId="2" w15:restartNumberingAfterBreak="0">
    <w:nsid w:val="09744681"/>
    <w:multiLevelType w:val="hybridMultilevel"/>
    <w:tmpl w:val="01D4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E890F"/>
    <w:multiLevelType w:val="hybridMultilevel"/>
    <w:tmpl w:val="5BD2F69C"/>
    <w:lvl w:ilvl="0" w:tplc="6876D8BE">
      <w:start w:val="1"/>
      <w:numFmt w:val="bullet"/>
      <w:lvlText w:val=""/>
      <w:lvlJc w:val="left"/>
      <w:pPr>
        <w:ind w:left="720" w:hanging="360"/>
      </w:pPr>
      <w:rPr>
        <w:rFonts w:ascii="Symbol" w:hAnsi="Symbol" w:hint="default"/>
      </w:rPr>
    </w:lvl>
    <w:lvl w:ilvl="1" w:tplc="97784CAA">
      <w:start w:val="1"/>
      <w:numFmt w:val="bullet"/>
      <w:lvlText w:val="o"/>
      <w:lvlJc w:val="left"/>
      <w:pPr>
        <w:ind w:left="1440" w:hanging="360"/>
      </w:pPr>
      <w:rPr>
        <w:rFonts w:ascii="Courier New" w:hAnsi="Courier New" w:hint="default"/>
      </w:rPr>
    </w:lvl>
    <w:lvl w:ilvl="2" w:tplc="713226C8">
      <w:start w:val="1"/>
      <w:numFmt w:val="bullet"/>
      <w:lvlText w:val=""/>
      <w:lvlJc w:val="left"/>
      <w:pPr>
        <w:ind w:left="2160" w:hanging="360"/>
      </w:pPr>
      <w:rPr>
        <w:rFonts w:ascii="Wingdings" w:hAnsi="Wingdings" w:hint="default"/>
      </w:rPr>
    </w:lvl>
    <w:lvl w:ilvl="3" w:tplc="1D2CA7AC">
      <w:start w:val="1"/>
      <w:numFmt w:val="bullet"/>
      <w:lvlText w:val=""/>
      <w:lvlJc w:val="left"/>
      <w:pPr>
        <w:ind w:left="2880" w:hanging="360"/>
      </w:pPr>
      <w:rPr>
        <w:rFonts w:ascii="Symbol" w:hAnsi="Symbol" w:hint="default"/>
      </w:rPr>
    </w:lvl>
    <w:lvl w:ilvl="4" w:tplc="F5DCB23A">
      <w:start w:val="1"/>
      <w:numFmt w:val="bullet"/>
      <w:lvlText w:val="o"/>
      <w:lvlJc w:val="left"/>
      <w:pPr>
        <w:ind w:left="3600" w:hanging="360"/>
      </w:pPr>
      <w:rPr>
        <w:rFonts w:ascii="Courier New" w:hAnsi="Courier New" w:hint="default"/>
      </w:rPr>
    </w:lvl>
    <w:lvl w:ilvl="5" w:tplc="E0E443B0">
      <w:start w:val="1"/>
      <w:numFmt w:val="bullet"/>
      <w:lvlText w:val=""/>
      <w:lvlJc w:val="left"/>
      <w:pPr>
        <w:ind w:left="4320" w:hanging="360"/>
      </w:pPr>
      <w:rPr>
        <w:rFonts w:ascii="Wingdings" w:hAnsi="Wingdings" w:hint="default"/>
      </w:rPr>
    </w:lvl>
    <w:lvl w:ilvl="6" w:tplc="090EB0E0">
      <w:start w:val="1"/>
      <w:numFmt w:val="bullet"/>
      <w:lvlText w:val=""/>
      <w:lvlJc w:val="left"/>
      <w:pPr>
        <w:ind w:left="5040" w:hanging="360"/>
      </w:pPr>
      <w:rPr>
        <w:rFonts w:ascii="Symbol" w:hAnsi="Symbol" w:hint="default"/>
      </w:rPr>
    </w:lvl>
    <w:lvl w:ilvl="7" w:tplc="07E63E54">
      <w:start w:val="1"/>
      <w:numFmt w:val="bullet"/>
      <w:lvlText w:val="o"/>
      <w:lvlJc w:val="left"/>
      <w:pPr>
        <w:ind w:left="5760" w:hanging="360"/>
      </w:pPr>
      <w:rPr>
        <w:rFonts w:ascii="Courier New" w:hAnsi="Courier New" w:hint="default"/>
      </w:rPr>
    </w:lvl>
    <w:lvl w:ilvl="8" w:tplc="6CA8DEC2">
      <w:start w:val="1"/>
      <w:numFmt w:val="bullet"/>
      <w:lvlText w:val=""/>
      <w:lvlJc w:val="left"/>
      <w:pPr>
        <w:ind w:left="6480" w:hanging="360"/>
      </w:pPr>
      <w:rPr>
        <w:rFonts w:ascii="Wingdings" w:hAnsi="Wingdings" w:hint="default"/>
      </w:rPr>
    </w:lvl>
  </w:abstractNum>
  <w:abstractNum w:abstractNumId="4" w15:restartNumberingAfterBreak="0">
    <w:nsid w:val="1A3C69B3"/>
    <w:multiLevelType w:val="hybridMultilevel"/>
    <w:tmpl w:val="704EF8F6"/>
    <w:lvl w:ilvl="0" w:tplc="AFA8550C">
      <w:start w:val="1"/>
      <w:numFmt w:val="bullet"/>
      <w:lvlText w:val=""/>
      <w:lvlJc w:val="left"/>
      <w:pPr>
        <w:ind w:left="720" w:hanging="360"/>
      </w:pPr>
      <w:rPr>
        <w:rFonts w:ascii="Symbol" w:hAnsi="Symbol" w:hint="default"/>
      </w:rPr>
    </w:lvl>
    <w:lvl w:ilvl="1" w:tplc="2786AC9A">
      <w:start w:val="1"/>
      <w:numFmt w:val="bullet"/>
      <w:lvlText w:val="o"/>
      <w:lvlJc w:val="left"/>
      <w:pPr>
        <w:ind w:left="1440" w:hanging="360"/>
      </w:pPr>
      <w:rPr>
        <w:rFonts w:ascii="Courier New" w:hAnsi="Courier New" w:hint="default"/>
      </w:rPr>
    </w:lvl>
    <w:lvl w:ilvl="2" w:tplc="09D208CE">
      <w:start w:val="1"/>
      <w:numFmt w:val="bullet"/>
      <w:lvlText w:val=""/>
      <w:lvlJc w:val="left"/>
      <w:pPr>
        <w:ind w:left="2160" w:hanging="360"/>
      </w:pPr>
      <w:rPr>
        <w:rFonts w:ascii="Wingdings" w:hAnsi="Wingdings" w:hint="default"/>
      </w:rPr>
    </w:lvl>
    <w:lvl w:ilvl="3" w:tplc="0FDE12DE">
      <w:start w:val="1"/>
      <w:numFmt w:val="bullet"/>
      <w:lvlText w:val=""/>
      <w:lvlJc w:val="left"/>
      <w:pPr>
        <w:ind w:left="2880" w:hanging="360"/>
      </w:pPr>
      <w:rPr>
        <w:rFonts w:ascii="Symbol" w:hAnsi="Symbol" w:hint="default"/>
      </w:rPr>
    </w:lvl>
    <w:lvl w:ilvl="4" w:tplc="3030F8AA">
      <w:start w:val="1"/>
      <w:numFmt w:val="bullet"/>
      <w:lvlText w:val="o"/>
      <w:lvlJc w:val="left"/>
      <w:pPr>
        <w:ind w:left="3600" w:hanging="360"/>
      </w:pPr>
      <w:rPr>
        <w:rFonts w:ascii="Courier New" w:hAnsi="Courier New" w:hint="default"/>
      </w:rPr>
    </w:lvl>
    <w:lvl w:ilvl="5" w:tplc="5E1E1580">
      <w:start w:val="1"/>
      <w:numFmt w:val="bullet"/>
      <w:lvlText w:val=""/>
      <w:lvlJc w:val="left"/>
      <w:pPr>
        <w:ind w:left="4320" w:hanging="360"/>
      </w:pPr>
      <w:rPr>
        <w:rFonts w:ascii="Wingdings" w:hAnsi="Wingdings" w:hint="default"/>
      </w:rPr>
    </w:lvl>
    <w:lvl w:ilvl="6" w:tplc="33EEA64A">
      <w:start w:val="1"/>
      <w:numFmt w:val="bullet"/>
      <w:lvlText w:val=""/>
      <w:lvlJc w:val="left"/>
      <w:pPr>
        <w:ind w:left="5040" w:hanging="360"/>
      </w:pPr>
      <w:rPr>
        <w:rFonts w:ascii="Symbol" w:hAnsi="Symbol" w:hint="default"/>
      </w:rPr>
    </w:lvl>
    <w:lvl w:ilvl="7" w:tplc="F514C1F6">
      <w:start w:val="1"/>
      <w:numFmt w:val="bullet"/>
      <w:lvlText w:val="o"/>
      <w:lvlJc w:val="left"/>
      <w:pPr>
        <w:ind w:left="5760" w:hanging="360"/>
      </w:pPr>
      <w:rPr>
        <w:rFonts w:ascii="Courier New" w:hAnsi="Courier New" w:hint="default"/>
      </w:rPr>
    </w:lvl>
    <w:lvl w:ilvl="8" w:tplc="8A30FD6A">
      <w:start w:val="1"/>
      <w:numFmt w:val="bullet"/>
      <w:lvlText w:val=""/>
      <w:lvlJc w:val="left"/>
      <w:pPr>
        <w:ind w:left="6480" w:hanging="360"/>
      </w:pPr>
      <w:rPr>
        <w:rFonts w:ascii="Wingdings" w:hAnsi="Wingdings" w:hint="default"/>
      </w:rPr>
    </w:lvl>
  </w:abstractNum>
  <w:abstractNum w:abstractNumId="5" w15:restartNumberingAfterBreak="0">
    <w:nsid w:val="1EF8400C"/>
    <w:multiLevelType w:val="hybridMultilevel"/>
    <w:tmpl w:val="AC0E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D15AD"/>
    <w:multiLevelType w:val="hybridMultilevel"/>
    <w:tmpl w:val="929E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92DB9"/>
    <w:multiLevelType w:val="hybridMultilevel"/>
    <w:tmpl w:val="25E4E6B8"/>
    <w:lvl w:ilvl="0" w:tplc="E63C3630">
      <w:start w:val="1"/>
      <w:numFmt w:val="bullet"/>
      <w:lvlText w:val=""/>
      <w:lvlJc w:val="left"/>
      <w:pPr>
        <w:ind w:left="720" w:hanging="360"/>
      </w:pPr>
      <w:rPr>
        <w:rFonts w:ascii="Symbol" w:hAnsi="Symbol" w:hint="default"/>
      </w:rPr>
    </w:lvl>
    <w:lvl w:ilvl="1" w:tplc="5D2CCCE6">
      <w:start w:val="1"/>
      <w:numFmt w:val="bullet"/>
      <w:lvlText w:val="o"/>
      <w:lvlJc w:val="left"/>
      <w:pPr>
        <w:ind w:left="1440" w:hanging="360"/>
      </w:pPr>
      <w:rPr>
        <w:rFonts w:ascii="Courier New" w:hAnsi="Courier New" w:hint="default"/>
      </w:rPr>
    </w:lvl>
    <w:lvl w:ilvl="2" w:tplc="0FAE098E">
      <w:start w:val="1"/>
      <w:numFmt w:val="bullet"/>
      <w:lvlText w:val=""/>
      <w:lvlJc w:val="left"/>
      <w:pPr>
        <w:ind w:left="2160" w:hanging="360"/>
      </w:pPr>
      <w:rPr>
        <w:rFonts w:ascii="Wingdings" w:hAnsi="Wingdings" w:hint="default"/>
      </w:rPr>
    </w:lvl>
    <w:lvl w:ilvl="3" w:tplc="EB48B82A">
      <w:start w:val="1"/>
      <w:numFmt w:val="bullet"/>
      <w:lvlText w:val=""/>
      <w:lvlJc w:val="left"/>
      <w:pPr>
        <w:ind w:left="2880" w:hanging="360"/>
      </w:pPr>
      <w:rPr>
        <w:rFonts w:ascii="Symbol" w:hAnsi="Symbol" w:hint="default"/>
      </w:rPr>
    </w:lvl>
    <w:lvl w:ilvl="4" w:tplc="99E21938">
      <w:start w:val="1"/>
      <w:numFmt w:val="bullet"/>
      <w:lvlText w:val="o"/>
      <w:lvlJc w:val="left"/>
      <w:pPr>
        <w:ind w:left="3600" w:hanging="360"/>
      </w:pPr>
      <w:rPr>
        <w:rFonts w:ascii="Courier New" w:hAnsi="Courier New" w:hint="default"/>
      </w:rPr>
    </w:lvl>
    <w:lvl w:ilvl="5" w:tplc="03A87BDE">
      <w:start w:val="1"/>
      <w:numFmt w:val="bullet"/>
      <w:lvlText w:val=""/>
      <w:lvlJc w:val="left"/>
      <w:pPr>
        <w:ind w:left="4320" w:hanging="360"/>
      </w:pPr>
      <w:rPr>
        <w:rFonts w:ascii="Wingdings" w:hAnsi="Wingdings" w:hint="default"/>
      </w:rPr>
    </w:lvl>
    <w:lvl w:ilvl="6" w:tplc="68AC3018">
      <w:start w:val="1"/>
      <w:numFmt w:val="bullet"/>
      <w:lvlText w:val=""/>
      <w:lvlJc w:val="left"/>
      <w:pPr>
        <w:ind w:left="5040" w:hanging="360"/>
      </w:pPr>
      <w:rPr>
        <w:rFonts w:ascii="Symbol" w:hAnsi="Symbol" w:hint="default"/>
      </w:rPr>
    </w:lvl>
    <w:lvl w:ilvl="7" w:tplc="6E3A204A">
      <w:start w:val="1"/>
      <w:numFmt w:val="bullet"/>
      <w:lvlText w:val="o"/>
      <w:lvlJc w:val="left"/>
      <w:pPr>
        <w:ind w:left="5760" w:hanging="360"/>
      </w:pPr>
      <w:rPr>
        <w:rFonts w:ascii="Courier New" w:hAnsi="Courier New" w:hint="default"/>
      </w:rPr>
    </w:lvl>
    <w:lvl w:ilvl="8" w:tplc="F798461E">
      <w:start w:val="1"/>
      <w:numFmt w:val="bullet"/>
      <w:lvlText w:val=""/>
      <w:lvlJc w:val="left"/>
      <w:pPr>
        <w:ind w:left="6480" w:hanging="360"/>
      </w:pPr>
      <w:rPr>
        <w:rFonts w:ascii="Wingdings" w:hAnsi="Wingdings" w:hint="default"/>
      </w:rPr>
    </w:lvl>
  </w:abstractNum>
  <w:abstractNum w:abstractNumId="8" w15:restartNumberingAfterBreak="0">
    <w:nsid w:val="2044088E"/>
    <w:multiLevelType w:val="hybridMultilevel"/>
    <w:tmpl w:val="DA14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06615"/>
    <w:multiLevelType w:val="hybridMultilevel"/>
    <w:tmpl w:val="25DE1B9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0" w15:restartNumberingAfterBreak="0">
    <w:nsid w:val="2ED0E156"/>
    <w:multiLevelType w:val="hybridMultilevel"/>
    <w:tmpl w:val="82C07AF8"/>
    <w:lvl w:ilvl="0" w:tplc="FF725792">
      <w:start w:val="1"/>
      <w:numFmt w:val="bullet"/>
      <w:lvlText w:val=""/>
      <w:lvlJc w:val="left"/>
      <w:pPr>
        <w:ind w:left="720" w:hanging="360"/>
      </w:pPr>
      <w:rPr>
        <w:rFonts w:ascii="Symbol" w:hAnsi="Symbol" w:hint="default"/>
      </w:rPr>
    </w:lvl>
    <w:lvl w:ilvl="1" w:tplc="0722F5A2">
      <w:start w:val="1"/>
      <w:numFmt w:val="bullet"/>
      <w:lvlText w:val="o"/>
      <w:lvlJc w:val="left"/>
      <w:pPr>
        <w:ind w:left="1440" w:hanging="360"/>
      </w:pPr>
      <w:rPr>
        <w:rFonts w:ascii="Courier New" w:hAnsi="Courier New" w:hint="default"/>
      </w:rPr>
    </w:lvl>
    <w:lvl w:ilvl="2" w:tplc="0DDC00C2">
      <w:start w:val="1"/>
      <w:numFmt w:val="bullet"/>
      <w:lvlText w:val=""/>
      <w:lvlJc w:val="left"/>
      <w:pPr>
        <w:ind w:left="2160" w:hanging="360"/>
      </w:pPr>
      <w:rPr>
        <w:rFonts w:ascii="Wingdings" w:hAnsi="Wingdings" w:hint="default"/>
      </w:rPr>
    </w:lvl>
    <w:lvl w:ilvl="3" w:tplc="917E01CA">
      <w:start w:val="1"/>
      <w:numFmt w:val="bullet"/>
      <w:lvlText w:val=""/>
      <w:lvlJc w:val="left"/>
      <w:pPr>
        <w:ind w:left="2880" w:hanging="360"/>
      </w:pPr>
      <w:rPr>
        <w:rFonts w:ascii="Symbol" w:hAnsi="Symbol" w:hint="default"/>
      </w:rPr>
    </w:lvl>
    <w:lvl w:ilvl="4" w:tplc="F76A3E12">
      <w:start w:val="1"/>
      <w:numFmt w:val="bullet"/>
      <w:lvlText w:val="o"/>
      <w:lvlJc w:val="left"/>
      <w:pPr>
        <w:ind w:left="3600" w:hanging="360"/>
      </w:pPr>
      <w:rPr>
        <w:rFonts w:ascii="Courier New" w:hAnsi="Courier New" w:hint="default"/>
      </w:rPr>
    </w:lvl>
    <w:lvl w:ilvl="5" w:tplc="9EC6A31C">
      <w:start w:val="1"/>
      <w:numFmt w:val="bullet"/>
      <w:lvlText w:val=""/>
      <w:lvlJc w:val="left"/>
      <w:pPr>
        <w:ind w:left="4320" w:hanging="360"/>
      </w:pPr>
      <w:rPr>
        <w:rFonts w:ascii="Wingdings" w:hAnsi="Wingdings" w:hint="default"/>
      </w:rPr>
    </w:lvl>
    <w:lvl w:ilvl="6" w:tplc="D57EE190">
      <w:start w:val="1"/>
      <w:numFmt w:val="bullet"/>
      <w:lvlText w:val=""/>
      <w:lvlJc w:val="left"/>
      <w:pPr>
        <w:ind w:left="5040" w:hanging="360"/>
      </w:pPr>
      <w:rPr>
        <w:rFonts w:ascii="Symbol" w:hAnsi="Symbol" w:hint="default"/>
      </w:rPr>
    </w:lvl>
    <w:lvl w:ilvl="7" w:tplc="022E1902">
      <w:start w:val="1"/>
      <w:numFmt w:val="bullet"/>
      <w:lvlText w:val="o"/>
      <w:lvlJc w:val="left"/>
      <w:pPr>
        <w:ind w:left="5760" w:hanging="360"/>
      </w:pPr>
      <w:rPr>
        <w:rFonts w:ascii="Courier New" w:hAnsi="Courier New" w:hint="default"/>
      </w:rPr>
    </w:lvl>
    <w:lvl w:ilvl="8" w:tplc="ADF87E5C">
      <w:start w:val="1"/>
      <w:numFmt w:val="bullet"/>
      <w:lvlText w:val=""/>
      <w:lvlJc w:val="left"/>
      <w:pPr>
        <w:ind w:left="6480" w:hanging="360"/>
      </w:pPr>
      <w:rPr>
        <w:rFonts w:ascii="Wingdings" w:hAnsi="Wingdings" w:hint="default"/>
      </w:rPr>
    </w:lvl>
  </w:abstractNum>
  <w:abstractNum w:abstractNumId="11" w15:restartNumberingAfterBreak="0">
    <w:nsid w:val="499E0049"/>
    <w:multiLevelType w:val="hybridMultilevel"/>
    <w:tmpl w:val="52D8882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4ECA5A7B"/>
    <w:multiLevelType w:val="hybridMultilevel"/>
    <w:tmpl w:val="EAA8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9E1159"/>
    <w:multiLevelType w:val="hybridMultilevel"/>
    <w:tmpl w:val="7B0863E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557BE"/>
    <w:multiLevelType w:val="hybridMultilevel"/>
    <w:tmpl w:val="FF3C23F6"/>
    <w:lvl w:ilvl="0" w:tplc="05362E00">
      <w:start w:val="1"/>
      <w:numFmt w:val="bullet"/>
      <w:lvlText w:val=""/>
      <w:lvlJc w:val="left"/>
      <w:pPr>
        <w:ind w:left="720" w:hanging="360"/>
      </w:pPr>
      <w:rPr>
        <w:rFonts w:ascii="Symbol" w:hAnsi="Symbol" w:hint="default"/>
      </w:rPr>
    </w:lvl>
    <w:lvl w:ilvl="1" w:tplc="1340CC28">
      <w:start w:val="1"/>
      <w:numFmt w:val="bullet"/>
      <w:lvlText w:val="o"/>
      <w:lvlJc w:val="left"/>
      <w:pPr>
        <w:ind w:left="1440" w:hanging="360"/>
      </w:pPr>
      <w:rPr>
        <w:rFonts w:ascii="Courier New" w:hAnsi="Courier New" w:hint="default"/>
      </w:rPr>
    </w:lvl>
    <w:lvl w:ilvl="2" w:tplc="99DE518A">
      <w:start w:val="1"/>
      <w:numFmt w:val="bullet"/>
      <w:lvlText w:val=""/>
      <w:lvlJc w:val="left"/>
      <w:pPr>
        <w:ind w:left="2160" w:hanging="360"/>
      </w:pPr>
      <w:rPr>
        <w:rFonts w:ascii="Wingdings" w:hAnsi="Wingdings" w:hint="default"/>
      </w:rPr>
    </w:lvl>
    <w:lvl w:ilvl="3" w:tplc="B3404B5C">
      <w:start w:val="1"/>
      <w:numFmt w:val="bullet"/>
      <w:lvlText w:val=""/>
      <w:lvlJc w:val="left"/>
      <w:pPr>
        <w:ind w:left="2880" w:hanging="360"/>
      </w:pPr>
      <w:rPr>
        <w:rFonts w:ascii="Symbol" w:hAnsi="Symbol" w:hint="default"/>
      </w:rPr>
    </w:lvl>
    <w:lvl w:ilvl="4" w:tplc="8932E08C">
      <w:start w:val="1"/>
      <w:numFmt w:val="bullet"/>
      <w:lvlText w:val="o"/>
      <w:lvlJc w:val="left"/>
      <w:pPr>
        <w:ind w:left="3600" w:hanging="360"/>
      </w:pPr>
      <w:rPr>
        <w:rFonts w:ascii="Courier New" w:hAnsi="Courier New" w:hint="default"/>
      </w:rPr>
    </w:lvl>
    <w:lvl w:ilvl="5" w:tplc="F89C3E78">
      <w:start w:val="1"/>
      <w:numFmt w:val="bullet"/>
      <w:lvlText w:val=""/>
      <w:lvlJc w:val="left"/>
      <w:pPr>
        <w:ind w:left="4320" w:hanging="360"/>
      </w:pPr>
      <w:rPr>
        <w:rFonts w:ascii="Wingdings" w:hAnsi="Wingdings" w:hint="default"/>
      </w:rPr>
    </w:lvl>
    <w:lvl w:ilvl="6" w:tplc="DC2AE518">
      <w:start w:val="1"/>
      <w:numFmt w:val="bullet"/>
      <w:lvlText w:val=""/>
      <w:lvlJc w:val="left"/>
      <w:pPr>
        <w:ind w:left="5040" w:hanging="360"/>
      </w:pPr>
      <w:rPr>
        <w:rFonts w:ascii="Symbol" w:hAnsi="Symbol" w:hint="default"/>
      </w:rPr>
    </w:lvl>
    <w:lvl w:ilvl="7" w:tplc="70D62540">
      <w:start w:val="1"/>
      <w:numFmt w:val="bullet"/>
      <w:lvlText w:val="o"/>
      <w:lvlJc w:val="left"/>
      <w:pPr>
        <w:ind w:left="5760" w:hanging="360"/>
      </w:pPr>
      <w:rPr>
        <w:rFonts w:ascii="Courier New" w:hAnsi="Courier New" w:hint="default"/>
      </w:rPr>
    </w:lvl>
    <w:lvl w:ilvl="8" w:tplc="58B22A32">
      <w:start w:val="1"/>
      <w:numFmt w:val="bullet"/>
      <w:lvlText w:val=""/>
      <w:lvlJc w:val="left"/>
      <w:pPr>
        <w:ind w:left="6480" w:hanging="360"/>
      </w:pPr>
      <w:rPr>
        <w:rFonts w:ascii="Wingdings" w:hAnsi="Wingdings" w:hint="default"/>
      </w:rPr>
    </w:lvl>
  </w:abstractNum>
  <w:abstractNum w:abstractNumId="15" w15:restartNumberingAfterBreak="0">
    <w:nsid w:val="616DC784"/>
    <w:multiLevelType w:val="hybridMultilevel"/>
    <w:tmpl w:val="3F46B856"/>
    <w:lvl w:ilvl="0" w:tplc="695EC058">
      <w:start w:val="1"/>
      <w:numFmt w:val="bullet"/>
      <w:lvlText w:val=""/>
      <w:lvlJc w:val="left"/>
      <w:pPr>
        <w:ind w:left="720" w:hanging="360"/>
      </w:pPr>
      <w:rPr>
        <w:rFonts w:ascii="Symbol" w:hAnsi="Symbol" w:hint="default"/>
      </w:rPr>
    </w:lvl>
    <w:lvl w:ilvl="1" w:tplc="989066F6">
      <w:start w:val="1"/>
      <w:numFmt w:val="bullet"/>
      <w:lvlText w:val="o"/>
      <w:lvlJc w:val="left"/>
      <w:pPr>
        <w:ind w:left="1440" w:hanging="360"/>
      </w:pPr>
      <w:rPr>
        <w:rFonts w:ascii="Courier New" w:hAnsi="Courier New" w:hint="default"/>
      </w:rPr>
    </w:lvl>
    <w:lvl w:ilvl="2" w:tplc="5C20A600">
      <w:start w:val="1"/>
      <w:numFmt w:val="bullet"/>
      <w:lvlText w:val=""/>
      <w:lvlJc w:val="left"/>
      <w:pPr>
        <w:ind w:left="2160" w:hanging="360"/>
      </w:pPr>
      <w:rPr>
        <w:rFonts w:ascii="Wingdings" w:hAnsi="Wingdings" w:hint="default"/>
      </w:rPr>
    </w:lvl>
    <w:lvl w:ilvl="3" w:tplc="E0162AEC">
      <w:start w:val="1"/>
      <w:numFmt w:val="bullet"/>
      <w:lvlText w:val=""/>
      <w:lvlJc w:val="left"/>
      <w:pPr>
        <w:ind w:left="2880" w:hanging="360"/>
      </w:pPr>
      <w:rPr>
        <w:rFonts w:ascii="Symbol" w:hAnsi="Symbol" w:hint="default"/>
      </w:rPr>
    </w:lvl>
    <w:lvl w:ilvl="4" w:tplc="FAB478D0">
      <w:start w:val="1"/>
      <w:numFmt w:val="bullet"/>
      <w:lvlText w:val="o"/>
      <w:lvlJc w:val="left"/>
      <w:pPr>
        <w:ind w:left="3600" w:hanging="360"/>
      </w:pPr>
      <w:rPr>
        <w:rFonts w:ascii="Courier New" w:hAnsi="Courier New" w:hint="default"/>
      </w:rPr>
    </w:lvl>
    <w:lvl w:ilvl="5" w:tplc="43101644">
      <w:start w:val="1"/>
      <w:numFmt w:val="bullet"/>
      <w:lvlText w:val=""/>
      <w:lvlJc w:val="left"/>
      <w:pPr>
        <w:ind w:left="4320" w:hanging="360"/>
      </w:pPr>
      <w:rPr>
        <w:rFonts w:ascii="Wingdings" w:hAnsi="Wingdings" w:hint="default"/>
      </w:rPr>
    </w:lvl>
    <w:lvl w:ilvl="6" w:tplc="92309EA6">
      <w:start w:val="1"/>
      <w:numFmt w:val="bullet"/>
      <w:lvlText w:val=""/>
      <w:lvlJc w:val="left"/>
      <w:pPr>
        <w:ind w:left="5040" w:hanging="360"/>
      </w:pPr>
      <w:rPr>
        <w:rFonts w:ascii="Symbol" w:hAnsi="Symbol" w:hint="default"/>
      </w:rPr>
    </w:lvl>
    <w:lvl w:ilvl="7" w:tplc="F2A2FB1A">
      <w:start w:val="1"/>
      <w:numFmt w:val="bullet"/>
      <w:lvlText w:val="o"/>
      <w:lvlJc w:val="left"/>
      <w:pPr>
        <w:ind w:left="5760" w:hanging="360"/>
      </w:pPr>
      <w:rPr>
        <w:rFonts w:ascii="Courier New" w:hAnsi="Courier New" w:hint="default"/>
      </w:rPr>
    </w:lvl>
    <w:lvl w:ilvl="8" w:tplc="D41826D4">
      <w:start w:val="1"/>
      <w:numFmt w:val="bullet"/>
      <w:lvlText w:val=""/>
      <w:lvlJc w:val="left"/>
      <w:pPr>
        <w:ind w:left="6480" w:hanging="360"/>
      </w:pPr>
      <w:rPr>
        <w:rFonts w:ascii="Wingdings" w:hAnsi="Wingdings" w:hint="default"/>
      </w:rPr>
    </w:lvl>
  </w:abstractNum>
  <w:abstractNum w:abstractNumId="16" w15:restartNumberingAfterBreak="0">
    <w:nsid w:val="6A18611D"/>
    <w:multiLevelType w:val="hybridMultilevel"/>
    <w:tmpl w:val="D0F6E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A82AC3"/>
    <w:multiLevelType w:val="hybridMultilevel"/>
    <w:tmpl w:val="21925C32"/>
    <w:lvl w:ilvl="0" w:tplc="4B30FD66">
      <w:start w:val="1"/>
      <w:numFmt w:val="bullet"/>
      <w:lvlText w:val=""/>
      <w:lvlJc w:val="left"/>
      <w:pPr>
        <w:ind w:left="720" w:hanging="360"/>
      </w:pPr>
      <w:rPr>
        <w:rFonts w:ascii="Symbol" w:hAnsi="Symbol" w:hint="default"/>
      </w:rPr>
    </w:lvl>
    <w:lvl w:ilvl="1" w:tplc="DE562F9C">
      <w:start w:val="1"/>
      <w:numFmt w:val="bullet"/>
      <w:lvlText w:val="o"/>
      <w:lvlJc w:val="left"/>
      <w:pPr>
        <w:ind w:left="1440" w:hanging="360"/>
      </w:pPr>
      <w:rPr>
        <w:rFonts w:ascii="Courier New" w:hAnsi="Courier New" w:hint="default"/>
      </w:rPr>
    </w:lvl>
    <w:lvl w:ilvl="2" w:tplc="B99C3B54">
      <w:start w:val="1"/>
      <w:numFmt w:val="bullet"/>
      <w:lvlText w:val=""/>
      <w:lvlJc w:val="left"/>
      <w:pPr>
        <w:ind w:left="2160" w:hanging="360"/>
      </w:pPr>
      <w:rPr>
        <w:rFonts w:ascii="Wingdings" w:hAnsi="Wingdings" w:hint="default"/>
      </w:rPr>
    </w:lvl>
    <w:lvl w:ilvl="3" w:tplc="75FCAF66">
      <w:start w:val="1"/>
      <w:numFmt w:val="bullet"/>
      <w:lvlText w:val=""/>
      <w:lvlJc w:val="left"/>
      <w:pPr>
        <w:ind w:left="2880" w:hanging="360"/>
      </w:pPr>
      <w:rPr>
        <w:rFonts w:ascii="Symbol" w:hAnsi="Symbol" w:hint="default"/>
      </w:rPr>
    </w:lvl>
    <w:lvl w:ilvl="4" w:tplc="86641656">
      <w:start w:val="1"/>
      <w:numFmt w:val="bullet"/>
      <w:lvlText w:val="o"/>
      <w:lvlJc w:val="left"/>
      <w:pPr>
        <w:ind w:left="3600" w:hanging="360"/>
      </w:pPr>
      <w:rPr>
        <w:rFonts w:ascii="Courier New" w:hAnsi="Courier New" w:hint="default"/>
      </w:rPr>
    </w:lvl>
    <w:lvl w:ilvl="5" w:tplc="54166644">
      <w:start w:val="1"/>
      <w:numFmt w:val="bullet"/>
      <w:lvlText w:val=""/>
      <w:lvlJc w:val="left"/>
      <w:pPr>
        <w:ind w:left="4320" w:hanging="360"/>
      </w:pPr>
      <w:rPr>
        <w:rFonts w:ascii="Wingdings" w:hAnsi="Wingdings" w:hint="default"/>
      </w:rPr>
    </w:lvl>
    <w:lvl w:ilvl="6" w:tplc="DB46B042">
      <w:start w:val="1"/>
      <w:numFmt w:val="bullet"/>
      <w:lvlText w:val=""/>
      <w:lvlJc w:val="left"/>
      <w:pPr>
        <w:ind w:left="5040" w:hanging="360"/>
      </w:pPr>
      <w:rPr>
        <w:rFonts w:ascii="Symbol" w:hAnsi="Symbol" w:hint="default"/>
      </w:rPr>
    </w:lvl>
    <w:lvl w:ilvl="7" w:tplc="69321256">
      <w:start w:val="1"/>
      <w:numFmt w:val="bullet"/>
      <w:lvlText w:val="o"/>
      <w:lvlJc w:val="left"/>
      <w:pPr>
        <w:ind w:left="5760" w:hanging="360"/>
      </w:pPr>
      <w:rPr>
        <w:rFonts w:ascii="Courier New" w:hAnsi="Courier New" w:hint="default"/>
      </w:rPr>
    </w:lvl>
    <w:lvl w:ilvl="8" w:tplc="BD1EBED4">
      <w:start w:val="1"/>
      <w:numFmt w:val="bullet"/>
      <w:lvlText w:val=""/>
      <w:lvlJc w:val="left"/>
      <w:pPr>
        <w:ind w:left="6480" w:hanging="360"/>
      </w:pPr>
      <w:rPr>
        <w:rFonts w:ascii="Wingdings" w:hAnsi="Wingdings" w:hint="default"/>
      </w:rPr>
    </w:lvl>
  </w:abstractNum>
  <w:abstractNum w:abstractNumId="18" w15:restartNumberingAfterBreak="0">
    <w:nsid w:val="718D058D"/>
    <w:multiLevelType w:val="hybridMultilevel"/>
    <w:tmpl w:val="57F4A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A85699"/>
    <w:multiLevelType w:val="hybridMultilevel"/>
    <w:tmpl w:val="DFC0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9"/>
  </w:num>
  <w:num w:numId="4">
    <w:abstractNumId w:val="12"/>
  </w:num>
  <w:num w:numId="5">
    <w:abstractNumId w:val="15"/>
  </w:num>
  <w:num w:numId="6">
    <w:abstractNumId w:val="18"/>
  </w:num>
  <w:num w:numId="7">
    <w:abstractNumId w:val="14"/>
  </w:num>
  <w:num w:numId="8">
    <w:abstractNumId w:val="11"/>
  </w:num>
  <w:num w:numId="9">
    <w:abstractNumId w:val="17"/>
  </w:num>
  <w:num w:numId="10">
    <w:abstractNumId w:val="10"/>
  </w:num>
  <w:num w:numId="11">
    <w:abstractNumId w:val="7"/>
  </w:num>
  <w:num w:numId="12">
    <w:abstractNumId w:val="1"/>
  </w:num>
  <w:num w:numId="13">
    <w:abstractNumId w:val="13"/>
  </w:num>
  <w:num w:numId="14">
    <w:abstractNumId w:val="4"/>
  </w:num>
  <w:num w:numId="15">
    <w:abstractNumId w:val="3"/>
  </w:num>
  <w:num w:numId="16">
    <w:abstractNumId w:val="2"/>
  </w:num>
  <w:num w:numId="17">
    <w:abstractNumId w:val="0"/>
  </w:num>
  <w:num w:numId="18">
    <w:abstractNumId w:val="9"/>
  </w:num>
  <w:num w:numId="19">
    <w:abstractNumId w:val="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8CA"/>
    <w:rsid w:val="00612CEF"/>
    <w:rsid w:val="007B4D0D"/>
    <w:rsid w:val="008508CA"/>
    <w:rsid w:val="00BD1712"/>
    <w:rsid w:val="00F95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29F6"/>
  <w15:chartTrackingRefBased/>
  <w15:docId w15:val="{1A11CC44-6450-4A10-862B-129AAB0F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8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508CA"/>
    <w:rPr>
      <w:b/>
      <w:bCs/>
    </w:rPr>
  </w:style>
  <w:style w:type="character" w:styleId="Hyperlink">
    <w:name w:val="Hyperlink"/>
    <w:basedOn w:val="DefaultParagraphFont"/>
    <w:uiPriority w:val="99"/>
    <w:unhideWhenUsed/>
    <w:rsid w:val="008508CA"/>
    <w:rPr>
      <w:color w:val="0563C1" w:themeColor="hyperlink"/>
      <w:u w:val="single"/>
    </w:rPr>
  </w:style>
  <w:style w:type="paragraph" w:styleId="NormalWeb">
    <w:name w:val="Normal (Web)"/>
    <w:basedOn w:val="Normal"/>
    <w:uiPriority w:val="99"/>
    <w:unhideWhenUsed/>
    <w:rsid w:val="008508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508CA"/>
    <w:pPr>
      <w:ind w:left="720"/>
      <w:contextualSpacing/>
    </w:pPr>
  </w:style>
  <w:style w:type="table" w:styleId="TableGrid">
    <w:name w:val="Table Grid"/>
    <w:basedOn w:val="TableNormal"/>
    <w:uiPriority w:val="59"/>
    <w:rsid w:val="008508C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equal-pay/equal-pay-la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as.org.uk/making-a-claim-to-an-employment-tribun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as.org.uk/employee-rights-during-a-tupe-transfer/transferring-to-your-new-employer" TargetMode="External"/><Relationship Id="rId11" Type="http://schemas.openxmlformats.org/officeDocument/2006/relationships/hyperlink" Target="https://www.colmancoyle.com/wp-content/uploads/2017/04/An-overview-of-UK-" TargetMode="External"/><Relationship Id="rId5" Type="http://schemas.openxmlformats.org/officeDocument/2006/relationships/hyperlink" Target="https://www.acas.org.uk/employee-rights-during-a-tupe-transfer" TargetMode="External"/><Relationship Id="rId10" Type="http://schemas.openxmlformats.org/officeDocument/2006/relationships/hyperlink" Target="https://www.acas.org.uk/national-minimum-wage-entitlement/if-an-employer-does-not-pay-minimum-wage" TargetMode="External"/><Relationship Id="rId4" Type="http://schemas.openxmlformats.org/officeDocument/2006/relationships/webSettings" Target="webSettings.xml"/><Relationship Id="rId9" Type="http://schemas.openxmlformats.org/officeDocument/2006/relationships/hyperlink" Target="https://www.acas.org.uk/checking-your-employment-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4963</Words>
  <Characters>28292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3</cp:revision>
  <dcterms:created xsi:type="dcterms:W3CDTF">2023-04-24T19:23:00Z</dcterms:created>
  <dcterms:modified xsi:type="dcterms:W3CDTF">2023-04-24T19:35:00Z</dcterms:modified>
</cp:coreProperties>
</file>