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55423379"/>
        <w:docPartObj>
          <w:docPartGallery w:val="Cover Pages"/>
          <w:docPartUnique/>
        </w:docPartObj>
      </w:sdtPr>
      <w:sdtEndPr>
        <w:rPr>
          <w:b/>
          <w:bCs/>
          <w:sz w:val="36"/>
          <w:szCs w:val="36"/>
        </w:rPr>
      </w:sdtEndPr>
      <w:sdtContent>
        <w:p w14:paraId="27F47C9C" w14:textId="4F5CFC24" w:rsidR="00055336" w:rsidRDefault="00055336">
          <w:r>
            <w:rPr>
              <w:noProof/>
            </w:rPr>
            <mc:AlternateContent>
              <mc:Choice Requires="wpg">
                <w:drawing>
                  <wp:anchor distT="0" distB="0" distL="114300" distR="114300" simplePos="0" relativeHeight="251662336" behindDoc="0" locked="0" layoutInCell="1" allowOverlap="1" wp14:anchorId="695D466F" wp14:editId="3A64016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480072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99636D7" wp14:editId="02C2A3F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82F0CA3" w14:textId="327D0072" w:rsidR="00055336" w:rsidRDefault="00055336">
                                    <w:pPr>
                                      <w:pStyle w:val="NoSpacing"/>
                                      <w:jc w:val="right"/>
                                      <w:rPr>
                                        <w:color w:val="595959" w:themeColor="text1" w:themeTint="A6"/>
                                        <w:sz w:val="28"/>
                                        <w:szCs w:val="28"/>
                                      </w:rPr>
                                    </w:pPr>
                                    <w:r>
                                      <w:rPr>
                                        <w:color w:val="595959" w:themeColor="text1" w:themeTint="A6"/>
                                        <w:sz w:val="28"/>
                                        <w:szCs w:val="28"/>
                                      </w:rPr>
                                      <w:t>Lewis Tandy (2016893)</w:t>
                                    </w:r>
                                  </w:p>
                                </w:sdtContent>
                              </w:sdt>
                              <w:p w14:paraId="2004B4AA" w14:textId="7FD011C6" w:rsidR="00055336" w:rsidRDefault="00673BD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05533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99636D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82F0CA3" w14:textId="327D0072" w:rsidR="00055336" w:rsidRDefault="00055336">
                              <w:pPr>
                                <w:pStyle w:val="NoSpacing"/>
                                <w:jc w:val="right"/>
                                <w:rPr>
                                  <w:color w:val="595959" w:themeColor="text1" w:themeTint="A6"/>
                                  <w:sz w:val="28"/>
                                  <w:szCs w:val="28"/>
                                </w:rPr>
                              </w:pPr>
                              <w:r>
                                <w:rPr>
                                  <w:color w:val="595959" w:themeColor="text1" w:themeTint="A6"/>
                                  <w:sz w:val="28"/>
                                  <w:szCs w:val="28"/>
                                </w:rPr>
                                <w:t>Lewis Tandy (2016893)</w:t>
                              </w:r>
                            </w:p>
                          </w:sdtContent>
                        </w:sdt>
                        <w:p w14:paraId="2004B4AA" w14:textId="7FD011C6" w:rsidR="00055336" w:rsidRDefault="0005533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018BD48" wp14:editId="55C237D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2A0944" w14:textId="6E46368A" w:rsidR="00382947" w:rsidRDefault="00382947">
                                <w:pPr>
                                  <w:pStyle w:val="NoSpacing"/>
                                  <w:jc w:val="right"/>
                                  <w:rPr>
                                    <w:color w:val="4472C4" w:themeColor="accent1"/>
                                    <w:sz w:val="28"/>
                                    <w:szCs w:val="28"/>
                                  </w:rPr>
                                </w:pPr>
                                <w:r>
                                  <w:rPr>
                                    <w:color w:val="4472C4" w:themeColor="accent1"/>
                                    <w:sz w:val="28"/>
                                    <w:szCs w:val="28"/>
                                  </w:rPr>
                                  <w:t>MA Policing and Criminal Justice Dissertation</w:t>
                                </w:r>
                                <w:r w:rsidR="00673BD2">
                                  <w:rPr>
                                    <w:color w:val="4472C4" w:themeColor="accent1"/>
                                    <w:sz w:val="28"/>
                                    <w:szCs w:val="28"/>
                                  </w:rPr>
                                  <w:t xml:space="preserve"> (BMCJ7004)</w:t>
                                </w:r>
                              </w:p>
                              <w:p w14:paraId="293EFA87" w14:textId="7487508C" w:rsidR="00055336" w:rsidRDefault="00673BD2">
                                <w:pPr>
                                  <w:pStyle w:val="NoSpacing"/>
                                  <w:jc w:val="right"/>
                                  <w:rPr>
                                    <w:color w:val="595959" w:themeColor="text1" w:themeTint="A6"/>
                                    <w:sz w:val="20"/>
                                    <w:szCs w:val="20"/>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055336">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018BD48" id="_x0000_t202" coordsize="21600,21600" o:spt="202" path="m,l,21600r21600,l21600,xe">
                    <v:stroke joinstyle="miter"/>
                    <v:path gradientshapeok="t" o:connecttype="rect"/>
                  </v:shapetype>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filled="f" stroked="f" strokeweight=".5pt">
                    <v:textbox style="mso-fit-shape-to-text:t" inset="126pt,0,54pt,0">
                      <w:txbxContent>
                        <w:p w14:paraId="062A0944" w14:textId="6E46368A" w:rsidR="00382947" w:rsidRDefault="00382947">
                          <w:pPr>
                            <w:pStyle w:val="NoSpacing"/>
                            <w:jc w:val="right"/>
                            <w:rPr>
                              <w:color w:val="4472C4" w:themeColor="accent1"/>
                              <w:sz w:val="28"/>
                              <w:szCs w:val="28"/>
                            </w:rPr>
                          </w:pPr>
                          <w:r>
                            <w:rPr>
                              <w:color w:val="4472C4" w:themeColor="accent1"/>
                              <w:sz w:val="28"/>
                              <w:szCs w:val="28"/>
                            </w:rPr>
                            <w:t>MA Policing and Criminal Justice Dissertation</w:t>
                          </w:r>
                          <w:r w:rsidR="00673BD2">
                            <w:rPr>
                              <w:color w:val="4472C4" w:themeColor="accent1"/>
                              <w:sz w:val="28"/>
                              <w:szCs w:val="28"/>
                            </w:rPr>
                            <w:t xml:space="preserve"> (BMCJ7004)</w:t>
                          </w:r>
                        </w:p>
                        <w:p w14:paraId="293EFA87" w14:textId="7487508C" w:rsidR="00055336" w:rsidRDefault="00673BD2">
                          <w:pPr>
                            <w:pStyle w:val="NoSpacing"/>
                            <w:jc w:val="right"/>
                            <w:rPr>
                              <w:color w:val="595959" w:themeColor="text1" w:themeTint="A6"/>
                              <w:sz w:val="20"/>
                              <w:szCs w:val="20"/>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055336">
                                <w:rPr>
                                  <w:color w:val="595959" w:themeColor="text1" w:themeTint="A6"/>
                                  <w:sz w:val="20"/>
                                  <w:szCs w:val="20"/>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A33B1E2" wp14:editId="02A42CA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C89BFB" w14:textId="1501678C" w:rsidR="00055336" w:rsidRDefault="00673BD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55336">
                                      <w:rPr>
                                        <w:caps/>
                                        <w:color w:val="4472C4" w:themeColor="accent1"/>
                                        <w:sz w:val="64"/>
                                        <w:szCs w:val="64"/>
                                      </w:rPr>
                                      <w:t>Research proposal</w:t>
                                    </w:r>
                                  </w:sdtContent>
                                </w:sdt>
                              </w:p>
                              <w:sdt>
                                <w:sdtPr>
                                  <w:rPr>
                                    <w:b/>
                                    <w:b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B14B8FC" w14:textId="41D8D527" w:rsidR="00055336" w:rsidRPr="00EF28AF" w:rsidRDefault="00055336">
                                    <w:pPr>
                                      <w:jc w:val="right"/>
                                      <w:rPr>
                                        <w:b/>
                                        <w:bCs/>
                                        <w:smallCaps/>
                                        <w:color w:val="404040" w:themeColor="text1" w:themeTint="BF"/>
                                        <w:sz w:val="36"/>
                                        <w:szCs w:val="36"/>
                                      </w:rPr>
                                    </w:pPr>
                                    <w:r w:rsidRPr="00EF28AF">
                                      <w:rPr>
                                        <w:b/>
                                        <w:bCs/>
                                        <w:color w:val="404040" w:themeColor="text1" w:themeTint="BF"/>
                                        <w:sz w:val="36"/>
                                        <w:szCs w:val="36"/>
                                      </w:rPr>
                                      <w:t>How Did the Islamic State Utilise Cyberspace to Advance It’s Overarching Goals?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A33B1E2"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" filled="f" stroked="f" strokeweight=".5pt">
                    <v:textbox inset="126pt,0,54pt,0">
                      <w:txbxContent>
                        <w:p w14:paraId="40C89BFB" w14:textId="1501678C" w:rsidR="00055336" w:rsidRDefault="0005533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Research proposal</w:t>
                              </w:r>
                            </w:sdtContent>
                          </w:sdt>
                        </w:p>
                        <w:sdt>
                          <w:sdtPr>
                            <w:rPr>
                              <w:b/>
                              <w:b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B14B8FC" w14:textId="41D8D527" w:rsidR="00055336" w:rsidRPr="00EF28AF" w:rsidRDefault="00055336">
                              <w:pPr>
                                <w:jc w:val="right"/>
                                <w:rPr>
                                  <w:b/>
                                  <w:bCs/>
                                  <w:smallCaps/>
                                  <w:color w:val="404040" w:themeColor="text1" w:themeTint="BF"/>
                                  <w:sz w:val="36"/>
                                  <w:szCs w:val="36"/>
                                </w:rPr>
                              </w:pPr>
                              <w:r w:rsidRPr="00EF28AF">
                                <w:rPr>
                                  <w:b/>
                                  <w:bCs/>
                                  <w:color w:val="404040" w:themeColor="text1" w:themeTint="BF"/>
                                  <w:sz w:val="36"/>
                                  <w:szCs w:val="36"/>
                                </w:rPr>
                                <w:t>How Did the Islamic State Utilise Cyberspace to Advance It’s Overarching Goals?</w:t>
                              </w:r>
                            </w:p>
                          </w:sdtContent>
                        </w:sdt>
                      </w:txbxContent>
                    </v:textbox>
                    <w10:wrap type="square" anchorx="page" anchory="page"/>
                  </v:shape>
                </w:pict>
              </mc:Fallback>
            </mc:AlternateContent>
          </w:r>
        </w:p>
        <w:p w14:paraId="453A3F75" w14:textId="36760D63" w:rsidR="00482C9C" w:rsidRPr="00055336" w:rsidRDefault="00055336" w:rsidP="00055336">
          <w:pPr>
            <w:rPr>
              <w:b/>
              <w:bCs/>
              <w:sz w:val="36"/>
              <w:szCs w:val="36"/>
            </w:rPr>
          </w:pPr>
          <w:r>
            <w:rPr>
              <w:b/>
              <w:bCs/>
              <w:sz w:val="36"/>
              <w:szCs w:val="36"/>
            </w:rPr>
            <w:br w:type="page"/>
          </w:r>
        </w:p>
      </w:sdtContent>
    </w:sdt>
    <w:p w14:paraId="43F40F07" w14:textId="345CF6D4" w:rsidR="00762B9E" w:rsidRPr="00762B9E" w:rsidRDefault="00762B9E" w:rsidP="00762B9E">
      <w:pPr>
        <w:jc w:val="center"/>
        <w:rPr>
          <w:rFonts w:ascii="Calibri" w:eastAsia="Times New Roman" w:hAnsi="Calibri" w:cs="Calibri"/>
          <w:b/>
          <w:bCs/>
          <w:color w:val="000000"/>
          <w:lang w:eastAsia="en-GB"/>
        </w:rPr>
      </w:pPr>
      <w:r w:rsidRPr="00762B9E">
        <w:rPr>
          <w:rFonts w:ascii="Calibri" w:eastAsia="Times New Roman" w:hAnsi="Calibri" w:cs="Calibri"/>
          <w:b/>
          <w:bCs/>
          <w:color w:val="000000"/>
          <w:lang w:eastAsia="en-GB"/>
        </w:rPr>
        <w:lastRenderedPageBreak/>
        <w:t>Intro</w:t>
      </w:r>
    </w:p>
    <w:p w14:paraId="25489BDE" w14:textId="77777777" w:rsidR="00762B9E" w:rsidRDefault="00762B9E" w:rsidP="00762B9E">
      <w:pPr>
        <w:jc w:val="center"/>
        <w:rPr>
          <w:rFonts w:ascii="Calibri" w:eastAsia="Times New Roman" w:hAnsi="Calibri" w:cs="Calibri"/>
          <w:b/>
          <w:bCs/>
          <w:color w:val="000000"/>
          <w:lang w:eastAsia="en-GB"/>
        </w:rPr>
      </w:pPr>
    </w:p>
    <w:p w14:paraId="55FC4627" w14:textId="71D8A87B" w:rsidR="00762B9E" w:rsidRDefault="005539E4" w:rsidP="005817CD">
      <w:pPr>
        <w:jc w:val="both"/>
        <w:rPr>
          <w:rFonts w:ascii="Calibri" w:eastAsia="Times New Roman" w:hAnsi="Calibri" w:cs="Calibri"/>
          <w:color w:val="000000"/>
          <w:lang w:eastAsia="en-GB"/>
        </w:rPr>
      </w:pPr>
      <w:r w:rsidRPr="005539E4">
        <w:rPr>
          <w:rFonts w:ascii="Calibri" w:eastAsia="Times New Roman" w:hAnsi="Calibri" w:cs="Calibri"/>
          <w:color w:val="000000"/>
          <w:lang w:eastAsia="en-GB"/>
        </w:rPr>
        <w:t xml:space="preserve">This </w:t>
      </w:r>
      <w:r>
        <w:rPr>
          <w:rFonts w:ascii="Calibri" w:eastAsia="Times New Roman" w:hAnsi="Calibri" w:cs="Calibri"/>
          <w:color w:val="000000"/>
          <w:lang w:eastAsia="en-GB"/>
        </w:rPr>
        <w:t>research proposal will seek to outline the overarching goals, methods and limitations within the proposed study in order to demonstrate a clearly defined approach to the study and key processes which will be undertaken within this research. Undertaking this proposal is particularly critical as academics have argued that the research proposal process is a critical opportunity for researchers to refine research questions and research design whilst laying the theoretical foundations for the intended study (</w:t>
      </w:r>
      <w:proofErr w:type="spellStart"/>
      <w:r>
        <w:rPr>
          <w:rFonts w:ascii="Calibri" w:eastAsia="Times New Roman" w:hAnsi="Calibri" w:cs="Calibri"/>
          <w:color w:val="000000"/>
          <w:lang w:eastAsia="en-GB"/>
        </w:rPr>
        <w:t>Vichta</w:t>
      </w:r>
      <w:proofErr w:type="spellEnd"/>
      <w:r>
        <w:rPr>
          <w:rFonts w:ascii="Calibri" w:eastAsia="Times New Roman" w:hAnsi="Calibri" w:cs="Calibri"/>
          <w:color w:val="000000"/>
          <w:lang w:eastAsia="en-GB"/>
        </w:rPr>
        <w:t xml:space="preserve"> 2019).</w:t>
      </w:r>
      <w:r w:rsidR="005817CD">
        <w:rPr>
          <w:rFonts w:ascii="Calibri" w:eastAsia="Times New Roman" w:hAnsi="Calibri" w:cs="Calibri"/>
          <w:color w:val="000000"/>
          <w:lang w:eastAsia="en-GB"/>
        </w:rPr>
        <w:t xml:space="preserve"> Building on this, it has been asserted that constructing a research proposal allows researchers to critically analyse the potential wealth of knowledge which will be generated by studies, allowing a critical analysis of the relevance and justification for research to proceed (</w:t>
      </w:r>
      <w:proofErr w:type="spellStart"/>
      <w:r w:rsidR="005817CD">
        <w:rPr>
          <w:rFonts w:ascii="Calibri" w:eastAsia="Times New Roman" w:hAnsi="Calibri" w:cs="Calibri"/>
          <w:color w:val="000000"/>
          <w:lang w:eastAsia="en-GB"/>
        </w:rPr>
        <w:t>Abdulai</w:t>
      </w:r>
      <w:proofErr w:type="spellEnd"/>
      <w:r w:rsidR="005817CD">
        <w:rPr>
          <w:rFonts w:ascii="Calibri" w:eastAsia="Times New Roman" w:hAnsi="Calibri" w:cs="Calibri"/>
          <w:color w:val="000000"/>
          <w:lang w:eastAsia="en-GB"/>
        </w:rPr>
        <w:t xml:space="preserve"> and Owusu-Ansah 2014). Consequentially,  these academic arguments regarding the importance of utilising a research proposal to lay the foundations for critical and engaging research clearly render this a key stage within the research process. </w:t>
      </w:r>
    </w:p>
    <w:p w14:paraId="1A34724B" w14:textId="69115DCB" w:rsidR="005817CD" w:rsidRDefault="005817CD" w:rsidP="005817CD">
      <w:pPr>
        <w:jc w:val="both"/>
        <w:rPr>
          <w:rFonts w:ascii="Calibri" w:eastAsia="Times New Roman" w:hAnsi="Calibri" w:cs="Calibri"/>
          <w:color w:val="000000"/>
          <w:lang w:eastAsia="en-GB"/>
        </w:rPr>
      </w:pPr>
    </w:p>
    <w:p w14:paraId="04F15604" w14:textId="1A313FCE" w:rsidR="00762B9E" w:rsidRPr="00762B9E" w:rsidRDefault="00762B9E" w:rsidP="0026794C">
      <w:pPr>
        <w:jc w:val="center"/>
        <w:rPr>
          <w:rFonts w:ascii="Calibri" w:eastAsia="Times New Roman" w:hAnsi="Calibri" w:cs="Calibri"/>
          <w:b/>
          <w:bCs/>
          <w:color w:val="000000"/>
          <w:lang w:eastAsia="en-GB"/>
        </w:rPr>
      </w:pPr>
      <w:r w:rsidRPr="00762B9E">
        <w:rPr>
          <w:rFonts w:ascii="Calibri" w:eastAsia="Times New Roman" w:hAnsi="Calibri" w:cs="Calibri"/>
          <w:b/>
          <w:bCs/>
          <w:color w:val="000000"/>
          <w:lang w:eastAsia="en-GB"/>
        </w:rPr>
        <w:t xml:space="preserve">Purpose of study </w:t>
      </w:r>
      <w:r w:rsidR="0026794C">
        <w:rPr>
          <w:rFonts w:ascii="Calibri" w:eastAsia="Times New Roman" w:hAnsi="Calibri" w:cs="Calibri"/>
          <w:b/>
          <w:bCs/>
          <w:color w:val="000000"/>
          <w:lang w:eastAsia="en-GB"/>
        </w:rPr>
        <w:t xml:space="preserve">&amp; </w:t>
      </w:r>
      <w:r w:rsidRPr="00762B9E">
        <w:rPr>
          <w:rFonts w:ascii="Calibri" w:eastAsia="Times New Roman" w:hAnsi="Calibri" w:cs="Calibri"/>
          <w:b/>
          <w:bCs/>
          <w:color w:val="000000"/>
          <w:lang w:eastAsia="en-GB"/>
        </w:rPr>
        <w:t xml:space="preserve"> Literature review</w:t>
      </w:r>
    </w:p>
    <w:p w14:paraId="67F6ED55" w14:textId="77777777" w:rsidR="00762B9E" w:rsidRDefault="00762B9E" w:rsidP="00762B9E">
      <w:pPr>
        <w:jc w:val="center"/>
        <w:rPr>
          <w:rFonts w:ascii="Calibri" w:eastAsia="Times New Roman" w:hAnsi="Calibri" w:cs="Calibri"/>
          <w:b/>
          <w:bCs/>
          <w:color w:val="000000"/>
          <w:lang w:eastAsia="en-GB"/>
        </w:rPr>
      </w:pPr>
    </w:p>
    <w:p w14:paraId="440731D7" w14:textId="25346C4C" w:rsidR="00482C9C" w:rsidRDefault="005817CD" w:rsidP="001B4247">
      <w:pPr>
        <w:jc w:val="both"/>
        <w:rPr>
          <w:rFonts w:ascii="Calibri" w:eastAsia="Times New Roman" w:hAnsi="Calibri" w:cs="Calibri"/>
          <w:color w:val="000000"/>
          <w:lang w:eastAsia="en-GB"/>
        </w:rPr>
      </w:pPr>
      <w:r>
        <w:rPr>
          <w:rFonts w:ascii="Calibri" w:eastAsia="Times New Roman" w:hAnsi="Calibri" w:cs="Calibri"/>
          <w:color w:val="000000"/>
          <w:lang w:eastAsia="en-GB"/>
        </w:rPr>
        <w:t>Examining the proposed content of the study itself, t</w:t>
      </w:r>
      <w:r w:rsidRPr="005817CD">
        <w:rPr>
          <w:rFonts w:ascii="Calibri" w:eastAsia="Times New Roman" w:hAnsi="Calibri" w:cs="Calibri"/>
          <w:color w:val="000000"/>
          <w:lang w:eastAsia="en-GB"/>
        </w:rPr>
        <w:t xml:space="preserve">his study </w:t>
      </w:r>
      <w:r>
        <w:rPr>
          <w:rFonts w:ascii="Calibri" w:eastAsia="Times New Roman" w:hAnsi="Calibri" w:cs="Calibri"/>
          <w:color w:val="000000"/>
          <w:lang w:eastAsia="en-GB"/>
        </w:rPr>
        <w:t xml:space="preserve">will specifically seek to answer the overarching research question ‘How did the Islamic State utilise cyberspace to advance its overarching goals?’ utilising a literature-based approach. This topic was specifically chosen as </w:t>
      </w:r>
      <w:r w:rsidR="00A57ECB">
        <w:rPr>
          <w:rFonts w:ascii="Calibri" w:eastAsia="Times New Roman" w:hAnsi="Calibri" w:cs="Calibri"/>
          <w:color w:val="000000"/>
          <w:lang w:eastAsia="en-GB"/>
        </w:rPr>
        <w:t xml:space="preserve">within the last two decades terrorism has become an issue which is not only at the forefront of the public psyche but has also had profound implications for the safety, security, economic stability and development of regions across the globe ranging from North America to East Asia (Tracy 2012). When examining the most critical threats which are present within contemporary terrorism, </w:t>
      </w:r>
      <w:r w:rsidR="00CE0C76">
        <w:rPr>
          <w:rFonts w:ascii="Calibri" w:eastAsia="Times New Roman" w:hAnsi="Calibri" w:cs="Calibri"/>
          <w:color w:val="000000"/>
          <w:lang w:eastAsia="en-GB"/>
        </w:rPr>
        <w:t xml:space="preserve">research has </w:t>
      </w:r>
      <w:r w:rsidR="00A57ECB">
        <w:rPr>
          <w:rFonts w:ascii="Calibri" w:eastAsia="Times New Roman" w:hAnsi="Calibri" w:cs="Calibri"/>
          <w:color w:val="000000"/>
          <w:lang w:eastAsia="en-GB"/>
        </w:rPr>
        <w:t xml:space="preserve">proceeded to argue </w:t>
      </w:r>
      <w:r w:rsidR="00CE0C76">
        <w:rPr>
          <w:rFonts w:ascii="Calibri" w:eastAsia="Times New Roman" w:hAnsi="Calibri" w:cs="Calibri"/>
          <w:color w:val="000000"/>
          <w:lang w:eastAsia="en-GB"/>
        </w:rPr>
        <w:t xml:space="preserve">that within recent years </w:t>
      </w:r>
      <w:r w:rsidR="00961C55">
        <w:rPr>
          <w:rFonts w:ascii="Calibri" w:eastAsia="Times New Roman" w:hAnsi="Calibri" w:cs="Calibri"/>
          <w:color w:val="000000"/>
          <w:lang w:eastAsia="en-GB"/>
        </w:rPr>
        <w:t>the Islamic State group and its tactics</w:t>
      </w:r>
      <w:r w:rsidR="00CE0C76">
        <w:rPr>
          <w:rFonts w:ascii="Calibri" w:eastAsia="Times New Roman" w:hAnsi="Calibri" w:cs="Calibri"/>
          <w:color w:val="000000"/>
          <w:lang w:eastAsia="en-GB"/>
        </w:rPr>
        <w:t xml:space="preserve"> has </w:t>
      </w:r>
      <w:r w:rsidR="00961C55">
        <w:rPr>
          <w:rFonts w:ascii="Calibri" w:eastAsia="Times New Roman" w:hAnsi="Calibri" w:cs="Calibri"/>
          <w:color w:val="000000"/>
          <w:lang w:eastAsia="en-GB"/>
        </w:rPr>
        <w:t xml:space="preserve">marked a distinct evolution in Islamist terrorism, developing on existing methods, particularly within the digital sphere, to become uniquely effective and dangerous on the world stage (Martin and Solomon 2017). </w:t>
      </w:r>
      <w:r w:rsidR="001B4247">
        <w:rPr>
          <w:rFonts w:ascii="Calibri" w:eastAsia="Times New Roman" w:hAnsi="Calibri" w:cs="Calibri"/>
          <w:color w:val="000000"/>
          <w:lang w:eastAsia="en-GB"/>
        </w:rPr>
        <w:t xml:space="preserve">In addition to the evolution of the Islamic State as a distinctly effective terrorist entity, the Islamic State has also demonstrated a uniquely efficient ability to utilise social media as a tool to recruit a new generation of internet literate sympathisers, to disseminate a plethora of propaganda and to </w:t>
      </w:r>
      <w:r w:rsidR="007C7EF9">
        <w:rPr>
          <w:rFonts w:ascii="Calibri" w:eastAsia="Times New Roman" w:hAnsi="Calibri" w:cs="Calibri"/>
          <w:color w:val="000000"/>
          <w:lang w:eastAsia="en-GB"/>
        </w:rPr>
        <w:t>sow</w:t>
      </w:r>
      <w:r w:rsidR="001B4247">
        <w:rPr>
          <w:rFonts w:ascii="Calibri" w:eastAsia="Times New Roman" w:hAnsi="Calibri" w:cs="Calibri"/>
          <w:color w:val="000000"/>
          <w:lang w:eastAsia="en-GB"/>
        </w:rPr>
        <w:t xml:space="preserve"> the seeds of support at a transnational level, rendering it a rich source of potential academic investigation</w:t>
      </w:r>
      <w:r w:rsidR="00A57ECB">
        <w:rPr>
          <w:rFonts w:ascii="Calibri" w:eastAsia="Times New Roman" w:hAnsi="Calibri" w:cs="Calibri"/>
          <w:color w:val="000000"/>
          <w:lang w:eastAsia="en-GB"/>
        </w:rPr>
        <w:t xml:space="preserve"> when seeking to explore the risks of contemporary terrorist entities</w:t>
      </w:r>
      <w:r w:rsidR="001B4247">
        <w:rPr>
          <w:rFonts w:ascii="Calibri" w:eastAsia="Times New Roman" w:hAnsi="Calibri" w:cs="Calibri"/>
          <w:color w:val="000000"/>
          <w:lang w:eastAsia="en-GB"/>
        </w:rPr>
        <w:t xml:space="preserve"> (</w:t>
      </w:r>
      <w:proofErr w:type="spellStart"/>
      <w:r w:rsidR="001B4247">
        <w:rPr>
          <w:rFonts w:ascii="Calibri" w:eastAsia="Times New Roman" w:hAnsi="Calibri" w:cs="Calibri"/>
          <w:color w:val="000000"/>
          <w:lang w:eastAsia="en-GB"/>
        </w:rPr>
        <w:t>Friis</w:t>
      </w:r>
      <w:proofErr w:type="spellEnd"/>
      <w:r w:rsidR="001B4247">
        <w:rPr>
          <w:rFonts w:ascii="Calibri" w:eastAsia="Times New Roman" w:hAnsi="Calibri" w:cs="Calibri"/>
          <w:color w:val="000000"/>
          <w:lang w:eastAsia="en-GB"/>
        </w:rPr>
        <w:t xml:space="preserve"> 2017). </w:t>
      </w:r>
    </w:p>
    <w:p w14:paraId="782993E1" w14:textId="6E1B2010" w:rsidR="00C512F5" w:rsidRDefault="00C512F5" w:rsidP="001B4247">
      <w:pPr>
        <w:jc w:val="both"/>
        <w:rPr>
          <w:rFonts w:ascii="Calibri" w:eastAsia="Times New Roman" w:hAnsi="Calibri" w:cs="Calibri"/>
          <w:color w:val="000000"/>
          <w:lang w:eastAsia="en-GB"/>
        </w:rPr>
      </w:pPr>
    </w:p>
    <w:p w14:paraId="21A9F36F" w14:textId="5DB5AD51" w:rsidR="00C512F5" w:rsidRPr="005817CD" w:rsidRDefault="00C512F5" w:rsidP="001B4247">
      <w:pPr>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When seeking to explore in more depth the </w:t>
      </w:r>
      <w:r w:rsidR="00A57ECB">
        <w:rPr>
          <w:rFonts w:ascii="Calibri" w:eastAsia="Times New Roman" w:hAnsi="Calibri" w:cs="Calibri"/>
          <w:color w:val="000000"/>
          <w:lang w:eastAsia="en-GB"/>
        </w:rPr>
        <w:t xml:space="preserve">complex and nuanced links between the Islamic State and cyberspace which </w:t>
      </w:r>
      <w:r w:rsidR="00843DCE">
        <w:rPr>
          <w:rFonts w:ascii="Calibri" w:eastAsia="Times New Roman" w:hAnsi="Calibri" w:cs="Calibri"/>
          <w:color w:val="000000"/>
          <w:lang w:eastAsia="en-GB"/>
        </w:rPr>
        <w:t xml:space="preserve">underpin </w:t>
      </w:r>
      <w:r w:rsidR="00A57ECB">
        <w:rPr>
          <w:rFonts w:ascii="Calibri" w:eastAsia="Times New Roman" w:hAnsi="Calibri" w:cs="Calibri"/>
          <w:color w:val="000000"/>
          <w:lang w:eastAsia="en-GB"/>
        </w:rPr>
        <w:t xml:space="preserve">the importance of this study, </w:t>
      </w:r>
      <w:r w:rsidR="00843DCE">
        <w:rPr>
          <w:rFonts w:ascii="Calibri" w:eastAsia="Times New Roman" w:hAnsi="Calibri" w:cs="Calibri"/>
          <w:color w:val="000000"/>
          <w:lang w:eastAsia="en-GB"/>
        </w:rPr>
        <w:t>it is imperative to note that contemporary academic research has suggested that the Islamic State has exploited the inherent transnational, fluid nature of cyberspace utilising the digital sphere as a space to communicate, disseminate propaganda and to recruit ideologically sympathetic individuals (Lee et al 2021). It has been suggested that this shift towards the digital sphere is not isolated to Islamic State but reflective of a wider emphasis amongst violent extremist organisations on the opportunities afforded by the unique characteristics of the internet (</w:t>
      </w:r>
      <w:proofErr w:type="spellStart"/>
      <w:r w:rsidR="00843DCE">
        <w:rPr>
          <w:rFonts w:ascii="Calibri" w:eastAsia="Times New Roman" w:hAnsi="Calibri" w:cs="Calibri"/>
          <w:color w:val="000000"/>
          <w:lang w:eastAsia="en-GB"/>
        </w:rPr>
        <w:t>Argomaniz</w:t>
      </w:r>
      <w:proofErr w:type="spellEnd"/>
      <w:r w:rsidR="00843DCE">
        <w:rPr>
          <w:rFonts w:ascii="Calibri" w:eastAsia="Times New Roman" w:hAnsi="Calibri" w:cs="Calibri"/>
          <w:color w:val="000000"/>
          <w:lang w:eastAsia="en-GB"/>
        </w:rPr>
        <w:t xml:space="preserve"> 2014), inferring that by analysing the ways in which Islamic State has exploited this space, a more comprehensive understanding of contemporary terrorism more broadly may be ascertained. </w:t>
      </w:r>
      <w:r w:rsidR="00546DC7">
        <w:rPr>
          <w:rFonts w:ascii="Calibri" w:eastAsia="Times New Roman" w:hAnsi="Calibri" w:cs="Calibri"/>
          <w:color w:val="000000"/>
          <w:lang w:eastAsia="en-GB"/>
        </w:rPr>
        <w:t xml:space="preserve">However, whilst there is clearly a strong foundation of existing research examining contemporary terrorism and the internet, research has argued that many elements of this complex relationship remain nuanced and in need of deeper academic investigation, </w:t>
      </w:r>
      <w:r w:rsidR="00546DC7">
        <w:rPr>
          <w:rFonts w:ascii="Calibri" w:eastAsia="Times New Roman" w:hAnsi="Calibri" w:cs="Calibri"/>
          <w:color w:val="000000"/>
          <w:lang w:eastAsia="en-GB"/>
        </w:rPr>
        <w:lastRenderedPageBreak/>
        <w:t xml:space="preserve">particularly in regards to the link between online terrorist activity and the tangible impact these activities have within the offline world (O’Callaghan et al 2014). Consequentially, this brief examination of the existing literature within the field of terrorism studies clearly suggests that whilst academics have begun to note the evolving relationship between terrorism and cyberspace, this relationship remains a topic which merits deeper academic investigation. Furthermore, the necessity for more critical examination of this relationship interwoven with the Islamic State’s emergence as a key player within the field of contemporary terrorism both online and offline render this group and their online presence a clear source of academic interest which may offer a critical insight into violent extremism within the digital age. </w:t>
      </w:r>
    </w:p>
    <w:p w14:paraId="75559FA6" w14:textId="77777777" w:rsidR="00482C9C" w:rsidRDefault="00482C9C" w:rsidP="00762B9E">
      <w:pPr>
        <w:jc w:val="center"/>
        <w:rPr>
          <w:rFonts w:ascii="Calibri" w:eastAsia="Times New Roman" w:hAnsi="Calibri" w:cs="Calibri"/>
          <w:b/>
          <w:bCs/>
          <w:color w:val="000000"/>
          <w:lang w:eastAsia="en-GB"/>
        </w:rPr>
      </w:pPr>
    </w:p>
    <w:p w14:paraId="397D7C18" w14:textId="5C42F7F2" w:rsidR="00762B9E" w:rsidRPr="00762B9E" w:rsidRDefault="00762B9E" w:rsidP="0026794C">
      <w:pPr>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M</w:t>
      </w:r>
      <w:r w:rsidRPr="00762B9E">
        <w:rPr>
          <w:rFonts w:ascii="Calibri" w:eastAsia="Times New Roman" w:hAnsi="Calibri" w:cs="Calibri"/>
          <w:b/>
          <w:bCs/>
          <w:color w:val="000000"/>
          <w:lang w:eastAsia="en-GB"/>
        </w:rPr>
        <w:t>ethodology</w:t>
      </w:r>
    </w:p>
    <w:p w14:paraId="0E04AE33" w14:textId="77777777" w:rsidR="00762B9E" w:rsidRDefault="00762B9E" w:rsidP="00762B9E">
      <w:pPr>
        <w:jc w:val="center"/>
        <w:rPr>
          <w:rFonts w:ascii="Calibri" w:eastAsia="Times New Roman" w:hAnsi="Calibri" w:cs="Calibri"/>
          <w:b/>
          <w:bCs/>
          <w:color w:val="000000"/>
          <w:lang w:eastAsia="en-GB"/>
        </w:rPr>
      </w:pPr>
    </w:p>
    <w:p w14:paraId="06CB6D42" w14:textId="001C8A03" w:rsidR="00C512F5" w:rsidRDefault="00C512F5" w:rsidP="00C512F5">
      <w:pPr>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When seeking to explore in more depth the potential avenues of exploration within this study, it is </w:t>
      </w:r>
      <w:r w:rsidR="007C7EF9">
        <w:rPr>
          <w:rFonts w:ascii="Calibri" w:eastAsia="Times New Roman" w:hAnsi="Calibri" w:cs="Calibri"/>
          <w:color w:val="000000"/>
          <w:lang w:eastAsia="en-GB"/>
        </w:rPr>
        <w:t xml:space="preserve">evident </w:t>
      </w:r>
      <w:r>
        <w:rPr>
          <w:rFonts w:ascii="Calibri" w:eastAsia="Times New Roman" w:hAnsi="Calibri" w:cs="Calibri"/>
          <w:color w:val="000000"/>
          <w:lang w:eastAsia="en-GB"/>
        </w:rPr>
        <w:t xml:space="preserve">that the inherently broad nature of examining cyberspace reinforce the necessity of </w:t>
      </w:r>
      <w:r w:rsidRPr="007C7EF9">
        <w:rPr>
          <w:rFonts w:ascii="Calibri" w:eastAsia="Times New Roman" w:hAnsi="Calibri" w:cs="Calibri"/>
          <w:color w:val="000000"/>
          <w:lang w:eastAsia="en-GB"/>
        </w:rPr>
        <w:t>clear</w:t>
      </w:r>
      <w:r>
        <w:rPr>
          <w:rFonts w:ascii="Calibri" w:eastAsia="Times New Roman" w:hAnsi="Calibri" w:cs="Calibri"/>
          <w:color w:val="000000"/>
          <w:lang w:eastAsia="en-GB"/>
        </w:rPr>
        <w:t xml:space="preserve"> objectives which are </w:t>
      </w:r>
      <w:r w:rsidR="007C7EF9">
        <w:rPr>
          <w:rFonts w:ascii="Calibri" w:eastAsia="Times New Roman" w:hAnsi="Calibri" w:cs="Calibri"/>
          <w:color w:val="000000"/>
          <w:lang w:eastAsia="en-GB"/>
        </w:rPr>
        <w:t xml:space="preserve">transparent, </w:t>
      </w:r>
      <w:r>
        <w:rPr>
          <w:rFonts w:ascii="Calibri" w:eastAsia="Times New Roman" w:hAnsi="Calibri" w:cs="Calibri"/>
          <w:color w:val="000000"/>
          <w:lang w:eastAsia="en-GB"/>
        </w:rPr>
        <w:t xml:space="preserve">specific and actionable in order to retain a </w:t>
      </w:r>
      <w:r w:rsidR="007C7EF9">
        <w:rPr>
          <w:rFonts w:ascii="Calibri" w:eastAsia="Times New Roman" w:hAnsi="Calibri" w:cs="Calibri"/>
          <w:color w:val="000000"/>
          <w:lang w:eastAsia="en-GB"/>
        </w:rPr>
        <w:t>coherent</w:t>
      </w:r>
      <w:r>
        <w:rPr>
          <w:rFonts w:ascii="Calibri" w:eastAsia="Times New Roman" w:hAnsi="Calibri" w:cs="Calibri"/>
          <w:color w:val="000000"/>
          <w:lang w:eastAsia="en-GB"/>
        </w:rPr>
        <w:t xml:space="preserve"> structure within this research (Van </w:t>
      </w:r>
      <w:proofErr w:type="spellStart"/>
      <w:r>
        <w:rPr>
          <w:rFonts w:ascii="Calibri" w:eastAsia="Times New Roman" w:hAnsi="Calibri" w:cs="Calibri"/>
          <w:color w:val="000000"/>
          <w:lang w:eastAsia="en-GB"/>
        </w:rPr>
        <w:t>Ekelenburg</w:t>
      </w:r>
      <w:proofErr w:type="spellEnd"/>
      <w:r>
        <w:rPr>
          <w:rFonts w:ascii="Calibri" w:eastAsia="Times New Roman" w:hAnsi="Calibri" w:cs="Calibri"/>
          <w:color w:val="000000"/>
          <w:lang w:eastAsia="en-GB"/>
        </w:rPr>
        <w:t xml:space="preserve">, 2010). </w:t>
      </w:r>
      <w:r w:rsidR="00454624">
        <w:rPr>
          <w:rFonts w:ascii="Calibri" w:eastAsia="Times New Roman" w:hAnsi="Calibri" w:cs="Calibri"/>
          <w:color w:val="000000"/>
          <w:lang w:eastAsia="en-GB"/>
        </w:rPr>
        <w:t xml:space="preserve">Van </w:t>
      </w:r>
      <w:proofErr w:type="spellStart"/>
      <w:r w:rsidR="00454624">
        <w:rPr>
          <w:rFonts w:ascii="Calibri" w:eastAsia="Times New Roman" w:hAnsi="Calibri" w:cs="Calibri"/>
          <w:color w:val="000000"/>
          <w:lang w:eastAsia="en-GB"/>
        </w:rPr>
        <w:t>Ekelenburg</w:t>
      </w:r>
      <w:proofErr w:type="spellEnd"/>
      <w:r w:rsidR="00454624">
        <w:rPr>
          <w:rFonts w:ascii="Calibri" w:eastAsia="Times New Roman" w:hAnsi="Calibri" w:cs="Calibri"/>
          <w:color w:val="000000"/>
          <w:lang w:eastAsia="en-GB"/>
        </w:rPr>
        <w:t xml:space="preserve"> (2010) proceeds to assert that within a study of reasonable size, whilst an overarching research question is critical, smaller objectives are also crucial in order to break this overarching question into smaller, more manageable parts which create </w:t>
      </w:r>
      <w:r w:rsidR="007C7EF9" w:rsidRPr="007C7EF9">
        <w:rPr>
          <w:rFonts w:ascii="Calibri" w:eastAsia="Times New Roman" w:hAnsi="Calibri" w:cs="Calibri"/>
          <w:color w:val="000000"/>
          <w:lang w:eastAsia="en-GB"/>
        </w:rPr>
        <w:t>precise</w:t>
      </w:r>
      <w:r w:rsidR="00454624" w:rsidRPr="007C7EF9">
        <w:rPr>
          <w:rFonts w:ascii="Calibri" w:eastAsia="Times New Roman" w:hAnsi="Calibri" w:cs="Calibri"/>
          <w:color w:val="000000"/>
          <w:lang w:eastAsia="en-GB"/>
        </w:rPr>
        <w:t>,</w:t>
      </w:r>
      <w:r w:rsidR="00454624">
        <w:rPr>
          <w:rFonts w:ascii="Calibri" w:eastAsia="Times New Roman" w:hAnsi="Calibri" w:cs="Calibri"/>
          <w:color w:val="000000"/>
          <w:lang w:eastAsia="en-GB"/>
        </w:rPr>
        <w:t xml:space="preserve"> tangible objectives. </w:t>
      </w:r>
      <w:r w:rsidR="005A0E18">
        <w:rPr>
          <w:rFonts w:ascii="Calibri" w:eastAsia="Times New Roman" w:hAnsi="Calibri" w:cs="Calibri"/>
          <w:color w:val="000000"/>
          <w:lang w:eastAsia="en-GB"/>
        </w:rPr>
        <w:t xml:space="preserve">Furthermore, </w:t>
      </w:r>
      <w:proofErr w:type="spellStart"/>
      <w:r w:rsidR="005A0E18">
        <w:rPr>
          <w:rFonts w:ascii="Calibri" w:eastAsia="Times New Roman" w:hAnsi="Calibri" w:cs="Calibri"/>
          <w:color w:val="000000"/>
          <w:lang w:eastAsia="en-GB"/>
        </w:rPr>
        <w:t>Abdulai</w:t>
      </w:r>
      <w:proofErr w:type="spellEnd"/>
      <w:r w:rsidR="005A0E18">
        <w:rPr>
          <w:rFonts w:ascii="Calibri" w:eastAsia="Times New Roman" w:hAnsi="Calibri" w:cs="Calibri"/>
          <w:color w:val="000000"/>
          <w:lang w:eastAsia="en-GB"/>
        </w:rPr>
        <w:t xml:space="preserve"> and Owusu-Ansah (2014) have reinforced this assertion, suggesting that to successfully answer a broader research question, specific and unambiguous objectives are the key pillars of a coherent research structure, laying the foundations for key elements of discussion. </w:t>
      </w:r>
      <w:r w:rsidR="00454624">
        <w:rPr>
          <w:rFonts w:ascii="Calibri" w:eastAsia="Times New Roman" w:hAnsi="Calibri" w:cs="Calibri"/>
          <w:color w:val="000000"/>
          <w:lang w:eastAsia="en-GB"/>
        </w:rPr>
        <w:t xml:space="preserve">Consequentially, within this study whilst the overarching aim of the study will seek to answer ‘How did the Islamic State utilise cyberspace to advance its overarching goals?’, this will be broken into three key objectives as follows: </w:t>
      </w:r>
    </w:p>
    <w:p w14:paraId="3CDD30F9" w14:textId="0CAC8AA4" w:rsidR="00454624" w:rsidRDefault="00454624" w:rsidP="00C512F5">
      <w:pPr>
        <w:jc w:val="both"/>
        <w:rPr>
          <w:rFonts w:ascii="Calibri" w:eastAsia="Times New Roman" w:hAnsi="Calibri" w:cs="Calibri"/>
          <w:color w:val="000000"/>
          <w:lang w:eastAsia="en-GB"/>
        </w:rPr>
      </w:pPr>
    </w:p>
    <w:p w14:paraId="524F624F" w14:textId="68D05FBD" w:rsidR="00454624" w:rsidRDefault="00454624" w:rsidP="00C512F5">
      <w:pPr>
        <w:jc w:val="both"/>
        <w:rPr>
          <w:rFonts w:ascii="Calibri" w:eastAsia="Times New Roman" w:hAnsi="Calibri" w:cs="Calibri"/>
          <w:color w:val="000000"/>
          <w:lang w:eastAsia="en-GB"/>
        </w:rPr>
      </w:pPr>
      <w:r>
        <w:rPr>
          <w:rFonts w:ascii="Calibri" w:eastAsia="Times New Roman" w:hAnsi="Calibri" w:cs="Calibri"/>
          <w:color w:val="000000"/>
          <w:lang w:eastAsia="en-GB"/>
        </w:rPr>
        <w:t>. How did the Islamic State utilise cyberspace as a tool of communication?</w:t>
      </w:r>
    </w:p>
    <w:p w14:paraId="118306A1" w14:textId="3B34849D" w:rsidR="00454624" w:rsidRDefault="00454624" w:rsidP="00C512F5">
      <w:pPr>
        <w:jc w:val="both"/>
        <w:rPr>
          <w:rFonts w:ascii="Calibri" w:eastAsia="Times New Roman" w:hAnsi="Calibri" w:cs="Calibri"/>
          <w:color w:val="000000"/>
          <w:lang w:eastAsia="en-GB"/>
        </w:rPr>
      </w:pPr>
      <w:r>
        <w:rPr>
          <w:rFonts w:ascii="Calibri" w:eastAsia="Times New Roman" w:hAnsi="Calibri" w:cs="Calibri"/>
          <w:color w:val="000000"/>
          <w:lang w:eastAsia="en-GB"/>
        </w:rPr>
        <w:t>. How did the Islamic State utilise cyberspace as a tool of Propaganda Dissemination?</w:t>
      </w:r>
    </w:p>
    <w:p w14:paraId="0E76F07F" w14:textId="1CF5B44C" w:rsidR="00454624" w:rsidRDefault="00454624" w:rsidP="00C512F5">
      <w:pPr>
        <w:jc w:val="both"/>
        <w:rPr>
          <w:rFonts w:ascii="Calibri" w:eastAsia="Times New Roman" w:hAnsi="Calibri" w:cs="Calibri"/>
          <w:color w:val="000000"/>
          <w:lang w:eastAsia="en-GB"/>
        </w:rPr>
      </w:pPr>
      <w:r>
        <w:rPr>
          <w:rFonts w:ascii="Calibri" w:eastAsia="Times New Roman" w:hAnsi="Calibri" w:cs="Calibri"/>
          <w:color w:val="000000"/>
          <w:lang w:eastAsia="en-GB"/>
        </w:rPr>
        <w:t>. How did the Islamic State utilise cyberspace as a tool of recruitment?</w:t>
      </w:r>
    </w:p>
    <w:p w14:paraId="19128AE6" w14:textId="77675160" w:rsidR="00454624" w:rsidRDefault="00454624" w:rsidP="00C512F5">
      <w:pPr>
        <w:jc w:val="both"/>
        <w:rPr>
          <w:rFonts w:ascii="Calibri" w:eastAsia="Times New Roman" w:hAnsi="Calibri" w:cs="Calibri"/>
          <w:color w:val="000000"/>
          <w:lang w:eastAsia="en-GB"/>
        </w:rPr>
      </w:pPr>
    </w:p>
    <w:p w14:paraId="66E59389" w14:textId="5B269398" w:rsidR="00454624" w:rsidRDefault="00261153" w:rsidP="00C512F5">
      <w:pPr>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In order to critically analyse and explore the intricate web of existing knowledge which may offer answers to these objectives, this study will engage in a literature-based investigation which will utilise a range of sources including journal articles, books, speeches and databases. This approach was specifically adopted as research has argued that within the field of terrorism studies a vast breadth of literature remains accessible yet chronically under-researched, offering unique opportunities for those seeking to examine contemporary terrorism and its impact on society (Tracy 2012). </w:t>
      </w:r>
      <w:r w:rsidR="00120590">
        <w:rPr>
          <w:rFonts w:ascii="Calibri" w:eastAsia="Times New Roman" w:hAnsi="Calibri" w:cs="Calibri"/>
          <w:color w:val="000000"/>
          <w:lang w:eastAsia="en-GB"/>
        </w:rPr>
        <w:t xml:space="preserve">Building on this assertion, a literature-based approach was selected within this study rather than empirical as academics have argued that literature-based research offers a plethora of opportunities to explore findings and key debates within a vast body of wider academic work (Winchester and </w:t>
      </w:r>
      <w:proofErr w:type="spellStart"/>
      <w:r w:rsidR="00120590">
        <w:rPr>
          <w:rFonts w:ascii="Calibri" w:eastAsia="Times New Roman" w:hAnsi="Calibri" w:cs="Calibri"/>
          <w:color w:val="000000"/>
          <w:lang w:eastAsia="en-GB"/>
        </w:rPr>
        <w:t>Salji</w:t>
      </w:r>
      <w:proofErr w:type="spellEnd"/>
      <w:r w:rsidR="00120590">
        <w:rPr>
          <w:rFonts w:ascii="Calibri" w:eastAsia="Times New Roman" w:hAnsi="Calibri" w:cs="Calibri"/>
          <w:color w:val="000000"/>
          <w:lang w:eastAsia="en-GB"/>
        </w:rPr>
        <w:t xml:space="preserve"> 2016). </w:t>
      </w:r>
      <w:r w:rsidR="007C0BBA">
        <w:rPr>
          <w:rFonts w:ascii="Calibri" w:eastAsia="Times New Roman" w:hAnsi="Calibri" w:cs="Calibri"/>
          <w:color w:val="000000"/>
          <w:lang w:eastAsia="en-GB"/>
        </w:rPr>
        <w:t xml:space="preserve">Looking at the benefits of a literature-based approach specifically within the field of terrorism studies, </w:t>
      </w:r>
      <w:proofErr w:type="spellStart"/>
      <w:r w:rsidR="007C0BBA">
        <w:rPr>
          <w:rFonts w:ascii="Calibri" w:eastAsia="Times New Roman" w:hAnsi="Calibri" w:cs="Calibri"/>
          <w:color w:val="000000"/>
          <w:lang w:eastAsia="en-GB"/>
        </w:rPr>
        <w:t>Cubukcu</w:t>
      </w:r>
      <w:proofErr w:type="spellEnd"/>
      <w:r w:rsidR="007C0BBA">
        <w:rPr>
          <w:rFonts w:ascii="Calibri" w:eastAsia="Times New Roman" w:hAnsi="Calibri" w:cs="Calibri"/>
          <w:color w:val="000000"/>
          <w:lang w:eastAsia="en-GB"/>
        </w:rPr>
        <w:t xml:space="preserve"> and </w:t>
      </w:r>
      <w:proofErr w:type="spellStart"/>
      <w:r w:rsidR="007C0BBA">
        <w:rPr>
          <w:rFonts w:ascii="Calibri" w:eastAsia="Times New Roman" w:hAnsi="Calibri" w:cs="Calibri"/>
          <w:color w:val="000000"/>
          <w:lang w:eastAsia="en-GB"/>
        </w:rPr>
        <w:t>Forst</w:t>
      </w:r>
      <w:proofErr w:type="spellEnd"/>
      <w:r w:rsidR="007C0BBA">
        <w:rPr>
          <w:rFonts w:ascii="Calibri" w:eastAsia="Times New Roman" w:hAnsi="Calibri" w:cs="Calibri"/>
          <w:color w:val="000000"/>
          <w:lang w:eastAsia="en-GB"/>
        </w:rPr>
        <w:t xml:space="preserve"> (2017) have suggested that open source data such as journal articles and databases offer a bespoke opportunity for researchers examining violent extremism to understand the sources, impacts and natures of terrorist actors, rendering the use of literature a key tool within this field. </w:t>
      </w:r>
      <w:r w:rsidR="00120590">
        <w:rPr>
          <w:rFonts w:ascii="Calibri" w:eastAsia="Times New Roman" w:hAnsi="Calibri" w:cs="Calibri"/>
          <w:color w:val="000000"/>
          <w:lang w:eastAsia="en-GB"/>
        </w:rPr>
        <w:t xml:space="preserve">Consequentially, whilst empirical research was considered within the construction of this study, it is evident that a literature-based analysis </w:t>
      </w:r>
      <w:r w:rsidR="00120590">
        <w:rPr>
          <w:rFonts w:ascii="Calibri" w:eastAsia="Times New Roman" w:hAnsi="Calibri" w:cs="Calibri"/>
          <w:color w:val="000000"/>
          <w:lang w:eastAsia="en-GB"/>
        </w:rPr>
        <w:lastRenderedPageBreak/>
        <w:t>offers the scope of this study a rich source of exploration and the opportunity to examine both sources of agreement and contestation in existing literature.</w:t>
      </w:r>
    </w:p>
    <w:p w14:paraId="71F90B6D" w14:textId="7A38534C" w:rsidR="006C0AD6" w:rsidRDefault="006C0AD6" w:rsidP="00C512F5">
      <w:pPr>
        <w:jc w:val="both"/>
        <w:rPr>
          <w:rFonts w:ascii="Calibri" w:eastAsia="Times New Roman" w:hAnsi="Calibri" w:cs="Calibri"/>
          <w:color w:val="000000"/>
          <w:lang w:eastAsia="en-GB"/>
        </w:rPr>
      </w:pPr>
    </w:p>
    <w:p w14:paraId="1E0E77BE" w14:textId="2708C11E" w:rsidR="00762B9E" w:rsidRPr="00762B9E" w:rsidRDefault="006B2454" w:rsidP="0052374B">
      <w:pPr>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 xml:space="preserve">Ethical Considerations &amp; </w:t>
      </w:r>
      <w:r w:rsidR="00762B9E">
        <w:rPr>
          <w:rFonts w:ascii="Calibri" w:eastAsia="Times New Roman" w:hAnsi="Calibri" w:cs="Calibri"/>
          <w:b/>
          <w:bCs/>
          <w:color w:val="000000"/>
          <w:lang w:eastAsia="en-GB"/>
        </w:rPr>
        <w:t>L</w:t>
      </w:r>
      <w:r w:rsidR="00762B9E" w:rsidRPr="00762B9E">
        <w:rPr>
          <w:rFonts w:ascii="Calibri" w:eastAsia="Times New Roman" w:hAnsi="Calibri" w:cs="Calibri"/>
          <w:b/>
          <w:bCs/>
          <w:color w:val="000000"/>
          <w:lang w:eastAsia="en-GB"/>
        </w:rPr>
        <w:t>imitations</w:t>
      </w:r>
    </w:p>
    <w:p w14:paraId="7D84B783" w14:textId="77777777" w:rsidR="00762B9E" w:rsidRDefault="00762B9E" w:rsidP="00762B9E">
      <w:pPr>
        <w:jc w:val="center"/>
        <w:rPr>
          <w:rFonts w:ascii="Calibri" w:eastAsia="Times New Roman" w:hAnsi="Calibri" w:cs="Calibri"/>
          <w:b/>
          <w:bCs/>
          <w:color w:val="000000"/>
          <w:lang w:eastAsia="en-GB"/>
        </w:rPr>
      </w:pPr>
    </w:p>
    <w:p w14:paraId="7DF94664" w14:textId="31467B7D" w:rsidR="00D52DE7" w:rsidRDefault="00190F30" w:rsidP="00A62A69">
      <w:pPr>
        <w:jc w:val="both"/>
        <w:rPr>
          <w:rFonts w:ascii="Calibri" w:eastAsia="Times New Roman" w:hAnsi="Calibri" w:cs="Calibri"/>
          <w:color w:val="000000"/>
          <w:lang w:eastAsia="en-GB"/>
        </w:rPr>
      </w:pPr>
      <w:r>
        <w:rPr>
          <w:rFonts w:ascii="Calibri" w:eastAsia="Times New Roman" w:hAnsi="Calibri" w:cs="Calibri"/>
          <w:color w:val="000000"/>
          <w:lang w:eastAsia="en-GB"/>
        </w:rPr>
        <w:t>In addition to this methodological approach, it is also critical to outline the ways in which ethical considerations will underpin this research, particularly as academics have argued that ethical considerations are imperative to ensure that research processes remain fair, safe and humane particularly in studies which tackle complex societal issues (</w:t>
      </w:r>
      <w:proofErr w:type="spellStart"/>
      <w:r>
        <w:rPr>
          <w:rFonts w:ascii="Calibri" w:eastAsia="Times New Roman" w:hAnsi="Calibri" w:cs="Calibri"/>
          <w:color w:val="000000"/>
          <w:lang w:eastAsia="en-GB"/>
        </w:rPr>
        <w:t>Borrett</w:t>
      </w:r>
      <w:proofErr w:type="spellEnd"/>
      <w:r>
        <w:rPr>
          <w:rFonts w:ascii="Calibri" w:eastAsia="Times New Roman" w:hAnsi="Calibri" w:cs="Calibri"/>
          <w:color w:val="000000"/>
          <w:lang w:eastAsia="en-GB"/>
        </w:rPr>
        <w:t xml:space="preserve"> et al 2016).  </w:t>
      </w:r>
      <w:r w:rsidR="00663E22">
        <w:rPr>
          <w:rFonts w:ascii="Calibri" w:eastAsia="Times New Roman" w:hAnsi="Calibri" w:cs="Calibri"/>
          <w:color w:val="000000"/>
          <w:lang w:eastAsia="en-GB"/>
        </w:rPr>
        <w:t>Building on this</w:t>
      </w:r>
      <w:r w:rsidR="00F834D5">
        <w:rPr>
          <w:rFonts w:ascii="Calibri" w:eastAsia="Times New Roman" w:hAnsi="Calibri" w:cs="Calibri"/>
          <w:color w:val="000000"/>
          <w:lang w:eastAsia="en-GB"/>
        </w:rPr>
        <w:t xml:space="preserve">, research has proceeded to argue that whilst research ethics are a complex and contentious element of academic investigation, they have come to form a key pillar of the research process which broadly seeks to ensure that studies are conducted safely, fairly and accurately rendering them a key element within contemporary research (Connor et al 2017). </w:t>
      </w:r>
    </w:p>
    <w:p w14:paraId="238F827E" w14:textId="77777777" w:rsidR="00C268C8" w:rsidRDefault="00C268C8" w:rsidP="00A62A69">
      <w:pPr>
        <w:jc w:val="both"/>
        <w:rPr>
          <w:rFonts w:ascii="Calibri" w:eastAsia="Times New Roman" w:hAnsi="Calibri" w:cs="Calibri"/>
          <w:color w:val="000000"/>
          <w:lang w:eastAsia="en-GB"/>
        </w:rPr>
      </w:pPr>
    </w:p>
    <w:p w14:paraId="09D2F7AE" w14:textId="0B71B092" w:rsidR="006C0AD6" w:rsidRDefault="00EC7DD2" w:rsidP="00A62A69">
      <w:pPr>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Within this research, a literature-based approach has been specifically adopted, particularly as research has argued that terrorism is an inherently dangerous, contentious and complex topic therefore many scholars have adopted a theoretical research stance (Sandler 2011), particularly as a tool to navigate the plethora of ethical risks associated with empirically researching this phenomenon. </w:t>
      </w:r>
      <w:r w:rsidR="00D52DE7">
        <w:rPr>
          <w:rFonts w:ascii="Calibri" w:eastAsia="Times New Roman" w:hAnsi="Calibri" w:cs="Calibri"/>
          <w:color w:val="000000"/>
          <w:lang w:eastAsia="en-GB"/>
        </w:rPr>
        <w:t xml:space="preserve">Exploring these inherent challenges associated with empirically research socially provocative issues further, it has been asserted that research topics which are legally precarious, highly politicised and revolve around criminal activity are extremely susceptible to ethical errors posing a vast spectrum of challenges and  risks to the researcher and any potential participants (Clark-Kazak 2021). As a result of the clear ethical risks associated with empirically researching a topic as contentious as terrorism, this research will specifically adopt a literature-based as this will minimise the potential risks to both the researcher and any potential participants simultaneously allowing this study to critically analyse the relationship between the Islamic State and cyberspace without directly engaging with terrorists, ideological sympathisers or terrorist material. </w:t>
      </w:r>
      <w:r w:rsidR="006C0AD6">
        <w:rPr>
          <w:rFonts w:ascii="Calibri" w:eastAsia="Times New Roman" w:hAnsi="Calibri" w:cs="Calibri"/>
          <w:color w:val="000000"/>
          <w:lang w:eastAsia="en-GB"/>
        </w:rPr>
        <w:t>However, it is important to note that whilst a literature-based approach will be adopted within this research in order to minimise the potential ethical complications which may arise from any empirical research concerning terrorism, it is also critically important to note that some academics may question the strength of solely utilising secondary data, particularly regarding a subject which is so nuanced, complex and contentious (</w:t>
      </w:r>
      <w:proofErr w:type="spellStart"/>
      <w:r w:rsidR="006C0AD6">
        <w:rPr>
          <w:rFonts w:ascii="Calibri" w:eastAsia="Times New Roman" w:hAnsi="Calibri" w:cs="Calibri"/>
          <w:color w:val="000000"/>
          <w:lang w:eastAsia="en-GB"/>
        </w:rPr>
        <w:t>Cubukcu</w:t>
      </w:r>
      <w:proofErr w:type="spellEnd"/>
      <w:r w:rsidR="006C0AD6">
        <w:rPr>
          <w:rFonts w:ascii="Calibri" w:eastAsia="Times New Roman" w:hAnsi="Calibri" w:cs="Calibri"/>
          <w:color w:val="000000"/>
          <w:lang w:eastAsia="en-GB"/>
        </w:rPr>
        <w:t xml:space="preserve"> and </w:t>
      </w:r>
      <w:proofErr w:type="spellStart"/>
      <w:r w:rsidR="006C0AD6">
        <w:rPr>
          <w:rFonts w:ascii="Calibri" w:eastAsia="Times New Roman" w:hAnsi="Calibri" w:cs="Calibri"/>
          <w:color w:val="000000"/>
          <w:lang w:eastAsia="en-GB"/>
        </w:rPr>
        <w:t>Forst</w:t>
      </w:r>
      <w:proofErr w:type="spellEnd"/>
      <w:r w:rsidR="006C0AD6">
        <w:rPr>
          <w:rFonts w:ascii="Calibri" w:eastAsia="Times New Roman" w:hAnsi="Calibri" w:cs="Calibri"/>
          <w:color w:val="000000"/>
          <w:lang w:eastAsia="en-GB"/>
        </w:rPr>
        <w:t xml:space="preserve"> 2017).</w:t>
      </w:r>
    </w:p>
    <w:p w14:paraId="69A9CD01" w14:textId="322A9D18" w:rsidR="00A907D0" w:rsidRDefault="00A907D0" w:rsidP="00A62A69">
      <w:pPr>
        <w:jc w:val="both"/>
        <w:rPr>
          <w:rFonts w:ascii="Calibri" w:eastAsia="Times New Roman" w:hAnsi="Calibri" w:cs="Calibri"/>
          <w:color w:val="000000"/>
          <w:lang w:eastAsia="en-GB"/>
        </w:rPr>
      </w:pPr>
    </w:p>
    <w:p w14:paraId="27D9739E" w14:textId="4E616E45" w:rsidR="00A907D0" w:rsidRDefault="00A907D0" w:rsidP="00A62A69">
      <w:pPr>
        <w:jc w:val="both"/>
        <w:rPr>
          <w:rFonts w:ascii="Calibri" w:eastAsia="Times New Roman" w:hAnsi="Calibri" w:cs="Calibri"/>
          <w:color w:val="000000"/>
          <w:lang w:eastAsia="en-GB"/>
        </w:rPr>
      </w:pPr>
      <w:r>
        <w:rPr>
          <w:rFonts w:ascii="Calibri" w:eastAsia="Times New Roman" w:hAnsi="Calibri" w:cs="Calibri"/>
          <w:color w:val="000000"/>
          <w:lang w:eastAsia="en-GB"/>
        </w:rPr>
        <w:t>In addition</w:t>
      </w:r>
      <w:r w:rsidR="00CB5D94">
        <w:rPr>
          <w:rFonts w:ascii="Calibri" w:eastAsia="Times New Roman" w:hAnsi="Calibri" w:cs="Calibri"/>
          <w:color w:val="000000"/>
          <w:lang w:eastAsia="en-GB"/>
        </w:rPr>
        <w:t xml:space="preserve"> to these ethical considerations, when seeking to construct a solid research structure it is also imperative to outline a clearly defined timescale for completion, </w:t>
      </w:r>
      <w:r w:rsidR="005A0E18">
        <w:rPr>
          <w:rFonts w:ascii="Calibri" w:eastAsia="Times New Roman" w:hAnsi="Calibri" w:cs="Calibri"/>
          <w:color w:val="000000"/>
          <w:lang w:eastAsia="en-GB"/>
        </w:rPr>
        <w:t>this is particularly critical as research is a time-bound process which requires a clear, structured time-frame for completion (</w:t>
      </w:r>
      <w:proofErr w:type="spellStart"/>
      <w:r w:rsidR="005A0E18">
        <w:rPr>
          <w:rFonts w:ascii="Calibri" w:eastAsia="Times New Roman" w:hAnsi="Calibri" w:cs="Calibri"/>
          <w:color w:val="000000"/>
          <w:lang w:eastAsia="en-GB"/>
        </w:rPr>
        <w:t>Abdulai</w:t>
      </w:r>
      <w:proofErr w:type="spellEnd"/>
      <w:r w:rsidR="005A0E18">
        <w:rPr>
          <w:rFonts w:ascii="Calibri" w:eastAsia="Times New Roman" w:hAnsi="Calibri" w:cs="Calibri"/>
          <w:color w:val="000000"/>
          <w:lang w:eastAsia="en-GB"/>
        </w:rPr>
        <w:t xml:space="preserve"> and Owusu-Ansah 2014).</w:t>
      </w:r>
      <w:r w:rsidR="003463EA">
        <w:rPr>
          <w:rFonts w:ascii="Calibri" w:eastAsia="Times New Roman" w:hAnsi="Calibri" w:cs="Calibri"/>
          <w:color w:val="000000"/>
          <w:lang w:eastAsia="en-GB"/>
        </w:rPr>
        <w:t xml:space="preserve"> In addition to the inherently time-critical nature of research, it has been argued that the research process is susceptible to a plethora of distractions which can impede productivity, hinder progress of decrease efficiency emphasising the critical role of a clearly defined timescale for completion within the context of academic research (Chase et al 2012). </w:t>
      </w:r>
      <w:r w:rsidR="00E509F3">
        <w:rPr>
          <w:rFonts w:ascii="Calibri" w:eastAsia="Times New Roman" w:hAnsi="Calibri" w:cs="Calibri"/>
          <w:color w:val="000000"/>
          <w:lang w:eastAsia="en-GB"/>
        </w:rPr>
        <w:t xml:space="preserve">Chase et al (2012) have proceeded to suggest that in order to minimise the impact of potential disruptions, researchers should clearly outline dates for completion in relation to key components of research in order to demonstrate a lay solid foundations before proceeding, therefore this research will seek to adhere to the following structure and dates of submission: </w:t>
      </w:r>
    </w:p>
    <w:p w14:paraId="0722E0A3" w14:textId="601082A3" w:rsidR="00261153" w:rsidRDefault="00261153" w:rsidP="00190F30">
      <w:pPr>
        <w:rPr>
          <w:rFonts w:ascii="Calibri" w:eastAsia="Times New Roman" w:hAnsi="Calibri" w:cs="Calibri"/>
          <w:color w:val="000000"/>
          <w:lang w:eastAsia="en-GB"/>
        </w:rPr>
      </w:pPr>
    </w:p>
    <w:p w14:paraId="7470949B" w14:textId="1E020602" w:rsidR="00261153" w:rsidRDefault="00261153" w:rsidP="00190F30">
      <w:pPr>
        <w:rPr>
          <w:rFonts w:ascii="Calibri" w:eastAsia="Times New Roman" w:hAnsi="Calibri" w:cs="Calibri"/>
          <w:color w:val="000000"/>
          <w:lang w:eastAsia="en-GB"/>
        </w:rPr>
      </w:pPr>
    </w:p>
    <w:tbl>
      <w:tblPr>
        <w:tblStyle w:val="TableGrid"/>
        <w:tblpPr w:leftFromText="180" w:rightFromText="180" w:vertAnchor="text" w:horzAnchor="margin" w:tblpY="-10"/>
        <w:tblW w:w="0" w:type="auto"/>
        <w:tblLook w:val="04A0" w:firstRow="1" w:lastRow="0" w:firstColumn="1" w:lastColumn="0" w:noHBand="0" w:noVBand="1"/>
      </w:tblPr>
      <w:tblGrid>
        <w:gridCol w:w="4508"/>
        <w:gridCol w:w="4508"/>
      </w:tblGrid>
      <w:tr w:rsidR="00ED60D8" w14:paraId="0BA79B93" w14:textId="77777777" w:rsidTr="00ED60D8">
        <w:tc>
          <w:tcPr>
            <w:tcW w:w="4508" w:type="dxa"/>
          </w:tcPr>
          <w:p w14:paraId="720C307E" w14:textId="5FC02A1C" w:rsidR="00ED60D8" w:rsidRDefault="00ED60D8" w:rsidP="00ED60D8">
            <w:pPr>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Element of Study</w:t>
            </w:r>
          </w:p>
        </w:tc>
        <w:tc>
          <w:tcPr>
            <w:tcW w:w="4508" w:type="dxa"/>
          </w:tcPr>
          <w:p w14:paraId="58AD4E74" w14:textId="6974B65E" w:rsidR="00ED60D8" w:rsidRDefault="00ED60D8" w:rsidP="00ED60D8">
            <w:pPr>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Proposed Date for Submission</w:t>
            </w:r>
          </w:p>
        </w:tc>
      </w:tr>
      <w:tr w:rsidR="00ED60D8" w14:paraId="36884775" w14:textId="77777777" w:rsidTr="00ED60D8">
        <w:tc>
          <w:tcPr>
            <w:tcW w:w="4508" w:type="dxa"/>
          </w:tcPr>
          <w:p w14:paraId="38080B4D" w14:textId="58861677" w:rsidR="00ED60D8" w:rsidRPr="00ED60D8" w:rsidRDefault="00ED60D8" w:rsidP="00ED60D8">
            <w:pPr>
              <w:rPr>
                <w:rFonts w:ascii="Calibri" w:eastAsia="Times New Roman" w:hAnsi="Calibri" w:cs="Calibri"/>
                <w:color w:val="000000"/>
                <w:lang w:eastAsia="en-GB"/>
              </w:rPr>
            </w:pPr>
            <w:r w:rsidRPr="00ED60D8">
              <w:rPr>
                <w:rFonts w:ascii="Calibri" w:eastAsia="Times New Roman" w:hAnsi="Calibri" w:cs="Calibri"/>
                <w:color w:val="000000"/>
                <w:lang w:eastAsia="en-GB"/>
              </w:rPr>
              <w:t>Proposal and ethics form</w:t>
            </w:r>
          </w:p>
        </w:tc>
        <w:tc>
          <w:tcPr>
            <w:tcW w:w="4508" w:type="dxa"/>
          </w:tcPr>
          <w:p w14:paraId="27A66BF4" w14:textId="6D23C591" w:rsidR="00ED60D8" w:rsidRDefault="00ED60D8" w:rsidP="00ED60D8">
            <w:pPr>
              <w:rPr>
                <w:rFonts w:ascii="Calibri" w:eastAsia="Times New Roman" w:hAnsi="Calibri" w:cs="Calibri"/>
                <w:b/>
                <w:bCs/>
                <w:color w:val="000000"/>
                <w:lang w:eastAsia="en-GB"/>
              </w:rPr>
            </w:pPr>
            <w:r>
              <w:rPr>
                <w:rFonts w:ascii="Calibri" w:eastAsia="Times New Roman" w:hAnsi="Calibri" w:cs="Calibri"/>
                <w:b/>
                <w:bCs/>
                <w:color w:val="000000"/>
                <w:lang w:eastAsia="en-GB"/>
              </w:rPr>
              <w:t>1</w:t>
            </w:r>
            <w:r w:rsidRPr="00ED60D8">
              <w:rPr>
                <w:rFonts w:ascii="Calibri" w:eastAsia="Times New Roman" w:hAnsi="Calibri" w:cs="Calibri"/>
                <w:b/>
                <w:bCs/>
                <w:color w:val="000000"/>
                <w:vertAlign w:val="superscript"/>
                <w:lang w:eastAsia="en-GB"/>
              </w:rPr>
              <w:t>st</w:t>
            </w:r>
            <w:r>
              <w:rPr>
                <w:rFonts w:ascii="Calibri" w:eastAsia="Times New Roman" w:hAnsi="Calibri" w:cs="Calibri"/>
                <w:b/>
                <w:bCs/>
                <w:color w:val="000000"/>
                <w:lang w:eastAsia="en-GB"/>
              </w:rPr>
              <w:t xml:space="preserve"> of March 2022</w:t>
            </w:r>
          </w:p>
        </w:tc>
      </w:tr>
      <w:tr w:rsidR="00ED60D8" w14:paraId="5B934D87" w14:textId="77777777" w:rsidTr="00ED60D8">
        <w:tc>
          <w:tcPr>
            <w:tcW w:w="4508" w:type="dxa"/>
          </w:tcPr>
          <w:p w14:paraId="252A28D9" w14:textId="1B8DDBF5" w:rsidR="00ED60D8" w:rsidRPr="00ED60D8" w:rsidRDefault="00ED60D8" w:rsidP="00ED60D8">
            <w:pPr>
              <w:rPr>
                <w:rFonts w:ascii="Calibri" w:eastAsia="Times New Roman" w:hAnsi="Calibri" w:cs="Calibri"/>
                <w:color w:val="000000"/>
                <w:lang w:eastAsia="en-GB"/>
              </w:rPr>
            </w:pPr>
            <w:r w:rsidRPr="00ED60D8">
              <w:rPr>
                <w:rFonts w:ascii="Calibri" w:eastAsia="Times New Roman" w:hAnsi="Calibri" w:cs="Calibri"/>
                <w:color w:val="000000"/>
                <w:lang w:eastAsia="en-GB"/>
              </w:rPr>
              <w:t>Chapter 1</w:t>
            </w:r>
          </w:p>
        </w:tc>
        <w:tc>
          <w:tcPr>
            <w:tcW w:w="4508" w:type="dxa"/>
          </w:tcPr>
          <w:p w14:paraId="5D6DE266" w14:textId="4BBE7908" w:rsidR="00ED60D8" w:rsidRDefault="00ED60D8" w:rsidP="00ED60D8">
            <w:pPr>
              <w:rPr>
                <w:rFonts w:ascii="Calibri" w:eastAsia="Times New Roman" w:hAnsi="Calibri" w:cs="Calibri"/>
                <w:b/>
                <w:bCs/>
                <w:color w:val="000000"/>
                <w:lang w:eastAsia="en-GB"/>
              </w:rPr>
            </w:pPr>
            <w:r>
              <w:rPr>
                <w:rFonts w:ascii="Calibri" w:eastAsia="Times New Roman" w:hAnsi="Calibri" w:cs="Calibri"/>
                <w:b/>
                <w:bCs/>
                <w:color w:val="000000"/>
                <w:lang w:eastAsia="en-GB"/>
              </w:rPr>
              <w:t>4</w:t>
            </w:r>
            <w:r w:rsidRPr="00ED60D8">
              <w:rPr>
                <w:rFonts w:ascii="Calibri" w:eastAsia="Times New Roman" w:hAnsi="Calibri" w:cs="Calibri"/>
                <w:b/>
                <w:bCs/>
                <w:color w:val="000000"/>
                <w:vertAlign w:val="superscript"/>
                <w:lang w:eastAsia="en-GB"/>
              </w:rPr>
              <w:t>th</w:t>
            </w:r>
            <w:r>
              <w:rPr>
                <w:rFonts w:ascii="Calibri" w:eastAsia="Times New Roman" w:hAnsi="Calibri" w:cs="Calibri"/>
                <w:b/>
                <w:bCs/>
                <w:color w:val="000000"/>
                <w:lang w:eastAsia="en-GB"/>
              </w:rPr>
              <w:t xml:space="preserve"> of April 2022</w:t>
            </w:r>
          </w:p>
        </w:tc>
      </w:tr>
      <w:tr w:rsidR="00ED60D8" w14:paraId="708CE116" w14:textId="77777777" w:rsidTr="00ED60D8">
        <w:tc>
          <w:tcPr>
            <w:tcW w:w="4508" w:type="dxa"/>
          </w:tcPr>
          <w:p w14:paraId="3D121227" w14:textId="30090DA0" w:rsidR="00ED60D8" w:rsidRPr="00ED60D8" w:rsidRDefault="00ED60D8" w:rsidP="00ED60D8">
            <w:pPr>
              <w:rPr>
                <w:rFonts w:ascii="Calibri" w:eastAsia="Times New Roman" w:hAnsi="Calibri" w:cs="Calibri"/>
                <w:color w:val="000000"/>
                <w:lang w:eastAsia="en-GB"/>
              </w:rPr>
            </w:pPr>
            <w:r w:rsidRPr="00ED60D8">
              <w:rPr>
                <w:rFonts w:ascii="Calibri" w:eastAsia="Times New Roman" w:hAnsi="Calibri" w:cs="Calibri"/>
                <w:color w:val="000000"/>
                <w:lang w:eastAsia="en-GB"/>
              </w:rPr>
              <w:t>Chapter 2</w:t>
            </w:r>
          </w:p>
        </w:tc>
        <w:tc>
          <w:tcPr>
            <w:tcW w:w="4508" w:type="dxa"/>
          </w:tcPr>
          <w:p w14:paraId="794F4166" w14:textId="0037A77D" w:rsidR="00ED60D8" w:rsidRDefault="00ED60D8" w:rsidP="00ED60D8">
            <w:pPr>
              <w:rPr>
                <w:rFonts w:ascii="Calibri" w:eastAsia="Times New Roman" w:hAnsi="Calibri" w:cs="Calibri"/>
                <w:b/>
                <w:bCs/>
                <w:color w:val="000000"/>
                <w:lang w:eastAsia="en-GB"/>
              </w:rPr>
            </w:pPr>
            <w:r>
              <w:rPr>
                <w:rFonts w:ascii="Calibri" w:eastAsia="Times New Roman" w:hAnsi="Calibri" w:cs="Calibri"/>
                <w:b/>
                <w:bCs/>
                <w:color w:val="000000"/>
                <w:lang w:eastAsia="en-GB"/>
              </w:rPr>
              <w:t>6</w:t>
            </w:r>
            <w:r w:rsidRPr="00ED60D8">
              <w:rPr>
                <w:rFonts w:ascii="Calibri" w:eastAsia="Times New Roman" w:hAnsi="Calibri" w:cs="Calibri"/>
                <w:b/>
                <w:bCs/>
                <w:color w:val="000000"/>
                <w:vertAlign w:val="superscript"/>
                <w:lang w:eastAsia="en-GB"/>
              </w:rPr>
              <w:t>th</w:t>
            </w:r>
            <w:r>
              <w:rPr>
                <w:rFonts w:ascii="Calibri" w:eastAsia="Times New Roman" w:hAnsi="Calibri" w:cs="Calibri"/>
                <w:b/>
                <w:bCs/>
                <w:color w:val="000000"/>
                <w:lang w:eastAsia="en-GB"/>
              </w:rPr>
              <w:t xml:space="preserve"> of May 2022</w:t>
            </w:r>
          </w:p>
        </w:tc>
      </w:tr>
      <w:tr w:rsidR="00ED60D8" w14:paraId="7635608C" w14:textId="77777777" w:rsidTr="00ED60D8">
        <w:tc>
          <w:tcPr>
            <w:tcW w:w="4508" w:type="dxa"/>
          </w:tcPr>
          <w:p w14:paraId="67A3ECB8" w14:textId="7F7F7967" w:rsidR="00ED60D8" w:rsidRPr="00ED60D8" w:rsidRDefault="00ED60D8" w:rsidP="00ED60D8">
            <w:pPr>
              <w:rPr>
                <w:rFonts w:ascii="Calibri" w:eastAsia="Times New Roman" w:hAnsi="Calibri" w:cs="Calibri"/>
                <w:color w:val="000000"/>
                <w:lang w:eastAsia="en-GB"/>
              </w:rPr>
            </w:pPr>
            <w:r w:rsidRPr="00ED60D8">
              <w:rPr>
                <w:rFonts w:ascii="Calibri" w:eastAsia="Times New Roman" w:hAnsi="Calibri" w:cs="Calibri"/>
                <w:color w:val="000000"/>
                <w:lang w:eastAsia="en-GB"/>
              </w:rPr>
              <w:t>Chapter 3</w:t>
            </w:r>
          </w:p>
        </w:tc>
        <w:tc>
          <w:tcPr>
            <w:tcW w:w="4508" w:type="dxa"/>
          </w:tcPr>
          <w:p w14:paraId="16BD460F" w14:textId="7D5CA04B" w:rsidR="00ED60D8" w:rsidRDefault="00ED60D8" w:rsidP="00ED60D8">
            <w:pPr>
              <w:rPr>
                <w:rFonts w:ascii="Calibri" w:eastAsia="Times New Roman" w:hAnsi="Calibri" w:cs="Calibri"/>
                <w:b/>
                <w:bCs/>
                <w:color w:val="000000"/>
                <w:lang w:eastAsia="en-GB"/>
              </w:rPr>
            </w:pPr>
            <w:r>
              <w:rPr>
                <w:rFonts w:ascii="Calibri" w:eastAsia="Times New Roman" w:hAnsi="Calibri" w:cs="Calibri"/>
                <w:b/>
                <w:bCs/>
                <w:color w:val="000000"/>
                <w:lang w:eastAsia="en-GB"/>
              </w:rPr>
              <w:t>3</w:t>
            </w:r>
            <w:r w:rsidRPr="00ED60D8">
              <w:rPr>
                <w:rFonts w:ascii="Calibri" w:eastAsia="Times New Roman" w:hAnsi="Calibri" w:cs="Calibri"/>
                <w:b/>
                <w:bCs/>
                <w:color w:val="000000"/>
                <w:vertAlign w:val="superscript"/>
                <w:lang w:eastAsia="en-GB"/>
              </w:rPr>
              <w:t>rd</w:t>
            </w:r>
            <w:r>
              <w:rPr>
                <w:rFonts w:ascii="Calibri" w:eastAsia="Times New Roman" w:hAnsi="Calibri" w:cs="Calibri"/>
                <w:b/>
                <w:bCs/>
                <w:color w:val="000000"/>
                <w:lang w:eastAsia="en-GB"/>
              </w:rPr>
              <w:t xml:space="preserve"> of June 2022</w:t>
            </w:r>
          </w:p>
        </w:tc>
      </w:tr>
      <w:tr w:rsidR="00ED60D8" w14:paraId="47CD9729" w14:textId="77777777" w:rsidTr="00ED60D8">
        <w:tc>
          <w:tcPr>
            <w:tcW w:w="4508" w:type="dxa"/>
          </w:tcPr>
          <w:p w14:paraId="78C5D66A" w14:textId="1244365E" w:rsidR="00ED60D8" w:rsidRPr="00ED60D8" w:rsidRDefault="00ED60D8" w:rsidP="00ED60D8">
            <w:pPr>
              <w:rPr>
                <w:rFonts w:ascii="Calibri" w:eastAsia="Times New Roman" w:hAnsi="Calibri" w:cs="Calibri"/>
                <w:color w:val="000000"/>
                <w:lang w:eastAsia="en-GB"/>
              </w:rPr>
            </w:pPr>
            <w:r w:rsidRPr="00ED60D8">
              <w:rPr>
                <w:rFonts w:ascii="Calibri" w:eastAsia="Times New Roman" w:hAnsi="Calibri" w:cs="Calibri"/>
                <w:color w:val="000000"/>
                <w:lang w:eastAsia="en-GB"/>
              </w:rPr>
              <w:t>Conclusion introduction and additional elements</w:t>
            </w:r>
          </w:p>
        </w:tc>
        <w:tc>
          <w:tcPr>
            <w:tcW w:w="4508" w:type="dxa"/>
          </w:tcPr>
          <w:p w14:paraId="58BF8E94" w14:textId="4EDBC55B" w:rsidR="00ED60D8" w:rsidRDefault="00ED60D8" w:rsidP="00ED60D8">
            <w:pPr>
              <w:rPr>
                <w:rFonts w:ascii="Calibri" w:eastAsia="Times New Roman" w:hAnsi="Calibri" w:cs="Calibri"/>
                <w:b/>
                <w:bCs/>
                <w:color w:val="000000"/>
                <w:lang w:eastAsia="en-GB"/>
              </w:rPr>
            </w:pPr>
            <w:r>
              <w:rPr>
                <w:rFonts w:ascii="Calibri" w:eastAsia="Times New Roman" w:hAnsi="Calibri" w:cs="Calibri"/>
                <w:b/>
                <w:bCs/>
                <w:color w:val="000000"/>
                <w:lang w:eastAsia="en-GB"/>
              </w:rPr>
              <w:t>23</w:t>
            </w:r>
            <w:r w:rsidRPr="00ED60D8">
              <w:rPr>
                <w:rFonts w:ascii="Calibri" w:eastAsia="Times New Roman" w:hAnsi="Calibri" w:cs="Calibri"/>
                <w:b/>
                <w:bCs/>
                <w:color w:val="000000"/>
                <w:vertAlign w:val="superscript"/>
                <w:lang w:eastAsia="en-GB"/>
              </w:rPr>
              <w:t>rd</w:t>
            </w:r>
            <w:r>
              <w:rPr>
                <w:rFonts w:ascii="Calibri" w:eastAsia="Times New Roman" w:hAnsi="Calibri" w:cs="Calibri"/>
                <w:b/>
                <w:bCs/>
                <w:color w:val="000000"/>
                <w:lang w:eastAsia="en-GB"/>
              </w:rPr>
              <w:t xml:space="preserve"> of June 2022</w:t>
            </w:r>
          </w:p>
        </w:tc>
      </w:tr>
      <w:tr w:rsidR="00ED60D8" w14:paraId="6F707630" w14:textId="77777777" w:rsidTr="00ED60D8">
        <w:tc>
          <w:tcPr>
            <w:tcW w:w="4508" w:type="dxa"/>
          </w:tcPr>
          <w:p w14:paraId="352CE01A" w14:textId="5BF3C204" w:rsidR="00ED60D8" w:rsidRPr="00ED60D8" w:rsidRDefault="00ED60D8" w:rsidP="00ED60D8">
            <w:pPr>
              <w:rPr>
                <w:rFonts w:ascii="Calibri" w:eastAsia="Times New Roman" w:hAnsi="Calibri" w:cs="Calibri"/>
                <w:color w:val="000000"/>
                <w:lang w:eastAsia="en-GB"/>
              </w:rPr>
            </w:pPr>
            <w:r w:rsidRPr="00ED60D8">
              <w:rPr>
                <w:rFonts w:ascii="Calibri" w:eastAsia="Times New Roman" w:hAnsi="Calibri" w:cs="Calibri"/>
                <w:color w:val="000000"/>
                <w:lang w:eastAsia="en-GB"/>
              </w:rPr>
              <w:t>Final submission</w:t>
            </w:r>
          </w:p>
        </w:tc>
        <w:tc>
          <w:tcPr>
            <w:tcW w:w="4508" w:type="dxa"/>
          </w:tcPr>
          <w:p w14:paraId="159E27FB" w14:textId="6A144826" w:rsidR="00ED60D8" w:rsidRDefault="00ED60D8" w:rsidP="00ED60D8">
            <w:pPr>
              <w:rPr>
                <w:rFonts w:ascii="Calibri" w:eastAsia="Times New Roman" w:hAnsi="Calibri" w:cs="Calibri"/>
                <w:b/>
                <w:bCs/>
                <w:color w:val="000000"/>
                <w:lang w:eastAsia="en-GB"/>
              </w:rPr>
            </w:pPr>
            <w:r>
              <w:rPr>
                <w:rFonts w:ascii="Calibri" w:eastAsia="Times New Roman" w:hAnsi="Calibri" w:cs="Calibri"/>
                <w:b/>
                <w:bCs/>
                <w:color w:val="000000"/>
                <w:lang w:eastAsia="en-GB"/>
              </w:rPr>
              <w:t>1</w:t>
            </w:r>
            <w:r w:rsidRPr="00ED60D8">
              <w:rPr>
                <w:rFonts w:ascii="Calibri" w:eastAsia="Times New Roman" w:hAnsi="Calibri" w:cs="Calibri"/>
                <w:b/>
                <w:bCs/>
                <w:color w:val="000000"/>
                <w:vertAlign w:val="superscript"/>
                <w:lang w:eastAsia="en-GB"/>
              </w:rPr>
              <w:t>st</w:t>
            </w:r>
            <w:r>
              <w:rPr>
                <w:rFonts w:ascii="Calibri" w:eastAsia="Times New Roman" w:hAnsi="Calibri" w:cs="Calibri"/>
                <w:b/>
                <w:bCs/>
                <w:color w:val="000000"/>
                <w:lang w:eastAsia="en-GB"/>
              </w:rPr>
              <w:t xml:space="preserve"> of July 2022</w:t>
            </w:r>
          </w:p>
        </w:tc>
      </w:tr>
    </w:tbl>
    <w:p w14:paraId="38E301A1" w14:textId="77777777" w:rsidR="00ED60D8" w:rsidRDefault="00ED60D8" w:rsidP="00AD72E5">
      <w:pPr>
        <w:jc w:val="center"/>
        <w:rPr>
          <w:rFonts w:ascii="Calibri" w:eastAsia="Times New Roman" w:hAnsi="Calibri" w:cs="Calibri"/>
          <w:b/>
          <w:bCs/>
          <w:color w:val="000000"/>
          <w:lang w:eastAsia="en-GB"/>
        </w:rPr>
      </w:pPr>
    </w:p>
    <w:p w14:paraId="2C147164" w14:textId="3D852B82" w:rsidR="00762B9E" w:rsidRDefault="00ED60D8" w:rsidP="00AD72E5">
      <w:pPr>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 xml:space="preserve"> </w:t>
      </w:r>
      <w:r w:rsidR="00762B9E">
        <w:rPr>
          <w:rFonts w:ascii="Calibri" w:eastAsia="Times New Roman" w:hAnsi="Calibri" w:cs="Calibri"/>
          <w:b/>
          <w:bCs/>
          <w:color w:val="000000"/>
          <w:lang w:eastAsia="en-GB"/>
        </w:rPr>
        <w:t>S</w:t>
      </w:r>
      <w:r w:rsidR="00762B9E" w:rsidRPr="00762B9E">
        <w:rPr>
          <w:rFonts w:ascii="Calibri" w:eastAsia="Times New Roman" w:hAnsi="Calibri" w:cs="Calibri"/>
          <w:b/>
          <w:bCs/>
          <w:color w:val="000000"/>
          <w:lang w:eastAsia="en-GB"/>
        </w:rPr>
        <w:t xml:space="preserve">ignificance </w:t>
      </w:r>
      <w:r w:rsidR="00F547BD">
        <w:rPr>
          <w:rFonts w:ascii="Calibri" w:eastAsia="Times New Roman" w:hAnsi="Calibri" w:cs="Calibri"/>
          <w:b/>
          <w:bCs/>
          <w:color w:val="000000"/>
          <w:lang w:eastAsia="en-GB"/>
        </w:rPr>
        <w:t>of</w:t>
      </w:r>
      <w:r w:rsidR="00762B9E" w:rsidRPr="00762B9E">
        <w:rPr>
          <w:rFonts w:ascii="Calibri" w:eastAsia="Times New Roman" w:hAnsi="Calibri" w:cs="Calibri"/>
          <w:b/>
          <w:bCs/>
          <w:color w:val="000000"/>
          <w:lang w:eastAsia="en-GB"/>
        </w:rPr>
        <w:t xml:space="preserve"> the study</w:t>
      </w:r>
    </w:p>
    <w:p w14:paraId="29556BE5" w14:textId="4D18EFCE" w:rsidR="005539E4" w:rsidRDefault="005539E4" w:rsidP="00762B9E">
      <w:pPr>
        <w:jc w:val="center"/>
        <w:rPr>
          <w:rFonts w:ascii="Calibri" w:eastAsia="Times New Roman" w:hAnsi="Calibri" w:cs="Calibri"/>
          <w:b/>
          <w:bCs/>
          <w:color w:val="000000"/>
          <w:lang w:eastAsia="en-GB"/>
        </w:rPr>
      </w:pPr>
    </w:p>
    <w:p w14:paraId="60BCF2CC" w14:textId="2697927F" w:rsidR="00AD72E5" w:rsidRDefault="007603FC" w:rsidP="00D317C4">
      <w:pPr>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Before concluding this analysis of the proposed research project, it is critical to outline the significant contribution this study may offer the fields of criminology and </w:t>
      </w:r>
      <w:r w:rsidR="00A81473">
        <w:rPr>
          <w:rFonts w:ascii="Calibri" w:eastAsia="Times New Roman" w:hAnsi="Calibri" w:cs="Calibri"/>
          <w:color w:val="000000"/>
          <w:lang w:eastAsia="en-GB"/>
        </w:rPr>
        <w:t>particularly</w:t>
      </w:r>
      <w:r>
        <w:rPr>
          <w:rFonts w:ascii="Calibri" w:eastAsia="Times New Roman" w:hAnsi="Calibri" w:cs="Calibri"/>
          <w:color w:val="000000"/>
          <w:lang w:eastAsia="en-GB"/>
        </w:rPr>
        <w:t xml:space="preserve"> the sub-field of terrorism studies. </w:t>
      </w:r>
      <w:r w:rsidR="002548D2">
        <w:rPr>
          <w:rFonts w:ascii="Calibri" w:eastAsia="Times New Roman" w:hAnsi="Calibri" w:cs="Calibri"/>
          <w:color w:val="000000"/>
          <w:lang w:eastAsia="en-GB"/>
        </w:rPr>
        <w:t>Firstly, it is clear that within recent decades, the threat of terrorism has become increasingly illuminated within the political, social and academic sphere, however despite this increasingly complex threat and its prominent position with societal discourse any definitive understanding or solutions to this issue remain illusive (</w:t>
      </w:r>
      <w:proofErr w:type="spellStart"/>
      <w:r w:rsidR="002548D2">
        <w:rPr>
          <w:rFonts w:ascii="Calibri" w:eastAsia="Times New Roman" w:hAnsi="Calibri" w:cs="Calibri"/>
          <w:color w:val="000000"/>
          <w:lang w:eastAsia="en-GB"/>
        </w:rPr>
        <w:t>Orehek</w:t>
      </w:r>
      <w:proofErr w:type="spellEnd"/>
      <w:r w:rsidR="002548D2">
        <w:rPr>
          <w:rFonts w:ascii="Calibri" w:eastAsia="Times New Roman" w:hAnsi="Calibri" w:cs="Calibri"/>
          <w:color w:val="000000"/>
          <w:lang w:eastAsia="en-GB"/>
        </w:rPr>
        <w:t xml:space="preserve"> and </w:t>
      </w:r>
      <w:proofErr w:type="spellStart"/>
      <w:r w:rsidR="002548D2">
        <w:rPr>
          <w:rFonts w:ascii="Calibri" w:eastAsia="Times New Roman" w:hAnsi="Calibri" w:cs="Calibri"/>
          <w:color w:val="000000"/>
          <w:lang w:eastAsia="en-GB"/>
        </w:rPr>
        <w:t>Vazeou-Nieuwenhuis</w:t>
      </w:r>
      <w:proofErr w:type="spellEnd"/>
      <w:r w:rsidR="002548D2">
        <w:rPr>
          <w:rFonts w:ascii="Calibri" w:eastAsia="Times New Roman" w:hAnsi="Calibri" w:cs="Calibri"/>
          <w:color w:val="000000"/>
          <w:lang w:eastAsia="en-GB"/>
        </w:rPr>
        <w:t xml:space="preserve"> 2014).</w:t>
      </w:r>
      <w:r w:rsidR="00E95BE1">
        <w:rPr>
          <w:rFonts w:ascii="Calibri" w:eastAsia="Times New Roman" w:hAnsi="Calibri" w:cs="Calibri"/>
          <w:color w:val="000000"/>
          <w:lang w:eastAsia="en-GB"/>
        </w:rPr>
        <w:t xml:space="preserve"> Whilst terrorism as a phenomenon encompasses a broad range of movements, ideologies and actors, it has been suggested that within recent years the threat of Jihadist terrorist entities has been particularly acute, culminating in the emergence of a spectrum of Jihadi groups ranging from Al-Qaeda to Islamic State who have inspired, recruited and co-ordinated a plethora of actors to engage in extreme acts of violence (</w:t>
      </w:r>
      <w:proofErr w:type="spellStart"/>
      <w:r w:rsidR="00E95BE1">
        <w:rPr>
          <w:rFonts w:ascii="Calibri" w:eastAsia="Times New Roman" w:hAnsi="Calibri" w:cs="Calibri"/>
          <w:color w:val="000000"/>
          <w:lang w:eastAsia="en-GB"/>
        </w:rPr>
        <w:t>Sunde</w:t>
      </w:r>
      <w:proofErr w:type="spellEnd"/>
      <w:r w:rsidR="00E95BE1">
        <w:rPr>
          <w:rFonts w:ascii="Calibri" w:eastAsia="Times New Roman" w:hAnsi="Calibri" w:cs="Calibri"/>
          <w:color w:val="000000"/>
          <w:lang w:eastAsia="en-GB"/>
        </w:rPr>
        <w:t xml:space="preserve"> et al 2020). Narrowing the scope of this threat further, academics have suggested that the Islamic State in particular has been notable for its unique adaptability, lethality and destruction which underpinned a wave of global death, destruction and instability (Shahab and </w:t>
      </w:r>
      <w:proofErr w:type="spellStart"/>
      <w:r w:rsidR="00E95BE1">
        <w:rPr>
          <w:rFonts w:ascii="Calibri" w:eastAsia="Times New Roman" w:hAnsi="Calibri" w:cs="Calibri"/>
          <w:color w:val="000000"/>
          <w:lang w:eastAsia="en-GB"/>
        </w:rPr>
        <w:t>Isakhan</w:t>
      </w:r>
      <w:proofErr w:type="spellEnd"/>
      <w:r w:rsidR="00E95BE1">
        <w:rPr>
          <w:rFonts w:ascii="Calibri" w:eastAsia="Times New Roman" w:hAnsi="Calibri" w:cs="Calibri"/>
          <w:color w:val="000000"/>
          <w:lang w:eastAsia="en-GB"/>
        </w:rPr>
        <w:t xml:space="preserve"> 2018), rendering this group a key area of investigation for those seeking to understand contemporary terrorism</w:t>
      </w:r>
      <w:r w:rsidR="00D317C4">
        <w:rPr>
          <w:rFonts w:ascii="Calibri" w:eastAsia="Times New Roman" w:hAnsi="Calibri" w:cs="Calibri"/>
          <w:color w:val="000000"/>
          <w:lang w:eastAsia="en-GB"/>
        </w:rPr>
        <w:t xml:space="preserve">. This growing global focus on contemporary terrorism interwoven with the emergence of the Islamic State as a key group within sphere of Jihadi terrorism clearly demonstrate that  investigating the ways in which this group cultivated its position as a key terrorist entity, this may consequently offer a more definitive understanding of both modern terrorism and potential policy solutions to tackle this threat. </w:t>
      </w:r>
    </w:p>
    <w:p w14:paraId="1FDBE72F" w14:textId="5240AFC5" w:rsidR="00D317C4" w:rsidRDefault="00D317C4" w:rsidP="00D317C4">
      <w:pPr>
        <w:jc w:val="both"/>
        <w:rPr>
          <w:rFonts w:ascii="Calibri" w:eastAsia="Times New Roman" w:hAnsi="Calibri" w:cs="Calibri"/>
          <w:color w:val="000000"/>
          <w:lang w:eastAsia="en-GB"/>
        </w:rPr>
      </w:pPr>
    </w:p>
    <w:p w14:paraId="16A3ED2A" w14:textId="6303E563" w:rsidR="00D317C4" w:rsidRPr="007603FC" w:rsidRDefault="00D317C4" w:rsidP="00D317C4">
      <w:pPr>
        <w:jc w:val="both"/>
        <w:rPr>
          <w:rFonts w:ascii="Calibri" w:eastAsia="Times New Roman" w:hAnsi="Calibri" w:cs="Calibri"/>
          <w:color w:val="000000"/>
          <w:lang w:eastAsia="en-GB"/>
        </w:rPr>
      </w:pPr>
      <w:r>
        <w:rPr>
          <w:rFonts w:ascii="Calibri" w:eastAsia="Times New Roman" w:hAnsi="Calibri" w:cs="Calibri"/>
          <w:color w:val="000000"/>
          <w:lang w:eastAsia="en-GB"/>
        </w:rPr>
        <w:t>Furthermore,</w:t>
      </w:r>
      <w:r w:rsidR="00971CB3">
        <w:rPr>
          <w:rFonts w:ascii="Calibri" w:eastAsia="Times New Roman" w:hAnsi="Calibri" w:cs="Calibri"/>
          <w:color w:val="000000"/>
          <w:lang w:eastAsia="en-GB"/>
        </w:rPr>
        <w:t xml:space="preserve"> it has been suggested that cyberspace may be noted as a key factor which has underpinned this evolving terrorist threat, creating a bespoke space wherein terrorist groups may enhance their messaging, disseminate propaganda, recruit sympathisers and to transcend the traditional constraints of space and time (Meserve and </w:t>
      </w:r>
      <w:proofErr w:type="spellStart"/>
      <w:r w:rsidR="00971CB3">
        <w:rPr>
          <w:rFonts w:ascii="Calibri" w:eastAsia="Times New Roman" w:hAnsi="Calibri" w:cs="Calibri"/>
          <w:color w:val="000000"/>
          <w:lang w:eastAsia="en-GB"/>
        </w:rPr>
        <w:t>Pemstein</w:t>
      </w:r>
      <w:proofErr w:type="spellEnd"/>
      <w:r w:rsidR="00971CB3">
        <w:rPr>
          <w:rFonts w:ascii="Calibri" w:eastAsia="Times New Roman" w:hAnsi="Calibri" w:cs="Calibri"/>
          <w:color w:val="000000"/>
          <w:lang w:eastAsia="en-GB"/>
        </w:rPr>
        <w:t xml:space="preserve"> 2020). Research has argued that whilst the internet has emerged as a new digital battlefield exploited by terrorist entities to strengthen their position at a transnational level, this evolving relationship has been under-researched and lacks a clear academic understanding of the nuanced relationship between cyberspace and contemporary terrorism (Mahmood and </w:t>
      </w:r>
      <w:proofErr w:type="spellStart"/>
      <w:r w:rsidR="00971CB3">
        <w:rPr>
          <w:rFonts w:ascii="Calibri" w:eastAsia="Times New Roman" w:hAnsi="Calibri" w:cs="Calibri"/>
          <w:color w:val="000000"/>
          <w:lang w:eastAsia="en-GB"/>
        </w:rPr>
        <w:t>Jetter</w:t>
      </w:r>
      <w:proofErr w:type="spellEnd"/>
      <w:r w:rsidR="00971CB3">
        <w:rPr>
          <w:rFonts w:ascii="Calibri" w:eastAsia="Times New Roman" w:hAnsi="Calibri" w:cs="Calibri"/>
          <w:color w:val="000000"/>
          <w:lang w:eastAsia="en-GB"/>
        </w:rPr>
        <w:t xml:space="preserve"> 2019).</w:t>
      </w:r>
      <w:r w:rsidR="0026794C">
        <w:rPr>
          <w:rFonts w:ascii="Calibri" w:eastAsia="Times New Roman" w:hAnsi="Calibri" w:cs="Calibri"/>
          <w:color w:val="000000"/>
          <w:lang w:eastAsia="en-GB"/>
        </w:rPr>
        <w:t xml:space="preserve"> Therefore, this assertion clearly infers that more academic investigation regarding the complex links between contemporary terrorist groups such as the Islamic State and cyberspace are required to offer academics, policy makers and counter-terrorism actors </w:t>
      </w:r>
      <w:r w:rsidR="0026794C">
        <w:rPr>
          <w:rFonts w:ascii="Calibri" w:eastAsia="Times New Roman" w:hAnsi="Calibri" w:cs="Calibri"/>
          <w:color w:val="000000"/>
          <w:lang w:eastAsia="en-GB"/>
        </w:rPr>
        <w:lastRenderedPageBreak/>
        <w:t>a more definitive understanding of this relationship, demonstrating the</w:t>
      </w:r>
      <w:r w:rsidR="007C7EF9">
        <w:rPr>
          <w:rFonts w:ascii="Calibri" w:eastAsia="Times New Roman" w:hAnsi="Calibri" w:cs="Calibri"/>
          <w:color w:val="000000"/>
          <w:lang w:eastAsia="en-GB"/>
        </w:rPr>
        <w:t xml:space="preserve"> undoubtable</w:t>
      </w:r>
      <w:r w:rsidR="0026794C">
        <w:rPr>
          <w:rFonts w:ascii="Calibri" w:eastAsia="Times New Roman" w:hAnsi="Calibri" w:cs="Calibri"/>
          <w:color w:val="000000"/>
          <w:lang w:eastAsia="en-GB"/>
        </w:rPr>
        <w:t xml:space="preserve"> necessity of this research within the field.  </w:t>
      </w:r>
    </w:p>
    <w:p w14:paraId="706C53F3" w14:textId="77777777" w:rsidR="00AD72E5" w:rsidRDefault="00AD72E5" w:rsidP="002620B6">
      <w:pPr>
        <w:rPr>
          <w:rFonts w:ascii="Calibri" w:eastAsia="Times New Roman" w:hAnsi="Calibri" w:cs="Calibri"/>
          <w:b/>
          <w:bCs/>
          <w:color w:val="000000"/>
          <w:lang w:eastAsia="en-GB"/>
        </w:rPr>
      </w:pPr>
    </w:p>
    <w:p w14:paraId="36725FCB" w14:textId="553ACEC7" w:rsidR="00ED60D8" w:rsidRDefault="002620B6" w:rsidP="002620B6">
      <w:pPr>
        <w:rPr>
          <w:rFonts w:ascii="Calibri" w:eastAsia="Times New Roman" w:hAnsi="Calibri" w:cs="Calibri"/>
          <w:b/>
          <w:bCs/>
          <w:color w:val="000000"/>
          <w:lang w:eastAsia="en-GB"/>
        </w:rPr>
      </w:pPr>
      <w:r>
        <w:rPr>
          <w:rFonts w:ascii="Calibri" w:eastAsia="Times New Roman" w:hAnsi="Calibri" w:cs="Calibri"/>
          <w:b/>
          <w:bCs/>
          <w:color w:val="000000"/>
          <w:lang w:eastAsia="en-GB"/>
        </w:rPr>
        <w:t xml:space="preserve">Word Count: </w:t>
      </w:r>
      <w:r w:rsidR="0026794C">
        <w:rPr>
          <w:rFonts w:ascii="Calibri" w:eastAsia="Times New Roman" w:hAnsi="Calibri" w:cs="Calibri"/>
          <w:b/>
          <w:bCs/>
          <w:color w:val="000000"/>
          <w:lang w:eastAsia="en-GB"/>
        </w:rPr>
        <w:t>2112</w:t>
      </w:r>
    </w:p>
    <w:p w14:paraId="5E11C89D" w14:textId="7D6212A6" w:rsidR="002620B6" w:rsidRDefault="002620B6" w:rsidP="002620B6">
      <w:pPr>
        <w:rPr>
          <w:rFonts w:ascii="Calibri" w:eastAsia="Times New Roman" w:hAnsi="Calibri" w:cs="Calibri"/>
          <w:b/>
          <w:bCs/>
          <w:color w:val="000000"/>
          <w:lang w:eastAsia="en-GB"/>
        </w:rPr>
      </w:pPr>
    </w:p>
    <w:p w14:paraId="09C306CB" w14:textId="19E84415" w:rsidR="005539E4" w:rsidRDefault="005539E4" w:rsidP="00762B9E">
      <w:pPr>
        <w:jc w:val="center"/>
        <w:rPr>
          <w:rFonts w:ascii="Calibri" w:eastAsia="Times New Roman" w:hAnsi="Calibri" w:cs="Calibri"/>
          <w:b/>
          <w:bCs/>
          <w:color w:val="000000"/>
          <w:lang w:eastAsia="en-GB"/>
        </w:rPr>
      </w:pPr>
    </w:p>
    <w:p w14:paraId="3FBD3072" w14:textId="77777777" w:rsidR="00AD72E5" w:rsidRDefault="00AD72E5" w:rsidP="00762B9E">
      <w:pPr>
        <w:jc w:val="center"/>
        <w:rPr>
          <w:rFonts w:ascii="Calibri" w:eastAsia="Times New Roman" w:hAnsi="Calibri" w:cs="Calibri"/>
          <w:b/>
          <w:bCs/>
          <w:color w:val="000000"/>
          <w:lang w:eastAsia="en-GB"/>
        </w:rPr>
      </w:pPr>
    </w:p>
    <w:p w14:paraId="7E88A527" w14:textId="02ACFB7F" w:rsidR="005539E4" w:rsidRDefault="005539E4" w:rsidP="0014615A">
      <w:pPr>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References</w:t>
      </w:r>
    </w:p>
    <w:p w14:paraId="1F52F7A8" w14:textId="4CF3AACB" w:rsidR="005539E4" w:rsidRDefault="005539E4" w:rsidP="0026794C">
      <w:pPr>
        <w:rPr>
          <w:rFonts w:ascii="Calibri" w:eastAsia="Times New Roman" w:hAnsi="Calibri" w:cs="Calibri"/>
          <w:b/>
          <w:bCs/>
          <w:color w:val="000000"/>
          <w:lang w:eastAsia="en-GB"/>
        </w:rPr>
      </w:pPr>
    </w:p>
    <w:p w14:paraId="3F3587BC" w14:textId="013B27E5" w:rsidR="005817CD" w:rsidRDefault="005817CD" w:rsidP="005539E4">
      <w:pPr>
        <w:rPr>
          <w:rFonts w:ascii="Calibri" w:eastAsia="Times New Roman" w:hAnsi="Calibri" w:cs="Calibri"/>
          <w:color w:val="000000"/>
          <w:lang w:eastAsia="en-GB"/>
        </w:rPr>
      </w:pPr>
      <w:proofErr w:type="spellStart"/>
      <w:r>
        <w:rPr>
          <w:rFonts w:ascii="Calibri" w:eastAsia="Times New Roman" w:hAnsi="Calibri" w:cs="Calibri"/>
          <w:color w:val="000000"/>
          <w:lang w:eastAsia="en-GB"/>
        </w:rPr>
        <w:t>Abdulai</w:t>
      </w:r>
      <w:proofErr w:type="spellEnd"/>
      <w:r>
        <w:rPr>
          <w:rFonts w:ascii="Calibri" w:eastAsia="Times New Roman" w:hAnsi="Calibri" w:cs="Calibri"/>
          <w:color w:val="000000"/>
          <w:lang w:eastAsia="en-GB"/>
        </w:rPr>
        <w:t>, R and Owusu-Ansah, A. (2014). Essential Ingredients of a Good Research Proposal for Undergraduate and Postgraduate Students in the Social Sciences. SAGE Open, Vol NA, pp. 1-15. Doi: 10.1177/2158244014548178</w:t>
      </w:r>
    </w:p>
    <w:p w14:paraId="557623D4" w14:textId="3049593B" w:rsidR="00843DCE" w:rsidRDefault="00843DCE" w:rsidP="005539E4">
      <w:pPr>
        <w:rPr>
          <w:rFonts w:ascii="Calibri" w:eastAsia="Times New Roman" w:hAnsi="Calibri" w:cs="Calibri"/>
          <w:color w:val="000000"/>
          <w:lang w:eastAsia="en-GB"/>
        </w:rPr>
      </w:pPr>
    </w:p>
    <w:p w14:paraId="1D490E1E" w14:textId="77777777" w:rsidR="00843DCE" w:rsidRDefault="00843DCE" w:rsidP="00843DCE">
      <w:proofErr w:type="spellStart"/>
      <w:r w:rsidRPr="00FE4B81">
        <w:t>Argomaniz</w:t>
      </w:r>
      <w:proofErr w:type="spellEnd"/>
      <w:r w:rsidRPr="00FE4B81">
        <w:t xml:space="preserve">, J. (2014). European Union Responses to Terrorist Use of the Internet. Cooperation and Conflict, Vol 50 (2), pp. 250-268. </w:t>
      </w:r>
      <w:r>
        <w:t>Accessed: 21</w:t>
      </w:r>
      <w:r w:rsidRPr="005D15F6">
        <w:rPr>
          <w:vertAlign w:val="superscript"/>
        </w:rPr>
        <w:t>st</w:t>
      </w:r>
      <w:r>
        <w:t xml:space="preserve"> December 2021. </w:t>
      </w:r>
      <w:r w:rsidRPr="00FE4B81">
        <w:t>Doi: 10.1177/0010836714545690</w:t>
      </w:r>
    </w:p>
    <w:p w14:paraId="08F0E9E1" w14:textId="77777777" w:rsidR="00843DCE" w:rsidRDefault="00843DCE" w:rsidP="005539E4">
      <w:pPr>
        <w:rPr>
          <w:rFonts w:ascii="Calibri" w:eastAsia="Times New Roman" w:hAnsi="Calibri" w:cs="Calibri"/>
          <w:color w:val="000000"/>
          <w:lang w:eastAsia="en-GB"/>
        </w:rPr>
      </w:pPr>
    </w:p>
    <w:p w14:paraId="01EA1911" w14:textId="10D8F778" w:rsidR="00961C55" w:rsidRDefault="00190F30" w:rsidP="00961C55">
      <w:proofErr w:type="spellStart"/>
      <w:r>
        <w:t>Borrett</w:t>
      </w:r>
      <w:proofErr w:type="spellEnd"/>
      <w:r>
        <w:t xml:space="preserve">, D, Sampson, H and </w:t>
      </w:r>
      <w:proofErr w:type="spellStart"/>
      <w:r>
        <w:t>Cavoukian</w:t>
      </w:r>
      <w:proofErr w:type="spellEnd"/>
      <w:r>
        <w:t>, A. (2016). Research Ethics by Design: A Collaborative Research Design Proposal. Research Ethics, Vol 13 (2), pp. 84-91. Doi: 10.1177/1747016116673135</w:t>
      </w:r>
    </w:p>
    <w:p w14:paraId="6E9A5E3A" w14:textId="331DDAA5" w:rsidR="003463EA" w:rsidRDefault="003463EA" w:rsidP="00961C55"/>
    <w:p w14:paraId="1B59C449" w14:textId="25FDF3D9" w:rsidR="003463EA" w:rsidRDefault="003463EA" w:rsidP="00961C55">
      <w:r>
        <w:t xml:space="preserve">Chase, J, </w:t>
      </w:r>
      <w:proofErr w:type="spellStart"/>
      <w:r>
        <w:t>Topp</w:t>
      </w:r>
      <w:proofErr w:type="spellEnd"/>
      <w:r>
        <w:t xml:space="preserve">, R, Smith, C, Cohen, M, </w:t>
      </w:r>
      <w:proofErr w:type="spellStart"/>
      <w:r>
        <w:t>Fahrenwald</w:t>
      </w:r>
      <w:proofErr w:type="spellEnd"/>
      <w:r>
        <w:t xml:space="preserve">, N, </w:t>
      </w:r>
      <w:proofErr w:type="spellStart"/>
      <w:r>
        <w:t>Zerwic</w:t>
      </w:r>
      <w:proofErr w:type="spellEnd"/>
      <w:r>
        <w:t>, J, Benefield, L, Anderson, C and Conn, V. (2012). Time Management Strategies for Research Productivity. Western Journal of Nursing Research, Vol 35 (2), pp. 155-176. Doi: 10.1177/0193945912451163</w:t>
      </w:r>
    </w:p>
    <w:p w14:paraId="2351D36E" w14:textId="1528DB89" w:rsidR="0014214A" w:rsidRDefault="0014214A" w:rsidP="00961C55"/>
    <w:p w14:paraId="5B7ACF90" w14:textId="5611839D" w:rsidR="0014214A" w:rsidRDefault="0014214A" w:rsidP="00961C55">
      <w:r>
        <w:t>Clark-Kazak, C. (2021). Ethics in Forced Migration Research: Taking Stock and Potential Ways Forward. Journal on Migration and Human Security, Vol 9 (3), pp. 125-138. Doi: 10.1177/23315024211034401</w:t>
      </w:r>
    </w:p>
    <w:p w14:paraId="7331413E" w14:textId="43A0EF38" w:rsidR="00F834D5" w:rsidRDefault="00F834D5" w:rsidP="00961C55"/>
    <w:p w14:paraId="10060F63" w14:textId="1AE3CD3F" w:rsidR="00F834D5" w:rsidRDefault="00F834D5" w:rsidP="00961C55">
      <w:r>
        <w:t>Connor, J, Copland, S and Owen J. (2017). The Infantilized Researcher and Research Subject: Ethics, Consent and Risk. Qualitative Research, Vol 18 (4), pp. 400-415. Doi: 10.1177/1468794117730686</w:t>
      </w:r>
    </w:p>
    <w:p w14:paraId="3045A95A" w14:textId="7B7EB5C3" w:rsidR="007C0BBA" w:rsidRDefault="007C0BBA" w:rsidP="00961C55"/>
    <w:p w14:paraId="470FF266" w14:textId="15D113AC" w:rsidR="007C0BBA" w:rsidRDefault="007C0BBA" w:rsidP="00961C55">
      <w:proofErr w:type="spellStart"/>
      <w:r>
        <w:t>Cubukcu</w:t>
      </w:r>
      <w:proofErr w:type="spellEnd"/>
      <w:r>
        <w:t xml:space="preserve">, S and </w:t>
      </w:r>
      <w:proofErr w:type="spellStart"/>
      <w:r>
        <w:t>Forst</w:t>
      </w:r>
      <w:proofErr w:type="spellEnd"/>
      <w:r>
        <w:t>, B. (2017). Measuring Terrorism. Homicide Studies, Vol 22 (1), pp. 94-116. Doi: 10.1177/1088767917737808</w:t>
      </w:r>
    </w:p>
    <w:p w14:paraId="2D24752D" w14:textId="77777777" w:rsidR="00961C55" w:rsidRDefault="00961C55" w:rsidP="00961C55"/>
    <w:p w14:paraId="1D6B64A6" w14:textId="0961A961" w:rsidR="001B4247" w:rsidRDefault="001B4247" w:rsidP="001B4247">
      <w:proofErr w:type="spellStart"/>
      <w:r>
        <w:t>Friis</w:t>
      </w:r>
      <w:proofErr w:type="spellEnd"/>
      <w:r>
        <w:t>, S. (2017). ‘Behead, Burn, Crucify, Crush’: Theorizing the Islamic State’s Public Displays of Violence. European Journal of International Relations, Vol 24 (2), pp. 243-267. Accessed: 20</w:t>
      </w:r>
      <w:r w:rsidRPr="00E7356A">
        <w:rPr>
          <w:vertAlign w:val="superscript"/>
        </w:rPr>
        <w:t>th</w:t>
      </w:r>
      <w:r>
        <w:t xml:space="preserve"> October 2021 Doi: 10.1177/1354066117714416</w:t>
      </w:r>
    </w:p>
    <w:p w14:paraId="02AB968E" w14:textId="0BBB6E6D" w:rsidR="00843DCE" w:rsidRDefault="00843DCE" w:rsidP="001B4247"/>
    <w:p w14:paraId="6C48C4F4" w14:textId="0F8D0E17" w:rsidR="00843DCE" w:rsidRDefault="00843DCE" w:rsidP="00843DCE">
      <w:r>
        <w:t xml:space="preserve">Lee, C, Choi, K, </w:t>
      </w:r>
      <w:proofErr w:type="spellStart"/>
      <w:r>
        <w:t>Shandler</w:t>
      </w:r>
      <w:proofErr w:type="spellEnd"/>
      <w:r>
        <w:t xml:space="preserve">, R and </w:t>
      </w:r>
      <w:proofErr w:type="spellStart"/>
      <w:r>
        <w:t>Kayser</w:t>
      </w:r>
      <w:proofErr w:type="spellEnd"/>
      <w:r>
        <w:t xml:space="preserve">, C. (2021). Mapping Global </w:t>
      </w:r>
      <w:proofErr w:type="spellStart"/>
      <w:r>
        <w:t>Cyberterror</w:t>
      </w:r>
      <w:proofErr w:type="spellEnd"/>
      <w:r>
        <w:t xml:space="preserve"> Networks: An Empirical Study of Al-Qaeda and ISIS Cyberterrorism Events. Journal of Contemporary Criminal Justice, Vol 37 (3), pp. 333-355. Accessed: 15</w:t>
      </w:r>
      <w:r w:rsidRPr="005D15F6">
        <w:rPr>
          <w:vertAlign w:val="superscript"/>
        </w:rPr>
        <w:t>th</w:t>
      </w:r>
      <w:r>
        <w:t xml:space="preserve"> December 2021. Doi: 10.1177/10439862211001606</w:t>
      </w:r>
    </w:p>
    <w:p w14:paraId="31623577" w14:textId="1FA9D70C" w:rsidR="00971CB3" w:rsidRDefault="00971CB3" w:rsidP="00843DCE"/>
    <w:p w14:paraId="51AB9F68" w14:textId="311554E7" w:rsidR="00971CB3" w:rsidRDefault="00971CB3" w:rsidP="00843DCE">
      <w:r>
        <w:t xml:space="preserve">Mahmood, R and </w:t>
      </w:r>
      <w:proofErr w:type="spellStart"/>
      <w:r>
        <w:t>Jetter</w:t>
      </w:r>
      <w:proofErr w:type="spellEnd"/>
      <w:r>
        <w:t>, M. (2019). Communications Technology and Terrorism. Journal of Conflict Resolution, Vol 64 (1), pp. 127-166. Doi: 10.1177/0022002719843989</w:t>
      </w:r>
    </w:p>
    <w:p w14:paraId="3087FEDA" w14:textId="77777777" w:rsidR="00843DCE" w:rsidRDefault="00843DCE" w:rsidP="001B4247"/>
    <w:p w14:paraId="38AD4B93" w14:textId="718310B3" w:rsidR="00961C55" w:rsidRDefault="00961C55" w:rsidP="00961C55">
      <w:r>
        <w:t>Martin, M and Solomon, H. (2017). Islamic State: Understanding the Nature of the Beast and its Funding. Contemporary Review of the Middle East, Vol 4 (1), pp. 18-49. Accessed: 25</w:t>
      </w:r>
      <w:r w:rsidRPr="00E7356A">
        <w:rPr>
          <w:vertAlign w:val="superscript"/>
        </w:rPr>
        <w:t>th</w:t>
      </w:r>
      <w:r>
        <w:t xml:space="preserve"> October 2021 Doi: 10.1177/2347798916681319</w:t>
      </w:r>
    </w:p>
    <w:p w14:paraId="4C24858F" w14:textId="3E7FA17D" w:rsidR="00971CB3" w:rsidRDefault="00971CB3" w:rsidP="00961C55">
      <w:r>
        <w:t xml:space="preserve">Meserve, S and </w:t>
      </w:r>
      <w:proofErr w:type="spellStart"/>
      <w:r>
        <w:t>Pemstein</w:t>
      </w:r>
      <w:proofErr w:type="spellEnd"/>
      <w:r>
        <w:t>, D. (2020). Terrorism and Internet Censorship. Journal of Peace Research, Vol 57 (6), pp. 752-763. Doi: 10.1177/0022343320959369</w:t>
      </w:r>
    </w:p>
    <w:p w14:paraId="15E4D8BD" w14:textId="075B8A21" w:rsidR="00546DC7" w:rsidRDefault="00546DC7" w:rsidP="00961C55"/>
    <w:p w14:paraId="5FE99BDC" w14:textId="12C0A951" w:rsidR="00546DC7" w:rsidRDefault="00546DC7" w:rsidP="00546DC7">
      <w:r>
        <w:t xml:space="preserve">O’Callaghan, D, Greene, D, Conway, M, </w:t>
      </w:r>
      <w:proofErr w:type="spellStart"/>
      <w:r>
        <w:t>Carthy</w:t>
      </w:r>
      <w:proofErr w:type="spellEnd"/>
      <w:r>
        <w:t>, J and Cunningham, P. (2014). Down the (White) Rabbit Hole: The Extreme Right and Online Recommender Systems. Social Science Computer Review, Vol 33 (4), pp. 459-478. Accessed: 28</w:t>
      </w:r>
      <w:r w:rsidRPr="005D15F6">
        <w:rPr>
          <w:vertAlign w:val="superscript"/>
        </w:rPr>
        <w:t>th</w:t>
      </w:r>
      <w:r>
        <w:t xml:space="preserve"> December 2021. Doi: 10.1177/0894439314555329</w:t>
      </w:r>
    </w:p>
    <w:p w14:paraId="042C5395" w14:textId="338F35B9" w:rsidR="002548D2" w:rsidRDefault="002548D2" w:rsidP="00546DC7"/>
    <w:p w14:paraId="180CD5B2" w14:textId="3CBC7F49" w:rsidR="002548D2" w:rsidRDefault="002548D2" w:rsidP="00546DC7">
      <w:proofErr w:type="spellStart"/>
      <w:r>
        <w:rPr>
          <w:rFonts w:ascii="Calibri" w:eastAsia="Times New Roman" w:hAnsi="Calibri" w:cs="Calibri"/>
          <w:color w:val="000000"/>
          <w:lang w:eastAsia="en-GB"/>
        </w:rPr>
        <w:t>Orehek</w:t>
      </w:r>
      <w:proofErr w:type="spellEnd"/>
      <w:r>
        <w:rPr>
          <w:rFonts w:ascii="Calibri" w:eastAsia="Times New Roman" w:hAnsi="Calibri" w:cs="Calibri"/>
          <w:color w:val="000000"/>
          <w:lang w:eastAsia="en-GB"/>
        </w:rPr>
        <w:t>, E</w:t>
      </w:r>
      <w:r>
        <w:rPr>
          <w:rFonts w:ascii="Calibri" w:eastAsia="Times New Roman" w:hAnsi="Calibri" w:cs="Calibri"/>
          <w:color w:val="000000"/>
          <w:lang w:eastAsia="en-GB"/>
        </w:rPr>
        <w:t xml:space="preserve"> and </w:t>
      </w:r>
      <w:proofErr w:type="spellStart"/>
      <w:r>
        <w:rPr>
          <w:rFonts w:ascii="Calibri" w:eastAsia="Times New Roman" w:hAnsi="Calibri" w:cs="Calibri"/>
          <w:color w:val="000000"/>
          <w:lang w:eastAsia="en-GB"/>
        </w:rPr>
        <w:t>Vazeou-Nieuwenhuis</w:t>
      </w:r>
      <w:proofErr w:type="spellEnd"/>
      <w:r>
        <w:rPr>
          <w:rFonts w:ascii="Calibri" w:eastAsia="Times New Roman" w:hAnsi="Calibri" w:cs="Calibri"/>
          <w:color w:val="000000"/>
          <w:lang w:eastAsia="en-GB"/>
        </w:rPr>
        <w:t>, A. (2014). Understanding the Terrorist Threat: Policy Implications of a Motivational Account of Terrorism. Policy Insights from the Behavioural and Brain Sciences, Vol 1 (1), pp. 248-255. Doi: 10.1177/2372732214549747</w:t>
      </w:r>
    </w:p>
    <w:p w14:paraId="5DCEC1B1" w14:textId="77777777" w:rsidR="00546DC7" w:rsidRDefault="00546DC7" w:rsidP="00961C55"/>
    <w:p w14:paraId="28D670CB" w14:textId="7C56C0DF" w:rsidR="00EC7DD2" w:rsidRDefault="00EC7DD2" w:rsidP="005539E4">
      <w:pPr>
        <w:rPr>
          <w:rFonts w:ascii="Calibri" w:eastAsia="Times New Roman" w:hAnsi="Calibri" w:cs="Calibri"/>
          <w:color w:val="000000"/>
          <w:lang w:eastAsia="en-GB"/>
        </w:rPr>
      </w:pPr>
      <w:r>
        <w:rPr>
          <w:rFonts w:ascii="Calibri" w:eastAsia="Times New Roman" w:hAnsi="Calibri" w:cs="Calibri"/>
          <w:color w:val="000000"/>
          <w:lang w:eastAsia="en-GB"/>
        </w:rPr>
        <w:t>Sandler, T. (2011). New Frontiers of Terrorism Research: An Introduction. Journal of Peace Research, Vol 48 (3), pp. 279-286. Doi: 10.1177/0022343311399131</w:t>
      </w:r>
    </w:p>
    <w:p w14:paraId="273215C9" w14:textId="477A93B7" w:rsidR="00E95BE1" w:rsidRDefault="00E95BE1" w:rsidP="005539E4">
      <w:pPr>
        <w:rPr>
          <w:rFonts w:ascii="Calibri" w:eastAsia="Times New Roman" w:hAnsi="Calibri" w:cs="Calibri"/>
          <w:color w:val="000000"/>
          <w:lang w:eastAsia="en-GB"/>
        </w:rPr>
      </w:pPr>
    </w:p>
    <w:p w14:paraId="4481A933" w14:textId="68659AAF" w:rsidR="00E95BE1" w:rsidRDefault="00E95BE1" w:rsidP="005539E4">
      <w:pPr>
        <w:rPr>
          <w:rFonts w:ascii="Calibri" w:eastAsia="Times New Roman" w:hAnsi="Calibri" w:cs="Calibri"/>
          <w:color w:val="000000"/>
          <w:lang w:eastAsia="en-GB"/>
        </w:rPr>
      </w:pPr>
      <w:r>
        <w:rPr>
          <w:rFonts w:ascii="Calibri" w:eastAsia="Times New Roman" w:hAnsi="Calibri" w:cs="Calibri"/>
          <w:color w:val="000000"/>
          <w:lang w:eastAsia="en-GB"/>
        </w:rPr>
        <w:t xml:space="preserve">Shahab, S and </w:t>
      </w:r>
      <w:proofErr w:type="spellStart"/>
      <w:r>
        <w:rPr>
          <w:rFonts w:ascii="Calibri" w:eastAsia="Times New Roman" w:hAnsi="Calibri" w:cs="Calibri"/>
          <w:color w:val="000000"/>
          <w:lang w:eastAsia="en-GB"/>
        </w:rPr>
        <w:t>Isakhan</w:t>
      </w:r>
      <w:proofErr w:type="spellEnd"/>
      <w:r>
        <w:rPr>
          <w:rFonts w:ascii="Calibri" w:eastAsia="Times New Roman" w:hAnsi="Calibri" w:cs="Calibri"/>
          <w:color w:val="000000"/>
          <w:lang w:eastAsia="en-GB"/>
        </w:rPr>
        <w:t xml:space="preserve">, B. (2018). The Ritualization of Heritage Destruction Under the Islamic State. Journal of Social </w:t>
      </w:r>
      <w:proofErr w:type="spellStart"/>
      <w:r>
        <w:rPr>
          <w:rFonts w:ascii="Calibri" w:eastAsia="Times New Roman" w:hAnsi="Calibri" w:cs="Calibri"/>
          <w:color w:val="000000"/>
          <w:lang w:eastAsia="en-GB"/>
        </w:rPr>
        <w:t>Archeology</w:t>
      </w:r>
      <w:proofErr w:type="spellEnd"/>
      <w:r>
        <w:rPr>
          <w:rFonts w:ascii="Calibri" w:eastAsia="Times New Roman" w:hAnsi="Calibri" w:cs="Calibri"/>
          <w:color w:val="000000"/>
          <w:lang w:eastAsia="en-GB"/>
        </w:rPr>
        <w:t>, Vol 18 (2), pp. 212-233. Doi: 10.1177/1469605318763623</w:t>
      </w:r>
    </w:p>
    <w:p w14:paraId="4FE70B3D" w14:textId="6DA6FFD8" w:rsidR="00E95BE1" w:rsidRDefault="00E95BE1" w:rsidP="005539E4">
      <w:pPr>
        <w:rPr>
          <w:rFonts w:ascii="Calibri" w:eastAsia="Times New Roman" w:hAnsi="Calibri" w:cs="Calibri"/>
          <w:color w:val="000000"/>
          <w:lang w:eastAsia="en-GB"/>
        </w:rPr>
      </w:pPr>
    </w:p>
    <w:p w14:paraId="3AB1F5C2" w14:textId="44C5E59C" w:rsidR="00E95BE1" w:rsidRDefault="00E95BE1" w:rsidP="005539E4">
      <w:pPr>
        <w:rPr>
          <w:rFonts w:ascii="Calibri" w:eastAsia="Times New Roman" w:hAnsi="Calibri" w:cs="Calibri"/>
          <w:color w:val="000000"/>
          <w:lang w:eastAsia="en-GB"/>
        </w:rPr>
      </w:pPr>
      <w:proofErr w:type="spellStart"/>
      <w:r>
        <w:rPr>
          <w:rFonts w:ascii="Calibri" w:eastAsia="Times New Roman" w:hAnsi="Calibri" w:cs="Calibri"/>
          <w:color w:val="000000"/>
          <w:lang w:eastAsia="en-GB"/>
        </w:rPr>
        <w:t>Sunde</w:t>
      </w:r>
      <w:proofErr w:type="spellEnd"/>
      <w:r>
        <w:rPr>
          <w:rFonts w:ascii="Calibri" w:eastAsia="Times New Roman" w:hAnsi="Calibri" w:cs="Calibri"/>
          <w:color w:val="000000"/>
          <w:lang w:eastAsia="en-GB"/>
        </w:rPr>
        <w:t xml:space="preserve">, H, </w:t>
      </w:r>
      <w:proofErr w:type="spellStart"/>
      <w:r>
        <w:rPr>
          <w:rFonts w:ascii="Calibri" w:eastAsia="Times New Roman" w:hAnsi="Calibri" w:cs="Calibri"/>
          <w:color w:val="000000"/>
          <w:lang w:eastAsia="en-GB"/>
        </w:rPr>
        <w:t>Ilan</w:t>
      </w:r>
      <w:proofErr w:type="spellEnd"/>
      <w:r>
        <w:rPr>
          <w:rFonts w:ascii="Calibri" w:eastAsia="Times New Roman" w:hAnsi="Calibri" w:cs="Calibri"/>
          <w:color w:val="000000"/>
          <w:lang w:eastAsia="en-GB"/>
        </w:rPr>
        <w:t>, J and Sandberg, S. (2020). A Cultural Criminology of “New” Jihad: Insights From Propaganda Magazines. Crime Media Culture, Vol 17 (2), pp. 271-287. Doi: 10.1177/1741659020915509</w:t>
      </w:r>
    </w:p>
    <w:p w14:paraId="53A67583" w14:textId="77777777" w:rsidR="00EC7DD2" w:rsidRDefault="00EC7DD2" w:rsidP="005539E4">
      <w:pPr>
        <w:rPr>
          <w:rFonts w:ascii="Calibri" w:eastAsia="Times New Roman" w:hAnsi="Calibri" w:cs="Calibri"/>
          <w:color w:val="000000"/>
          <w:lang w:eastAsia="en-GB"/>
        </w:rPr>
      </w:pPr>
    </w:p>
    <w:p w14:paraId="6E3061A7" w14:textId="45B1DE35" w:rsidR="005817CD" w:rsidRDefault="00A57ECB" w:rsidP="005539E4">
      <w:pPr>
        <w:rPr>
          <w:rFonts w:ascii="Calibri" w:eastAsia="Times New Roman" w:hAnsi="Calibri" w:cs="Calibri"/>
          <w:color w:val="000000"/>
          <w:lang w:eastAsia="en-GB"/>
        </w:rPr>
      </w:pPr>
      <w:r>
        <w:rPr>
          <w:rFonts w:ascii="Calibri" w:eastAsia="Times New Roman" w:hAnsi="Calibri" w:cs="Calibri"/>
          <w:color w:val="000000"/>
          <w:lang w:eastAsia="en-GB"/>
        </w:rPr>
        <w:t>Tracy, P. (2012). Terrorism Research in Criminology: Current Topics and Future Prospects. Crime and Delinquency, Vol 58 (5), pp. 647-662. Doi: 10.1177/0011128712458080</w:t>
      </w:r>
    </w:p>
    <w:p w14:paraId="09C1DA42" w14:textId="77777777" w:rsidR="00961C55" w:rsidRDefault="00961C55" w:rsidP="005539E4">
      <w:pPr>
        <w:rPr>
          <w:rFonts w:ascii="Calibri" w:eastAsia="Times New Roman" w:hAnsi="Calibri" w:cs="Calibri"/>
          <w:color w:val="000000"/>
          <w:lang w:eastAsia="en-GB"/>
        </w:rPr>
      </w:pPr>
    </w:p>
    <w:p w14:paraId="3C10DFB9" w14:textId="0F753599" w:rsidR="00961C55" w:rsidRDefault="00C512F5" w:rsidP="005539E4">
      <w:pPr>
        <w:rPr>
          <w:rFonts w:ascii="Calibri" w:eastAsia="Times New Roman" w:hAnsi="Calibri" w:cs="Calibri"/>
          <w:color w:val="000000"/>
          <w:lang w:eastAsia="en-GB"/>
        </w:rPr>
      </w:pPr>
      <w:r>
        <w:rPr>
          <w:rFonts w:ascii="Calibri" w:eastAsia="Times New Roman" w:hAnsi="Calibri" w:cs="Calibri"/>
          <w:color w:val="000000"/>
          <w:lang w:eastAsia="en-GB"/>
        </w:rPr>
        <w:t xml:space="preserve">Van </w:t>
      </w:r>
      <w:proofErr w:type="spellStart"/>
      <w:r>
        <w:rPr>
          <w:rFonts w:ascii="Calibri" w:eastAsia="Times New Roman" w:hAnsi="Calibri" w:cs="Calibri"/>
          <w:color w:val="000000"/>
          <w:lang w:eastAsia="en-GB"/>
        </w:rPr>
        <w:t>Ekelenburg</w:t>
      </w:r>
      <w:proofErr w:type="spellEnd"/>
      <w:r>
        <w:rPr>
          <w:rFonts w:ascii="Calibri" w:eastAsia="Times New Roman" w:hAnsi="Calibri" w:cs="Calibri"/>
          <w:color w:val="000000"/>
          <w:lang w:eastAsia="en-GB"/>
        </w:rPr>
        <w:t>, H. (2010). The Art of Writing Good Research Proposals. Science Progress, Vol 93 (4), pp. 429-442. Doi: 10.3184/003685010X12798150447676</w:t>
      </w:r>
    </w:p>
    <w:p w14:paraId="7E5A9233" w14:textId="77777777" w:rsidR="00961C55" w:rsidRDefault="00961C55" w:rsidP="005539E4">
      <w:pPr>
        <w:rPr>
          <w:rFonts w:ascii="Calibri" w:eastAsia="Times New Roman" w:hAnsi="Calibri" w:cs="Calibri"/>
          <w:color w:val="000000"/>
          <w:lang w:eastAsia="en-GB"/>
        </w:rPr>
      </w:pPr>
    </w:p>
    <w:p w14:paraId="3AA36423" w14:textId="4749E64C" w:rsidR="005539E4" w:rsidRDefault="005539E4" w:rsidP="005539E4">
      <w:pPr>
        <w:rPr>
          <w:rFonts w:ascii="Calibri" w:eastAsia="Times New Roman" w:hAnsi="Calibri" w:cs="Calibri"/>
          <w:color w:val="000000"/>
          <w:lang w:eastAsia="en-GB"/>
        </w:rPr>
      </w:pPr>
      <w:proofErr w:type="spellStart"/>
      <w:r>
        <w:rPr>
          <w:rFonts w:ascii="Calibri" w:eastAsia="Times New Roman" w:hAnsi="Calibri" w:cs="Calibri"/>
          <w:color w:val="000000"/>
          <w:lang w:eastAsia="en-GB"/>
        </w:rPr>
        <w:t>Vichta</w:t>
      </w:r>
      <w:proofErr w:type="spellEnd"/>
      <w:r>
        <w:rPr>
          <w:rFonts w:ascii="Calibri" w:eastAsia="Times New Roman" w:hAnsi="Calibri" w:cs="Calibri"/>
          <w:color w:val="000000"/>
          <w:lang w:eastAsia="en-GB"/>
        </w:rPr>
        <w:t>, R. (2019). Book Reviews: Research Proposal: Little Quick Fix. Evaluation Journal of Australasia. Vol 19 (1), pp. 54-57. Doi: 10.1177/1035719X19827671</w:t>
      </w:r>
    </w:p>
    <w:p w14:paraId="7914BD6F" w14:textId="2BB444A2" w:rsidR="00120590" w:rsidRDefault="00120590" w:rsidP="005539E4">
      <w:pPr>
        <w:rPr>
          <w:rFonts w:ascii="Calibri" w:eastAsia="Times New Roman" w:hAnsi="Calibri" w:cs="Calibri"/>
          <w:color w:val="000000"/>
          <w:lang w:eastAsia="en-GB"/>
        </w:rPr>
      </w:pPr>
    </w:p>
    <w:p w14:paraId="1D9456CD" w14:textId="77777777" w:rsidR="00120590" w:rsidRPr="00120590" w:rsidRDefault="00120590" w:rsidP="00120590">
      <w:pPr>
        <w:rPr>
          <w:rFonts w:ascii="Calibri" w:hAnsi="Calibri" w:cs="Calibri"/>
          <w:color w:val="000000" w:themeColor="text1"/>
        </w:rPr>
      </w:pPr>
      <w:r w:rsidRPr="00120590">
        <w:rPr>
          <w:rFonts w:ascii="Calibri" w:hAnsi="Calibri" w:cs="Calibri"/>
          <w:color w:val="000000" w:themeColor="text1"/>
        </w:rPr>
        <w:t xml:space="preserve">Winchester, C and </w:t>
      </w:r>
      <w:proofErr w:type="spellStart"/>
      <w:r w:rsidRPr="00120590">
        <w:rPr>
          <w:rFonts w:ascii="Calibri" w:hAnsi="Calibri" w:cs="Calibri"/>
          <w:color w:val="000000" w:themeColor="text1"/>
        </w:rPr>
        <w:t>Salji</w:t>
      </w:r>
      <w:proofErr w:type="spellEnd"/>
      <w:r w:rsidRPr="00120590">
        <w:rPr>
          <w:rFonts w:ascii="Calibri" w:hAnsi="Calibri" w:cs="Calibri"/>
          <w:color w:val="000000" w:themeColor="text1"/>
        </w:rPr>
        <w:t>, M, 2016, Writing a literature review, Journal of Clinical Urology, Vol 9 (5), pages 308-312. Doi: 10.1177/2051415816650133</w:t>
      </w:r>
    </w:p>
    <w:p w14:paraId="3DB9D7B0" w14:textId="77777777" w:rsidR="00120590" w:rsidRPr="00762B9E" w:rsidRDefault="00120590" w:rsidP="005539E4">
      <w:pPr>
        <w:rPr>
          <w:rFonts w:ascii="Calibri" w:eastAsia="Times New Roman" w:hAnsi="Calibri" w:cs="Calibri"/>
          <w:color w:val="000000"/>
          <w:lang w:eastAsia="en-GB"/>
        </w:rPr>
      </w:pPr>
    </w:p>
    <w:p w14:paraId="3E8027A8" w14:textId="260AB014" w:rsidR="00762B9E" w:rsidRPr="00762B9E" w:rsidRDefault="00762B9E" w:rsidP="00762B9E">
      <w:pPr>
        <w:pStyle w:val="trt0xe"/>
        <w:shd w:val="clear" w:color="auto" w:fill="FFFFFF"/>
        <w:spacing w:before="0" w:beforeAutospacing="0" w:after="60" w:afterAutospacing="0"/>
        <w:ind w:left="720"/>
        <w:jc w:val="center"/>
        <w:rPr>
          <w:rFonts w:ascii="Arial" w:hAnsi="Arial" w:cs="Arial"/>
          <w:color w:val="202124"/>
          <w:sz w:val="22"/>
          <w:szCs w:val="22"/>
        </w:rPr>
      </w:pPr>
    </w:p>
    <w:p w14:paraId="5C35BBE8" w14:textId="1476A6F9" w:rsidR="00762B9E" w:rsidRDefault="00762B9E" w:rsidP="00803F7A">
      <w:pPr>
        <w:jc w:val="center"/>
        <w:rPr>
          <w:b/>
          <w:bCs/>
          <w:sz w:val="36"/>
          <w:szCs w:val="36"/>
        </w:rPr>
      </w:pPr>
    </w:p>
    <w:p w14:paraId="26F06351" w14:textId="6F1EF17D" w:rsidR="00762B9E" w:rsidRDefault="00762B9E" w:rsidP="00120590">
      <w:pPr>
        <w:rPr>
          <w:b/>
          <w:bCs/>
          <w:sz w:val="36"/>
          <w:szCs w:val="36"/>
        </w:rPr>
      </w:pPr>
    </w:p>
    <w:p w14:paraId="5D418DD6" w14:textId="274EDA1A" w:rsidR="00762B9E" w:rsidRPr="00803F7A" w:rsidRDefault="00762B9E" w:rsidP="00803F7A">
      <w:pPr>
        <w:jc w:val="center"/>
        <w:rPr>
          <w:b/>
          <w:bCs/>
          <w:sz w:val="36"/>
          <w:szCs w:val="36"/>
        </w:rPr>
      </w:pPr>
    </w:p>
    <w:sectPr w:rsidR="00762B9E" w:rsidRPr="00803F7A" w:rsidSect="0005533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5B027F"/>
    <w:multiLevelType w:val="multilevel"/>
    <w:tmpl w:val="F4C02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F7A"/>
    <w:rsid w:val="00055336"/>
    <w:rsid w:val="000E11E1"/>
    <w:rsid w:val="00120590"/>
    <w:rsid w:val="0014214A"/>
    <w:rsid w:val="0014615A"/>
    <w:rsid w:val="00190F30"/>
    <w:rsid w:val="001B4247"/>
    <w:rsid w:val="002548D2"/>
    <w:rsid w:val="00261153"/>
    <w:rsid w:val="002620B6"/>
    <w:rsid w:val="0026794C"/>
    <w:rsid w:val="00293136"/>
    <w:rsid w:val="003463EA"/>
    <w:rsid w:val="00382947"/>
    <w:rsid w:val="003B6C99"/>
    <w:rsid w:val="00454624"/>
    <w:rsid w:val="00482C9C"/>
    <w:rsid w:val="004A2620"/>
    <w:rsid w:val="004D0125"/>
    <w:rsid w:val="0052374B"/>
    <w:rsid w:val="00546DC7"/>
    <w:rsid w:val="005539E4"/>
    <w:rsid w:val="005817CD"/>
    <w:rsid w:val="005A0E18"/>
    <w:rsid w:val="005B010F"/>
    <w:rsid w:val="0063108C"/>
    <w:rsid w:val="00663E22"/>
    <w:rsid w:val="00673BD2"/>
    <w:rsid w:val="006B2454"/>
    <w:rsid w:val="006B3BA1"/>
    <w:rsid w:val="006C0AD6"/>
    <w:rsid w:val="007603FC"/>
    <w:rsid w:val="00762B9E"/>
    <w:rsid w:val="00774F22"/>
    <w:rsid w:val="007B7354"/>
    <w:rsid w:val="007C0BBA"/>
    <w:rsid w:val="007C7EF9"/>
    <w:rsid w:val="00803F7A"/>
    <w:rsid w:val="0082243C"/>
    <w:rsid w:val="00843DCE"/>
    <w:rsid w:val="009518DD"/>
    <w:rsid w:val="00961C55"/>
    <w:rsid w:val="00971CB3"/>
    <w:rsid w:val="00A57ECB"/>
    <w:rsid w:val="00A62A69"/>
    <w:rsid w:val="00A81473"/>
    <w:rsid w:val="00A907D0"/>
    <w:rsid w:val="00AD72E5"/>
    <w:rsid w:val="00BD3ADD"/>
    <w:rsid w:val="00C268C8"/>
    <w:rsid w:val="00C512F5"/>
    <w:rsid w:val="00CB5D94"/>
    <w:rsid w:val="00CE0C76"/>
    <w:rsid w:val="00D317C4"/>
    <w:rsid w:val="00D52DE7"/>
    <w:rsid w:val="00D7476D"/>
    <w:rsid w:val="00DA4EA1"/>
    <w:rsid w:val="00E509F3"/>
    <w:rsid w:val="00E95BE1"/>
    <w:rsid w:val="00EC7DD2"/>
    <w:rsid w:val="00ED60D8"/>
    <w:rsid w:val="00EF28AF"/>
    <w:rsid w:val="00F13FDD"/>
    <w:rsid w:val="00F547BD"/>
    <w:rsid w:val="00F561B5"/>
    <w:rsid w:val="00F83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E5AF1"/>
  <w15:chartTrackingRefBased/>
  <w15:docId w15:val="{49C34A44-DF89-5E45-9123-AC9D2AEA2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rt0xe">
    <w:name w:val="trt0xe"/>
    <w:basedOn w:val="Normal"/>
    <w:rsid w:val="00762B9E"/>
    <w:pPr>
      <w:spacing w:before="100" w:beforeAutospacing="1" w:after="100" w:afterAutospacing="1"/>
    </w:pPr>
    <w:rPr>
      <w:rFonts w:ascii="Times New Roman" w:eastAsia="Times New Roman" w:hAnsi="Times New Roman" w:cs="Times New Roman"/>
      <w:lang w:eastAsia="en-GB"/>
    </w:rPr>
  </w:style>
  <w:style w:type="paragraph" w:styleId="NoSpacing">
    <w:name w:val="No Spacing"/>
    <w:link w:val="NoSpacingChar"/>
    <w:uiPriority w:val="1"/>
    <w:qFormat/>
    <w:rsid w:val="00055336"/>
    <w:rPr>
      <w:rFonts w:eastAsiaTheme="minorEastAsia"/>
      <w:sz w:val="22"/>
      <w:szCs w:val="22"/>
      <w:lang w:val="en-US" w:eastAsia="zh-CN"/>
    </w:rPr>
  </w:style>
  <w:style w:type="character" w:customStyle="1" w:styleId="NoSpacingChar">
    <w:name w:val="No Spacing Char"/>
    <w:basedOn w:val="DefaultParagraphFont"/>
    <w:link w:val="NoSpacing"/>
    <w:uiPriority w:val="1"/>
    <w:rsid w:val="00055336"/>
    <w:rPr>
      <w:rFonts w:eastAsiaTheme="minorEastAsia"/>
      <w:sz w:val="22"/>
      <w:szCs w:val="22"/>
      <w:lang w:val="en-US" w:eastAsia="zh-CN"/>
    </w:rPr>
  </w:style>
  <w:style w:type="table" w:styleId="TableGrid">
    <w:name w:val="Table Grid"/>
    <w:basedOn w:val="TableNormal"/>
    <w:uiPriority w:val="39"/>
    <w:rsid w:val="00ED60D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755604">
      <w:bodyDiv w:val="1"/>
      <w:marLeft w:val="0"/>
      <w:marRight w:val="0"/>
      <w:marTop w:val="0"/>
      <w:marBottom w:val="0"/>
      <w:divBdr>
        <w:top w:val="none" w:sz="0" w:space="0" w:color="auto"/>
        <w:left w:val="none" w:sz="0" w:space="0" w:color="auto"/>
        <w:bottom w:val="none" w:sz="0" w:space="0" w:color="auto"/>
        <w:right w:val="none" w:sz="0" w:space="0" w:color="auto"/>
      </w:divBdr>
    </w:div>
    <w:div w:id="1556088046">
      <w:bodyDiv w:val="1"/>
      <w:marLeft w:val="0"/>
      <w:marRight w:val="0"/>
      <w:marTop w:val="0"/>
      <w:marBottom w:val="0"/>
      <w:divBdr>
        <w:top w:val="none" w:sz="0" w:space="0" w:color="auto"/>
        <w:left w:val="none" w:sz="0" w:space="0" w:color="auto"/>
        <w:bottom w:val="none" w:sz="0" w:space="0" w:color="auto"/>
        <w:right w:val="none" w:sz="0" w:space="0" w:color="auto"/>
      </w:divBdr>
      <w:divsChild>
        <w:div w:id="566376494">
          <w:marLeft w:val="0"/>
          <w:marRight w:val="0"/>
          <w:marTop w:val="0"/>
          <w:marBottom w:val="0"/>
          <w:divBdr>
            <w:top w:val="none" w:sz="0" w:space="0" w:color="auto"/>
            <w:left w:val="none" w:sz="0" w:space="0" w:color="auto"/>
            <w:bottom w:val="none" w:sz="0" w:space="0" w:color="auto"/>
            <w:right w:val="none" w:sz="0" w:space="0" w:color="auto"/>
          </w:divBdr>
        </w:div>
        <w:div w:id="1429081070">
          <w:marLeft w:val="0"/>
          <w:marRight w:val="0"/>
          <w:marTop w:val="0"/>
          <w:marBottom w:val="0"/>
          <w:divBdr>
            <w:top w:val="none" w:sz="0" w:space="0" w:color="auto"/>
            <w:left w:val="none" w:sz="0" w:space="0" w:color="auto"/>
            <w:bottom w:val="none" w:sz="0" w:space="0" w:color="auto"/>
            <w:right w:val="none" w:sz="0" w:space="0" w:color="auto"/>
          </w:divBdr>
        </w:div>
        <w:div w:id="1103457798">
          <w:marLeft w:val="0"/>
          <w:marRight w:val="0"/>
          <w:marTop w:val="0"/>
          <w:marBottom w:val="0"/>
          <w:divBdr>
            <w:top w:val="none" w:sz="0" w:space="0" w:color="auto"/>
            <w:left w:val="none" w:sz="0" w:space="0" w:color="auto"/>
            <w:bottom w:val="none" w:sz="0" w:space="0" w:color="auto"/>
            <w:right w:val="none" w:sz="0" w:space="0" w:color="auto"/>
          </w:divBdr>
        </w:div>
        <w:div w:id="2134597890">
          <w:marLeft w:val="0"/>
          <w:marRight w:val="0"/>
          <w:marTop w:val="0"/>
          <w:marBottom w:val="0"/>
          <w:divBdr>
            <w:top w:val="none" w:sz="0" w:space="0" w:color="auto"/>
            <w:left w:val="none" w:sz="0" w:space="0" w:color="auto"/>
            <w:bottom w:val="none" w:sz="0" w:space="0" w:color="auto"/>
            <w:right w:val="none" w:sz="0" w:space="0" w:color="auto"/>
          </w:divBdr>
        </w:div>
        <w:div w:id="7789129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2779</Words>
  <Characters>15843</Characters>
  <Application>Microsoft Office Word</Application>
  <DocSecurity>0</DocSecurity>
  <Lines>132</Lines>
  <Paragraphs>37</Paragraphs>
  <ScaleCrop>false</ScaleCrop>
  <Company/>
  <LinksUpToDate>false</LinksUpToDate>
  <CharactersWithSpaces>18585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How Did the Islamic State Utilise Cyberspace to Advance It’s Overarching Goals?</dc:subject>
  <dc:creator>Lewis Tandy (2016893)</dc:creator>
  <cp:keywords/>
  <dc:description/>
  <cp:lastModifiedBy>Lewis Brandon Tandy (2016893)</cp:lastModifiedBy>
  <cp:revision>2</cp:revision>
  <dcterms:created xsi:type="dcterms:W3CDTF">2022-02-22T21:46:00Z</dcterms:created>
  <dcterms:modified xsi:type="dcterms:W3CDTF">2022-02-22T21:46:00Z</dcterms:modified>
</cp:coreProperties>
</file>