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719A" w:rsidRDefault="00EB76BC">
      <w:r>
        <w:t>Lauren Amy WILLIAMS</w:t>
      </w:r>
    </w:p>
    <w:p w:rsidR="00EB76BC" w:rsidRDefault="00EB76BC">
      <w:r>
        <w:t>SWP PC6932</w:t>
      </w:r>
    </w:p>
    <w:p w:rsidR="00EB76BC" w:rsidRDefault="00EB76BC">
      <w:r>
        <w:t>2029468</w:t>
      </w:r>
    </w:p>
    <w:p w:rsidR="00EB76BC" w:rsidRDefault="00EB76BC">
      <w:r>
        <w:t>Exam 2</w:t>
      </w:r>
    </w:p>
    <w:p w:rsidR="00EB76BC" w:rsidRDefault="00EB76BC">
      <w:r>
        <w:t>23</w:t>
      </w:r>
      <w:r w:rsidRPr="00EB76BC">
        <w:rPr>
          <w:vertAlign w:val="superscript"/>
        </w:rPr>
        <w:t>rd</w:t>
      </w:r>
      <w:r>
        <w:t xml:space="preserve"> August 2021 </w:t>
      </w:r>
    </w:p>
    <w:p w:rsidR="003D27BF" w:rsidRDefault="003D27BF"/>
    <w:p w:rsidR="003D27BF" w:rsidRDefault="003D27BF">
      <w:r>
        <w:t>Q1.</w:t>
      </w:r>
    </w:p>
    <w:p w:rsidR="003D27BF" w:rsidRDefault="003D27BF">
      <w:r>
        <w:t>A person driving a motor vehicle on a road must stop when required to by a constable in uniform or traffic officer. A person riding a cycle on a road must stop the cycle upon being required to by a constable in uniform or a traffic officer. If a person fails to comply with the instructions given under this section, they are guilty of an offence.</w:t>
      </w:r>
    </w:p>
    <w:p w:rsidR="003D27BF" w:rsidRDefault="003D27BF"/>
    <w:p w:rsidR="003D27BF" w:rsidRDefault="003D27BF">
      <w:r>
        <w:t>Q2.</w:t>
      </w:r>
    </w:p>
    <w:p w:rsidR="003D27BF" w:rsidRDefault="003D27BF">
      <w:r>
        <w:t xml:space="preserve">A constable in uniform may require a person to comply with a preliminary test if they have reasonable grounds to believe that the person is or was driving, attempting to drive or in charge of a motor vehicle on a road and has committed a moving traffic offence. </w:t>
      </w:r>
    </w:p>
    <w:p w:rsidR="003D27BF" w:rsidRDefault="003D27BF"/>
    <w:p w:rsidR="003D27BF" w:rsidRDefault="003D27BF">
      <w:r>
        <w:t xml:space="preserve">Q3. </w:t>
      </w:r>
    </w:p>
    <w:p w:rsidR="003D27BF" w:rsidRDefault="003D27BF">
      <w:r>
        <w:t>A person who drives a mechanically propelled vehicle on a road or other public place without due care and attention, or without reasonable consideration for other persons using that road or place, commits an offence contrary to Section 3 of the Road Traffic Act 1988</w:t>
      </w:r>
    </w:p>
    <w:p w:rsidR="003D27BF" w:rsidRDefault="003D27BF"/>
    <w:p w:rsidR="003D27BF" w:rsidRDefault="003D27BF">
      <w:r w:rsidRPr="00A82700">
        <w:t>Q4.</w:t>
      </w:r>
    </w:p>
    <w:p w:rsidR="00A82700" w:rsidRDefault="00A82700">
      <w:r>
        <w:t>Roads policing powers can help reduce the wider unlawful activity of criminals by imposing powers on the road which apply to other offences, for example Section 4 of the Police and Criminal Evidence Act 1984 which allows a constable to stop a vehicle if it is believed to be carrying a person who has or is intending to commit and indictable offence other than a road traffic offence or vehicle excise offence, a person who has witnessed such an offence or a person who is lawfully at large. Known as a road check, this helps to apprehend and prevent criminal behaviour even if it does not necessarily relate to roads offences themselves.</w:t>
      </w:r>
    </w:p>
    <w:p w:rsidR="003D27BF" w:rsidRDefault="003D27BF"/>
    <w:p w:rsidR="003D27BF" w:rsidRDefault="003D27BF">
      <w:r>
        <w:t xml:space="preserve">Q5. </w:t>
      </w:r>
    </w:p>
    <w:p w:rsidR="003D27BF" w:rsidRDefault="003D27BF">
      <w:r>
        <w:t>If a constable has reasonable grounds to believe that a person is or has been driving a motor vehicle on a road without insurance, or without a licence or otherwise than in accordance with a licence, or they have failed to stop and there are reasonable grounds for the constable to believe the above is present, then the vehicle is seized.</w:t>
      </w:r>
    </w:p>
    <w:p w:rsidR="003D27BF" w:rsidRDefault="003D27BF"/>
    <w:p w:rsidR="003D27BF" w:rsidRDefault="003D27BF">
      <w:r>
        <w:lastRenderedPageBreak/>
        <w:t>Q6.</w:t>
      </w:r>
    </w:p>
    <w:p w:rsidR="003D27BF" w:rsidRDefault="003D27BF">
      <w:r>
        <w:t>Owing to the presence of a mechanically propelled vehicle on a road or other public place, an accident occurs whereby</w:t>
      </w:r>
    </w:p>
    <w:p w:rsidR="003D27BF" w:rsidRDefault="003D27BF">
      <w:r>
        <w:t>Personal injury is caused to any person other than the driver of that mechanically propelled vehicle</w:t>
      </w:r>
    </w:p>
    <w:p w:rsidR="003D27BF" w:rsidRDefault="003D27BF">
      <w:r>
        <w:t>Damage is caused to any vehicle other than that mechanically propelled vehicle or any trailer drawn by it</w:t>
      </w:r>
    </w:p>
    <w:p w:rsidR="003D27BF" w:rsidRDefault="003D27BF">
      <w:r>
        <w:t xml:space="preserve">Or to any animal other than one in or on that mechanically propelled vehicle or trailer drawn by it </w:t>
      </w:r>
    </w:p>
    <w:p w:rsidR="003D27BF" w:rsidRDefault="003D27BF">
      <w:r>
        <w:t>Or</w:t>
      </w:r>
      <w:r w:rsidR="00FC6759">
        <w:t xml:space="preserve"> any other property constructed on</w:t>
      </w:r>
      <w:r>
        <w:t>, growing in, fixed to, or otherwise forming</w:t>
      </w:r>
      <w:r w:rsidR="00FC6759">
        <w:t xml:space="preserve"> part of</w:t>
      </w:r>
      <w:r>
        <w:t xml:space="preserve"> the land on which the road or place in question is situated, or any land adjacent to such land.</w:t>
      </w:r>
    </w:p>
    <w:p w:rsidR="003D27BF" w:rsidRDefault="003D27BF">
      <w:r>
        <w:t xml:space="preserve"> </w:t>
      </w:r>
    </w:p>
    <w:p w:rsidR="003D27BF" w:rsidRDefault="003D27BF">
      <w:r>
        <w:t>Q7.</w:t>
      </w:r>
    </w:p>
    <w:p w:rsidR="00D26124" w:rsidRDefault="00D26124">
      <w:r>
        <w:t xml:space="preserve">A Family Liaison Officer (FLO) is the main point of contact between the police and families who have lost a loved one through a murder, manslaughter, road traffic collision, rail incident or other critical incidents. Their main role is to provide reassurance and support to the family during the processes following the death. Their role includes, helping with identification, notifying next of kin, returning property to the family and organising scene visits when this is deemed appropriate. FLOs are also primarily investigators and will gather a victimology about the deceased through interviewing and taking statements from the families and friends about that person in order to aid the investigation at that time. </w:t>
      </w:r>
    </w:p>
    <w:p w:rsidR="003D27BF" w:rsidRDefault="003D27BF"/>
    <w:p w:rsidR="003D27BF" w:rsidRDefault="003D27BF">
      <w:r>
        <w:t>Q8.</w:t>
      </w:r>
    </w:p>
    <w:p w:rsidR="003D27BF" w:rsidRDefault="003D27BF">
      <w:r>
        <w:t>Where an accident has occurred a driver must stop and give details to any person with reasonable grounds to require them. In every case the driver must give their name and address, vehicle details and the name and address of the owner of the vehicle. In cases that include personal injury, the driver must also give their insurance details. The driver must remain at the scene long enough to allow anyone with reasonable grounds to do so to request these details.</w:t>
      </w:r>
    </w:p>
    <w:p w:rsidR="003D27BF" w:rsidRDefault="003D27BF">
      <w:r>
        <w:t xml:space="preserve">If the details are not given, the driver must report the accident in person to a police officer or at a police station as soon as reasonably practicable, or in any case within 24 hours. </w:t>
      </w:r>
    </w:p>
    <w:p w:rsidR="00D26124" w:rsidRDefault="00D26124"/>
    <w:p w:rsidR="00D26124" w:rsidRDefault="00D26124">
      <w:r>
        <w:t xml:space="preserve">Q9. </w:t>
      </w:r>
    </w:p>
    <w:p w:rsidR="00D26124" w:rsidRDefault="00D26124">
      <w:r>
        <w:t>A constable may enter a premises, using reasonable force if necessary, in order to require a person to complete a preliminary test if the constable has reasonable grounds to believe that person was driving, attempting to drive or in charge of a motor v</w:t>
      </w:r>
      <w:r w:rsidR="0064379F">
        <w:t xml:space="preserve">ehicle on a road at the time </w:t>
      </w:r>
      <w:r>
        <w:t>an accident</w:t>
      </w:r>
      <w:r w:rsidR="0064379F">
        <w:t xml:space="preserve"> occurred</w:t>
      </w:r>
      <w:r>
        <w:t>. Or to arrest a person who has provided a positive breath test, or arrest a person who without reasonable excuse has failed to cooperate with any preliminary test required by them</w:t>
      </w:r>
      <w:r w:rsidR="0064379F">
        <w:t xml:space="preserve"> in pursuance of section 6</w:t>
      </w:r>
      <w:r>
        <w:t xml:space="preserve">, and who the constable has reasonable grounds to believe is or has been driving with alcohol or a drug in their body, or </w:t>
      </w:r>
      <w:r w:rsidR="0064379F">
        <w:t xml:space="preserve">whilst </w:t>
      </w:r>
      <w:r>
        <w:t xml:space="preserve">under the influence of a drug. </w:t>
      </w:r>
    </w:p>
    <w:p w:rsidR="00D26124" w:rsidRDefault="00D26124"/>
    <w:p w:rsidR="00D26124" w:rsidRDefault="00D26124">
      <w:r>
        <w:lastRenderedPageBreak/>
        <w:t>Q10.</w:t>
      </w:r>
    </w:p>
    <w:p w:rsidR="00D26124" w:rsidRDefault="00D26124">
      <w:r>
        <w:t xml:space="preserve">A person who causes the death of another person by driving a mechanically propelled vehicle dangerously on a road or other public place, commits an offence contrary to Section 1 of the Road Traffic Act 1988. </w:t>
      </w:r>
    </w:p>
    <w:p w:rsidR="00D26124" w:rsidRDefault="00D26124"/>
    <w:p w:rsidR="00D26124" w:rsidRDefault="00D26124">
      <w:r>
        <w:t>Q11.</w:t>
      </w:r>
    </w:p>
    <w:p w:rsidR="00D26124" w:rsidRDefault="00D26124">
      <w:r>
        <w:t>The prescribed limits for alcohol are:</w:t>
      </w:r>
    </w:p>
    <w:p w:rsidR="00D26124" w:rsidRDefault="00D26124">
      <w:r>
        <w:t>35 micrograms of alcohol per 100ml of breath</w:t>
      </w:r>
    </w:p>
    <w:p w:rsidR="00D26124" w:rsidRDefault="00D26124">
      <w:r>
        <w:t>80 milligrams of alcohol per 100ml of blood</w:t>
      </w:r>
    </w:p>
    <w:p w:rsidR="00D26124" w:rsidRDefault="00D26124">
      <w:r>
        <w:t>107 milligrams of alcohol per 100ml of urine</w:t>
      </w:r>
    </w:p>
    <w:p w:rsidR="00D26124" w:rsidRDefault="00D26124">
      <w:r>
        <w:t>The prescribed limits for drugs are:</w:t>
      </w:r>
    </w:p>
    <w:p w:rsidR="00D26124" w:rsidRDefault="00D26124">
      <w:r>
        <w:t>2 micrograms of cocaine in 100ml of blood</w:t>
      </w:r>
    </w:p>
    <w:p w:rsidR="00D26124" w:rsidRDefault="00D26124">
      <w:r>
        <w:t xml:space="preserve">10 micrograms of THC/cannabis in 100ml of blood </w:t>
      </w:r>
    </w:p>
    <w:p w:rsidR="00FC6759" w:rsidRDefault="00FC6759"/>
    <w:p w:rsidR="00FC6759" w:rsidRDefault="00FC6759">
      <w:r>
        <w:t>Q12.</w:t>
      </w:r>
    </w:p>
    <w:p w:rsidR="00FC6759" w:rsidRDefault="00FC6759">
      <w:r>
        <w:t>The other relevant people who could be present in a suspect interview aside from the interviewer(s) and suspect are solicitors, interpreters and appropriate adults. Solicitors are present in order to give their client legal advice which they are entitled to. The solicitor may not answer any questions, but may speak on behalf of their client if they believe there is an issue with any aspect of the interview such as questioning styles. Their main responsibility is to safeguard their client’s legal rights within the interview. Interpreters can be used in interviews where the suspect’s first language is not English, in order to facilitate communication between the suspect and interviewer and ensure that each party has no disadvantage to understanding the other because of a language difference, which prevents barriers in an overall investigation. Finally appropriate adults can be present when a suspect has a physical or mental disability which affects their ability to communicate</w:t>
      </w:r>
      <w:r w:rsidR="008B3ED0">
        <w:t>, or is a child or other vulnerable person</w:t>
      </w:r>
      <w:r>
        <w:t xml:space="preserve">. The role of the appropriate adult is to facilitate communication and help the suspect understand questions put to them, but they should not answer any questions on behalf of the suspect. </w:t>
      </w:r>
    </w:p>
    <w:p w:rsidR="00FC6759" w:rsidRDefault="00FC6759">
      <w:r>
        <w:t>Q13.</w:t>
      </w:r>
    </w:p>
    <w:p w:rsidR="00FC6759" w:rsidRDefault="00FC6759">
      <w:r>
        <w:t>The national police interviewing police is PEACE.</w:t>
      </w:r>
    </w:p>
    <w:p w:rsidR="00FC6759" w:rsidRDefault="00FC6759">
      <w:r>
        <w:t>The first stage of Peace is to Plan and Prepare for the interview. In both suspect and witness interviews this can include organising a time and place for the interview, looking over all of the facts/evidence already known in the case, planning topics or questions which you will want to put to the interviewee and looking at occurrence or Niche/PNC information on the person you are interviewing. This could also include legal briefs with solicitors.</w:t>
      </w:r>
    </w:p>
    <w:p w:rsidR="00FC6759" w:rsidRDefault="00FC6759">
      <w:r>
        <w:t xml:space="preserve">The second stage is Engage and Explain. This is where the interviewer builds rapport with </w:t>
      </w:r>
      <w:r w:rsidR="008B3ED0">
        <w:t xml:space="preserve">the </w:t>
      </w:r>
      <w:r>
        <w:t xml:space="preserve">interviewee first off, and then explains the process of the interview, and if necessary the next steps (such as going to court for witnesses), gives the interviewee the opportunity to ask any questions or </w:t>
      </w:r>
      <w:r>
        <w:lastRenderedPageBreak/>
        <w:t>clarify. In suspect interviews this is the stage where the interviewer will read the force’s legal memo card to the suspect, including cautioning them and ensuring they understand the caution.</w:t>
      </w:r>
    </w:p>
    <w:p w:rsidR="00FC6759" w:rsidRDefault="00FC6759">
      <w:r>
        <w:t>The third stage is Account, where the interviewer will gather a full account from the witness or suspect of what has happened. This is the opportunity for the interviewer to ask questions and clarify details, and also challenge suspects’ accounts based on evidence they may have collected beforehand.</w:t>
      </w:r>
    </w:p>
    <w:p w:rsidR="00FC6759" w:rsidRDefault="00FC6759">
      <w:r>
        <w:t>The fourth stage is Closure, where the interviewer will summarise everything that has been said by the interviewee and this is an opportunity for them to add anything final that they wish to or ask any questions. The interviewer may then explain the next steps again and the interview concludes.</w:t>
      </w:r>
    </w:p>
    <w:p w:rsidR="00FC6759" w:rsidRDefault="00FC6759">
      <w:r>
        <w:t>The final step is Evaluation, where you would look at both the investigation as a whole and how the new information may impact it, what else needs to be done and where you would go from here. You would also evaluate your own performance and identify any areas that may need to be done differently going into your next interview.</w:t>
      </w:r>
    </w:p>
    <w:p w:rsidR="00FC6759" w:rsidRDefault="00FC6759"/>
    <w:p w:rsidR="00FC6759" w:rsidRDefault="00FC6759">
      <w:r>
        <w:t>Q14.</w:t>
      </w:r>
    </w:p>
    <w:p w:rsidR="00FC6759" w:rsidRDefault="00FC6759">
      <w:r>
        <w:t xml:space="preserve">A person (A) commits an offence if they repeatedly or continuously use behaviour towards another person (B) which is controlling or coercive, and at the time A and B are both personally connected and the behaviour has a serious effect on B and A knows, or ought to know that their behaviour has a serious effect </w:t>
      </w:r>
      <w:r w:rsidR="00A82700">
        <w:t>on them, contrary to Section 76 of the Serious Crime Act 2015</w:t>
      </w:r>
    </w:p>
    <w:p w:rsidR="00D26124" w:rsidRDefault="00D26124"/>
    <w:p w:rsidR="00FC6759" w:rsidRDefault="00FC6759">
      <w:r w:rsidRPr="00A82700">
        <w:t>Q15.</w:t>
      </w:r>
    </w:p>
    <w:p w:rsidR="00A82700" w:rsidRDefault="00A82700">
      <w:r>
        <w:t xml:space="preserve">It is important to have a new offence of Coercive Control firstly because a lot of victims of coercive control may not even realise that they are victims because there is not necessarily any physical violence involved in their abuse, which is what domestic abuse is commonly understood to be. Often it will be a lot harder for a person to recognise indicators of abuse through coercive control because of the nature of the psychological abuse involved, so defining it separately can help both victims and the police to recognise the abuse. Although the Domestic Abuse Act 2021 has now included coercive and controlling in the definition, it is important to have a separate offence also because sometimes coercive control could escalate to physical violence or other forms of domestic abuse, therefore it is useful to have an offence to charge with in order to safeguard the victim before an escalation occurs. </w:t>
      </w:r>
    </w:p>
    <w:p w:rsidR="00FC6759" w:rsidRDefault="00FC6759"/>
    <w:p w:rsidR="00FC6759" w:rsidRDefault="00FC6759">
      <w:r>
        <w:t>Q16.</w:t>
      </w:r>
    </w:p>
    <w:p w:rsidR="00FC6759" w:rsidRDefault="00FC6759">
      <w:r>
        <w:t xml:space="preserve">If a constable in uniform has reasonable grounds to believe that a child would otherwise suffer significant harm, they may remove that child to a suitable accommodation for their safety, or take steps that are reasonable to ensure that the child’s removal from a hospital or other place in which they are being accommodated at that time, is prevented. A child cannot be kept in police custody for more than 72 hours </w:t>
      </w:r>
      <w:r w:rsidR="00B16101">
        <w:t xml:space="preserve">so the constable should use this time to arrange a safeguarding strategy with other agencies such as health and social services. A police station is not considered a suitable accommodation and the constable should avoid bringing the child to a station unless absolutely necessary. </w:t>
      </w:r>
    </w:p>
    <w:p w:rsidR="00B16101" w:rsidRDefault="00B16101"/>
    <w:p w:rsidR="00B16101" w:rsidRDefault="00B16101">
      <w:r>
        <w:t>Q17.</w:t>
      </w:r>
    </w:p>
    <w:p w:rsidR="00B16101" w:rsidRDefault="00B16101">
      <w:r>
        <w:t>A person over the age of 16 is guilty of an offence if, having responsibility for a child under 16, they wilfully assault, ill-treat, neglect, abandon or expose the child in a way which is likely to cause unnecessary suffering or injury to that person, contrary to Section 1 of the Children and Young Persons Act 1933</w:t>
      </w:r>
    </w:p>
    <w:p w:rsidR="00B16101" w:rsidRDefault="00B16101"/>
    <w:p w:rsidR="00B16101" w:rsidRDefault="00B16101">
      <w:r w:rsidRPr="00A82700">
        <w:t>Q18.</w:t>
      </w:r>
    </w:p>
    <w:p w:rsidR="00A82700" w:rsidRDefault="00A82700">
      <w:r>
        <w:t xml:space="preserve">The DASH model is a risk identification, assessment and management model that is used when dealing with domestic abuse, stalking and harassment cases, including honour-based abuse. It involves a series of questions that are given to the victims in these cases, and dependant on the answers the victim will be categorised as standard, medium or high risk. </w:t>
      </w:r>
      <w:r w:rsidR="0074509C">
        <w:t xml:space="preserve">The model also facilitates the sharing of information between the police and other agencies such as social services, health, probation and IDVA (independent domestic violence advocates) in order to offer support to the victims. All high risk cases must also be reported to MARAC, which is the multi-agency risk assessment conference where these agencies meet every 2 weeks to discuss these cases and put plans in place in order to safeguard the victims of all DASH offences. The DASH process absolutely must be used in every case of domestic abuse in order to assess the risk of the victim and allow all appropriate actions to be taken by all agencies. </w:t>
      </w:r>
    </w:p>
    <w:p w:rsidR="00B16101" w:rsidRDefault="00B16101"/>
    <w:p w:rsidR="00B16101" w:rsidRDefault="00B16101">
      <w:r w:rsidRPr="0074509C">
        <w:t>Q19.</w:t>
      </w:r>
    </w:p>
    <w:p w:rsidR="0074509C" w:rsidRDefault="0074509C">
      <w:r>
        <w:t xml:space="preserve">A Public Protection Notice is used in all DASH cases, and also child or vulnerable victims, honour-based abuse, forced marriage and FGM cases, and adults at risk. This could be done on both the victims and perpetrators of offences. It involves 29 questions which are specific to the type of incident that has occurred, and the answers of which allow us to calculate whether the person is low, medium or high risk. Once the PPN has been submitted it will be referred to the Public Protection Unit (PPU) who will assess the person and situation and decide what further actions need to be taken in terms of safeguarding. This will then include relaying information between agencies such as social services, probation, health and MARAC if necessary. </w:t>
      </w:r>
    </w:p>
    <w:p w:rsidR="00B16101" w:rsidRDefault="00B16101"/>
    <w:p w:rsidR="00B16101" w:rsidRDefault="00B16101">
      <w:r w:rsidRPr="0074509C">
        <w:t>Q20.</w:t>
      </w:r>
    </w:p>
    <w:p w:rsidR="0074509C" w:rsidRDefault="0074509C">
      <w:r>
        <w:t xml:space="preserve">Under the Criminal Justice and Security Act, A Domestic Violence Protection Notice (DVPN) can be applied for by an officer even if the victim does not ask for it, this is known as a victimless process. This is helpful due to the nature of domestic violence, where a victim needs a “breathing space” in order to consider their options going forward. A DVPN is applied for by the officer and must be done within 24 hours of the arrest. It is not possible to keep a suspect in custody in order to apply for a DVPN so it is vital this is done as soon as possible to keep the victim safe. Whilst the DVPN is in place it creates prohibitions on the perpetrator to not have contact with the victim. In case where the perpetrator and victim live in the same household this can require the suspect to leave the premises and do not return, prevent them contacting the victim, prevent them from evicting the victim from the house if they are the owner/tenant, and stop them from coming within a certain distance of the property. During this time the victim is given support from the force and other domestic abuse </w:t>
      </w:r>
      <w:r>
        <w:lastRenderedPageBreak/>
        <w:t xml:space="preserve">charities in order to find a solution to the issue and hopefully encourage them to leave the situation or relationship if they are a victim of domestic abuse. </w:t>
      </w:r>
    </w:p>
    <w:p w:rsidR="0074509C" w:rsidRDefault="0074509C">
      <w:r>
        <w:t xml:space="preserve">The DVPN must then be heard by a Magistrate within 48 hours, who can then impose a Domestic Violence Protection Order (DVPO) which imposes sanctions on the same suspect for a period of 14 to 28 days. These sanctions will be similar to the DVPN with the aim of stopping the suspect from contacting or further harming the victim. The DVPO also comes with a power for a constable to arrest the suspect if they are in breach of the order, and the suspect will then be dealt with for being in contempt of a court order under the Magistrates Act. </w:t>
      </w:r>
    </w:p>
    <w:p w:rsidR="0074509C" w:rsidRDefault="0074509C"/>
    <w:p w:rsidR="00B16101" w:rsidRDefault="00B16101">
      <w:r>
        <w:t>Q21.</w:t>
      </w:r>
    </w:p>
    <w:p w:rsidR="00B16101" w:rsidRDefault="00B16101">
      <w:r>
        <w:t>Child Sexual Exploitation is a form of child sexual abuse where an individual or group takes advantage of an imbalance of power in order to coerce, manipulate or deceive a child or young person under the age of 18 into a sexual activity, in exchange for something that the victim wants or needs and/or for the financial advantage or increased status of the perpetrator or facilitator. A person may be exploited even if the act appears to be consensual, and the exploitation does not have to include physical contact as it may be carried out through the means of technology.</w:t>
      </w:r>
    </w:p>
    <w:p w:rsidR="00B16101" w:rsidRDefault="00B16101"/>
    <w:p w:rsidR="00B16101" w:rsidRDefault="00B16101">
      <w:r>
        <w:t>Q22.</w:t>
      </w:r>
    </w:p>
    <w:p w:rsidR="00B16101" w:rsidRDefault="00B16101">
      <w:r>
        <w:t xml:space="preserve">Sarah’s Law may be applied for by any person with safeguarding concerns for a child. The inquiry must be made about a specific person and in relation to a specific child or children who the person has contact or a relationship with. A request for information about a person who is not in contact with any specific children cannot be made. Although the request can be made by anyone on behalf of the child, the information disclosed will be made to whoever the force decides is most appropriate in relation to safeguarding the child. During the process of evidence gathering the reporting person will be given information on how to best safeguard the child in question. Within 10 days a further investigation will be made, and having weighed up all the evidence a final decision will be made about disclosure. Even if information is decided not to be disclosed to the reporting person or family of the child, if the police believe there are any safeguarding concerns for that child they will always act accordingly as the first priority. </w:t>
      </w:r>
    </w:p>
    <w:p w:rsidR="00B16101" w:rsidRDefault="00B16101"/>
    <w:p w:rsidR="00B16101" w:rsidRDefault="00B16101">
      <w:r>
        <w:t>Q23.</w:t>
      </w:r>
    </w:p>
    <w:p w:rsidR="00B16101" w:rsidRDefault="00B16101">
      <w:r>
        <w:t>75 (a)</w:t>
      </w:r>
    </w:p>
    <w:p w:rsidR="00B16101" w:rsidRDefault="00B16101">
      <w:r>
        <w:t>It is proven in the proceedings that the defendant did the relevant act, and at the time one or more of the specified circumstances existed, and the defendant knew that they existed.</w:t>
      </w:r>
    </w:p>
    <w:p w:rsidR="00B16101" w:rsidRDefault="00B16101">
      <w:r>
        <w:t>75(b)</w:t>
      </w:r>
    </w:p>
    <w:p w:rsidR="00B16101" w:rsidRDefault="00B16101">
      <w:r>
        <w:t>The specified circumstances are as follows:</w:t>
      </w:r>
    </w:p>
    <w:p w:rsidR="00B16101" w:rsidRDefault="00B16101">
      <w:r>
        <w:t>The victim was unlawfully detained by the defendant at the time</w:t>
      </w:r>
      <w:r w:rsidR="008B3ED0">
        <w:t xml:space="preserve"> of the act</w:t>
      </w:r>
    </w:p>
    <w:p w:rsidR="00B16101" w:rsidRDefault="00B16101">
      <w:r>
        <w:t>The victim</w:t>
      </w:r>
      <w:bookmarkStart w:id="0" w:name="_GoBack"/>
      <w:bookmarkEnd w:id="0"/>
      <w:r>
        <w:t xml:space="preserve"> was in fear of violence being used by the defendant either towards themselves or any other person including the victim</w:t>
      </w:r>
    </w:p>
    <w:p w:rsidR="00B16101" w:rsidRDefault="00B16101">
      <w:r>
        <w:lastRenderedPageBreak/>
        <w:t>The victim was sleeping or otherwise unconscious at the time the act was done</w:t>
      </w:r>
    </w:p>
    <w:p w:rsidR="00B16101" w:rsidRDefault="00B16101">
      <w:r>
        <w:t xml:space="preserve">The victim was unable to consent due to a physical disability </w:t>
      </w:r>
    </w:p>
    <w:p w:rsidR="00B16101" w:rsidRDefault="00B16101">
      <w:r>
        <w:t>The victim was unable to consent at the time the act was done as they were under the influence of a drug or alcohol</w:t>
      </w:r>
    </w:p>
    <w:p w:rsidR="00B16101" w:rsidRDefault="00B16101"/>
    <w:p w:rsidR="00B16101" w:rsidRPr="0074509C" w:rsidRDefault="00B16101">
      <w:r w:rsidRPr="0074509C">
        <w:t>Q24.</w:t>
      </w:r>
    </w:p>
    <w:p w:rsidR="0074509C" w:rsidRPr="0074509C" w:rsidRDefault="0074509C">
      <w:r w:rsidRPr="0074509C">
        <w:t>The overriding objectives are:</w:t>
      </w:r>
    </w:p>
    <w:p w:rsidR="0074509C" w:rsidRDefault="0074509C">
      <w:r w:rsidRPr="0074509C">
        <w:t>All</w:t>
      </w:r>
      <w:r>
        <w:t xml:space="preserve"> defendants’ right to a fair trial is upheld</w:t>
      </w:r>
    </w:p>
    <w:p w:rsidR="0074509C" w:rsidRDefault="0074509C">
      <w:r>
        <w:t>The evidence is viewed impartially and outcomes are free from bias</w:t>
      </w:r>
    </w:p>
    <w:p w:rsidR="0074509C" w:rsidRDefault="0074509C">
      <w:r>
        <w:t>Reduce the number of wrongful convictions by allowing fair, unbiased trials</w:t>
      </w:r>
    </w:p>
    <w:p w:rsidR="0074509C" w:rsidRDefault="0074509C">
      <w:r>
        <w:t>Allow all defendants to have appropriate legal guidance they are entitled to</w:t>
      </w:r>
    </w:p>
    <w:p w:rsidR="0074509C" w:rsidRDefault="0074509C">
      <w:r>
        <w:t xml:space="preserve">Judges and Juries are impartial and objectively consider cases and evidence </w:t>
      </w:r>
    </w:p>
    <w:p w:rsidR="00B16101" w:rsidRDefault="00B16101"/>
    <w:p w:rsidR="00B16101" w:rsidRDefault="00B16101">
      <w:r>
        <w:t>Q25.</w:t>
      </w:r>
    </w:p>
    <w:p w:rsidR="00B16101" w:rsidRDefault="00B16101">
      <w:r>
        <w:t xml:space="preserve">The Full Code Test is done in two stages. The first stage is called the Evidential Stage. If the case does not pass this first stage then it should not be continued in any circumstance. This stage is passed if the prosecution has acquired enough evidence to get a clear indication of guilt on all charges. The second stage is the Public Interest stage. Here it is decided if the severity and circumstances of the case mean that it is in the public interest to convict. Considerations in this stage is how high profile the case is, community impacts and public perceptions. </w:t>
      </w:r>
    </w:p>
    <w:p w:rsidR="00B16101" w:rsidRDefault="00B16101"/>
    <w:p w:rsidR="00B16101" w:rsidRDefault="00B16101"/>
    <w:p w:rsidR="00FC6759" w:rsidRDefault="00FC6759"/>
    <w:p w:rsidR="00D26124" w:rsidRDefault="00D26124"/>
    <w:sectPr w:rsidR="00D26124" w:rsidSect="000F786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379F" w:rsidRDefault="0064379F" w:rsidP="000F786C">
      <w:pPr>
        <w:spacing w:after="0" w:line="240" w:lineRule="auto"/>
      </w:pPr>
      <w:r>
        <w:separator/>
      </w:r>
    </w:p>
  </w:endnote>
  <w:endnote w:type="continuationSeparator" w:id="0">
    <w:p w:rsidR="0064379F" w:rsidRDefault="0064379F" w:rsidP="000F7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79F" w:rsidRDefault="007E75CC" w:rsidP="007E75CC">
    <w:pPr>
      <w:pStyle w:val="Footer"/>
      <w:rPr>
        <w:color w:val="000000"/>
        <w:sz w:val="17"/>
      </w:rPr>
    </w:pPr>
    <w:bookmarkStart w:id="3" w:name="TITUS1FooterEvenPages"/>
    <w:r>
      <w:rPr>
        <w:color w:val="000000"/>
        <w:sz w:val="17"/>
      </w:rPr>
      <w:t> </w:t>
    </w:r>
  </w:p>
  <w:bookmarkEnd w:id="3"/>
  <w:p w:rsidR="0064379F" w:rsidRDefault="0064379F" w:rsidP="00EB76BC">
    <w:pPr>
      <w:pStyle w:val="Footer"/>
    </w:pPr>
  </w:p>
  <w:p w:rsidR="0064379F" w:rsidRDefault="006437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79F" w:rsidRDefault="007E75CC" w:rsidP="007E75CC">
    <w:pPr>
      <w:pStyle w:val="Footer"/>
      <w:rPr>
        <w:color w:val="000000"/>
        <w:sz w:val="17"/>
      </w:rPr>
    </w:pPr>
    <w:bookmarkStart w:id="4" w:name="TITUS1FooterPrimary"/>
    <w:r>
      <w:rPr>
        <w:color w:val="000000"/>
        <w:sz w:val="17"/>
      </w:rPr>
      <w:t> </w:t>
    </w:r>
  </w:p>
  <w:bookmarkEnd w:id="4"/>
  <w:p w:rsidR="0064379F" w:rsidRDefault="006437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79F" w:rsidRDefault="007E75CC" w:rsidP="007E75CC">
    <w:pPr>
      <w:pStyle w:val="Footer"/>
      <w:rPr>
        <w:color w:val="000000"/>
        <w:sz w:val="17"/>
      </w:rPr>
    </w:pPr>
    <w:bookmarkStart w:id="6" w:name="TITUS1FooterFirstPage"/>
    <w:r>
      <w:rPr>
        <w:color w:val="000000"/>
        <w:sz w:val="17"/>
      </w:rPr>
      <w:t> </w:t>
    </w:r>
  </w:p>
  <w:bookmarkEnd w:id="6"/>
  <w:p w:rsidR="0064379F" w:rsidRDefault="0064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379F" w:rsidRDefault="0064379F" w:rsidP="000F786C">
      <w:pPr>
        <w:spacing w:after="0" w:line="240" w:lineRule="auto"/>
      </w:pPr>
      <w:r>
        <w:separator/>
      </w:r>
    </w:p>
  </w:footnote>
  <w:footnote w:type="continuationSeparator" w:id="0">
    <w:p w:rsidR="0064379F" w:rsidRDefault="0064379F" w:rsidP="000F78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79F" w:rsidRDefault="007E75CC" w:rsidP="007E75CC">
    <w:pPr>
      <w:pStyle w:val="Header"/>
      <w:rPr>
        <w:color w:val="000000"/>
        <w:sz w:val="17"/>
      </w:rPr>
    </w:pPr>
    <w:bookmarkStart w:id="1" w:name="TITUS1HeaderEvenPages"/>
    <w:r>
      <w:rPr>
        <w:color w:val="000000"/>
        <w:sz w:val="17"/>
      </w:rPr>
      <w:t> </w:t>
    </w:r>
  </w:p>
  <w:bookmarkEnd w:id="1"/>
  <w:p w:rsidR="0064379F" w:rsidRDefault="0064379F" w:rsidP="00EB76BC">
    <w:pPr>
      <w:pStyle w:val="Header"/>
    </w:pPr>
  </w:p>
  <w:p w:rsidR="0064379F" w:rsidRDefault="006437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79F" w:rsidRDefault="007E75CC" w:rsidP="007E75CC">
    <w:pPr>
      <w:pStyle w:val="Header"/>
      <w:rPr>
        <w:color w:val="000000"/>
        <w:sz w:val="17"/>
      </w:rPr>
    </w:pPr>
    <w:bookmarkStart w:id="2" w:name="TITUS1HeaderPrimary"/>
    <w:r>
      <w:rPr>
        <w:color w:val="000000"/>
        <w:sz w:val="17"/>
      </w:rPr>
      <w:t> </w:t>
    </w:r>
  </w:p>
  <w:bookmarkEnd w:id="2"/>
  <w:p w:rsidR="0064379F" w:rsidRDefault="006437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79F" w:rsidRDefault="007E75CC" w:rsidP="007E75CC">
    <w:pPr>
      <w:pStyle w:val="Header"/>
      <w:rPr>
        <w:color w:val="000000"/>
        <w:sz w:val="17"/>
      </w:rPr>
    </w:pPr>
    <w:bookmarkStart w:id="5" w:name="TITUS1HeaderFirstPage"/>
    <w:r>
      <w:rPr>
        <w:color w:val="000000"/>
        <w:sz w:val="17"/>
      </w:rPr>
      <w:t> </w:t>
    </w:r>
  </w:p>
  <w:bookmarkEnd w:id="5"/>
  <w:p w:rsidR="0064379F" w:rsidRDefault="006437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86C"/>
    <w:rsid w:val="000F786C"/>
    <w:rsid w:val="003D27BF"/>
    <w:rsid w:val="0064379F"/>
    <w:rsid w:val="0074509C"/>
    <w:rsid w:val="007909B1"/>
    <w:rsid w:val="007E75CC"/>
    <w:rsid w:val="008B3ED0"/>
    <w:rsid w:val="0097719A"/>
    <w:rsid w:val="00A82700"/>
    <w:rsid w:val="00B16101"/>
    <w:rsid w:val="00D26124"/>
    <w:rsid w:val="00EB76BC"/>
    <w:rsid w:val="00FC6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B4BE5"/>
  <w15:chartTrackingRefBased/>
  <w15:docId w15:val="{3169F4ED-7FBB-41C3-B768-C5205FD56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8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86C"/>
  </w:style>
  <w:style w:type="paragraph" w:styleId="Footer">
    <w:name w:val="footer"/>
    <w:basedOn w:val="Normal"/>
    <w:link w:val="FooterChar"/>
    <w:uiPriority w:val="99"/>
    <w:unhideWhenUsed/>
    <w:rsid w:val="000F78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7</Pages>
  <Words>2611</Words>
  <Characters>14886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Williams,Lauren swp6932</dc:creator>
  <cp:keywords/>
  <dc:description/>
  <cp:lastModifiedBy>Williams,Lauren swp6932</cp:lastModifiedBy>
  <cp:revision>8</cp:revision>
  <dcterms:created xsi:type="dcterms:W3CDTF">2021-08-23T10:40:00Z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e65cbcdb-f185-4af1-8d4c-036775de165e</vt:lpwstr>
  </property>
  <property fmtid="{D5CDD505-2E9C-101B-9397-08002B2CF9AE}" pid="3" name="Classification">
    <vt:lpwstr>OFFICIAL</vt:lpwstr>
  </property>
  <property fmtid="{D5CDD505-2E9C-101B-9397-08002B2CF9AE}" pid="4" name="Visibility">
    <vt:lpwstr>NOT VISIBLE</vt:lpwstr>
  </property>
</Properties>
</file>