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DC7AE0" w:rsidP="3AF73875" w:rsidRDefault="00DC7AE0" w14:paraId="12559907" w14:textId="69A69632">
      <w:pPr>
        <w:pStyle w:val="Normal"/>
      </w:pPr>
      <w:r w:rsidR="3AF73875">
        <w:drawing>
          <wp:anchor distT="0" distB="0" distL="114300" distR="114300" simplePos="0" relativeHeight="251658240" behindDoc="0" locked="0" layoutInCell="1" allowOverlap="1" wp14:editId="1D716B53" wp14:anchorId="4E5EB41F">
            <wp:simplePos x="0" y="0"/>
            <wp:positionH relativeFrom="column">
              <wp:align>left</wp:align>
            </wp:positionH>
            <wp:positionV relativeFrom="paragraph">
              <wp:posOffset>0</wp:posOffset>
            </wp:positionV>
            <wp:extent cx="4339467" cy="1844040"/>
            <wp:effectExtent l="0" t="0" r="0" b="0"/>
            <wp:wrapNone/>
            <wp:docPr id="1161551951"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Id8">
                      <a:extLst>
                        <a:ext uri="{28A0092B-C50C-407E-A947-70E740481C1C}">
                          <a14:useLocalDpi xmlns:a14="http://schemas.microsoft.com/office/drawing/2010/main"/>
                        </a:ext>
                      </a:extLst>
                    </a:blip>
                    <a:srcRect/>
                    <a:stretch>
                      <a:fillRect/>
                    </a:stretch>
                  </pic:blipFill>
                  <pic:spPr bwMode="auto">
                    <a:xfrm rot="0">
                      <a:off x="0" y="0"/>
                      <a:ext cx="4339467" cy="1844040"/>
                    </a:xfrm>
                    <a:prstGeom prst="rect">
                      <a:avLst/>
                    </a:prstGeom>
                    <a:noFill/>
                    <a:ln>
                      <a:noFill/>
                    </a:ln>
                  </pic:spPr>
                </pic:pic>
              </a:graphicData>
            </a:graphic>
            <wp14:sizeRelH relativeFrom="page">
              <wp14:pctWidth>0</wp14:pctWidth>
            </wp14:sizeRelH>
            <wp14:sizeRelV relativeFrom="page">
              <wp14:pctHeight>0</wp14:pctHeight>
            </wp14:sizeRelV>
          </wp:anchor>
        </w:drawing>
      </w:r>
    </w:p>
    <w:p w:rsidR="3AF73875" w:rsidP="3AF73875" w:rsidRDefault="3AF73875" w14:paraId="4C0B1405" w14:textId="1A83C8B4">
      <w:pPr>
        <w:pStyle w:val="Normal"/>
      </w:pPr>
    </w:p>
    <w:p w:rsidR="3AF73875" w:rsidP="3AF73875" w:rsidRDefault="3AF73875" w14:paraId="7C6A24C0" w14:textId="034C89A3">
      <w:pPr>
        <w:pStyle w:val="Normal"/>
      </w:pPr>
    </w:p>
    <w:p w:rsidR="3AF73875" w:rsidP="3AF73875" w:rsidRDefault="3AF73875" w14:paraId="6D2FBFB2" w14:textId="705263AF">
      <w:pPr>
        <w:pStyle w:val="Normal"/>
      </w:pPr>
    </w:p>
    <w:p w:rsidR="3AF73875" w:rsidP="3AF73875" w:rsidRDefault="3AF73875" w14:paraId="410F8890" w14:textId="3B5E4EDF">
      <w:pPr>
        <w:pStyle w:val="Normal"/>
      </w:pPr>
    </w:p>
    <w:p w:rsidR="3AF73875" w:rsidP="3AF73875" w:rsidRDefault="3AF73875" w14:paraId="04402005" w14:textId="121E0C5E">
      <w:pPr>
        <w:pStyle w:val="Normal"/>
      </w:pPr>
    </w:p>
    <w:tbl>
      <w:tblPr>
        <w:tblpPr w:leftFromText="180" w:rightFromText="180" w:vertAnchor="page" w:horzAnchor="margin" w:tblpY="5401"/>
        <w:tblW w:w="953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164"/>
        <w:gridCol w:w="7366"/>
      </w:tblGrid>
      <w:tr w:rsidRPr="005C1E65" w:rsidR="00E85961" w:rsidTr="3AF73875" w14:paraId="5ECEE771" w14:textId="77777777">
        <w:trPr>
          <w:trHeight w:val="198"/>
        </w:trPr>
        <w:tc>
          <w:tcPr>
            <w:tcW w:w="2164" w:type="dxa"/>
            <w:tcBorders>
              <w:top w:val="single" w:color="auto" w:sz="18" w:space="0"/>
              <w:left w:val="single" w:color="auto" w:sz="18" w:space="0"/>
              <w:bottom w:val="single" w:color="auto" w:sz="6" w:space="0"/>
              <w:right w:val="single" w:color="auto" w:sz="6" w:space="0"/>
            </w:tcBorders>
            <w:tcMar/>
            <w:hideMark/>
          </w:tcPr>
          <w:p w:rsidRPr="005C1E65" w:rsidR="00E85961" w:rsidP="00E85961" w:rsidRDefault="00E85961" w14:paraId="5ED23873" w14:textId="77777777">
            <w:r w:rsidRPr="005C1E65">
              <w:rPr>
                <w:b/>
                <w:bCs/>
              </w:rPr>
              <w:t>Student Name:</w:t>
            </w:r>
          </w:p>
        </w:tc>
        <w:tc>
          <w:tcPr>
            <w:tcW w:w="7366" w:type="dxa"/>
            <w:tcBorders>
              <w:top w:val="single" w:color="auto" w:sz="18" w:space="0"/>
              <w:left w:val="single" w:color="auto" w:sz="6" w:space="0"/>
              <w:bottom w:val="single" w:color="auto" w:sz="6" w:space="0"/>
              <w:right w:val="single" w:color="auto" w:sz="18" w:space="0"/>
            </w:tcBorders>
            <w:tcMar/>
            <w:hideMark/>
          </w:tcPr>
          <w:p w:rsidRPr="005C1E65" w:rsidR="00E85961" w:rsidP="00E85961" w:rsidRDefault="00E85961" w14:paraId="41CC89CA" w14:textId="77777777">
            <w:r w:rsidRPr="005C1E65">
              <w:t>Haris Khan</w:t>
            </w:r>
          </w:p>
        </w:tc>
      </w:tr>
      <w:tr w:rsidRPr="005C1E65" w:rsidR="00E85961" w:rsidTr="3AF73875" w14:paraId="2750B16F" w14:textId="77777777">
        <w:trPr>
          <w:trHeight w:val="361"/>
        </w:trPr>
        <w:tc>
          <w:tcPr>
            <w:tcW w:w="2164" w:type="dxa"/>
            <w:tcBorders>
              <w:top w:val="single" w:color="auto" w:sz="6" w:space="0"/>
              <w:left w:val="single" w:color="auto" w:sz="18" w:space="0"/>
              <w:bottom w:val="single" w:color="auto" w:sz="6" w:space="0"/>
              <w:right w:val="single" w:color="auto" w:sz="6" w:space="0"/>
            </w:tcBorders>
            <w:tcMar/>
            <w:hideMark/>
          </w:tcPr>
          <w:p w:rsidRPr="005C1E65" w:rsidR="00E85961" w:rsidP="00E85961" w:rsidRDefault="00E85961" w14:paraId="4291CAD1" w14:textId="77777777">
            <w:r w:rsidRPr="005C1E65">
              <w:rPr>
                <w:b/>
                <w:bCs/>
              </w:rPr>
              <w:t>Student ID Number:</w:t>
            </w:r>
            <w:r w:rsidRPr="005C1E65">
              <w:t> </w:t>
            </w:r>
          </w:p>
        </w:tc>
        <w:tc>
          <w:tcPr>
            <w:tcW w:w="7366" w:type="dxa"/>
            <w:tcBorders>
              <w:top w:val="single" w:color="auto" w:sz="6" w:space="0"/>
              <w:left w:val="single" w:color="auto" w:sz="6" w:space="0"/>
              <w:bottom w:val="single" w:color="auto" w:sz="6" w:space="0"/>
              <w:right w:val="single" w:color="auto" w:sz="18" w:space="0"/>
            </w:tcBorders>
            <w:tcMar/>
            <w:hideMark/>
          </w:tcPr>
          <w:p w:rsidRPr="005C1E65" w:rsidR="00E85961" w:rsidP="00E85961" w:rsidRDefault="00E85961" w14:paraId="6E1E9BEC" w14:textId="77777777">
            <w:r w:rsidRPr="005C1E65">
              <w:t>2525297 </w:t>
            </w:r>
          </w:p>
        </w:tc>
      </w:tr>
      <w:tr w:rsidRPr="005C1E65" w:rsidR="00E85961" w:rsidTr="3AF73875" w14:paraId="1FD55259" w14:textId="77777777">
        <w:trPr>
          <w:trHeight w:val="361"/>
        </w:trPr>
        <w:tc>
          <w:tcPr>
            <w:tcW w:w="2164" w:type="dxa"/>
            <w:tcBorders>
              <w:top w:val="single" w:color="auto" w:sz="6" w:space="0"/>
              <w:left w:val="single" w:color="auto" w:sz="18" w:space="0"/>
              <w:bottom w:val="single" w:color="auto" w:sz="6" w:space="0"/>
              <w:right w:val="single" w:color="auto" w:sz="6" w:space="0"/>
            </w:tcBorders>
            <w:tcMar/>
            <w:hideMark/>
          </w:tcPr>
          <w:p w:rsidRPr="005C1E65" w:rsidR="00E85961" w:rsidP="00E85961" w:rsidRDefault="00E85961" w14:paraId="5DB3BD2C" w14:textId="77777777">
            <w:r w:rsidRPr="005C1E65">
              <w:rPr>
                <w:b/>
                <w:bCs/>
              </w:rPr>
              <w:t>Programme:</w:t>
            </w:r>
            <w:r w:rsidRPr="005C1E65">
              <w:t> </w:t>
            </w:r>
          </w:p>
        </w:tc>
        <w:tc>
          <w:tcPr>
            <w:tcW w:w="7366" w:type="dxa"/>
            <w:tcBorders>
              <w:top w:val="single" w:color="auto" w:sz="6" w:space="0"/>
              <w:left w:val="single" w:color="auto" w:sz="6" w:space="0"/>
              <w:bottom w:val="single" w:color="auto" w:sz="6" w:space="0"/>
              <w:right w:val="single" w:color="auto" w:sz="18" w:space="0"/>
            </w:tcBorders>
            <w:tcMar/>
            <w:hideMark/>
          </w:tcPr>
          <w:p w:rsidRPr="005C1E65" w:rsidR="00E85961" w:rsidP="00E85961" w:rsidRDefault="00E85961" w14:paraId="536D369F" w14:textId="77777777">
            <w:r w:rsidRPr="005C1E65">
              <w:t>Certificate of Higher Education Skills for the Workplace (Health and Social Care) </w:t>
            </w:r>
          </w:p>
        </w:tc>
      </w:tr>
      <w:tr w:rsidRPr="005C1E65" w:rsidR="00E85961" w:rsidTr="3AF73875" w14:paraId="492A37DB" w14:textId="77777777">
        <w:trPr>
          <w:trHeight w:val="361"/>
        </w:trPr>
        <w:tc>
          <w:tcPr>
            <w:tcW w:w="2164" w:type="dxa"/>
            <w:tcBorders>
              <w:top w:val="single" w:color="auto" w:sz="6" w:space="0"/>
              <w:left w:val="single" w:color="auto" w:sz="18" w:space="0"/>
              <w:bottom w:val="single" w:color="auto" w:sz="6" w:space="0"/>
              <w:right w:val="single" w:color="auto" w:sz="6" w:space="0"/>
            </w:tcBorders>
            <w:tcMar/>
            <w:hideMark/>
          </w:tcPr>
          <w:p w:rsidRPr="005C1E65" w:rsidR="00E85961" w:rsidP="00E85961" w:rsidRDefault="00E85961" w14:paraId="55C4D8FA" w14:textId="77777777">
            <w:r w:rsidRPr="005C1E65">
              <w:rPr>
                <w:b/>
                <w:bCs/>
              </w:rPr>
              <w:t>Module Title:</w:t>
            </w:r>
            <w:r w:rsidRPr="005C1E65">
              <w:t> </w:t>
            </w:r>
          </w:p>
        </w:tc>
        <w:tc>
          <w:tcPr>
            <w:tcW w:w="7366" w:type="dxa"/>
            <w:tcBorders>
              <w:top w:val="single" w:color="auto" w:sz="6" w:space="0"/>
              <w:left w:val="single" w:color="auto" w:sz="6" w:space="0"/>
              <w:bottom w:val="single" w:color="auto" w:sz="6" w:space="0"/>
              <w:right w:val="single" w:color="auto" w:sz="18" w:space="0"/>
            </w:tcBorders>
            <w:tcMar/>
            <w:hideMark/>
          </w:tcPr>
          <w:p w:rsidRPr="005C1E65" w:rsidR="00E85961" w:rsidP="3AF73875" w:rsidRDefault="00E85961" w14:paraId="7BC4D4F2" w14:textId="042EEB63">
            <w:pPr>
              <w:pStyle w:val="Normal"/>
              <w:rPr>
                <w:rFonts w:ascii="Aptos" w:hAnsi="Aptos" w:eastAsia="Aptos" w:cs="Aptos"/>
                <w:noProof w:val="0"/>
                <w:sz w:val="24"/>
                <w:szCs w:val="24"/>
                <w:lang w:val="en-GB"/>
              </w:rPr>
            </w:pPr>
            <w:r w:rsidR="00E85961">
              <w:rPr/>
              <w:t xml:space="preserve">Introduction to </w:t>
            </w:r>
            <w:r w:rsidRPr="3AF73875" w:rsidR="15E26BA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Health and Social Care</w:t>
            </w:r>
          </w:p>
        </w:tc>
      </w:tr>
      <w:tr w:rsidRPr="005C1E65" w:rsidR="00E85961" w:rsidTr="3AF73875" w14:paraId="35EEEC1E" w14:textId="77777777">
        <w:trPr>
          <w:trHeight w:val="361"/>
        </w:trPr>
        <w:tc>
          <w:tcPr>
            <w:tcW w:w="2164" w:type="dxa"/>
            <w:tcBorders>
              <w:top w:val="single" w:color="auto" w:sz="6" w:space="0"/>
              <w:left w:val="single" w:color="auto" w:sz="18" w:space="0"/>
              <w:bottom w:val="single" w:color="auto" w:sz="6" w:space="0"/>
              <w:right w:val="single" w:color="auto" w:sz="6" w:space="0"/>
            </w:tcBorders>
            <w:tcMar/>
            <w:hideMark/>
          </w:tcPr>
          <w:p w:rsidRPr="005C1E65" w:rsidR="00E85961" w:rsidP="00E85961" w:rsidRDefault="00E85961" w14:paraId="73ADB4C8" w14:textId="77777777">
            <w:r w:rsidRPr="005C1E65">
              <w:rPr>
                <w:b/>
                <w:bCs/>
              </w:rPr>
              <w:t>Module Code:</w:t>
            </w:r>
            <w:r w:rsidRPr="005C1E65">
              <w:t> </w:t>
            </w:r>
          </w:p>
        </w:tc>
        <w:tc>
          <w:tcPr>
            <w:tcW w:w="7366" w:type="dxa"/>
            <w:tcBorders>
              <w:top w:val="single" w:color="auto" w:sz="6" w:space="0"/>
              <w:left w:val="single" w:color="auto" w:sz="6" w:space="0"/>
              <w:bottom w:val="single" w:color="auto" w:sz="6" w:space="0"/>
              <w:right w:val="single" w:color="auto" w:sz="18" w:space="0"/>
            </w:tcBorders>
            <w:tcMar/>
            <w:hideMark/>
          </w:tcPr>
          <w:p w:rsidRPr="005C1E65" w:rsidR="00E85961" w:rsidP="00E85961" w:rsidRDefault="00E85961" w14:paraId="69FD4FE5" w14:textId="6B5A3221">
            <w:r w:rsidR="00E85961">
              <w:rPr/>
              <w:t>LCHS400</w:t>
            </w:r>
            <w:r w:rsidR="2E3FB4DE">
              <w:rPr/>
              <w:t>3</w:t>
            </w:r>
          </w:p>
        </w:tc>
      </w:tr>
      <w:tr w:rsidRPr="005C1E65" w:rsidR="00E85961" w:rsidTr="3AF73875" w14:paraId="4DF0B7E0" w14:textId="77777777">
        <w:trPr>
          <w:trHeight w:val="361"/>
        </w:trPr>
        <w:tc>
          <w:tcPr>
            <w:tcW w:w="2164" w:type="dxa"/>
            <w:tcBorders>
              <w:top w:val="single" w:color="auto" w:sz="6" w:space="0"/>
              <w:left w:val="single" w:color="auto" w:sz="18" w:space="0"/>
              <w:bottom w:val="single" w:color="auto" w:sz="6" w:space="0"/>
              <w:right w:val="single" w:color="auto" w:sz="6" w:space="0"/>
            </w:tcBorders>
            <w:tcMar/>
            <w:hideMark/>
          </w:tcPr>
          <w:p w:rsidRPr="005C1E65" w:rsidR="00E85961" w:rsidP="00E85961" w:rsidRDefault="00E85961" w14:paraId="29E51244" w14:textId="77777777">
            <w:r w:rsidRPr="005C1E65">
              <w:rPr>
                <w:b/>
                <w:bCs/>
              </w:rPr>
              <w:t>Lecturer:</w:t>
            </w:r>
            <w:r w:rsidRPr="005C1E65">
              <w:t> </w:t>
            </w:r>
          </w:p>
        </w:tc>
        <w:tc>
          <w:tcPr>
            <w:tcW w:w="7366" w:type="dxa"/>
            <w:tcBorders>
              <w:top w:val="single" w:color="auto" w:sz="6" w:space="0"/>
              <w:left w:val="single" w:color="auto" w:sz="6" w:space="0"/>
              <w:bottom w:val="single" w:color="auto" w:sz="6" w:space="0"/>
              <w:right w:val="single" w:color="auto" w:sz="18" w:space="0"/>
            </w:tcBorders>
            <w:tcMar/>
            <w:hideMark/>
          </w:tcPr>
          <w:p w:rsidRPr="005C1E65" w:rsidR="00E85961" w:rsidP="00E85961" w:rsidRDefault="00E85961" w14:paraId="53FA8C99" w14:textId="54E0CBFE">
            <w:r w:rsidR="01861C25">
              <w:rPr/>
              <w:t xml:space="preserve"> </w:t>
            </w:r>
            <w:r w:rsidR="7E0950B3">
              <w:rPr/>
              <w:t>Dr Helen Parsons</w:t>
            </w:r>
          </w:p>
        </w:tc>
      </w:tr>
      <w:tr w:rsidRPr="005C1E65" w:rsidR="00E85961" w:rsidTr="3AF73875" w14:paraId="21F25411" w14:textId="77777777">
        <w:trPr>
          <w:trHeight w:val="361"/>
        </w:trPr>
        <w:tc>
          <w:tcPr>
            <w:tcW w:w="2164" w:type="dxa"/>
            <w:tcBorders>
              <w:top w:val="single" w:color="auto" w:sz="6" w:space="0"/>
              <w:left w:val="single" w:color="auto" w:sz="18" w:space="0"/>
              <w:bottom w:val="single" w:color="auto" w:sz="18" w:space="0"/>
              <w:right w:val="single" w:color="auto" w:sz="6" w:space="0"/>
            </w:tcBorders>
            <w:tcMar/>
            <w:hideMark/>
          </w:tcPr>
          <w:p w:rsidRPr="005C1E65" w:rsidR="00E85961" w:rsidP="00E85961" w:rsidRDefault="00E85961" w14:paraId="26CAF49A" w14:textId="77777777">
            <w:r w:rsidRPr="005C1E65">
              <w:rPr>
                <w:b/>
                <w:bCs/>
              </w:rPr>
              <w:t>Assignment Title:</w:t>
            </w:r>
            <w:r w:rsidRPr="005C1E65">
              <w:t> </w:t>
            </w:r>
          </w:p>
        </w:tc>
        <w:tc>
          <w:tcPr>
            <w:tcW w:w="7366" w:type="dxa"/>
            <w:tcBorders>
              <w:top w:val="single" w:color="auto" w:sz="6" w:space="0"/>
              <w:left w:val="single" w:color="auto" w:sz="6" w:space="0"/>
              <w:bottom w:val="single" w:color="auto" w:sz="18" w:space="0"/>
              <w:right w:val="single" w:color="auto" w:sz="18" w:space="0"/>
            </w:tcBorders>
            <w:tcMar/>
            <w:hideMark/>
          </w:tcPr>
          <w:p w:rsidRPr="005C1E65" w:rsidR="00E85961" w:rsidP="3AF73875" w:rsidRDefault="00E85961" w14:paraId="531684D2" w14:textId="5146FCAB">
            <w:pPr>
              <w:spacing w:before="120" w:after="120"/>
              <w:jc w:val="both"/>
            </w:pPr>
            <w:r w:rsidRPr="3AF73875" w:rsidR="0F9627C3">
              <w:rPr>
                <w:rFonts w:ascii="Arial" w:hAnsi="Arial" w:eastAsia="Arial" w:cs="Arial"/>
                <w:b w:val="0"/>
                <w:bCs w:val="0"/>
                <w:i w:val="0"/>
                <w:iCs w:val="0"/>
                <w:caps w:val="0"/>
                <w:smallCaps w:val="0"/>
                <w:noProof w:val="0"/>
                <w:color w:val="000000" w:themeColor="text1" w:themeTint="FF" w:themeShade="FF"/>
                <w:sz w:val="22"/>
                <w:szCs w:val="22"/>
                <w:lang w:val="en-GB"/>
              </w:rPr>
              <w:t xml:space="preserve"> Written Assignment </w:t>
            </w:r>
            <w:r w:rsidRPr="3AF73875" w:rsidR="0F9627C3">
              <w:rPr>
                <w:rFonts w:ascii="Aptos" w:hAnsi="Aptos" w:eastAsia="Aptos" w:cs="Aptos"/>
                <w:b w:val="0"/>
                <w:bCs w:val="0"/>
                <w:noProof w:val="0"/>
                <w:sz w:val="24"/>
                <w:szCs w:val="24"/>
                <w:lang w:val="en-GB"/>
              </w:rPr>
              <w:t xml:space="preserve"> </w:t>
            </w:r>
          </w:p>
        </w:tc>
      </w:tr>
    </w:tbl>
    <w:p w:rsidR="00DC7AE0" w:rsidRDefault="00DC7AE0" w14:paraId="09DC8BA7" w14:textId="77777777"/>
    <w:p w:rsidRPr="00DC7AE0" w:rsidR="00DC7AE0" w:rsidP="00DC7AE0" w:rsidRDefault="00DC7AE0" w14:paraId="2E4C6D0C" w14:textId="77777777">
      <w:pPr>
        <w:rPr>
          <w:b/>
          <w:bCs/>
          <w:sz w:val="72"/>
          <w:szCs w:val="72"/>
          <w:u w:val="single"/>
        </w:rPr>
      </w:pPr>
      <w:r w:rsidRPr="00DC7AE0">
        <w:rPr>
          <w:b/>
          <w:bCs/>
          <w:sz w:val="72"/>
          <w:szCs w:val="72"/>
          <w:u w:val="single"/>
        </w:rPr>
        <w:t>Table of Contents</w:t>
      </w:r>
    </w:p>
    <w:p w:rsidR="00DC7AE0" w:rsidP="4903AF9C" w:rsidRDefault="00DC7AE0" w14:paraId="47704157" w14:textId="3076F839">
      <w:pPr/>
      <w:r w:rsidRPr="4903AF9C" w:rsidR="00DC7AE0">
        <w:rPr>
          <w:rFonts w:ascii="Arial" w:hAnsi="Arial" w:cs="Arial"/>
        </w:rPr>
        <w:t>Introduction........................................................................</w:t>
      </w:r>
      <w:r w:rsidRPr="4903AF9C" w:rsidR="00A9198A">
        <w:rPr>
          <w:rFonts w:ascii="Arial" w:hAnsi="Arial" w:cs="Arial"/>
        </w:rPr>
        <w:t>2</w:t>
      </w:r>
    </w:p>
    <w:p w:rsidR="3AF73875" w:rsidP="4903AF9C" w:rsidRDefault="3AF73875" w14:paraId="6CF2211C" w14:textId="001E060C">
      <w:pPr/>
      <w:r w:rsidRPr="4903AF9C" w:rsidR="2A2F52B7">
        <w:rPr>
          <w:rFonts w:ascii="Arial" w:hAnsi="Arial" w:cs="Arial"/>
        </w:rPr>
        <w:t>Effective Communication................................................2-3</w:t>
      </w:r>
    </w:p>
    <w:p w:rsidR="63A11D9B" w:rsidP="4903AF9C" w:rsidRDefault="63A11D9B" w14:paraId="0872FAD6" w14:textId="5FF1E23A">
      <w:pPr>
        <w:pStyle w:val="Normal"/>
      </w:pPr>
      <w:r w:rsidRPr="4903AF9C" w:rsidR="63A11D9B">
        <w:rPr>
          <w:rFonts w:ascii="Arial" w:hAnsi="Arial" w:cs="Arial"/>
        </w:rPr>
        <w:t>Record Keeping..............................................................3-4</w:t>
      </w:r>
    </w:p>
    <w:p w:rsidR="46D4D172" w:rsidP="4903AF9C" w:rsidRDefault="46D4D172" w14:paraId="7FF915CF" w14:textId="73BB1B25">
      <w:pPr>
        <w:pStyle w:val="Normal"/>
      </w:pPr>
      <w:r w:rsidRPr="4903AF9C" w:rsidR="46D4D172">
        <w:rPr>
          <w:rFonts w:ascii="Arial" w:hAnsi="Arial" w:cs="Arial"/>
        </w:rPr>
        <w:t>Multi-Agency...................................................................</w:t>
      </w:r>
      <w:r w:rsidRPr="4903AF9C" w:rsidR="20CAFA20">
        <w:rPr>
          <w:rFonts w:ascii="Arial" w:hAnsi="Arial" w:cs="Arial"/>
        </w:rPr>
        <w:t>..</w:t>
      </w:r>
      <w:r w:rsidRPr="4903AF9C" w:rsidR="46D4D172">
        <w:rPr>
          <w:rFonts w:ascii="Arial" w:hAnsi="Arial" w:cs="Arial"/>
        </w:rPr>
        <w:t>.5</w:t>
      </w:r>
    </w:p>
    <w:p w:rsidR="3AF73875" w:rsidP="4903AF9C" w:rsidRDefault="3AF73875" w14:paraId="7AE22B53" w14:textId="5A19E6DF">
      <w:pPr>
        <w:rPr>
          <w:rFonts w:ascii="Arial" w:hAnsi="Arial" w:cs="Arial"/>
        </w:rPr>
      </w:pPr>
      <w:r w:rsidRPr="4903AF9C" w:rsidR="00DC7AE0">
        <w:rPr>
          <w:rFonts w:ascii="Arial" w:hAnsi="Arial" w:cs="Arial"/>
        </w:rPr>
        <w:t>Conclusion......................................................................</w:t>
      </w:r>
      <w:r w:rsidRPr="4903AF9C" w:rsidR="76B7F814">
        <w:rPr>
          <w:rFonts w:ascii="Arial" w:hAnsi="Arial" w:cs="Arial"/>
        </w:rPr>
        <w:t>..</w:t>
      </w:r>
      <w:r w:rsidRPr="4903AF9C" w:rsidR="0C1147F7">
        <w:rPr>
          <w:rFonts w:ascii="Arial" w:hAnsi="Arial" w:cs="Arial"/>
        </w:rPr>
        <w:t>.</w:t>
      </w:r>
      <w:r w:rsidRPr="4903AF9C" w:rsidR="7CD5003E">
        <w:rPr>
          <w:rFonts w:ascii="Arial" w:hAnsi="Arial" w:cs="Arial"/>
        </w:rPr>
        <w:t>6</w:t>
      </w:r>
    </w:p>
    <w:p w:rsidRPr="00DC7AE0" w:rsidR="00DC7AE0" w:rsidP="4903AF9C" w:rsidRDefault="00DC7AE0" w14:paraId="10127188" w14:textId="747B3F50">
      <w:pPr>
        <w:rPr>
          <w:rFonts w:ascii="Arial" w:hAnsi="Arial" w:cs="Arial"/>
        </w:rPr>
      </w:pPr>
      <w:r w:rsidRPr="4903AF9C" w:rsidR="00DC7AE0">
        <w:rPr>
          <w:rFonts w:ascii="Arial" w:hAnsi="Arial" w:cs="Arial"/>
        </w:rPr>
        <w:t>References....................................................................</w:t>
      </w:r>
      <w:r w:rsidRPr="4903AF9C" w:rsidR="00DC7AE0">
        <w:rPr>
          <w:rFonts w:ascii="Arial" w:hAnsi="Arial" w:cs="Arial"/>
        </w:rPr>
        <w:t>..</w:t>
      </w:r>
      <w:r w:rsidRPr="4903AF9C" w:rsidR="1F3C2DBF">
        <w:rPr>
          <w:rFonts w:ascii="Arial" w:hAnsi="Arial" w:cs="Arial"/>
        </w:rPr>
        <w:t>.</w:t>
      </w:r>
      <w:r w:rsidRPr="4903AF9C" w:rsidR="00DC7AE0">
        <w:rPr>
          <w:rFonts w:ascii="Arial" w:hAnsi="Arial" w:cs="Arial"/>
        </w:rPr>
        <w:t>.</w:t>
      </w:r>
      <w:r w:rsidRPr="4903AF9C" w:rsidR="1BE4A952">
        <w:rPr>
          <w:rFonts w:ascii="Arial" w:hAnsi="Arial" w:cs="Arial"/>
        </w:rPr>
        <w:t>7</w:t>
      </w:r>
    </w:p>
    <w:p w:rsidR="3AF73875" w:rsidP="4903AF9C" w:rsidRDefault="3AF73875" w14:paraId="76C1FFF3" w14:textId="6B87A937">
      <w:pPr>
        <w:ind w:left="720"/>
        <w:rPr>
          <w:rFonts w:ascii="Arial" w:hAnsi="Arial" w:cs="Arial"/>
        </w:rPr>
      </w:pPr>
    </w:p>
    <w:p w:rsidR="00A9198A" w:rsidP="00DC7AE0" w:rsidRDefault="00A9198A" w14:paraId="5EB79D40" w14:textId="77777777">
      <w:pPr>
        <w:rPr>
          <w:rFonts w:ascii="Arial" w:hAnsi="Arial" w:cs="Arial"/>
          <w:b/>
          <w:bCs/>
          <w:u w:val="single"/>
        </w:rPr>
      </w:pPr>
    </w:p>
    <w:p w:rsidR="3AF73875" w:rsidP="3AF73875" w:rsidRDefault="3AF73875" w14:paraId="4A70CBC3" w14:textId="5AA6E632">
      <w:pPr>
        <w:rPr>
          <w:rFonts w:ascii="Arial" w:hAnsi="Arial" w:cs="Arial"/>
          <w:b w:val="1"/>
          <w:bCs w:val="1"/>
          <w:u w:val="single"/>
        </w:rPr>
      </w:pPr>
    </w:p>
    <w:p w:rsidR="3AF73875" w:rsidP="3AF73875" w:rsidRDefault="3AF73875" w14:paraId="7E6EB9FC" w14:noSpellErr="1" w14:textId="4A5E7AC6">
      <w:pPr>
        <w:rPr>
          <w:rFonts w:ascii="Arial" w:hAnsi="Arial" w:cs="Arial"/>
          <w:b w:val="1"/>
          <w:bCs w:val="1"/>
          <w:u w:val="single"/>
        </w:rPr>
      </w:pPr>
    </w:p>
    <w:p w:rsidR="4903AF9C" w:rsidP="4903AF9C" w:rsidRDefault="4903AF9C" w14:paraId="1D4383C3" w14:textId="0C3728F7">
      <w:pPr>
        <w:rPr>
          <w:rFonts w:ascii="Arial" w:hAnsi="Arial" w:cs="Arial"/>
          <w:b w:val="1"/>
          <w:bCs w:val="1"/>
          <w:u w:val="single"/>
        </w:rPr>
      </w:pPr>
    </w:p>
    <w:p w:rsidR="4903AF9C" w:rsidP="4903AF9C" w:rsidRDefault="4903AF9C" w14:paraId="72AC2403" w14:textId="4B51AA43">
      <w:pPr>
        <w:pStyle w:val="Normal"/>
        <w:ind w:left="0"/>
        <w:rPr>
          <w:rFonts w:ascii="Arial" w:hAnsi="Arial" w:cs="Arial"/>
          <w:b w:val="1"/>
          <w:bCs w:val="1"/>
          <w:u w:val="single"/>
        </w:rPr>
      </w:pPr>
    </w:p>
    <w:p w:rsidR="00A9198A" w:rsidP="4903AF9C" w:rsidRDefault="00A9198A" w14:paraId="3EB65018" w14:textId="5592034E">
      <w:pPr>
        <w:pStyle w:val="Normal"/>
        <w:rPr>
          <w:rFonts w:ascii="Arial" w:hAnsi="Arial" w:cs="Arial"/>
          <w:b w:val="1"/>
          <w:bCs w:val="1"/>
          <w:u w:val="single"/>
        </w:rPr>
      </w:pPr>
      <w:r w:rsidRPr="4903AF9C" w:rsidR="00DC7AE0">
        <w:rPr>
          <w:rFonts w:ascii="Arial" w:hAnsi="Arial" w:cs="Arial"/>
          <w:b w:val="1"/>
          <w:bCs w:val="1"/>
          <w:u w:val="single"/>
        </w:rPr>
        <w:t>Introduction</w:t>
      </w:r>
    </w:p>
    <w:p w:rsidR="00A9198A" w:rsidP="4903AF9C" w:rsidRDefault="00A9198A" w14:paraId="4D939551" w14:textId="3A4C384F">
      <w:pPr>
        <w:spacing w:before="240" w:beforeAutospacing="off" w:after="240" w:afterAutospacing="off"/>
      </w:pPr>
      <w:r w:rsidRPr="4903AF9C" w:rsidR="537BAFA0">
        <w:rPr>
          <w:rFonts w:ascii="Arial" w:hAnsi="Arial" w:eastAsia="Arial" w:cs="Arial"/>
          <w:noProof w:val="0"/>
          <w:sz w:val="24"/>
          <w:szCs w:val="24"/>
          <w:lang w:val="en-GB"/>
        </w:rPr>
        <w:t xml:space="preserve">Effective communication, accurate record keeping and partnership working are important parts of providing safe and person-centred health and social care. This is particularly important when supporting an older person with dementia, as their needs may change and they may rely on several professionals and family members for support. NICE (2018) emphasises that people living with dementia should be treated as individuals, with their views, experiences and relationships taken into consideration when planning their care. </w:t>
      </w:r>
    </w:p>
    <w:p w:rsidR="00A9198A" w:rsidP="4903AF9C" w:rsidRDefault="00A9198A" w14:paraId="6061282A" w14:textId="4B6EFD02">
      <w:pPr>
        <w:spacing w:before="240" w:beforeAutospacing="off" w:after="240" w:afterAutospacing="off"/>
      </w:pPr>
      <w:r w:rsidRPr="4903AF9C" w:rsidR="537BAFA0">
        <w:rPr>
          <w:rFonts w:ascii="Arial" w:hAnsi="Arial" w:eastAsia="Arial" w:cs="Arial"/>
          <w:noProof w:val="0"/>
          <w:sz w:val="24"/>
          <w:szCs w:val="24"/>
          <w:lang w:val="en-GB"/>
        </w:rPr>
        <w:t>This report focuses on the case of Mrs Thompson, an 84-year-old woman with mild dementia who has recently returned home following a hospital admission for pneumonia. She receives domiciliary care twice a day but has recently missed two days of medication, resulting in increased confusion. She was also found outside in cold weather without suitable clothing, creating further concerns about her safety. This report will therefore examine effective communication, good administrative and record-keeping practice, and collaborative working between the professionals involved in Mrs Thompson's care.</w:t>
      </w:r>
    </w:p>
    <w:p w:rsidR="00A9198A" w:rsidP="4903AF9C" w:rsidRDefault="00A9198A" w14:paraId="387AD25D" w14:textId="36B3E721">
      <w:pPr>
        <w:pStyle w:val="Heading2"/>
        <w:spacing w:before="299" w:beforeAutospacing="off" w:after="299" w:afterAutospacing="off"/>
        <w:rPr>
          <w:rFonts w:ascii="Arial" w:hAnsi="Arial" w:eastAsia="Arial" w:cs="Arial"/>
          <w:b w:val="1"/>
          <w:bCs w:val="1"/>
          <w:noProof w:val="0"/>
          <w:color w:val="000000" w:themeColor="text1" w:themeTint="FF" w:themeShade="FF"/>
          <w:sz w:val="24"/>
          <w:szCs w:val="24"/>
          <w:u w:val="single"/>
          <w:lang w:val="en-GB"/>
        </w:rPr>
      </w:pPr>
      <w:r w:rsidRPr="4903AF9C" w:rsidR="171AE98B">
        <w:rPr>
          <w:rFonts w:ascii="Arial" w:hAnsi="Arial" w:eastAsia="Arial" w:cs="Arial"/>
          <w:b w:val="1"/>
          <w:bCs w:val="1"/>
          <w:noProof w:val="0"/>
          <w:color w:val="000000" w:themeColor="text1" w:themeTint="FF" w:themeShade="FF"/>
          <w:sz w:val="24"/>
          <w:szCs w:val="24"/>
          <w:u w:val="single"/>
          <w:lang w:val="en-GB"/>
        </w:rPr>
        <w:t>Effective Communication in Mrs Thompson's Care</w:t>
      </w:r>
    </w:p>
    <w:p w:rsidR="00A9198A" w:rsidP="4903AF9C" w:rsidRDefault="00A9198A" w14:paraId="3B95E96E" w14:textId="5F56270B">
      <w:pPr>
        <w:spacing w:before="240" w:beforeAutospacing="off" w:after="240" w:afterAutospacing="off"/>
      </w:pPr>
      <w:r w:rsidRPr="4903AF9C" w:rsidR="171AE98B">
        <w:rPr>
          <w:rFonts w:ascii="Arial" w:hAnsi="Arial" w:eastAsia="Arial" w:cs="Arial"/>
          <w:noProof w:val="0"/>
          <w:sz w:val="24"/>
          <w:szCs w:val="24"/>
          <w:lang w:val="en-GB"/>
        </w:rPr>
        <w:t>Effective communication is particularly important in Mrs Thompson's care because her mild dementia may affect her memory, understanding and ability to process information. Communication should therefore be adapted to her individual needs rather than assuming that she will understand information in the same way as other service users. NICE (2009) recommends that healthcare professionals adapt their communication style to each individual and make information accessible and understandable. In practice, staff supporting Mrs Thompson could speak clearly, use short sentences, avoid unnecessary medical terminology and give her enough time to process information and respond.</w:t>
      </w:r>
    </w:p>
    <w:p w:rsidR="00A9198A" w:rsidP="4903AF9C" w:rsidRDefault="00A9198A" w14:paraId="566308C1" w14:textId="5828CA73">
      <w:pPr>
        <w:spacing w:before="240" w:beforeAutospacing="off" w:after="240" w:afterAutospacing="off"/>
      </w:pPr>
      <w:r w:rsidRPr="4903AF9C" w:rsidR="171AE98B">
        <w:rPr>
          <w:rFonts w:ascii="Arial" w:hAnsi="Arial" w:eastAsia="Arial" w:cs="Arial"/>
          <w:noProof w:val="0"/>
          <w:sz w:val="24"/>
          <w:szCs w:val="24"/>
          <w:lang w:val="en-GB"/>
        </w:rPr>
        <w:t xml:space="preserve">One theory that can be applied to Mrs Thompson's situation is the </w:t>
      </w:r>
      <w:r w:rsidRPr="4903AF9C" w:rsidR="171AE98B">
        <w:rPr>
          <w:rFonts w:ascii="Arial" w:hAnsi="Arial" w:eastAsia="Arial" w:cs="Arial"/>
          <w:b w:val="0"/>
          <w:bCs w:val="0"/>
          <w:noProof w:val="0"/>
          <w:sz w:val="24"/>
          <w:szCs w:val="24"/>
          <w:lang w:val="en-GB"/>
        </w:rPr>
        <w:t>Shannon and Weaver Model of Communication</w:t>
      </w:r>
      <w:r w:rsidRPr="4903AF9C" w:rsidR="171AE98B">
        <w:rPr>
          <w:rFonts w:ascii="Arial" w:hAnsi="Arial" w:eastAsia="Arial" w:cs="Arial"/>
          <w:noProof w:val="0"/>
          <w:sz w:val="24"/>
          <w:szCs w:val="24"/>
          <w:lang w:val="en-GB"/>
        </w:rPr>
        <w:t>. Shannon and Weaver (1949) describe communication as a process in which information moves from a sender through a channel to a receiver. The message is encoded by the sender and decoded by the receiver. An important feature of the model is the idea of</w:t>
      </w:r>
      <w:r w:rsidRPr="4903AF9C" w:rsidR="171AE98B">
        <w:rPr>
          <w:rFonts w:ascii="Arial" w:hAnsi="Arial" w:eastAsia="Arial" w:cs="Arial"/>
          <w:b w:val="0"/>
          <w:bCs w:val="0"/>
          <w:noProof w:val="0"/>
          <w:sz w:val="24"/>
          <w:szCs w:val="24"/>
          <w:lang w:val="en-GB"/>
        </w:rPr>
        <w:t xml:space="preserve"> </w:t>
      </w:r>
      <w:r w:rsidRPr="4903AF9C" w:rsidR="171AE98B">
        <w:rPr>
          <w:rFonts w:ascii="Arial" w:hAnsi="Arial" w:eastAsia="Arial" w:cs="Arial"/>
          <w:b w:val="0"/>
          <w:bCs w:val="0"/>
          <w:noProof w:val="0"/>
          <w:sz w:val="24"/>
          <w:szCs w:val="24"/>
          <w:lang w:val="en-GB"/>
        </w:rPr>
        <w:t>"noise"</w:t>
      </w:r>
      <w:r w:rsidRPr="4903AF9C" w:rsidR="171AE98B">
        <w:rPr>
          <w:rFonts w:ascii="Arial" w:hAnsi="Arial" w:eastAsia="Arial" w:cs="Arial"/>
          <w:noProof w:val="0"/>
          <w:sz w:val="24"/>
          <w:szCs w:val="24"/>
          <w:lang w:val="en-GB"/>
        </w:rPr>
        <w:t>, meaning anything that interferes with the message being received correctly.</w:t>
      </w:r>
    </w:p>
    <w:p w:rsidR="00A9198A" w:rsidP="4903AF9C" w:rsidRDefault="00A9198A" w14:paraId="62D96416" w14:textId="2DB41178">
      <w:pPr>
        <w:spacing w:before="240" w:beforeAutospacing="off" w:after="240" w:afterAutospacing="off"/>
      </w:pPr>
      <w:r w:rsidRPr="4903AF9C" w:rsidR="171AE98B">
        <w:rPr>
          <w:rFonts w:ascii="Arial" w:hAnsi="Arial" w:eastAsia="Arial" w:cs="Arial"/>
          <w:noProof w:val="0"/>
          <w:sz w:val="24"/>
          <w:szCs w:val="24"/>
          <w:lang w:val="en-GB"/>
        </w:rPr>
        <w:t>This can be applied directly to Mrs Thompson's medication. For example, a domiciliary care worker may be the</w:t>
      </w:r>
      <w:r w:rsidRPr="4903AF9C" w:rsidR="171AE98B">
        <w:rPr>
          <w:rFonts w:ascii="Arial" w:hAnsi="Arial" w:eastAsia="Arial" w:cs="Arial"/>
          <w:b w:val="0"/>
          <w:bCs w:val="0"/>
          <w:noProof w:val="0"/>
          <w:sz w:val="24"/>
          <w:szCs w:val="24"/>
          <w:lang w:val="en-GB"/>
        </w:rPr>
        <w:t xml:space="preserve"> </w:t>
      </w:r>
      <w:r w:rsidRPr="4903AF9C" w:rsidR="171AE98B">
        <w:rPr>
          <w:rFonts w:ascii="Arial" w:hAnsi="Arial" w:eastAsia="Arial" w:cs="Arial"/>
          <w:b w:val="0"/>
          <w:bCs w:val="0"/>
          <w:noProof w:val="0"/>
          <w:sz w:val="24"/>
          <w:szCs w:val="24"/>
          <w:lang w:val="en-GB"/>
        </w:rPr>
        <w:t>sender</w:t>
      </w:r>
      <w:r w:rsidRPr="4903AF9C" w:rsidR="171AE98B">
        <w:rPr>
          <w:rFonts w:ascii="Arial" w:hAnsi="Arial" w:eastAsia="Arial" w:cs="Arial"/>
          <w:noProof w:val="0"/>
          <w:sz w:val="24"/>
          <w:szCs w:val="24"/>
          <w:lang w:val="en-GB"/>
        </w:rPr>
        <w:t xml:space="preserve"> who verbally explains when Mrs Thompson should take her medication. Speech becomes the </w:t>
      </w:r>
      <w:r w:rsidRPr="4903AF9C" w:rsidR="171AE98B">
        <w:rPr>
          <w:rFonts w:ascii="Arial" w:hAnsi="Arial" w:eastAsia="Arial" w:cs="Arial"/>
          <w:b w:val="0"/>
          <w:bCs w:val="0"/>
          <w:noProof w:val="0"/>
          <w:sz w:val="24"/>
          <w:szCs w:val="24"/>
          <w:lang w:val="en-GB"/>
        </w:rPr>
        <w:t>channel</w:t>
      </w:r>
      <w:r w:rsidRPr="4903AF9C" w:rsidR="171AE98B">
        <w:rPr>
          <w:rFonts w:ascii="Arial" w:hAnsi="Arial" w:eastAsia="Arial" w:cs="Arial"/>
          <w:noProof w:val="0"/>
          <w:sz w:val="24"/>
          <w:szCs w:val="24"/>
          <w:lang w:val="en-GB"/>
        </w:rPr>
        <w:t>, while Mrs Thompson is the</w:t>
      </w:r>
      <w:r w:rsidRPr="4903AF9C" w:rsidR="171AE98B">
        <w:rPr>
          <w:rFonts w:ascii="Arial" w:hAnsi="Arial" w:eastAsia="Arial" w:cs="Arial"/>
          <w:b w:val="0"/>
          <w:bCs w:val="0"/>
          <w:noProof w:val="0"/>
          <w:sz w:val="24"/>
          <w:szCs w:val="24"/>
          <w:lang w:val="en-GB"/>
        </w:rPr>
        <w:t xml:space="preserve"> </w:t>
      </w:r>
      <w:r w:rsidRPr="4903AF9C" w:rsidR="171AE98B">
        <w:rPr>
          <w:rFonts w:ascii="Arial" w:hAnsi="Arial" w:eastAsia="Arial" w:cs="Arial"/>
          <w:b w:val="0"/>
          <w:bCs w:val="0"/>
          <w:noProof w:val="0"/>
          <w:sz w:val="24"/>
          <w:szCs w:val="24"/>
          <w:lang w:val="en-GB"/>
        </w:rPr>
        <w:t>receiver</w:t>
      </w:r>
      <w:r w:rsidRPr="4903AF9C" w:rsidR="171AE98B">
        <w:rPr>
          <w:rFonts w:ascii="Arial" w:hAnsi="Arial" w:eastAsia="Arial" w:cs="Arial"/>
          <w:noProof w:val="0"/>
          <w:sz w:val="24"/>
          <w:szCs w:val="24"/>
          <w:lang w:val="en-GB"/>
        </w:rPr>
        <w:t xml:space="preserve"> who must hear, process and understand the information. However, her dementia, memory difficulties and increased confusion could act as forms of noise and affect how accurately she understands or remembers the message. This is particularly significant because Mrs Thompson has already missed two days of medication. NICE (2009) states that healthcare professionals should check that patients have understood information about their medicines rather than making assumptions about their level of understanding. </w:t>
      </w:r>
    </w:p>
    <w:p w:rsidR="00A9198A" w:rsidP="4903AF9C" w:rsidRDefault="00A9198A" w14:paraId="106FDCFC" w14:textId="2D708BED">
      <w:pPr>
        <w:spacing w:before="240" w:beforeAutospacing="off" w:after="240" w:afterAutospacing="off"/>
      </w:pPr>
      <w:r w:rsidRPr="4903AF9C" w:rsidR="171AE98B">
        <w:rPr>
          <w:rFonts w:ascii="Arial" w:hAnsi="Arial" w:eastAsia="Arial" w:cs="Arial"/>
          <w:noProof w:val="0"/>
          <w:sz w:val="24"/>
          <w:szCs w:val="24"/>
          <w:lang w:val="en-GB"/>
        </w:rPr>
        <w:t>The model is useful because it encourages professionals to consider what might prevent a message from being understood. However, one limitation is that the original Shannon and Weaver model presents communication mainly as a</w:t>
      </w:r>
      <w:r w:rsidRPr="4903AF9C" w:rsidR="171AE98B">
        <w:rPr>
          <w:rFonts w:ascii="Arial" w:hAnsi="Arial" w:eastAsia="Arial" w:cs="Arial"/>
          <w:b w:val="0"/>
          <w:bCs w:val="0"/>
          <w:noProof w:val="0"/>
          <w:sz w:val="24"/>
          <w:szCs w:val="24"/>
          <w:lang w:val="en-GB"/>
        </w:rPr>
        <w:t xml:space="preserve"> </w:t>
      </w:r>
      <w:r w:rsidRPr="4903AF9C" w:rsidR="171AE98B">
        <w:rPr>
          <w:rFonts w:ascii="Arial" w:hAnsi="Arial" w:eastAsia="Arial" w:cs="Arial"/>
          <w:b w:val="0"/>
          <w:bCs w:val="0"/>
          <w:noProof w:val="0"/>
          <w:sz w:val="24"/>
          <w:szCs w:val="24"/>
          <w:lang w:val="en-GB"/>
        </w:rPr>
        <w:t>linear process</w:t>
      </w:r>
      <w:r w:rsidRPr="4903AF9C" w:rsidR="171AE98B">
        <w:rPr>
          <w:rFonts w:ascii="Arial" w:hAnsi="Arial" w:eastAsia="Arial" w:cs="Arial"/>
          <w:noProof w:val="0"/>
          <w:sz w:val="24"/>
          <w:szCs w:val="24"/>
          <w:lang w:val="en-GB"/>
        </w:rPr>
        <w:t xml:space="preserve">. Communication in health and social care should be more interactive. Staff should not simply give Mrs Thompson instructions; they should listen to her, observe her response and check her understanding. For example, they could ask her to explain back when she should take her medication. Written reminders, pictures or other suitable prompts could also be considered depending on her individual abilities and preferences. NICE recommends establishing the most effective method of communication for each individual and considering accessible formats where necessary. </w:t>
      </w:r>
    </w:p>
    <w:p w:rsidR="00A9198A" w:rsidP="4903AF9C" w:rsidRDefault="00A9198A" w14:paraId="63D59C31" w14:textId="1C323D8E">
      <w:pPr>
        <w:spacing w:before="240" w:beforeAutospacing="off" w:after="240" w:afterAutospacing="off"/>
      </w:pPr>
      <w:r w:rsidRPr="4903AF9C" w:rsidR="171AE98B">
        <w:rPr>
          <w:rFonts w:ascii="Arial" w:hAnsi="Arial" w:eastAsia="Arial" w:cs="Arial"/>
          <w:noProof w:val="0"/>
          <w:sz w:val="24"/>
          <w:szCs w:val="24"/>
          <w:lang w:val="en-GB"/>
        </w:rPr>
        <w:t>Communication with Mrs Thompson should also reflect the</w:t>
      </w:r>
      <w:r w:rsidRPr="4903AF9C" w:rsidR="171AE98B">
        <w:rPr>
          <w:rFonts w:ascii="Arial" w:hAnsi="Arial" w:eastAsia="Arial" w:cs="Arial"/>
          <w:b w:val="0"/>
          <w:bCs w:val="0"/>
          <w:noProof w:val="0"/>
          <w:sz w:val="24"/>
          <w:szCs w:val="24"/>
          <w:lang w:val="en-GB"/>
        </w:rPr>
        <w:t xml:space="preserve"> </w:t>
      </w:r>
      <w:r w:rsidRPr="4903AF9C" w:rsidR="171AE98B">
        <w:rPr>
          <w:rFonts w:ascii="Arial" w:hAnsi="Arial" w:eastAsia="Arial" w:cs="Arial"/>
          <w:b w:val="0"/>
          <w:bCs w:val="0"/>
          <w:noProof w:val="0"/>
          <w:sz w:val="24"/>
          <w:szCs w:val="24"/>
          <w:lang w:val="en-GB"/>
        </w:rPr>
        <w:t>Equality Act 2010</w:t>
      </w:r>
      <w:r w:rsidRPr="4903AF9C" w:rsidR="171AE98B">
        <w:rPr>
          <w:rFonts w:ascii="Arial" w:hAnsi="Arial" w:eastAsia="Arial" w:cs="Arial"/>
          <w:b w:val="0"/>
          <w:bCs w:val="0"/>
          <w:noProof w:val="0"/>
          <w:sz w:val="24"/>
          <w:szCs w:val="24"/>
          <w:lang w:val="en-GB"/>
        </w:rPr>
        <w:t>.</w:t>
      </w:r>
      <w:r w:rsidRPr="4903AF9C" w:rsidR="171AE98B">
        <w:rPr>
          <w:rFonts w:ascii="Arial" w:hAnsi="Arial" w:eastAsia="Arial" w:cs="Arial"/>
          <w:noProof w:val="0"/>
          <w:sz w:val="24"/>
          <w:szCs w:val="24"/>
          <w:lang w:val="en-GB"/>
        </w:rPr>
        <w:t xml:space="preserve"> Professionals should ensure that a person's disability does not prevent them from being appropriately involved in their healthcare. NICE guidance specifically reminds healthcare professionals of their Equality Act responsibilities to make reasonable adjustments so that people have equal opportunities to participate in decisions about medicines. Therefore, Mrs Thompson's dementia should lead professionals to adapt their approach rather than exclude her from conversations about her own care.</w:t>
      </w:r>
    </w:p>
    <w:p w:rsidR="00A9198A" w:rsidP="4903AF9C" w:rsidRDefault="00A9198A" w14:paraId="05A8ECFA" w14:textId="75F3CC8A">
      <w:pPr>
        <w:spacing w:before="240" w:beforeAutospacing="off" w:after="240" w:afterAutospacing="off"/>
      </w:pPr>
      <w:r w:rsidRPr="4903AF9C" w:rsidR="171AE98B">
        <w:rPr>
          <w:rFonts w:ascii="Arial" w:hAnsi="Arial" w:eastAsia="Arial" w:cs="Arial"/>
          <w:noProof w:val="0"/>
          <w:sz w:val="24"/>
          <w:szCs w:val="24"/>
          <w:lang w:val="en-GB"/>
        </w:rPr>
        <w:t>Her family could also provide useful information about her usual behaviour, routines and communication preferences. However, professionals should not automatically discuss confidential information with relatives simply because Mrs Thompson has dementia. Her wishes, consent and decision-making capacity need to be considered. Overall, effective communication should allow Mrs Thompson to remain involved in her own care as much as possible while reducing the risk of misunderstandings that could affect her health and safety.</w:t>
      </w:r>
    </w:p>
    <w:p w:rsidR="00A9198A" w:rsidP="4903AF9C" w:rsidRDefault="00A9198A" w14:paraId="626ED6B2" w14:textId="16FA94F6">
      <w:pPr>
        <w:pStyle w:val="Heading2"/>
        <w:spacing w:before="299" w:beforeAutospacing="off" w:after="299" w:afterAutospacing="off"/>
        <w:rPr>
          <w:rFonts w:ascii="Arial" w:hAnsi="Arial" w:eastAsia="Arial" w:cs="Arial"/>
          <w:b w:val="1"/>
          <w:bCs w:val="1"/>
          <w:noProof w:val="0"/>
          <w:color w:val="000000" w:themeColor="text1" w:themeTint="FF" w:themeShade="FF"/>
          <w:sz w:val="24"/>
          <w:szCs w:val="24"/>
          <w:u w:val="single"/>
          <w:lang w:val="en-GB"/>
        </w:rPr>
      </w:pPr>
      <w:r w:rsidRPr="4903AF9C" w:rsidR="171AE98B">
        <w:rPr>
          <w:rFonts w:ascii="Arial" w:hAnsi="Arial" w:eastAsia="Arial" w:cs="Arial"/>
          <w:b w:val="1"/>
          <w:bCs w:val="1"/>
          <w:noProof w:val="0"/>
          <w:color w:val="000000" w:themeColor="text1" w:themeTint="FF" w:themeShade="FF"/>
          <w:sz w:val="24"/>
          <w:szCs w:val="24"/>
          <w:u w:val="single"/>
          <w:lang w:val="en-GB"/>
        </w:rPr>
        <w:t>Record Keeping</w:t>
      </w:r>
    </w:p>
    <w:p w:rsidR="00A9198A" w:rsidP="4903AF9C" w:rsidRDefault="00A9198A" w14:paraId="2806BC33" w14:textId="7CDC8E46">
      <w:pPr>
        <w:spacing w:before="240" w:beforeAutospacing="off" w:after="240" w:afterAutospacing="off"/>
      </w:pPr>
      <w:r w:rsidRPr="4903AF9C" w:rsidR="171AE98B">
        <w:rPr>
          <w:rFonts w:ascii="Arial" w:hAnsi="Arial" w:eastAsia="Arial" w:cs="Arial"/>
          <w:noProof w:val="0"/>
          <w:sz w:val="24"/>
          <w:szCs w:val="24"/>
          <w:lang w:val="en-GB"/>
        </w:rPr>
        <w:t xml:space="preserve">Good administrative skills are essential in health and social care because the information recorded by one professional may influence the decisions made by another. In Mrs Thompson's situation, accurate records are particularly important because several concerns have already been identified, including missed medication, increased confusion and being found outside without appropriate clothing. Her assessment brief also states that the medication incident has been recorded through the service's incident process and that a medication review has been requested. </w:t>
      </w:r>
    </w:p>
    <w:p w:rsidR="00A9198A" w:rsidP="4903AF9C" w:rsidRDefault="00A9198A" w14:paraId="130028E3" w14:textId="2C34C9D0">
      <w:pPr>
        <w:spacing w:before="240" w:beforeAutospacing="off" w:after="240" w:afterAutospacing="off"/>
      </w:pPr>
      <w:r w:rsidRPr="4903AF9C" w:rsidR="171AE98B">
        <w:rPr>
          <w:rFonts w:ascii="Arial" w:hAnsi="Arial" w:eastAsia="Arial" w:cs="Arial"/>
          <w:noProof w:val="0"/>
          <w:sz w:val="24"/>
          <w:szCs w:val="24"/>
          <w:lang w:val="en-GB"/>
        </w:rPr>
        <w:t>Record keeping should provide a clear and factual account of what has happened, what action was taken and whether further action is required. For example, the domiciliary care worker who discovered that Mrs Thompson had missed her medication should record the dates and doses missed, any changes observed in her presentation, who was informed and what action followed. Similarly, the incident where she was found outside should be recorded accurately because it may indicate an increased risk associated with her dementia. Records should avoid personal opinions and instead contain relevant observations and facts.</w:t>
      </w:r>
    </w:p>
    <w:p w:rsidR="00A9198A" w:rsidP="4903AF9C" w:rsidRDefault="00A9198A" w14:paraId="79ACB821" w14:textId="72B35A21">
      <w:pPr>
        <w:spacing w:before="240" w:beforeAutospacing="off" w:after="240" w:afterAutospacing="off"/>
      </w:pPr>
      <w:r w:rsidRPr="4903AF9C" w:rsidR="171AE98B">
        <w:rPr>
          <w:rFonts w:ascii="Arial" w:hAnsi="Arial" w:eastAsia="Arial" w:cs="Arial"/>
          <w:noProof w:val="0"/>
          <w:sz w:val="24"/>
          <w:szCs w:val="24"/>
          <w:lang w:val="en-GB"/>
        </w:rPr>
        <w:t xml:space="preserve">This is supported by the </w:t>
      </w:r>
      <w:r w:rsidRPr="4903AF9C" w:rsidR="171AE98B">
        <w:rPr>
          <w:rFonts w:ascii="Arial" w:hAnsi="Arial" w:eastAsia="Arial" w:cs="Arial"/>
          <w:b w:val="0"/>
          <w:bCs w:val="0"/>
          <w:noProof w:val="0"/>
          <w:sz w:val="24"/>
          <w:szCs w:val="24"/>
          <w:lang w:val="en-GB"/>
        </w:rPr>
        <w:t>Care Quality Commission (CQC)</w:t>
      </w:r>
      <w:r w:rsidRPr="4903AF9C" w:rsidR="171AE98B">
        <w:rPr>
          <w:rFonts w:ascii="Arial" w:hAnsi="Arial" w:eastAsia="Arial" w:cs="Arial"/>
          <w:noProof w:val="0"/>
          <w:sz w:val="24"/>
          <w:szCs w:val="24"/>
          <w:lang w:val="en-GB"/>
        </w:rPr>
        <w:t>, which states that records relating to a person's care should be complete, accurate, up to date and include decisions made about their treatment and care. Records must also be accessible to authorised professionals when needed to provide safe care. For Mrs Thompson, good documentation could therefore help her GP, community nurse and domiciliary care workers recognise that the incidents may not be isolated events and that her current support arrangements may need reviewing.</w:t>
      </w:r>
    </w:p>
    <w:p w:rsidR="00A9198A" w:rsidP="4903AF9C" w:rsidRDefault="00A9198A" w14:paraId="6953FFA8" w14:textId="55226607">
      <w:pPr>
        <w:spacing w:before="240" w:beforeAutospacing="off" w:after="240" w:afterAutospacing="off"/>
      </w:pPr>
      <w:r w:rsidRPr="4903AF9C" w:rsidR="171AE98B">
        <w:rPr>
          <w:rFonts w:ascii="Arial" w:hAnsi="Arial" w:eastAsia="Arial" w:cs="Arial"/>
          <w:noProof w:val="0"/>
          <w:sz w:val="24"/>
          <w:szCs w:val="24"/>
          <w:lang w:val="en-GB"/>
        </w:rPr>
        <w:t>Confidentiality is equally important. Information about Mrs Thompson's dementia, medication and care needs is personal information and should only be accessed or shared where there is a lawful and appropriate reason. The</w:t>
      </w:r>
      <w:r w:rsidRPr="4903AF9C" w:rsidR="171AE98B">
        <w:rPr>
          <w:rFonts w:ascii="Arial" w:hAnsi="Arial" w:eastAsia="Arial" w:cs="Arial"/>
          <w:b w:val="0"/>
          <w:bCs w:val="0"/>
          <w:noProof w:val="0"/>
          <w:sz w:val="24"/>
          <w:szCs w:val="24"/>
          <w:lang w:val="en-GB"/>
        </w:rPr>
        <w:t xml:space="preserve"> </w:t>
      </w:r>
      <w:r w:rsidRPr="4903AF9C" w:rsidR="171AE98B">
        <w:rPr>
          <w:rFonts w:ascii="Arial" w:hAnsi="Arial" w:eastAsia="Arial" w:cs="Arial"/>
          <w:b w:val="0"/>
          <w:bCs w:val="0"/>
          <w:noProof w:val="0"/>
          <w:sz w:val="24"/>
          <w:szCs w:val="24"/>
          <w:lang w:val="en-GB"/>
        </w:rPr>
        <w:t>Data Protection Act 2018</w:t>
      </w:r>
      <w:r w:rsidRPr="4903AF9C" w:rsidR="171AE98B">
        <w:rPr>
          <w:rFonts w:ascii="Arial" w:hAnsi="Arial" w:eastAsia="Arial" w:cs="Arial"/>
          <w:noProof w:val="0"/>
          <w:sz w:val="24"/>
          <w:szCs w:val="24"/>
          <w:lang w:val="en-GB"/>
        </w:rPr>
        <w:t>, alongside UK data protection requirements, places responsibilities on organisations when handling personal information. This means records should be stored securely, kept accurate and only made available to people who genuinely need the information as part of Mrs Thompson's care.</w:t>
      </w:r>
    </w:p>
    <w:p w:rsidR="00A9198A" w:rsidP="4903AF9C" w:rsidRDefault="00A9198A" w14:paraId="77519D56" w14:textId="311B5361">
      <w:pPr>
        <w:spacing w:before="240" w:beforeAutospacing="off" w:after="240" w:afterAutospacing="off"/>
      </w:pPr>
      <w:r w:rsidRPr="4903AF9C" w:rsidR="171AE98B">
        <w:rPr>
          <w:rFonts w:ascii="Arial" w:hAnsi="Arial" w:eastAsia="Arial" w:cs="Arial"/>
          <w:noProof w:val="0"/>
          <w:sz w:val="24"/>
          <w:szCs w:val="24"/>
          <w:lang w:val="en-GB"/>
        </w:rPr>
        <w:t xml:space="preserve">At the same time, confidentiality should not become a barrier to protecting Mrs Thompson. Relevant information may need to be shared appropriately between professionals where this is necessary for safe and coordinated care. This is particularly important following her medication incident. NICE guidance on medicines in community social care recommends joint working between social care providers, general practices and pharmacies, including sharing relevant information about medicines support and seeking specialist advice when required. </w:t>
      </w:r>
    </w:p>
    <w:p w:rsidR="00A9198A" w:rsidP="4903AF9C" w:rsidRDefault="00A9198A" w14:paraId="3096A9D5" w14:textId="4B303BF2">
      <w:pPr>
        <w:spacing w:before="240" w:beforeAutospacing="off" w:after="240" w:afterAutospacing="off"/>
      </w:pPr>
      <w:r w:rsidRPr="4903AF9C" w:rsidR="171AE98B">
        <w:rPr>
          <w:rFonts w:ascii="Arial" w:hAnsi="Arial" w:eastAsia="Arial" w:cs="Arial"/>
          <w:noProof w:val="0"/>
          <w:sz w:val="24"/>
          <w:szCs w:val="24"/>
          <w:lang w:val="en-GB"/>
        </w:rPr>
        <w:t>Therefore, good administration is more than simply completing paperwork. In Mrs Thompson's case, accurate records create a timeline of her changing needs and allow professionals to identify patterns, assess risks and make informed decisions. Poor or incomplete documentation could result in important information being missed and may increase the likelihood of medication errors or further incidents.</w:t>
      </w:r>
    </w:p>
    <w:p w:rsidR="00A9198A" w:rsidP="4903AF9C" w:rsidRDefault="00A9198A" w14:paraId="6B5E2DD7" w14:textId="20DB7906">
      <w:pPr>
        <w:pStyle w:val="Normal"/>
        <w:spacing w:before="240" w:beforeAutospacing="off" w:after="240" w:afterAutospacing="off"/>
        <w:rPr>
          <w:rFonts w:ascii="Arial" w:hAnsi="Arial" w:eastAsia="Arial" w:cs="Arial"/>
          <w:noProof w:val="0"/>
          <w:sz w:val="24"/>
          <w:szCs w:val="24"/>
          <w:lang w:val="en-GB"/>
        </w:rPr>
      </w:pPr>
    </w:p>
    <w:p w:rsidR="3AF73875" w:rsidP="3AF73875" w:rsidRDefault="3AF73875" w14:paraId="0D7E700D" w14:textId="21A8B9CE">
      <w:pPr>
        <w:tabs>
          <w:tab w:val="left" w:leader="none" w:pos="2172"/>
        </w:tabs>
        <w:rPr>
          <w:rFonts w:ascii="Arial" w:hAnsi="Arial" w:cs="Arial"/>
          <w:b w:val="1"/>
          <w:bCs w:val="1"/>
        </w:rPr>
      </w:pPr>
    </w:p>
    <w:p w:rsidRPr="00A9198A" w:rsidR="007F4820" w:rsidP="4903AF9C" w:rsidRDefault="007F4820" w14:paraId="2FE9A3C9" w14:textId="1E99BE24">
      <w:pPr>
        <w:pStyle w:val="Heading2"/>
        <w:spacing w:before="299" w:beforeAutospacing="off" w:after="299" w:afterAutospacing="off"/>
        <w:rPr>
          <w:rFonts w:ascii="Arial" w:hAnsi="Arial" w:eastAsia="Arial" w:cs="Arial"/>
          <w:b w:val="1"/>
          <w:bCs w:val="1"/>
          <w:noProof w:val="0"/>
          <w:color w:val="000000" w:themeColor="text1" w:themeTint="FF" w:themeShade="FF"/>
          <w:sz w:val="24"/>
          <w:szCs w:val="24"/>
          <w:u w:val="single"/>
          <w:lang w:val="en-GB"/>
        </w:rPr>
      </w:pPr>
      <w:r w:rsidRPr="4903AF9C" w:rsidR="03B63E8C">
        <w:rPr>
          <w:rFonts w:ascii="Arial" w:hAnsi="Arial" w:eastAsia="Arial" w:cs="Arial"/>
          <w:b w:val="1"/>
          <w:bCs w:val="1"/>
          <w:noProof w:val="0"/>
          <w:color w:val="000000" w:themeColor="text1" w:themeTint="FF" w:themeShade="FF"/>
          <w:sz w:val="24"/>
          <w:szCs w:val="24"/>
          <w:u w:val="single"/>
          <w:lang w:val="en-GB"/>
        </w:rPr>
        <w:t>Multi-Agency Collaboration</w:t>
      </w:r>
    </w:p>
    <w:p w:rsidRPr="00A9198A" w:rsidR="007F4820" w:rsidP="4903AF9C" w:rsidRDefault="007F4820" w14:paraId="29951225" w14:textId="00B331E6">
      <w:pPr>
        <w:spacing w:before="240" w:beforeAutospacing="off" w:after="240" w:afterAutospacing="off"/>
      </w:pPr>
      <w:r w:rsidRPr="4903AF9C" w:rsidR="03B63E8C">
        <w:rPr>
          <w:rFonts w:ascii="Arial" w:hAnsi="Arial" w:eastAsia="Arial" w:cs="Arial"/>
          <w:noProof w:val="0"/>
          <w:sz w:val="24"/>
          <w:szCs w:val="24"/>
          <w:lang w:val="en-GB"/>
        </w:rPr>
        <w:t>Working collaboratively with other professionals is important when caring for Mrs Thompson because her needs cannot be managed effectively by one professional alone. Her recent hospital admission, dementia, missed medication and incident of being outside in cold weather suggest that she has a combination of health, medication, social care and safety needs. A multidisciplinary approach allows professionals with different knowledge and responsibilities to contribute towards a shared care plan.</w:t>
      </w:r>
    </w:p>
    <w:p w:rsidRPr="00A9198A" w:rsidR="007F4820" w:rsidP="4903AF9C" w:rsidRDefault="007F4820" w14:paraId="0246BB06" w14:textId="7194A334">
      <w:pPr>
        <w:spacing w:before="240" w:beforeAutospacing="off" w:after="240" w:afterAutospacing="off"/>
      </w:pPr>
      <w:r w:rsidRPr="4903AF9C" w:rsidR="03B63E8C">
        <w:rPr>
          <w:rFonts w:ascii="Arial" w:hAnsi="Arial" w:eastAsia="Arial" w:cs="Arial"/>
          <w:noProof w:val="0"/>
          <w:sz w:val="24"/>
          <w:szCs w:val="24"/>
          <w:lang w:val="en-GB"/>
        </w:rPr>
        <w:t xml:space="preserve">For example, Mrs Thompson's </w:t>
      </w:r>
      <w:r w:rsidRPr="4903AF9C" w:rsidR="03B63E8C">
        <w:rPr>
          <w:rFonts w:ascii="Arial" w:hAnsi="Arial" w:eastAsia="Arial" w:cs="Arial"/>
          <w:b w:val="0"/>
          <w:bCs w:val="0"/>
          <w:noProof w:val="0"/>
          <w:sz w:val="24"/>
          <w:szCs w:val="24"/>
          <w:lang w:val="en-GB"/>
        </w:rPr>
        <w:t>GP</w:t>
      </w:r>
      <w:r w:rsidRPr="4903AF9C" w:rsidR="03B63E8C">
        <w:rPr>
          <w:rFonts w:ascii="Arial" w:hAnsi="Arial" w:eastAsia="Arial" w:cs="Arial"/>
          <w:noProof w:val="0"/>
          <w:sz w:val="24"/>
          <w:szCs w:val="24"/>
          <w:lang w:val="en-GB"/>
        </w:rPr>
        <w:t xml:space="preserve"> could review her general health and medication, while the </w:t>
      </w:r>
      <w:r w:rsidRPr="4903AF9C" w:rsidR="03B63E8C">
        <w:rPr>
          <w:rFonts w:ascii="Arial" w:hAnsi="Arial" w:eastAsia="Arial" w:cs="Arial"/>
          <w:b w:val="0"/>
          <w:bCs w:val="0"/>
          <w:noProof w:val="0"/>
          <w:sz w:val="24"/>
          <w:szCs w:val="24"/>
          <w:lang w:val="en-GB"/>
        </w:rPr>
        <w:t>community nurse</w:t>
      </w:r>
      <w:r w:rsidRPr="4903AF9C" w:rsidR="03B63E8C">
        <w:rPr>
          <w:rFonts w:ascii="Arial" w:hAnsi="Arial" w:eastAsia="Arial" w:cs="Arial"/>
          <w:b w:val="0"/>
          <w:bCs w:val="0"/>
          <w:noProof w:val="0"/>
          <w:sz w:val="24"/>
          <w:szCs w:val="24"/>
          <w:lang w:val="en-GB"/>
        </w:rPr>
        <w:t xml:space="preserve"> </w:t>
      </w:r>
      <w:r w:rsidRPr="4903AF9C" w:rsidR="03B63E8C">
        <w:rPr>
          <w:rFonts w:ascii="Arial" w:hAnsi="Arial" w:eastAsia="Arial" w:cs="Arial"/>
          <w:noProof w:val="0"/>
          <w:sz w:val="24"/>
          <w:szCs w:val="24"/>
          <w:lang w:val="en-GB"/>
        </w:rPr>
        <w:t xml:space="preserve">could monitor her recovery from pneumonia and identify any changes in her physical or cognitive health. Domiciliary care workers also have an important role because they see Mrs Thompson twice each day and may notice changes in her behaviour, medication routine or ability to manage daily activities. NICE (2015) highlights the importance of joint working between health and social care when providing home care to older people, particularly where safety and changing care needs are involved. </w:t>
      </w:r>
    </w:p>
    <w:p w:rsidRPr="00A9198A" w:rsidR="007F4820" w:rsidP="4903AF9C" w:rsidRDefault="007F4820" w14:paraId="09B89980" w14:textId="384C13F4">
      <w:pPr>
        <w:spacing w:before="240" w:beforeAutospacing="off" w:after="240" w:afterAutospacing="off"/>
      </w:pPr>
      <w:r w:rsidRPr="4903AF9C" w:rsidR="03B63E8C">
        <w:rPr>
          <w:rFonts w:ascii="Arial" w:hAnsi="Arial" w:eastAsia="Arial" w:cs="Arial"/>
          <w:noProof w:val="0"/>
          <w:sz w:val="24"/>
          <w:szCs w:val="24"/>
          <w:lang w:val="en-GB"/>
        </w:rPr>
        <w:t>Effective collaboration requires clear communication and appropriate information sharing. Regular multidisciplinary team meetings, accurate care records and clearly defined responsibilities could help ensure that everyone understands Mrs Thompson's current needs. NICE (2022) recommends clear communication within multidisciplinary teams through methods such as team meetings, case discussions and appropriate information sharing between professionals. In Mrs Thompson's case, this would help ensure that her missed medication and safety concerns are known to the professionals responsible for reviewing her care.</w:t>
      </w:r>
    </w:p>
    <w:p w:rsidRPr="00A9198A" w:rsidR="007F4820" w:rsidP="4903AF9C" w:rsidRDefault="007F4820" w14:paraId="00331835" w14:textId="7CC6F6CB">
      <w:pPr>
        <w:spacing w:before="240" w:beforeAutospacing="off" w:after="240" w:afterAutospacing="off"/>
      </w:pPr>
      <w:r w:rsidRPr="4903AF9C" w:rsidR="03B63E8C">
        <w:rPr>
          <w:rFonts w:ascii="Arial" w:hAnsi="Arial" w:eastAsia="Arial" w:cs="Arial"/>
          <w:noProof w:val="0"/>
          <w:sz w:val="24"/>
          <w:szCs w:val="24"/>
          <w:lang w:val="en-GB"/>
        </w:rPr>
        <w:t xml:space="preserve">However, multi-agency working can also create challenges. Professionals may have different working patterns, </w:t>
      </w:r>
      <w:r w:rsidRPr="4903AF9C" w:rsidR="03B63E8C">
        <w:rPr>
          <w:rFonts w:ascii="Arial" w:hAnsi="Arial" w:eastAsia="Arial" w:cs="Arial"/>
          <w:noProof w:val="0"/>
          <w:sz w:val="24"/>
          <w:szCs w:val="24"/>
          <w:lang w:val="en-GB"/>
        </w:rPr>
        <w:t>priorities</w:t>
      </w:r>
      <w:r w:rsidRPr="4903AF9C" w:rsidR="03B63E8C">
        <w:rPr>
          <w:rFonts w:ascii="Arial" w:hAnsi="Arial" w:eastAsia="Arial" w:cs="Arial"/>
          <w:noProof w:val="0"/>
          <w:sz w:val="24"/>
          <w:szCs w:val="24"/>
          <w:lang w:val="en-GB"/>
        </w:rPr>
        <w:t xml:space="preserve"> or communication systems, which can lead to delays or </w:t>
      </w:r>
      <w:r w:rsidRPr="4903AF9C" w:rsidR="03B63E8C">
        <w:rPr>
          <w:rFonts w:ascii="Arial" w:hAnsi="Arial" w:eastAsia="Arial" w:cs="Arial"/>
          <w:noProof w:val="0"/>
          <w:sz w:val="24"/>
          <w:szCs w:val="24"/>
          <w:lang w:val="en-GB"/>
        </w:rPr>
        <w:t>important information</w:t>
      </w:r>
      <w:r w:rsidRPr="4903AF9C" w:rsidR="03B63E8C">
        <w:rPr>
          <w:rFonts w:ascii="Arial" w:hAnsi="Arial" w:eastAsia="Arial" w:cs="Arial"/>
          <w:noProof w:val="0"/>
          <w:sz w:val="24"/>
          <w:szCs w:val="24"/>
          <w:lang w:val="en-GB"/>
        </w:rPr>
        <w:t xml:space="preserve"> being missed. There can also be uncertainty about who </w:t>
      </w:r>
      <w:r w:rsidRPr="4903AF9C" w:rsidR="03B63E8C">
        <w:rPr>
          <w:rFonts w:ascii="Arial" w:hAnsi="Arial" w:eastAsia="Arial" w:cs="Arial"/>
          <w:noProof w:val="0"/>
          <w:sz w:val="24"/>
          <w:szCs w:val="24"/>
          <w:lang w:val="en-GB"/>
        </w:rPr>
        <w:t>is responsible for</w:t>
      </w:r>
      <w:r w:rsidRPr="4903AF9C" w:rsidR="03B63E8C">
        <w:rPr>
          <w:rFonts w:ascii="Arial" w:hAnsi="Arial" w:eastAsia="Arial" w:cs="Arial"/>
          <w:noProof w:val="0"/>
          <w:sz w:val="24"/>
          <w:szCs w:val="24"/>
          <w:lang w:val="en-GB"/>
        </w:rPr>
        <w:t xml:space="preserve"> </w:t>
      </w:r>
      <w:r w:rsidRPr="4903AF9C" w:rsidR="217697B2">
        <w:rPr>
          <w:rFonts w:ascii="Arial" w:hAnsi="Arial" w:eastAsia="Arial" w:cs="Arial"/>
          <w:noProof w:val="0"/>
          <w:sz w:val="24"/>
          <w:szCs w:val="24"/>
          <w:lang w:val="en-GB"/>
        </w:rPr>
        <w:t>actions</w:t>
      </w:r>
      <w:r w:rsidRPr="4903AF9C" w:rsidR="03B63E8C">
        <w:rPr>
          <w:rFonts w:ascii="Arial" w:hAnsi="Arial" w:eastAsia="Arial" w:cs="Arial"/>
          <w:noProof w:val="0"/>
          <w:sz w:val="24"/>
          <w:szCs w:val="24"/>
          <w:lang w:val="en-GB"/>
        </w:rPr>
        <w:t xml:space="preserve">. SCIE (2022) explains that multidisciplinary teams work most effectively when they have a clear purpose, good organisation and professionals from </w:t>
      </w:r>
      <w:r w:rsidRPr="4903AF9C" w:rsidR="03B63E8C">
        <w:rPr>
          <w:rFonts w:ascii="Arial" w:hAnsi="Arial" w:eastAsia="Arial" w:cs="Arial"/>
          <w:noProof w:val="0"/>
          <w:sz w:val="24"/>
          <w:szCs w:val="24"/>
          <w:lang w:val="en-GB"/>
        </w:rPr>
        <w:t>appropriate disciplines</w:t>
      </w:r>
      <w:r w:rsidRPr="4903AF9C" w:rsidR="03B63E8C">
        <w:rPr>
          <w:rFonts w:ascii="Arial" w:hAnsi="Arial" w:eastAsia="Arial" w:cs="Arial"/>
          <w:noProof w:val="0"/>
          <w:sz w:val="24"/>
          <w:szCs w:val="24"/>
          <w:lang w:val="en-GB"/>
        </w:rPr>
        <w:t xml:space="preserve"> working around the needs of the individual. </w:t>
      </w:r>
    </w:p>
    <w:p w:rsidRPr="00A9198A" w:rsidR="007F4820" w:rsidP="4903AF9C" w:rsidRDefault="007F4820" w14:paraId="4D5A7D2C" w14:textId="02FB35E3">
      <w:pPr>
        <w:spacing w:before="240" w:beforeAutospacing="off" w:after="240" w:afterAutospacing="off"/>
      </w:pPr>
      <w:r w:rsidRPr="4903AF9C" w:rsidR="03B63E8C">
        <w:rPr>
          <w:rFonts w:ascii="Arial" w:hAnsi="Arial" w:eastAsia="Arial" w:cs="Arial"/>
          <w:noProof w:val="0"/>
          <w:sz w:val="24"/>
          <w:szCs w:val="24"/>
          <w:lang w:val="en-GB"/>
        </w:rPr>
        <w:t xml:space="preserve">These difficulties could be reduced by agreeing clear responsibilities, maintaining accurate records and arranging regular reviews. Mrs Thompson should also remain at the centre of these discussions rather than professionals making decisions around her without involvement. Where appropriate and with her agreement, her family could contribute valuable information about her usual behaviour and routines. NICE guidance recognises families and carers as an important source of knowledge about an older person's life and needs. </w:t>
      </w:r>
    </w:p>
    <w:p w:rsidRPr="00A9198A" w:rsidR="007F4820" w:rsidP="4903AF9C" w:rsidRDefault="007F4820" w14:paraId="01F046A8" w14:textId="28252CC8">
      <w:pPr>
        <w:pStyle w:val="Heading2"/>
        <w:spacing w:before="299" w:beforeAutospacing="off" w:after="299" w:afterAutospacing="off"/>
        <w:rPr>
          <w:rFonts w:ascii="Arial" w:hAnsi="Arial" w:eastAsia="Arial" w:cs="Arial"/>
          <w:b w:val="1"/>
          <w:bCs w:val="1"/>
          <w:noProof w:val="0"/>
          <w:color w:val="000000" w:themeColor="text1" w:themeTint="FF" w:themeShade="FF"/>
          <w:sz w:val="24"/>
          <w:szCs w:val="24"/>
          <w:u w:val="single"/>
          <w:lang w:val="en-GB"/>
        </w:rPr>
      </w:pPr>
      <w:r w:rsidRPr="4903AF9C" w:rsidR="03B63E8C">
        <w:rPr>
          <w:rFonts w:ascii="Arial" w:hAnsi="Arial" w:eastAsia="Arial" w:cs="Arial"/>
          <w:b w:val="1"/>
          <w:bCs w:val="1"/>
          <w:noProof w:val="0"/>
          <w:color w:val="000000" w:themeColor="text1" w:themeTint="FF" w:themeShade="FF"/>
          <w:sz w:val="24"/>
          <w:szCs w:val="24"/>
          <w:u w:val="single"/>
          <w:lang w:val="en-GB"/>
        </w:rPr>
        <w:t>Conclusion</w:t>
      </w:r>
    </w:p>
    <w:p w:rsidRPr="00A9198A" w:rsidR="007F4820" w:rsidP="4903AF9C" w:rsidRDefault="007F4820" w14:paraId="32DBF559" w14:textId="53794FC6">
      <w:pPr>
        <w:spacing w:before="240" w:beforeAutospacing="off" w:after="240" w:afterAutospacing="off"/>
      </w:pPr>
      <w:r w:rsidRPr="4903AF9C" w:rsidR="03B63E8C">
        <w:rPr>
          <w:rFonts w:ascii="Arial" w:hAnsi="Arial" w:eastAsia="Arial" w:cs="Arial"/>
          <w:noProof w:val="0"/>
          <w:sz w:val="24"/>
          <w:szCs w:val="24"/>
          <w:lang w:val="en-GB"/>
        </w:rPr>
        <w:t>In conclusion, Mrs Thompson's case demonstrates why communication, good administrative practice and collaborative working are closely connected in health and social care. Her dementia and recent confusion mean that professionals need to adapt the way they communicate with her and check that important information has been understood. The Shannon and Weaver model helps identify possible barriers or "noise" that could interfere with communication, although communication in practice should be more interactive and person-centred.</w:t>
      </w:r>
    </w:p>
    <w:p w:rsidRPr="00A9198A" w:rsidR="007F4820" w:rsidP="4903AF9C" w:rsidRDefault="007F4820" w14:paraId="3C772CB4" w14:textId="5E4A7469">
      <w:pPr>
        <w:spacing w:before="240" w:beforeAutospacing="off" w:after="240" w:afterAutospacing="off"/>
      </w:pPr>
      <w:r w:rsidRPr="4903AF9C" w:rsidR="03B63E8C">
        <w:rPr>
          <w:rFonts w:ascii="Arial" w:hAnsi="Arial" w:eastAsia="Arial" w:cs="Arial"/>
          <w:noProof w:val="0"/>
          <w:sz w:val="24"/>
          <w:szCs w:val="24"/>
          <w:lang w:val="en-GB"/>
        </w:rPr>
        <w:t>Accurate record keeping is equally important because information about Mrs Thompson's missed medication and safety concerns needs to be documented and shared appropriately while maintaining confidentiality. Finally, effective collaboration between her GP, community nurse, domiciliary care workers and other relevant professionals can provide a more complete understanding of her needs. Multidisciplinary working can improve outcomes when professionals communicate effectively and keep the individual at the centre of decision-making. Overall, these approaches can help Mrs Thompson maintain her safety, dignity and independence while receiving appropriate support.</w:t>
      </w:r>
    </w:p>
    <w:p w:rsidRPr="00A9198A" w:rsidR="007F4820" w:rsidP="4903AF9C" w:rsidRDefault="007F4820" w14:paraId="5EDB71C9" w14:textId="72BDE859">
      <w:pPr>
        <w:pStyle w:val="Heading2"/>
        <w:spacing w:before="299" w:beforeAutospacing="off" w:after="299" w:afterAutospacing="off"/>
        <w:rPr>
          <w:rFonts w:ascii="Arial" w:hAnsi="Arial" w:eastAsia="Arial" w:cs="Arial"/>
          <w:b w:val="1"/>
          <w:bCs w:val="1"/>
          <w:noProof w:val="0"/>
          <w:color w:val="000000" w:themeColor="text1" w:themeTint="FF" w:themeShade="FF"/>
          <w:sz w:val="24"/>
          <w:szCs w:val="24"/>
          <w:u w:val="single"/>
          <w:lang w:val="en-GB"/>
        </w:rPr>
      </w:pPr>
    </w:p>
    <w:p w:rsidRPr="00A9198A" w:rsidR="007F4820" w:rsidP="4903AF9C" w:rsidRDefault="007F4820" w14:paraId="413D5AD3" w14:textId="51AAA1E3">
      <w:pPr>
        <w:pStyle w:val="Heading2"/>
        <w:spacing w:before="299" w:beforeAutospacing="off" w:after="299" w:afterAutospacing="off"/>
        <w:rPr>
          <w:rFonts w:ascii="Arial" w:hAnsi="Arial" w:eastAsia="Arial" w:cs="Arial"/>
          <w:b w:val="1"/>
          <w:bCs w:val="1"/>
          <w:noProof w:val="0"/>
          <w:color w:val="000000" w:themeColor="text1" w:themeTint="FF" w:themeShade="FF"/>
          <w:sz w:val="24"/>
          <w:szCs w:val="24"/>
          <w:u w:val="single"/>
          <w:lang w:val="en-GB"/>
        </w:rPr>
      </w:pPr>
    </w:p>
    <w:p w:rsidRPr="00A9198A" w:rsidR="007F4820" w:rsidP="4903AF9C" w:rsidRDefault="007F4820" w14:paraId="2F7E8B9B" w14:textId="179794B4">
      <w:pPr>
        <w:pStyle w:val="Heading2"/>
        <w:spacing w:before="299" w:beforeAutospacing="off" w:after="299" w:afterAutospacing="off"/>
        <w:rPr>
          <w:rFonts w:ascii="Arial" w:hAnsi="Arial" w:eastAsia="Arial" w:cs="Arial"/>
          <w:b w:val="1"/>
          <w:bCs w:val="1"/>
          <w:noProof w:val="0"/>
          <w:color w:val="000000" w:themeColor="text1" w:themeTint="FF" w:themeShade="FF"/>
          <w:sz w:val="24"/>
          <w:szCs w:val="24"/>
          <w:u w:val="single"/>
          <w:lang w:val="en-GB"/>
        </w:rPr>
      </w:pPr>
    </w:p>
    <w:p w:rsidRPr="00A9198A" w:rsidR="007F4820" w:rsidP="4903AF9C" w:rsidRDefault="007F4820" w14:paraId="28A9516D" w14:textId="3E571775">
      <w:pPr>
        <w:pStyle w:val="Heading2"/>
        <w:spacing w:before="299" w:beforeAutospacing="off" w:after="299" w:afterAutospacing="off"/>
        <w:rPr>
          <w:rFonts w:ascii="Arial" w:hAnsi="Arial" w:eastAsia="Arial" w:cs="Arial"/>
          <w:b w:val="1"/>
          <w:bCs w:val="1"/>
          <w:noProof w:val="0"/>
          <w:color w:val="000000" w:themeColor="text1" w:themeTint="FF" w:themeShade="FF"/>
          <w:sz w:val="24"/>
          <w:szCs w:val="24"/>
          <w:u w:val="single"/>
          <w:lang w:val="en-GB"/>
        </w:rPr>
      </w:pPr>
    </w:p>
    <w:p w:rsidRPr="00A9198A" w:rsidR="007F4820" w:rsidP="4903AF9C" w:rsidRDefault="007F4820" w14:paraId="4C41F646" w14:textId="3A203E42">
      <w:pPr>
        <w:pStyle w:val="Heading2"/>
        <w:spacing w:before="299" w:beforeAutospacing="off" w:after="299" w:afterAutospacing="off"/>
        <w:rPr>
          <w:rFonts w:ascii="Arial" w:hAnsi="Arial" w:eastAsia="Arial" w:cs="Arial"/>
          <w:b w:val="1"/>
          <w:bCs w:val="1"/>
          <w:noProof w:val="0"/>
          <w:color w:val="000000" w:themeColor="text1" w:themeTint="FF" w:themeShade="FF"/>
          <w:sz w:val="24"/>
          <w:szCs w:val="24"/>
          <w:u w:val="single"/>
          <w:lang w:val="en-GB"/>
        </w:rPr>
      </w:pPr>
    </w:p>
    <w:p w:rsidRPr="00A9198A" w:rsidR="007F4820" w:rsidP="4903AF9C" w:rsidRDefault="007F4820" w14:paraId="2863DEBA" w14:textId="178C221E">
      <w:pPr>
        <w:pStyle w:val="Heading2"/>
        <w:spacing w:before="299" w:beforeAutospacing="off" w:after="299" w:afterAutospacing="off"/>
        <w:rPr>
          <w:rFonts w:ascii="Arial" w:hAnsi="Arial" w:eastAsia="Arial" w:cs="Arial"/>
          <w:b w:val="1"/>
          <w:bCs w:val="1"/>
          <w:noProof w:val="0"/>
          <w:color w:val="000000" w:themeColor="text1" w:themeTint="FF" w:themeShade="FF"/>
          <w:sz w:val="24"/>
          <w:szCs w:val="24"/>
          <w:u w:val="single"/>
          <w:lang w:val="en-GB"/>
        </w:rPr>
      </w:pPr>
    </w:p>
    <w:p w:rsidRPr="00A9198A" w:rsidR="007F4820" w:rsidP="4903AF9C" w:rsidRDefault="007F4820" w14:paraId="32ACF173" w14:textId="08F36AA4">
      <w:pPr>
        <w:pStyle w:val="Heading2"/>
        <w:spacing w:before="299" w:beforeAutospacing="off" w:after="299" w:afterAutospacing="off"/>
        <w:rPr>
          <w:rFonts w:ascii="Arial" w:hAnsi="Arial" w:eastAsia="Arial" w:cs="Arial"/>
          <w:b w:val="1"/>
          <w:bCs w:val="1"/>
          <w:noProof w:val="0"/>
          <w:color w:val="000000" w:themeColor="text1" w:themeTint="FF" w:themeShade="FF"/>
          <w:sz w:val="24"/>
          <w:szCs w:val="24"/>
          <w:u w:val="single"/>
          <w:lang w:val="en-GB"/>
        </w:rPr>
      </w:pPr>
    </w:p>
    <w:p w:rsidRPr="00A9198A" w:rsidR="007F4820" w:rsidP="4903AF9C" w:rsidRDefault="007F4820" w14:paraId="5464349C" w14:textId="2CD7FABF">
      <w:pPr>
        <w:pStyle w:val="Heading2"/>
        <w:spacing w:before="299" w:beforeAutospacing="off" w:after="299" w:afterAutospacing="off"/>
        <w:rPr>
          <w:rFonts w:ascii="Arial" w:hAnsi="Arial" w:eastAsia="Arial" w:cs="Arial"/>
          <w:b w:val="1"/>
          <w:bCs w:val="1"/>
          <w:noProof w:val="0"/>
          <w:color w:val="000000" w:themeColor="text1" w:themeTint="FF" w:themeShade="FF"/>
          <w:sz w:val="24"/>
          <w:szCs w:val="24"/>
          <w:u w:val="single"/>
          <w:lang w:val="en-GB"/>
        </w:rPr>
      </w:pPr>
    </w:p>
    <w:p w:rsidRPr="00A9198A" w:rsidR="007F4820" w:rsidP="4903AF9C" w:rsidRDefault="007F4820" w14:paraId="49653A0F" w14:textId="722A41B9">
      <w:pPr>
        <w:pStyle w:val="Heading2"/>
        <w:spacing w:before="299" w:beforeAutospacing="off" w:after="299" w:afterAutospacing="off"/>
        <w:rPr>
          <w:rFonts w:ascii="Arial" w:hAnsi="Arial" w:eastAsia="Arial" w:cs="Arial"/>
          <w:b w:val="1"/>
          <w:bCs w:val="1"/>
          <w:noProof w:val="0"/>
          <w:color w:val="000000" w:themeColor="text1" w:themeTint="FF" w:themeShade="FF"/>
          <w:sz w:val="24"/>
          <w:szCs w:val="24"/>
          <w:u w:val="single"/>
          <w:lang w:val="en-GB"/>
        </w:rPr>
      </w:pPr>
    </w:p>
    <w:p w:rsidRPr="00A9198A" w:rsidR="007F4820" w:rsidP="4903AF9C" w:rsidRDefault="007F4820" w14:paraId="45CC3E7A" w14:textId="10964F93">
      <w:pPr>
        <w:pStyle w:val="Heading2"/>
        <w:spacing w:before="299" w:beforeAutospacing="off" w:after="299" w:afterAutospacing="off"/>
        <w:rPr>
          <w:rFonts w:ascii="Arial" w:hAnsi="Arial" w:eastAsia="Arial" w:cs="Arial"/>
          <w:b w:val="1"/>
          <w:bCs w:val="1"/>
          <w:noProof w:val="0"/>
          <w:color w:val="000000" w:themeColor="text1" w:themeTint="FF" w:themeShade="FF"/>
          <w:sz w:val="24"/>
          <w:szCs w:val="24"/>
          <w:u w:val="single"/>
          <w:lang w:val="en-GB"/>
        </w:rPr>
      </w:pPr>
    </w:p>
    <w:p w:rsidRPr="00A9198A" w:rsidR="007F4820" w:rsidP="4903AF9C" w:rsidRDefault="007F4820" w14:paraId="431512C7" w14:textId="4D8B394F">
      <w:pPr>
        <w:pStyle w:val="Normal"/>
        <w:rPr>
          <w:noProof w:val="0"/>
          <w:lang w:val="en-GB"/>
        </w:rPr>
      </w:pPr>
    </w:p>
    <w:p w:rsidRPr="00A9198A" w:rsidR="007F4820" w:rsidP="4903AF9C" w:rsidRDefault="007F4820" w14:paraId="39EFC67F" w14:textId="14813832">
      <w:pPr>
        <w:pStyle w:val="Heading2"/>
        <w:spacing w:before="299" w:beforeAutospacing="off" w:after="299" w:afterAutospacing="off"/>
        <w:rPr>
          <w:rFonts w:ascii="Arial" w:hAnsi="Arial" w:eastAsia="Arial" w:cs="Arial"/>
          <w:b w:val="1"/>
          <w:bCs w:val="1"/>
          <w:noProof w:val="0"/>
          <w:color w:val="000000" w:themeColor="text1" w:themeTint="FF" w:themeShade="FF"/>
          <w:sz w:val="24"/>
          <w:szCs w:val="24"/>
          <w:u w:val="single"/>
          <w:lang w:val="en-GB"/>
        </w:rPr>
      </w:pPr>
      <w:r w:rsidRPr="4903AF9C" w:rsidR="03B63E8C">
        <w:rPr>
          <w:rFonts w:ascii="Arial" w:hAnsi="Arial" w:eastAsia="Arial" w:cs="Arial"/>
          <w:b w:val="1"/>
          <w:bCs w:val="1"/>
          <w:noProof w:val="0"/>
          <w:color w:val="000000" w:themeColor="text1" w:themeTint="FF" w:themeShade="FF"/>
          <w:sz w:val="24"/>
          <w:szCs w:val="24"/>
          <w:u w:val="single"/>
          <w:lang w:val="en-GB"/>
        </w:rPr>
        <w:t>Reference List</w:t>
      </w:r>
    </w:p>
    <w:p w:rsidRPr="00A9198A" w:rsidR="007F4820" w:rsidP="4903AF9C" w:rsidRDefault="007F4820" w14:paraId="07B9DBBA" w14:textId="0D6BFAF5">
      <w:pPr>
        <w:spacing w:before="240" w:beforeAutospacing="off" w:after="240" w:afterAutospacing="off"/>
      </w:pPr>
      <w:r w:rsidRPr="4903AF9C" w:rsidR="03B63E8C">
        <w:rPr>
          <w:rFonts w:ascii="Arial" w:hAnsi="Arial" w:eastAsia="Arial" w:cs="Arial"/>
          <w:noProof w:val="0"/>
          <w:sz w:val="24"/>
          <w:szCs w:val="24"/>
          <w:lang w:val="en-GB"/>
        </w:rPr>
        <w:t xml:space="preserve">Care Quality Commission (CQC) (n.d.) </w:t>
      </w:r>
      <w:r w:rsidRPr="4903AF9C" w:rsidR="03B63E8C">
        <w:rPr>
          <w:rFonts w:ascii="Arial" w:hAnsi="Arial" w:eastAsia="Arial" w:cs="Arial"/>
          <w:i w:val="1"/>
          <w:iCs w:val="1"/>
          <w:noProof w:val="0"/>
          <w:sz w:val="24"/>
          <w:szCs w:val="24"/>
          <w:lang w:val="en-GB"/>
        </w:rPr>
        <w:t>Regulation 17: Good governance</w:t>
      </w:r>
      <w:r w:rsidRPr="4903AF9C" w:rsidR="03B63E8C">
        <w:rPr>
          <w:rFonts w:ascii="Arial" w:hAnsi="Arial" w:eastAsia="Arial" w:cs="Arial"/>
          <w:noProof w:val="0"/>
          <w:sz w:val="24"/>
          <w:szCs w:val="24"/>
          <w:lang w:val="en-GB"/>
        </w:rPr>
        <w:t>. Newcastle upon Tyne: Care Quality Commission.</w:t>
      </w:r>
    </w:p>
    <w:p w:rsidRPr="00A9198A" w:rsidR="007F4820" w:rsidP="4903AF9C" w:rsidRDefault="007F4820" w14:paraId="449ED782" w14:textId="5CBB0664">
      <w:pPr>
        <w:spacing w:before="240" w:beforeAutospacing="off" w:after="240" w:afterAutospacing="off"/>
      </w:pPr>
      <w:r w:rsidRPr="4903AF9C" w:rsidR="03B63E8C">
        <w:rPr>
          <w:rFonts w:ascii="Arial" w:hAnsi="Arial" w:eastAsia="Arial" w:cs="Arial"/>
          <w:noProof w:val="0"/>
          <w:sz w:val="24"/>
          <w:szCs w:val="24"/>
          <w:lang w:val="en-GB"/>
        </w:rPr>
        <w:t xml:space="preserve">Great Britain (2005) </w:t>
      </w:r>
      <w:r w:rsidRPr="4903AF9C" w:rsidR="03B63E8C">
        <w:rPr>
          <w:rFonts w:ascii="Arial" w:hAnsi="Arial" w:eastAsia="Arial" w:cs="Arial"/>
          <w:i w:val="1"/>
          <w:iCs w:val="1"/>
          <w:noProof w:val="0"/>
          <w:sz w:val="24"/>
          <w:szCs w:val="24"/>
          <w:lang w:val="en-GB"/>
        </w:rPr>
        <w:t>Mental Capacity Act 2005</w:t>
      </w:r>
      <w:r w:rsidRPr="4903AF9C" w:rsidR="03B63E8C">
        <w:rPr>
          <w:rFonts w:ascii="Arial" w:hAnsi="Arial" w:eastAsia="Arial" w:cs="Arial"/>
          <w:noProof w:val="0"/>
          <w:sz w:val="24"/>
          <w:szCs w:val="24"/>
          <w:lang w:val="en-GB"/>
        </w:rPr>
        <w:t>. London: The Stationery Office.</w:t>
      </w:r>
    </w:p>
    <w:p w:rsidRPr="00A9198A" w:rsidR="007F4820" w:rsidP="4903AF9C" w:rsidRDefault="007F4820" w14:paraId="4C597EEA" w14:textId="7945E3C5">
      <w:pPr>
        <w:spacing w:before="240" w:beforeAutospacing="off" w:after="240" w:afterAutospacing="off"/>
      </w:pPr>
      <w:r w:rsidRPr="4903AF9C" w:rsidR="03B63E8C">
        <w:rPr>
          <w:rFonts w:ascii="Arial" w:hAnsi="Arial" w:eastAsia="Arial" w:cs="Arial"/>
          <w:noProof w:val="0"/>
          <w:sz w:val="24"/>
          <w:szCs w:val="24"/>
          <w:lang w:val="en-GB"/>
        </w:rPr>
        <w:t xml:space="preserve">Great Britain (2010) </w:t>
      </w:r>
      <w:r w:rsidRPr="4903AF9C" w:rsidR="03B63E8C">
        <w:rPr>
          <w:rFonts w:ascii="Arial" w:hAnsi="Arial" w:eastAsia="Arial" w:cs="Arial"/>
          <w:i w:val="1"/>
          <w:iCs w:val="1"/>
          <w:noProof w:val="0"/>
          <w:sz w:val="24"/>
          <w:szCs w:val="24"/>
          <w:lang w:val="en-GB"/>
        </w:rPr>
        <w:t>Equality Act 2010</w:t>
      </w:r>
      <w:r w:rsidRPr="4903AF9C" w:rsidR="03B63E8C">
        <w:rPr>
          <w:rFonts w:ascii="Arial" w:hAnsi="Arial" w:eastAsia="Arial" w:cs="Arial"/>
          <w:noProof w:val="0"/>
          <w:sz w:val="24"/>
          <w:szCs w:val="24"/>
          <w:lang w:val="en-GB"/>
        </w:rPr>
        <w:t>. London: The Stationery Office.</w:t>
      </w:r>
    </w:p>
    <w:p w:rsidRPr="00A9198A" w:rsidR="007F4820" w:rsidP="4903AF9C" w:rsidRDefault="007F4820" w14:paraId="1C50CA81" w14:textId="46B145EB">
      <w:pPr>
        <w:spacing w:before="240" w:beforeAutospacing="off" w:after="240" w:afterAutospacing="off"/>
      </w:pPr>
      <w:r w:rsidRPr="4903AF9C" w:rsidR="03B63E8C">
        <w:rPr>
          <w:rFonts w:ascii="Arial" w:hAnsi="Arial" w:eastAsia="Arial" w:cs="Arial"/>
          <w:noProof w:val="0"/>
          <w:sz w:val="24"/>
          <w:szCs w:val="24"/>
          <w:lang w:val="en-GB"/>
        </w:rPr>
        <w:t xml:space="preserve">Great Britain (2014) </w:t>
      </w:r>
      <w:r w:rsidRPr="4903AF9C" w:rsidR="03B63E8C">
        <w:rPr>
          <w:rFonts w:ascii="Arial" w:hAnsi="Arial" w:eastAsia="Arial" w:cs="Arial"/>
          <w:i w:val="1"/>
          <w:iCs w:val="1"/>
          <w:noProof w:val="0"/>
          <w:sz w:val="24"/>
          <w:szCs w:val="24"/>
          <w:lang w:val="en-GB"/>
        </w:rPr>
        <w:t>Care Act 2014</w:t>
      </w:r>
      <w:r w:rsidRPr="4903AF9C" w:rsidR="03B63E8C">
        <w:rPr>
          <w:rFonts w:ascii="Arial" w:hAnsi="Arial" w:eastAsia="Arial" w:cs="Arial"/>
          <w:noProof w:val="0"/>
          <w:sz w:val="24"/>
          <w:szCs w:val="24"/>
          <w:lang w:val="en-GB"/>
        </w:rPr>
        <w:t>. London: The Stationery Office.</w:t>
      </w:r>
    </w:p>
    <w:p w:rsidRPr="00A9198A" w:rsidR="007F4820" w:rsidP="4903AF9C" w:rsidRDefault="007F4820" w14:paraId="25348549" w14:textId="2F9E0B62">
      <w:pPr>
        <w:spacing w:before="240" w:beforeAutospacing="off" w:after="240" w:afterAutospacing="off"/>
      </w:pPr>
      <w:r w:rsidRPr="4903AF9C" w:rsidR="03B63E8C">
        <w:rPr>
          <w:rFonts w:ascii="Arial" w:hAnsi="Arial" w:eastAsia="Arial" w:cs="Arial"/>
          <w:noProof w:val="0"/>
          <w:sz w:val="24"/>
          <w:szCs w:val="24"/>
          <w:lang w:val="en-GB"/>
        </w:rPr>
        <w:t xml:space="preserve">Great Britain (2018) </w:t>
      </w:r>
      <w:r w:rsidRPr="4903AF9C" w:rsidR="03B63E8C">
        <w:rPr>
          <w:rFonts w:ascii="Arial" w:hAnsi="Arial" w:eastAsia="Arial" w:cs="Arial"/>
          <w:i w:val="1"/>
          <w:iCs w:val="1"/>
          <w:noProof w:val="0"/>
          <w:sz w:val="24"/>
          <w:szCs w:val="24"/>
          <w:lang w:val="en-GB"/>
        </w:rPr>
        <w:t>Data Protection Act 2018</w:t>
      </w:r>
      <w:r w:rsidRPr="4903AF9C" w:rsidR="03B63E8C">
        <w:rPr>
          <w:rFonts w:ascii="Arial" w:hAnsi="Arial" w:eastAsia="Arial" w:cs="Arial"/>
          <w:noProof w:val="0"/>
          <w:sz w:val="24"/>
          <w:szCs w:val="24"/>
          <w:lang w:val="en-GB"/>
        </w:rPr>
        <w:t>. London: The Stationery Office.</w:t>
      </w:r>
    </w:p>
    <w:p w:rsidRPr="00A9198A" w:rsidR="007F4820" w:rsidP="4903AF9C" w:rsidRDefault="007F4820" w14:paraId="0447DD59" w14:textId="0BAC48F4">
      <w:pPr>
        <w:spacing w:before="240" w:beforeAutospacing="off" w:after="240" w:afterAutospacing="off"/>
      </w:pPr>
      <w:r w:rsidRPr="4903AF9C" w:rsidR="03B63E8C">
        <w:rPr>
          <w:rFonts w:ascii="Arial" w:hAnsi="Arial" w:eastAsia="Arial" w:cs="Arial"/>
          <w:noProof w:val="0"/>
          <w:sz w:val="24"/>
          <w:szCs w:val="24"/>
          <w:lang w:val="en-GB"/>
        </w:rPr>
        <w:t xml:space="preserve">National Institute for Health and Care Excellence (NICE) (2009) </w:t>
      </w:r>
      <w:r w:rsidRPr="4903AF9C" w:rsidR="03B63E8C">
        <w:rPr>
          <w:rFonts w:ascii="Arial" w:hAnsi="Arial" w:eastAsia="Arial" w:cs="Arial"/>
          <w:i w:val="1"/>
          <w:iCs w:val="1"/>
          <w:noProof w:val="0"/>
          <w:sz w:val="24"/>
          <w:szCs w:val="24"/>
          <w:lang w:val="en-GB"/>
        </w:rPr>
        <w:t>Medicines adherence: involving patients in decisions about prescribed medicines and supporting adherence</w:t>
      </w:r>
      <w:r w:rsidRPr="4903AF9C" w:rsidR="03B63E8C">
        <w:rPr>
          <w:rFonts w:ascii="Arial" w:hAnsi="Arial" w:eastAsia="Arial" w:cs="Arial"/>
          <w:noProof w:val="0"/>
          <w:sz w:val="24"/>
          <w:szCs w:val="24"/>
          <w:lang w:val="en-GB"/>
        </w:rPr>
        <w:t>. Clinical guideline CG76. London: NICE.</w:t>
      </w:r>
    </w:p>
    <w:p w:rsidRPr="00A9198A" w:rsidR="007F4820" w:rsidP="4903AF9C" w:rsidRDefault="007F4820" w14:paraId="07B19294" w14:textId="311D3F54">
      <w:pPr>
        <w:spacing w:before="240" w:beforeAutospacing="off" w:after="240" w:afterAutospacing="off"/>
      </w:pPr>
      <w:r w:rsidRPr="4903AF9C" w:rsidR="03B63E8C">
        <w:rPr>
          <w:rFonts w:ascii="Arial" w:hAnsi="Arial" w:eastAsia="Arial" w:cs="Arial"/>
          <w:noProof w:val="0"/>
          <w:sz w:val="24"/>
          <w:szCs w:val="24"/>
          <w:lang w:val="en-GB"/>
        </w:rPr>
        <w:t xml:space="preserve">National Institute for Health and Care Excellence (NICE) (2015) </w:t>
      </w:r>
      <w:r w:rsidRPr="4903AF9C" w:rsidR="03B63E8C">
        <w:rPr>
          <w:rFonts w:ascii="Arial" w:hAnsi="Arial" w:eastAsia="Arial" w:cs="Arial"/>
          <w:i w:val="1"/>
          <w:iCs w:val="1"/>
          <w:noProof w:val="0"/>
          <w:sz w:val="24"/>
          <w:szCs w:val="24"/>
          <w:lang w:val="en-GB"/>
        </w:rPr>
        <w:t>Home care: delivering personal care and practical support to older people living in their own homes</w:t>
      </w:r>
      <w:r w:rsidRPr="4903AF9C" w:rsidR="03B63E8C">
        <w:rPr>
          <w:rFonts w:ascii="Arial" w:hAnsi="Arial" w:eastAsia="Arial" w:cs="Arial"/>
          <w:noProof w:val="0"/>
          <w:sz w:val="24"/>
          <w:szCs w:val="24"/>
          <w:lang w:val="en-GB"/>
        </w:rPr>
        <w:t xml:space="preserve">. NICE guideline NG21. London: NICE. </w:t>
      </w:r>
    </w:p>
    <w:p w:rsidRPr="00A9198A" w:rsidR="007F4820" w:rsidP="4903AF9C" w:rsidRDefault="007F4820" w14:paraId="3B543729" w14:textId="168A2E85">
      <w:pPr>
        <w:spacing w:before="240" w:beforeAutospacing="off" w:after="240" w:afterAutospacing="off"/>
      </w:pPr>
      <w:r w:rsidRPr="4903AF9C" w:rsidR="03B63E8C">
        <w:rPr>
          <w:rFonts w:ascii="Arial" w:hAnsi="Arial" w:eastAsia="Arial" w:cs="Arial"/>
          <w:noProof w:val="0"/>
          <w:sz w:val="24"/>
          <w:szCs w:val="24"/>
          <w:lang w:val="en-GB"/>
        </w:rPr>
        <w:t xml:space="preserve">National Institute for Health and Care Excellence (NICE) (2018) </w:t>
      </w:r>
      <w:r w:rsidRPr="4903AF9C" w:rsidR="03B63E8C">
        <w:rPr>
          <w:rFonts w:ascii="Arial" w:hAnsi="Arial" w:eastAsia="Arial" w:cs="Arial"/>
          <w:i w:val="1"/>
          <w:iCs w:val="1"/>
          <w:noProof w:val="0"/>
          <w:sz w:val="24"/>
          <w:szCs w:val="24"/>
          <w:lang w:val="en-GB"/>
        </w:rPr>
        <w:t>Dementia: assessment, management and support for people living with dementia and their carers</w:t>
      </w:r>
      <w:r w:rsidRPr="4903AF9C" w:rsidR="03B63E8C">
        <w:rPr>
          <w:rFonts w:ascii="Arial" w:hAnsi="Arial" w:eastAsia="Arial" w:cs="Arial"/>
          <w:noProof w:val="0"/>
          <w:sz w:val="24"/>
          <w:szCs w:val="24"/>
          <w:lang w:val="en-GB"/>
        </w:rPr>
        <w:t>. NICE guideline NG97. London: NICE.</w:t>
      </w:r>
    </w:p>
    <w:p w:rsidRPr="00A9198A" w:rsidR="007F4820" w:rsidP="4903AF9C" w:rsidRDefault="007F4820" w14:paraId="18974C05" w14:textId="4002D8E2">
      <w:pPr>
        <w:spacing w:before="240" w:beforeAutospacing="off" w:after="240" w:afterAutospacing="off"/>
      </w:pPr>
      <w:r w:rsidRPr="4903AF9C" w:rsidR="03B63E8C">
        <w:rPr>
          <w:rFonts w:ascii="Arial" w:hAnsi="Arial" w:eastAsia="Arial" w:cs="Arial"/>
          <w:noProof w:val="0"/>
          <w:sz w:val="24"/>
          <w:szCs w:val="24"/>
          <w:lang w:val="en-GB"/>
        </w:rPr>
        <w:t xml:space="preserve">National Institute for Health and Care Excellence (NICE) (2022) </w:t>
      </w:r>
      <w:r w:rsidRPr="4903AF9C" w:rsidR="03B63E8C">
        <w:rPr>
          <w:rFonts w:ascii="Arial" w:hAnsi="Arial" w:eastAsia="Arial" w:cs="Arial"/>
          <w:i w:val="1"/>
          <w:iCs w:val="1"/>
          <w:noProof w:val="0"/>
          <w:sz w:val="24"/>
          <w:szCs w:val="24"/>
          <w:lang w:val="en-GB"/>
        </w:rPr>
        <w:t>Social work with adults experiencing complex needs</w:t>
      </w:r>
      <w:r w:rsidRPr="4903AF9C" w:rsidR="03B63E8C">
        <w:rPr>
          <w:rFonts w:ascii="Arial" w:hAnsi="Arial" w:eastAsia="Arial" w:cs="Arial"/>
          <w:noProof w:val="0"/>
          <w:sz w:val="24"/>
          <w:szCs w:val="24"/>
          <w:lang w:val="en-GB"/>
        </w:rPr>
        <w:t xml:space="preserve">. NICE guideline NG216. London: NICE. </w:t>
      </w:r>
    </w:p>
    <w:p w:rsidRPr="00A9198A" w:rsidR="007F4820" w:rsidP="4903AF9C" w:rsidRDefault="007F4820" w14:paraId="3109C279" w14:textId="0A560BB4">
      <w:pPr>
        <w:spacing w:before="240" w:beforeAutospacing="off" w:after="240" w:afterAutospacing="off"/>
      </w:pPr>
      <w:r w:rsidRPr="4903AF9C" w:rsidR="03B63E8C">
        <w:rPr>
          <w:rFonts w:ascii="Arial" w:hAnsi="Arial" w:eastAsia="Arial" w:cs="Arial"/>
          <w:noProof w:val="0"/>
          <w:sz w:val="24"/>
          <w:szCs w:val="24"/>
          <w:lang w:val="en-GB"/>
        </w:rPr>
        <w:t xml:space="preserve">Shannon, C.E. and Weaver, W. (1949) </w:t>
      </w:r>
      <w:r w:rsidRPr="4903AF9C" w:rsidR="03B63E8C">
        <w:rPr>
          <w:rFonts w:ascii="Arial" w:hAnsi="Arial" w:eastAsia="Arial" w:cs="Arial"/>
          <w:i w:val="1"/>
          <w:iCs w:val="1"/>
          <w:noProof w:val="0"/>
          <w:sz w:val="24"/>
          <w:szCs w:val="24"/>
          <w:lang w:val="en-GB"/>
        </w:rPr>
        <w:t>The Mathematical Theory of Communication</w:t>
      </w:r>
      <w:r w:rsidRPr="4903AF9C" w:rsidR="03B63E8C">
        <w:rPr>
          <w:rFonts w:ascii="Arial" w:hAnsi="Arial" w:eastAsia="Arial" w:cs="Arial"/>
          <w:noProof w:val="0"/>
          <w:sz w:val="24"/>
          <w:szCs w:val="24"/>
          <w:lang w:val="en-GB"/>
        </w:rPr>
        <w:t>. Urbana, IL: University of Illinois Press.</w:t>
      </w:r>
    </w:p>
    <w:p w:rsidRPr="00A9198A" w:rsidR="007F4820" w:rsidP="4903AF9C" w:rsidRDefault="007F4820" w14:paraId="75DE6BCF" w14:textId="3770AFB7">
      <w:pPr>
        <w:spacing w:before="240" w:beforeAutospacing="off" w:after="240" w:afterAutospacing="off"/>
      </w:pPr>
      <w:r w:rsidRPr="4903AF9C" w:rsidR="03B63E8C">
        <w:rPr>
          <w:rFonts w:ascii="Arial" w:hAnsi="Arial" w:eastAsia="Arial" w:cs="Arial"/>
          <w:noProof w:val="0"/>
          <w:sz w:val="24"/>
          <w:szCs w:val="24"/>
          <w:lang w:val="en-GB"/>
        </w:rPr>
        <w:t xml:space="preserve">Social Care Institute for Excellence (SCIE) (2022) </w:t>
      </w:r>
      <w:r w:rsidRPr="4903AF9C" w:rsidR="03B63E8C">
        <w:rPr>
          <w:rFonts w:ascii="Arial" w:hAnsi="Arial" w:eastAsia="Arial" w:cs="Arial"/>
          <w:i w:val="1"/>
          <w:iCs w:val="1"/>
          <w:noProof w:val="0"/>
          <w:sz w:val="24"/>
          <w:szCs w:val="24"/>
          <w:lang w:val="en-GB"/>
        </w:rPr>
        <w:t>Multidisciplinary teams: Integrating care in places and neighbourhoods</w:t>
      </w:r>
      <w:r w:rsidRPr="4903AF9C" w:rsidR="03B63E8C">
        <w:rPr>
          <w:rFonts w:ascii="Arial" w:hAnsi="Arial" w:eastAsia="Arial" w:cs="Arial"/>
          <w:noProof w:val="0"/>
          <w:sz w:val="24"/>
          <w:szCs w:val="24"/>
          <w:lang w:val="en-GB"/>
        </w:rPr>
        <w:t>. London: SCIE.</w:t>
      </w:r>
    </w:p>
    <w:p w:rsidR="007F4820" w:rsidP="00DF5E55" w:rsidRDefault="007F4820" w14:paraId="278DD109" w14:textId="77777777">
      <w:pPr>
        <w:tabs>
          <w:tab w:val="left" w:pos="2172"/>
        </w:tabs>
        <w:rPr>
          <w:rFonts w:ascii="Arial" w:hAnsi="Arial" w:cs="Arial"/>
          <w:sz w:val="22"/>
          <w:szCs w:val="22"/>
        </w:rPr>
      </w:pPr>
    </w:p>
    <w:p w:rsidRPr="00DF5E55" w:rsidR="007F4820" w:rsidP="4903AF9C" w:rsidRDefault="007F4820" w14:paraId="0F3A4E4B" w14:textId="7886FE4A">
      <w:pPr>
        <w:pStyle w:val="Normal"/>
      </w:pPr>
    </w:p>
    <w:sectPr w:rsidRPr="00DF5E55" w:rsidR="007F4820">
      <w:footerReference w:type="default" r:id="rId18"/>
      <w:pgSz w:w="11906" w:h="16838" w:orient="portrait"/>
      <w:pgMar w:top="1440" w:right="1440" w:bottom="1440" w:left="1440" w:header="708" w:footer="708" w:gutter="0"/>
      <w:cols w:space="708"/>
      <w:docGrid w:linePitch="360"/>
      <w:headerReference w:type="default" r:id="R9ad08b3b41b04d3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42708" w:rsidP="00DC7AE0" w:rsidRDefault="00642708" w14:paraId="40912336" w14:textId="77777777">
      <w:pPr>
        <w:spacing w:after="0" w:line="240" w:lineRule="auto"/>
      </w:pPr>
      <w:r>
        <w:separator/>
      </w:r>
    </w:p>
  </w:endnote>
  <w:endnote w:type="continuationSeparator" w:id="0">
    <w:p w:rsidR="00642708" w:rsidP="00DC7AE0" w:rsidRDefault="00642708" w14:paraId="0493137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3AF73875" w:rsidP="3AF73875" w:rsidRDefault="3AF73875" w14:paraId="0FC8D51A" w14:textId="164B3F17">
    <w:pPr>
      <w:pStyle w:val="Footer"/>
      <w:jc w:val="center"/>
    </w:pPr>
    <w:r>
      <w:fldChar w:fldCharType="begin"/>
    </w:r>
    <w:r>
      <w:instrText xml:space="preserve">PAGE</w:instrText>
    </w:r>
    <w:r>
      <w:fldChar w:fldCharType="separate"/>
    </w:r>
    <w:r>
      <w:fldChar w:fldCharType="end"/>
    </w:r>
  </w:p>
  <w:sdt>
    <w:sdtPr>
      <w:id w:val="1348980635"/>
      <w:docPartObj>
        <w:docPartGallery w:val="Page Numbers (Bottom of Page)"/>
        <w:docPartUnique/>
      </w:docPartObj>
      <w:showingPlcHdr/>
    </w:sdtPr>
    <w:sdtEndPr>
      <w:rPr>
        <w:noProof/>
      </w:rPr>
    </w:sdtEndPr>
    <w:sdtContent>
      <w:p w:rsidR="00DC7AE0" w:rsidP="3AF73875" w:rsidRDefault="00DC7AE0" w14:paraId="366596F8" w14:textId="4719BB0F">
        <w:pPr>
          <w:pStyle w:val="Footer"/>
          <w:jc w:val="center"/>
          <w:rPr>
            <w:noProof/>
          </w:rPr>
        </w:pPr>
        <w:r w:rsidRPr="3AF73875" w:rsidR="3AF73875">
          <w:rPr>
            <w:rStyle w:val="PlaceholderText"/>
          </w:rPr>
          <w:t xml:space="preserve">     </w:t>
        </w:r>
      </w:p>
    </w:sdtContent>
  </w:sdt>
  <w:p w:rsidR="00DC7AE0" w:rsidRDefault="00DC7AE0" w14:paraId="1A059FC0"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42708" w:rsidP="00DC7AE0" w:rsidRDefault="00642708" w14:paraId="0D1F0288" w14:textId="77777777">
      <w:pPr>
        <w:spacing w:after="0" w:line="240" w:lineRule="auto"/>
      </w:pPr>
      <w:r>
        <w:separator/>
      </w:r>
    </w:p>
  </w:footnote>
  <w:footnote w:type="continuationSeparator" w:id="0">
    <w:p w:rsidR="00642708" w:rsidP="00DC7AE0" w:rsidRDefault="00642708" w14:paraId="0D11FBE4"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AF73875" w:rsidTr="3AF73875" w14:paraId="4D43CD17">
      <w:trPr>
        <w:trHeight w:val="300"/>
      </w:trPr>
      <w:tc>
        <w:tcPr>
          <w:tcW w:w="3005" w:type="dxa"/>
          <w:tcMar/>
        </w:tcPr>
        <w:p w:rsidR="3AF73875" w:rsidP="3AF73875" w:rsidRDefault="3AF73875" w14:paraId="1590608B" w14:textId="760DEA5D">
          <w:pPr>
            <w:pStyle w:val="Header"/>
            <w:bidi w:val="0"/>
            <w:ind w:left="-115"/>
            <w:jc w:val="left"/>
          </w:pPr>
        </w:p>
      </w:tc>
      <w:tc>
        <w:tcPr>
          <w:tcW w:w="3005" w:type="dxa"/>
          <w:tcMar/>
        </w:tcPr>
        <w:p w:rsidR="3AF73875" w:rsidP="3AF73875" w:rsidRDefault="3AF73875" w14:paraId="0B7C06F0" w14:textId="34476BEC">
          <w:pPr>
            <w:pStyle w:val="Header"/>
            <w:bidi w:val="0"/>
            <w:jc w:val="center"/>
          </w:pPr>
          <w:r>
            <w:fldChar w:fldCharType="begin"/>
          </w:r>
          <w:r>
            <w:instrText xml:space="preserve">PAGE</w:instrText>
          </w:r>
          <w:r>
            <w:fldChar w:fldCharType="separate"/>
          </w:r>
          <w:r>
            <w:fldChar w:fldCharType="end"/>
          </w:r>
        </w:p>
      </w:tc>
      <w:tc>
        <w:tcPr>
          <w:tcW w:w="3005" w:type="dxa"/>
          <w:tcMar/>
        </w:tcPr>
        <w:p w:rsidR="3AF73875" w:rsidP="3AF73875" w:rsidRDefault="3AF73875" w14:paraId="6C70170A" w14:textId="6C3B7F4B">
          <w:pPr>
            <w:pStyle w:val="Header"/>
            <w:bidi w:val="0"/>
            <w:ind w:right="-115"/>
            <w:jc w:val="right"/>
          </w:pPr>
        </w:p>
      </w:tc>
    </w:tr>
  </w:tbl>
  <w:p w:rsidR="3AF73875" w:rsidP="3AF73875" w:rsidRDefault="3AF73875" w14:paraId="173F6729" w14:textId="202934B1">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
    <w:nsid w:val="6bf9a86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462b80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715B057B"/>
    <w:multiLevelType w:val="multilevel"/>
    <w:tmpl w:val="D3A28E5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7676B7C"/>
    <w:multiLevelType w:val="multilevel"/>
    <w:tmpl w:val="7E4EF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4">
    <w:abstractNumId w:val="3"/>
  </w:num>
  <w:num w:numId="3">
    <w:abstractNumId w:val="2"/>
  </w:num>
  <w:num w:numId="1" w16cid:durableId="10450470">
    <w:abstractNumId w:val="1"/>
  </w:num>
  <w:num w:numId="2" w16cid:durableId="6032728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revisionView w:comments="0" w:insDel="0" w:formatting="0" w:inkAnnotation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E65"/>
    <w:rsid w:val="00043D51"/>
    <w:rsid w:val="00250C4F"/>
    <w:rsid w:val="005C1E65"/>
    <w:rsid w:val="00642708"/>
    <w:rsid w:val="007F4820"/>
    <w:rsid w:val="0085118F"/>
    <w:rsid w:val="00A9198A"/>
    <w:rsid w:val="00C2372A"/>
    <w:rsid w:val="00DC7AE0"/>
    <w:rsid w:val="00DF5E55"/>
    <w:rsid w:val="00E85961"/>
    <w:rsid w:val="010768A1"/>
    <w:rsid w:val="01861C25"/>
    <w:rsid w:val="03B63E8C"/>
    <w:rsid w:val="08B479E5"/>
    <w:rsid w:val="09B108AA"/>
    <w:rsid w:val="0B794006"/>
    <w:rsid w:val="0BDF5E60"/>
    <w:rsid w:val="0C1147F7"/>
    <w:rsid w:val="0DF1B1D8"/>
    <w:rsid w:val="0EC4FD73"/>
    <w:rsid w:val="0F90A07F"/>
    <w:rsid w:val="0F90A07F"/>
    <w:rsid w:val="0F9627C3"/>
    <w:rsid w:val="155B009C"/>
    <w:rsid w:val="15E26BAA"/>
    <w:rsid w:val="1696C318"/>
    <w:rsid w:val="171AE98B"/>
    <w:rsid w:val="1A5350BA"/>
    <w:rsid w:val="1B4440F1"/>
    <w:rsid w:val="1BE4A952"/>
    <w:rsid w:val="1E3272B3"/>
    <w:rsid w:val="1F3C2DBF"/>
    <w:rsid w:val="20CAFA20"/>
    <w:rsid w:val="217697B2"/>
    <w:rsid w:val="2278A3F9"/>
    <w:rsid w:val="24C1C8AD"/>
    <w:rsid w:val="25609DED"/>
    <w:rsid w:val="262FB18E"/>
    <w:rsid w:val="2A2F52B7"/>
    <w:rsid w:val="2C8C6715"/>
    <w:rsid w:val="2E3FB4DE"/>
    <w:rsid w:val="2F87D140"/>
    <w:rsid w:val="30C21AAC"/>
    <w:rsid w:val="319AC561"/>
    <w:rsid w:val="32411BBB"/>
    <w:rsid w:val="3288064C"/>
    <w:rsid w:val="3AF73875"/>
    <w:rsid w:val="40B70947"/>
    <w:rsid w:val="46D4D172"/>
    <w:rsid w:val="4903AF9C"/>
    <w:rsid w:val="4923F9E7"/>
    <w:rsid w:val="49776CD3"/>
    <w:rsid w:val="4CCC6547"/>
    <w:rsid w:val="537BAFA0"/>
    <w:rsid w:val="545D6946"/>
    <w:rsid w:val="54A952F5"/>
    <w:rsid w:val="557D7014"/>
    <w:rsid w:val="5E1A2EDD"/>
    <w:rsid w:val="5F2FA501"/>
    <w:rsid w:val="61CCD08D"/>
    <w:rsid w:val="635A9A10"/>
    <w:rsid w:val="636C0D4C"/>
    <w:rsid w:val="63A11D9B"/>
    <w:rsid w:val="6425D13E"/>
    <w:rsid w:val="689E05FC"/>
    <w:rsid w:val="6A8DA9AB"/>
    <w:rsid w:val="714EC245"/>
    <w:rsid w:val="735D2956"/>
    <w:rsid w:val="756A5110"/>
    <w:rsid w:val="75ED4637"/>
    <w:rsid w:val="76B7F814"/>
    <w:rsid w:val="77AD323E"/>
    <w:rsid w:val="7CD5003E"/>
    <w:rsid w:val="7E0950B3"/>
    <w:rsid w:val="7E3B2A74"/>
    <w:rsid w:val="7F3A58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6F075"/>
  <w15:chartTrackingRefBased/>
  <w15:docId w15:val="{6E729B4F-B9E8-44F1-A0C4-C8EC407BE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C1E65"/>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1E65"/>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1E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1E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1E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1E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1E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1E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1E65"/>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C1E65"/>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5C1E65"/>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5C1E65"/>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5C1E65"/>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5C1E65"/>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5C1E65"/>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C1E65"/>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C1E65"/>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C1E65"/>
    <w:rPr>
      <w:rFonts w:eastAsiaTheme="majorEastAsia" w:cstheme="majorBidi"/>
      <w:color w:val="272727" w:themeColor="text1" w:themeTint="D8"/>
    </w:rPr>
  </w:style>
  <w:style w:type="paragraph" w:styleId="Title">
    <w:name w:val="Title"/>
    <w:basedOn w:val="Normal"/>
    <w:next w:val="Normal"/>
    <w:link w:val="TitleChar"/>
    <w:uiPriority w:val="10"/>
    <w:qFormat/>
    <w:rsid w:val="005C1E65"/>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C1E65"/>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C1E65"/>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C1E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1E65"/>
    <w:pPr>
      <w:spacing w:before="160"/>
      <w:jc w:val="center"/>
    </w:pPr>
    <w:rPr>
      <w:i/>
      <w:iCs/>
      <w:color w:val="404040" w:themeColor="text1" w:themeTint="BF"/>
    </w:rPr>
  </w:style>
  <w:style w:type="character" w:styleId="QuoteChar" w:customStyle="1">
    <w:name w:val="Quote Char"/>
    <w:basedOn w:val="DefaultParagraphFont"/>
    <w:link w:val="Quote"/>
    <w:uiPriority w:val="29"/>
    <w:rsid w:val="005C1E65"/>
    <w:rPr>
      <w:i/>
      <w:iCs/>
      <w:color w:val="404040" w:themeColor="text1" w:themeTint="BF"/>
    </w:rPr>
  </w:style>
  <w:style w:type="paragraph" w:styleId="ListParagraph">
    <w:name w:val="List Paragraph"/>
    <w:basedOn w:val="Normal"/>
    <w:uiPriority w:val="34"/>
    <w:qFormat/>
    <w:rsid w:val="005C1E65"/>
    <w:pPr>
      <w:ind w:left="720"/>
      <w:contextualSpacing/>
    </w:pPr>
  </w:style>
  <w:style w:type="character" w:styleId="IntenseEmphasis">
    <w:name w:val="Intense Emphasis"/>
    <w:basedOn w:val="DefaultParagraphFont"/>
    <w:uiPriority w:val="21"/>
    <w:qFormat/>
    <w:rsid w:val="005C1E65"/>
    <w:rPr>
      <w:i/>
      <w:iCs/>
      <w:color w:val="0F4761" w:themeColor="accent1" w:themeShade="BF"/>
    </w:rPr>
  </w:style>
  <w:style w:type="paragraph" w:styleId="IntenseQuote">
    <w:name w:val="Intense Quote"/>
    <w:basedOn w:val="Normal"/>
    <w:next w:val="Normal"/>
    <w:link w:val="IntenseQuoteChar"/>
    <w:uiPriority w:val="30"/>
    <w:qFormat/>
    <w:rsid w:val="005C1E65"/>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5C1E65"/>
    <w:rPr>
      <w:i/>
      <w:iCs/>
      <w:color w:val="0F4761" w:themeColor="accent1" w:themeShade="BF"/>
    </w:rPr>
  </w:style>
  <w:style w:type="character" w:styleId="IntenseReference">
    <w:name w:val="Intense Reference"/>
    <w:basedOn w:val="DefaultParagraphFont"/>
    <w:uiPriority w:val="32"/>
    <w:qFormat/>
    <w:rsid w:val="005C1E65"/>
    <w:rPr>
      <w:b/>
      <w:bCs/>
      <w:smallCaps/>
      <w:color w:val="0F4761" w:themeColor="accent1" w:themeShade="BF"/>
      <w:spacing w:val="5"/>
    </w:rPr>
  </w:style>
  <w:style w:type="paragraph" w:styleId="Header">
    <w:name w:val="header"/>
    <w:basedOn w:val="Normal"/>
    <w:link w:val="HeaderChar"/>
    <w:uiPriority w:val="99"/>
    <w:unhideWhenUsed/>
    <w:rsid w:val="00DC7AE0"/>
    <w:pPr>
      <w:tabs>
        <w:tab w:val="center" w:pos="4513"/>
        <w:tab w:val="right" w:pos="9026"/>
      </w:tabs>
      <w:spacing w:after="0" w:line="240" w:lineRule="auto"/>
    </w:pPr>
  </w:style>
  <w:style w:type="character" w:styleId="HeaderChar" w:customStyle="1">
    <w:name w:val="Header Char"/>
    <w:basedOn w:val="DefaultParagraphFont"/>
    <w:link w:val="Header"/>
    <w:uiPriority w:val="99"/>
    <w:rsid w:val="00DC7AE0"/>
  </w:style>
  <w:style w:type="paragraph" w:styleId="Footer">
    <w:name w:val="footer"/>
    <w:basedOn w:val="Normal"/>
    <w:link w:val="FooterChar"/>
    <w:uiPriority w:val="99"/>
    <w:unhideWhenUsed/>
    <w:rsid w:val="00DC7AE0"/>
    <w:pPr>
      <w:tabs>
        <w:tab w:val="center" w:pos="4513"/>
        <w:tab w:val="right" w:pos="9026"/>
      </w:tabs>
      <w:spacing w:after="0" w:line="240" w:lineRule="auto"/>
    </w:pPr>
  </w:style>
  <w:style w:type="character" w:styleId="FooterChar" w:customStyle="1">
    <w:name w:val="Footer Char"/>
    <w:basedOn w:val="DefaultParagraphFont"/>
    <w:link w:val="Footer"/>
    <w:uiPriority w:val="99"/>
    <w:rsid w:val="00DC7AE0"/>
  </w:style>
  <w:style w:type="character" w:styleId="Hyperlink">
    <w:name w:val="Hyperlink"/>
    <w:basedOn w:val="DefaultParagraphFont"/>
    <w:uiPriority w:val="99"/>
    <w:unhideWhenUsed/>
    <w:rsid w:val="007F4820"/>
    <w:rPr>
      <w:color w:val="467886" w:themeColor="hyperlink"/>
      <w:u w:val="single"/>
    </w:rPr>
  </w:style>
  <w:style w:type="character" w:styleId="UnresolvedMention">
    <w:name w:val="Unresolved Mention"/>
    <w:basedOn w:val="DefaultParagraphFont"/>
    <w:uiPriority w:val="99"/>
    <w:semiHidden/>
    <w:unhideWhenUsed/>
    <w:rsid w:val="007F4820"/>
    <w:rPr>
      <w:color w:val="605E5C"/>
      <w:shd w:val="clear" w:color="auto" w:fill="E1DFDD"/>
    </w:rPr>
  </w:style>
  <w:style w:type="character" w:styleId="PlaceholderText">
    <w:uiPriority w:val="99"/>
    <w:name w:val="Placeholder Text"/>
    <w:basedOn w:val="DefaultParagraphFont"/>
    <w:semiHidden/>
    <w:rsid w:val="3AF73875"/>
    <w:rPr>
      <w:color w:val="666666"/>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footer" Target="footer1.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fontTable" Target="fontTable.xml" Id="rId19" /><Relationship Type="http://schemas.openxmlformats.org/officeDocument/2006/relationships/settings" Target="settings.xml" Id="rId4" /><Relationship Type="http://schemas.openxmlformats.org/officeDocument/2006/relationships/header" Target="header.xml" Id="R9ad08b3b41b04d3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533DD1-020E-496A-A6C8-91CD7E7DC29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Haris Khan</dc:creator>
  <keywords/>
  <dc:description/>
  <lastModifiedBy>Haris Khan (2525297)</lastModifiedBy>
  <revision>3</revision>
  <dcterms:created xsi:type="dcterms:W3CDTF">2026-07-21T01:23:00.0000000Z</dcterms:created>
  <dcterms:modified xsi:type="dcterms:W3CDTF">2026-07-24T00:17:26.4477679Z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3439ea7a-ae4f-41e8-8ab0-411ff768b069</vt:lpwstr>
  </property>
</Properties>
</file>