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方正仿宋简体" w:cs="Times New Roman"/>
          <w:b/>
          <w:bCs/>
          <w:i w:val="0"/>
          <w:iCs w:val="0"/>
          <w:color w:val="0000FF"/>
          <w:sz w:val="44"/>
          <w:szCs w:val="44"/>
        </w:rPr>
      </w:pPr>
    </w:p>
    <w:p>
      <w:pPr>
        <w:jc w:val="center"/>
        <w:rPr>
          <w:rFonts w:hint="default" w:ascii="Times New Roman" w:hAnsi="Times New Roman" w:eastAsia="方正仿宋简体" w:cs="Times New Roman"/>
          <w:b/>
          <w:bCs/>
          <w:i w:val="0"/>
          <w:iCs w:val="0"/>
          <w:color w:val="0000FF"/>
          <w:sz w:val="44"/>
          <w:szCs w:val="44"/>
        </w:rPr>
      </w:pPr>
    </w:p>
    <w:p>
      <w:pPr>
        <w:jc w:val="center"/>
        <w:rPr>
          <w:rFonts w:hint="default" w:ascii="Times New Roman" w:hAnsi="Times New Roman" w:eastAsia="方正小标宋简体" w:cs="Times New Roman"/>
          <w:b/>
          <w:bCs/>
          <w:i w:val="0"/>
          <w:iCs w:val="0"/>
          <w:color w:val="0000FF"/>
          <w:sz w:val="40"/>
          <w:szCs w:val="48"/>
        </w:rPr>
      </w:pPr>
      <w:r>
        <w:rPr>
          <w:rFonts w:hint="default" w:ascii="Times New Roman" w:hAnsi="Times New Roman" w:eastAsia="方正仿宋简体" w:cs="Times New Roman"/>
          <w:b/>
          <w:bCs/>
          <w:i w:val="0"/>
          <w:iCs w:val="0"/>
          <w:color w:val="0000FF"/>
          <w:sz w:val="44"/>
          <w:szCs w:val="44"/>
        </w:rPr>
        <w:t>Improving performance starts with itself</w:t>
      </w:r>
    </w:p>
    <w:p>
      <w:pPr>
        <w:spacing w:line="480" w:lineRule="auto"/>
        <w:jc w:val="both"/>
        <w:rPr>
          <w:rFonts w:ascii="Times New Roman" w:hAnsi="Times New Roman" w:eastAsia="方正仿宋简体" w:cs="Times New Roman"/>
          <w:b/>
          <w:bCs/>
          <w:i/>
          <w:iCs/>
          <w:color w:val="FF0000"/>
          <w:sz w:val="40"/>
          <w:szCs w:val="40"/>
        </w:rPr>
      </w:pPr>
    </w:p>
    <w:p/>
    <w:p/>
    <w:p/>
    <w:p/>
    <w:p/>
    <w:p>
      <w:r>
        <w:drawing>
          <wp:inline distT="0" distB="0" distL="114300" distR="114300">
            <wp:extent cx="6189345" cy="4154805"/>
            <wp:effectExtent l="0" t="0" r="13335" b="571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12343" b="24566"/>
                    <a:stretch>
                      <a:fillRect/>
                    </a:stretch>
                  </pic:blipFill>
                  <pic:spPr>
                    <a:xfrm>
                      <a:off x="0" y="0"/>
                      <a:ext cx="6189345" cy="4154805"/>
                    </a:xfrm>
                    <a:prstGeom prst="rect">
                      <a:avLst/>
                    </a:prstGeom>
                  </pic:spPr>
                </pic:pic>
              </a:graphicData>
            </a:graphic>
          </wp:inline>
        </w:drawing>
      </w:r>
    </w:p>
    <w:p/>
    <w:p/>
    <w:p/>
    <w:p>
      <w:pPr>
        <w:ind w:firstLine="281" w:firstLineChars="100"/>
        <w:rPr>
          <w:rFonts w:ascii="Times New Roman" w:hAnsi="Times New Roman" w:eastAsia="方正仿宋简体" w:cs="Times New Roman"/>
          <w:b/>
          <w:bCs/>
          <w:color w:val="0000FF"/>
          <w:sz w:val="28"/>
          <w:szCs w:val="28"/>
          <w:lang w:eastAsia="en-GB"/>
        </w:rPr>
      </w:pPr>
      <w:r>
        <w:rPr>
          <w:rFonts w:ascii="Times New Roman" w:hAnsi="Times New Roman" w:eastAsia="方正仿宋简体" w:cs="Times New Roman"/>
          <w:b/>
          <w:bCs/>
          <w:color w:val="0000FF"/>
          <w:sz w:val="28"/>
          <w:szCs w:val="28"/>
        </w:rPr>
        <w:t xml:space="preserve">MODULE NAME: </w:t>
      </w:r>
      <w:r>
        <w:rPr>
          <w:rFonts w:hint="eastAsia" w:ascii="Times New Roman" w:hAnsi="Times New Roman" w:eastAsia="方正仿宋简体" w:cs="Times New Roman"/>
          <w:b/>
          <w:bCs/>
          <w:color w:val="0000FF"/>
          <w:sz w:val="28"/>
          <w:szCs w:val="28"/>
          <w:lang w:val="en-US" w:eastAsia="zh-CN"/>
        </w:rPr>
        <w:t xml:space="preserve"> </w:t>
      </w:r>
      <w:r>
        <w:rPr>
          <w:rFonts w:ascii="Times New Roman" w:hAnsi="Times New Roman" w:eastAsia="方正仿宋简体" w:cs="Times New Roman"/>
          <w:b/>
          <w:bCs/>
          <w:color w:val="0000FF"/>
          <w:sz w:val="28"/>
          <w:szCs w:val="28"/>
        </w:rPr>
        <w:t>Human Resource Management</w:t>
      </w:r>
      <w:r>
        <w:rPr>
          <w:rFonts w:ascii="Times New Roman" w:hAnsi="Times New Roman" w:eastAsia="方正仿宋简体" w:cs="Times New Roman"/>
          <w:b/>
          <w:bCs/>
          <w:color w:val="0000FF"/>
          <w:sz w:val="28"/>
          <w:szCs w:val="28"/>
          <w:lang w:eastAsia="en-GB"/>
        </w:rPr>
        <w:t>(</w:t>
      </w:r>
      <w:r>
        <w:rPr>
          <w:rFonts w:ascii="Times New Roman" w:hAnsi="Times New Roman" w:eastAsia="方正仿宋简体" w:cs="Times New Roman"/>
          <w:b/>
          <w:bCs/>
          <w:color w:val="0000FF"/>
          <w:sz w:val="28"/>
          <w:szCs w:val="28"/>
        </w:rPr>
        <w:t>BMMB7007</w:t>
      </w:r>
      <w:r>
        <w:rPr>
          <w:rFonts w:ascii="Times New Roman" w:hAnsi="Times New Roman" w:eastAsia="方正仿宋简体" w:cs="Times New Roman"/>
          <w:b/>
          <w:bCs/>
          <w:color w:val="0000FF"/>
          <w:sz w:val="28"/>
          <w:szCs w:val="28"/>
          <w:lang w:eastAsia="en-GB"/>
        </w:rPr>
        <w:t>)</w:t>
      </w:r>
    </w:p>
    <w:p>
      <w:pPr>
        <w:ind w:firstLine="281" w:firstLineChars="100"/>
        <w:rPr>
          <w:rFonts w:ascii="Times New Roman" w:hAnsi="Times New Roman" w:eastAsia="方正仿宋简体" w:cs="Times New Roman"/>
          <w:b/>
          <w:bCs/>
          <w:color w:val="0000FF"/>
          <w:sz w:val="28"/>
          <w:szCs w:val="28"/>
        </w:rPr>
      </w:pPr>
      <w:r>
        <w:rPr>
          <w:rFonts w:ascii="Times New Roman" w:hAnsi="Times New Roman" w:eastAsia="方正仿宋简体" w:cs="Times New Roman"/>
          <w:b/>
          <w:bCs/>
          <w:color w:val="0000FF"/>
          <w:sz w:val="28"/>
          <w:szCs w:val="28"/>
        </w:rPr>
        <w:t>NAME:           Hongcheng Lv</w:t>
      </w:r>
    </w:p>
    <w:p>
      <w:pPr>
        <w:ind w:firstLine="281" w:firstLineChars="100"/>
        <w:rPr>
          <w:rFonts w:ascii="Times New Roman" w:hAnsi="Times New Roman" w:eastAsia="方正仿宋简体" w:cs="Times New Roman"/>
          <w:b/>
          <w:bCs/>
          <w:sz w:val="28"/>
          <w:szCs w:val="28"/>
        </w:rPr>
      </w:pPr>
      <w:r>
        <w:rPr>
          <w:rFonts w:ascii="Times New Roman" w:hAnsi="Times New Roman" w:eastAsia="方正仿宋简体" w:cs="Times New Roman"/>
          <w:b/>
          <w:bCs/>
          <w:color w:val="0000FF"/>
          <w:sz w:val="28"/>
          <w:szCs w:val="28"/>
        </w:rPr>
        <w:t>STUDENT NUMBER:2218228</w:t>
      </w:r>
      <w:r>
        <w:rPr>
          <w:rFonts w:ascii="Times New Roman" w:hAnsi="Times New Roman" w:eastAsia="方正仿宋简体" w:cs="Times New Roman"/>
          <w:b/>
          <w:bCs/>
          <w:sz w:val="28"/>
          <w:szCs w:val="28"/>
        </w:rPr>
        <w:br w:type="page"/>
      </w:r>
    </w:p>
    <w:p>
      <w:pPr>
        <w:jc w:val="left"/>
        <w:rPr>
          <w:rFonts w:hint="eastAsia" w:ascii="Times New Roman" w:hAnsi="Times New Roman" w:eastAsia="宋体" w:cs="Times New Roman"/>
          <w:b/>
          <w:bCs/>
          <w:sz w:val="36"/>
          <w:szCs w:val="36"/>
          <w:lang w:val="en-US" w:eastAsia="zh-CN"/>
        </w:rPr>
      </w:pPr>
    </w:p>
    <w:p>
      <w:pPr>
        <w:jc w:val="left"/>
        <w:rPr>
          <w:rFonts w:hint="eastAsia" w:ascii="Times New Roman" w:hAnsi="Times New Roman" w:eastAsia="宋体" w:cs="Times New Roman"/>
          <w:b/>
          <w:bCs/>
          <w:sz w:val="36"/>
          <w:szCs w:val="36"/>
          <w:lang w:val="en-US" w:eastAsia="zh-CN"/>
        </w:rPr>
      </w:pPr>
    </w:p>
    <w:p>
      <w:pPr>
        <w:jc w:val="left"/>
        <w:rPr>
          <w:rFonts w:hint="eastAsia" w:ascii="Times New Roman" w:hAnsi="Times New Roman" w:eastAsia="宋体" w:cs="Times New Roman"/>
          <w:b/>
          <w:bCs/>
          <w:sz w:val="36"/>
          <w:szCs w:val="36"/>
          <w:lang w:val="en-US" w:eastAsia="zh-CN"/>
        </w:rPr>
      </w:pPr>
    </w:p>
    <w:p>
      <w:pPr>
        <w:jc w:val="left"/>
        <w:rPr>
          <w:rFonts w:hint="default" w:ascii="Times New Roman" w:hAnsi="Times New Roman" w:eastAsia="宋体" w:cs="Times New Roman"/>
          <w:b/>
          <w:bCs/>
          <w:sz w:val="36"/>
          <w:szCs w:val="36"/>
          <w:lang w:val="en-US" w:eastAsia="zh-CN"/>
        </w:rPr>
      </w:pPr>
      <w:r>
        <w:rPr>
          <w:rFonts w:hint="eastAsia" w:ascii="Times New Roman" w:hAnsi="Times New Roman" w:eastAsia="宋体" w:cs="Times New Roman"/>
          <w:b/>
          <w:bCs/>
          <w:sz w:val="36"/>
          <w:szCs w:val="36"/>
          <w:lang w:val="en-US" w:eastAsia="zh-CN"/>
        </w:rPr>
        <w:t>V</w:t>
      </w:r>
      <w:r>
        <w:rPr>
          <w:rFonts w:hint="default" w:ascii="Times New Roman" w:hAnsi="Times New Roman" w:eastAsia="宋体" w:cs="Times New Roman"/>
          <w:b/>
          <w:bCs/>
          <w:sz w:val="36"/>
          <w:szCs w:val="36"/>
        </w:rPr>
        <w:t>ideo presentation</w:t>
      </w:r>
      <w:r>
        <w:rPr>
          <w:rFonts w:hint="default" w:ascii="Times New Roman" w:hAnsi="Times New Roman" w:eastAsia="宋体" w:cs="Times New Roman"/>
          <w:b/>
          <w:bCs/>
          <w:sz w:val="36"/>
          <w:szCs w:val="36"/>
          <w:lang w:val="en-US" w:eastAsia="zh-CN"/>
        </w:rPr>
        <w:t xml:space="preserve"> link:</w:t>
      </w:r>
    </w:p>
    <w:p>
      <w:pPr>
        <w:jc w:val="left"/>
        <w:rPr>
          <w:rFonts w:hint="default" w:ascii="Times New Roman" w:hAnsi="Times New Roman" w:eastAsia="宋体" w:cs="Times New Roman"/>
          <w:b/>
          <w:bCs/>
          <w:sz w:val="36"/>
          <w:szCs w:val="36"/>
          <w:lang w:val="en-US" w:eastAsia="zh-CN"/>
        </w:rPr>
      </w:pPr>
    </w:p>
    <w:p>
      <w:pPr>
        <w:jc w:val="left"/>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"https://web.microsoftstream.com/video/7dc594ab-b4ab-4584-a6a8-4daf4bb2c865?list=studio" </w:instrText>
      </w:r>
      <w:r>
        <w:rPr>
          <w:rFonts w:hint="eastAsia" w:ascii="宋体" w:hAnsi="宋体" w:eastAsia="宋体" w:cs="宋体"/>
          <w:sz w:val="36"/>
          <w:szCs w:val="36"/>
        </w:rPr>
        <w:fldChar w:fldCharType="separate"/>
      </w:r>
      <w:r>
        <w:rPr>
          <w:rStyle w:val="9"/>
          <w:rFonts w:hint="eastAsia" w:ascii="宋体" w:hAnsi="宋体" w:eastAsia="宋体" w:cs="宋体"/>
          <w:sz w:val="36"/>
          <w:szCs w:val="36"/>
        </w:rPr>
        <w:t>https://web.microsoftstream.com/video/7dc594ab-b4ab-4584-a6a8-4daf4bb2c865?list=studio</w:t>
      </w:r>
      <w:r>
        <w:rPr>
          <w:rFonts w:hint="eastAsia" w:ascii="宋体" w:hAnsi="宋体" w:eastAsia="宋体" w:cs="宋体"/>
          <w:sz w:val="36"/>
          <w:szCs w:val="36"/>
        </w:rPr>
        <w:fldChar w:fldCharType="end"/>
      </w:r>
    </w:p>
    <w:p>
      <w:pPr>
        <w:jc w:val="left"/>
        <w:rPr>
          <w:rFonts w:hint="eastAsia" w:ascii="宋体" w:hAnsi="宋体" w:eastAsia="宋体" w:cs="宋体"/>
          <w:sz w:val="36"/>
          <w:szCs w:val="36"/>
        </w:rPr>
      </w:pPr>
      <w:r>
        <w:rPr>
          <w:rFonts w:hint="eastAsia" w:ascii="宋体" w:hAnsi="宋体" w:eastAsia="宋体" w:cs="宋体"/>
          <w:sz w:val="36"/>
          <w:szCs w:val="36"/>
        </w:rPr>
        <w:br w:type="page"/>
      </w:r>
    </w:p>
    <w:p>
      <w:pPr>
        <w:jc w:val="both"/>
        <w:rPr>
          <w:rFonts w:hint="default" w:ascii="宋体" w:hAnsi="宋体" w:eastAsia="宋体" w:cs="宋体"/>
          <w:b/>
          <w:bCs/>
          <w:sz w:val="28"/>
          <w:szCs w:val="28"/>
        </w:rPr>
      </w:pPr>
    </w:p>
    <w:p>
      <w:pPr>
        <w:jc w:val="center"/>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Contents</w:t>
      </w:r>
    </w:p>
    <w:sdt>
      <w:sdtPr>
        <w:rPr>
          <w:rFonts w:ascii="宋体" w:hAnsi="宋体" w:eastAsia="宋体" w:cstheme="minorBidi"/>
          <w:kern w:val="2"/>
          <w:sz w:val="21"/>
          <w:szCs w:val="24"/>
          <w:lang w:val="en-US" w:eastAsia="zh-CN" w:bidi="ar-SA"/>
        </w:rPr>
        <w:id w:val="147466486"/>
        <w15:color w:val="DBDBDB"/>
        <w:docPartObj>
          <w:docPartGallery w:val="Table of Contents"/>
          <w:docPartUnique/>
        </w:docPartObj>
      </w:sdtPr>
      <w:sdtContent>
        <w:p>
          <w:pPr>
            <w:spacing w:before="0" w:beforeLines="0" w:after="0" w:afterLines="0" w:line="240" w:lineRule="auto"/>
            <w:ind w:left="0" w:leftChars="0" w:right="0" w:rightChars="0" w:firstLine="0" w:firstLineChars="0"/>
            <w:jc w:val="center"/>
          </w:pPr>
        </w:p>
        <w:p>
          <w:pPr>
            <w:pStyle w:val="11"/>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_Toc32486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Overall arrangement of Huawei's Human Resources Department's skills improvement plan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_Toc32486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1"/>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_Toc30870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Optimize the work orientation of the Human Resources Management Department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_Toc30870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1"/>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_Toc3886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 Skills upgrading actions of the Human Resources Department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_Toc3886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_Toc17313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Improve strategy-based human capital management capabilities and reduce the influence of founders on business operations and performance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_Toc29702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3.2 Improve the design ability of advanced incentive mechanisms and strengthen long-term incentives for organizations and individuals.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_Toc29702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_Toc5706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3.3 Improve data analysis and interpretation capabilities, and further highlight the result orientation of performance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_Toc5706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_Toc32535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3.4 Improve human resources compliance management capabilities and create a fairer employment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_Toc32535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_Toc22544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3.5 Improve workflow optimization management capabilities and reduce excessive internal competition.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1"/>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_Toc19573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_Toc19573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1"/>
            <w:keepNext w:val="0"/>
            <w:keepLines w:val="0"/>
            <w:pageBreakBefore w:val="0"/>
            <w:widowControl/>
            <w:tabs>
              <w:tab w:val="right" w:leader="dot" w:pos="8306"/>
            </w:tabs>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_Toc1283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sz w:val="24"/>
              <w:szCs w:val="24"/>
            </w:rPr>
            <w:t>References</w:t>
          </w:r>
          <w:r>
            <w:rPr>
              <w:rFonts w:hint="default" w:ascii="Times New Roman" w:hAnsi="Times New Roman" w:eastAsia="宋体" w:cs="Times New Roman"/>
              <w:bCs/>
              <w:sz w:val="24"/>
              <w:szCs w:val="24"/>
              <w:lang w:eastAsia="zh-CN"/>
            </w:rPr>
            <w: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keepNext w:val="0"/>
            <w:keepLines w:val="0"/>
            <w:pageBreakBefore w:val="0"/>
            <w:widowControl/>
            <w:kinsoku/>
            <w:wordWrap/>
            <w:overflowPunct/>
            <w:topLinePunct w:val="0"/>
            <w:autoSpaceDE/>
            <w:autoSpaceDN/>
            <w:bidi w:val="0"/>
            <w:adjustRightInd/>
            <w:snapToGrid/>
            <w:spacing w:line="480" w:lineRule="auto"/>
            <w:ind w:leftChars="0"/>
            <w:textAlignment w:val="auto"/>
          </w:pPr>
          <w:r>
            <w:rPr>
              <w:rFonts w:hint="default" w:ascii="Times New Roman" w:hAnsi="Times New Roman" w:cs="Times New Roman"/>
              <w:sz w:val="24"/>
              <w:szCs w:val="24"/>
            </w:rPr>
            <w:fldChar w:fldCharType="end"/>
          </w:r>
        </w:p>
      </w:sdtContent>
    </w:sdt>
    <w:p>
      <w:pPr>
        <w:rPr>
          <w:rFonts w:ascii="Times New Roman" w:hAnsi="Times New Roman" w:eastAsia="方正仿宋简体" w:cs="Times New Roman"/>
          <w:b/>
          <w:bCs/>
          <w:sz w:val="28"/>
          <w:szCs w:val="28"/>
        </w:rPr>
      </w:pPr>
      <w:r>
        <w:rPr>
          <w:rFonts w:ascii="Times New Roman" w:hAnsi="Times New Roman" w:eastAsia="方正仿宋简体" w:cs="Times New Roman"/>
          <w:b/>
          <w:bCs/>
          <w:sz w:val="28"/>
          <w:szCs w:val="28"/>
        </w:rPr>
        <w:br w:type="page"/>
      </w:r>
    </w:p>
    <w:p>
      <w:pPr>
        <w:jc w:val="center"/>
        <w:rPr>
          <w:rFonts w:ascii="Times New Roman" w:hAnsi="Times New Roman" w:eastAsia="方正仿宋简体" w:cs="Times New Roman"/>
          <w:b/>
          <w:bCs/>
          <w:sz w:val="28"/>
          <w:szCs w:val="28"/>
        </w:rPr>
      </w:pPr>
    </w:p>
    <w:p>
      <w:pPr>
        <w:jc w:val="center"/>
        <w:rPr>
          <w:rFonts w:hint="default" w:ascii="Times New Roman" w:hAnsi="Times New Roman" w:eastAsia="方正小标宋简体" w:cs="Times New Roman"/>
          <w:b/>
          <w:bCs/>
          <w:sz w:val="36"/>
          <w:szCs w:val="44"/>
        </w:rPr>
      </w:pPr>
      <w:r>
        <w:rPr>
          <w:rFonts w:hint="default" w:ascii="Times New Roman" w:hAnsi="Times New Roman" w:eastAsia="方正小标宋简体" w:cs="Times New Roman"/>
          <w:b/>
          <w:bCs/>
          <w:sz w:val="36"/>
          <w:szCs w:val="44"/>
        </w:rPr>
        <w:t>Improving performance starts with itself</w:t>
      </w:r>
    </w:p>
    <w:p>
      <w:pPr>
        <w:jc w:val="center"/>
        <w:rPr>
          <w:rFonts w:hint="default" w:ascii="Times New Roman" w:hAnsi="Times New Roman" w:eastAsia="方正小标宋简体" w:cs="Times New Roman"/>
          <w:b/>
          <w:bCs/>
          <w:sz w:val="24"/>
          <w:szCs w:val="32"/>
        </w:rPr>
      </w:pPr>
      <w:r>
        <w:rPr>
          <w:rFonts w:hint="default" w:ascii="Times New Roman" w:hAnsi="Times New Roman" w:eastAsia="方正小标宋简体" w:cs="Times New Roman"/>
          <w:b/>
          <w:bCs/>
          <w:sz w:val="24"/>
          <w:szCs w:val="32"/>
        </w:rPr>
        <w:t>——Huawei Group Human Resources Department Skills Upgrading Program</w:t>
      </w:r>
    </w:p>
    <w:p>
      <w:pPr>
        <w:rPr>
          <w:rFonts w:hint="eastAsia"/>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 xml:space="preserve">In assignment 1, with the theme of "Performance Management for Continuous Improvement", I conducted a systematic study on the performance management system of Huawei Group, confirmed that the advantage area of human resource management of Huawei Group is performance management, and put forward five suggestions for optimizing the performance management system of Huawei Group. These recommendations are as follows: 1. Weaken the influence of founders on business operations and performance management; </w:t>
      </w:r>
      <w:r>
        <w:rPr>
          <w:rFonts w:hint="eastAsia" w:ascii="Times New Roman" w:hAnsi="Times New Roman" w:cs="Times New Roman"/>
          <w:sz w:val="24"/>
          <w:szCs w:val="32"/>
          <w:lang w:val="en-US" w:eastAsia="zh-CN"/>
        </w:rPr>
        <w:t>2.</w:t>
      </w:r>
      <w:r>
        <w:rPr>
          <w:rFonts w:hint="default" w:ascii="Times New Roman" w:hAnsi="Times New Roman" w:cs="Times New Roman"/>
          <w:sz w:val="24"/>
          <w:szCs w:val="32"/>
        </w:rPr>
        <w:t xml:space="preserve"> Explore long-term incentives for organizations and individuals. 3. Further highlight the result orientation of performance management. 4. Prudently adopt the last-place elimination system. 5. Reduce excessive internal competition.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As Huawei's performance management function, the Human Resources Department plays an important role in the allocation and performance appraisal of the entire Group. How to improve the work skills of the human resources department of Huawei Group to better improve Huawei's organizational performance is an important content to be discussed in this session. Therefore, I have formulated the Huawei's Human Resources Department Skills Improvement Plan, which will help optimize the strategic positioning of the Human Resources Department, and implement five key skills improvement actions for the performance management system.</w:t>
      </w:r>
    </w:p>
    <w:p>
      <w:pPr>
        <w:pStyle w:val="2"/>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rPr>
      </w:pPr>
      <w:bookmarkStart w:id="0" w:name="_Toc32486"/>
      <w:r>
        <w:rPr>
          <w:rFonts w:hint="default" w:ascii="Times New Roman" w:hAnsi="Times New Roman" w:cs="Times New Roman"/>
          <w:b/>
          <w:sz w:val="24"/>
          <w:szCs w:val="24"/>
        </w:rPr>
        <w:t>1. Overall arrangement of Huawei's Human Resources Department's skills improvement plan</w:t>
      </w:r>
      <w:bookmarkEnd w:id="0"/>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Huawei's Human Resources Department Skills Enhancement Program is an overall arrangement to help Huawei achieve its strategic development goals, as well as the following plans: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6"/>
        <w:gridCol w:w="5160"/>
        <w:gridCol w:w="2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serial number</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Action Plan</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Timing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1</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Optimize the work positioning of the human resources management department</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May 2023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Human Resources Skills Enhancement Initiative</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June-October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2.1</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Improve strategy-based human capital management capabilities</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June 2023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2.2</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Improve the ability to design advanced incentive mechanisms</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July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2.3</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Improve data analysis and interpretation capabilities</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August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2.4</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Improve HR compliance management capabilities</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September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2.5</w:t>
            </w:r>
          </w:p>
        </w:tc>
        <w:tc>
          <w:tcPr>
            <w:tcW w:w="5160"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Improve workflow optimization management</w:t>
            </w:r>
          </w:p>
        </w:tc>
        <w:tc>
          <w:tcPr>
            <w:tcW w:w="2166" w:type="dxa"/>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October 2023</w:t>
            </w:r>
          </w:p>
        </w:tc>
      </w:tr>
    </w:tbl>
    <w:p>
      <w:pPr>
        <w:pStyle w:val="2"/>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rPr>
      </w:pPr>
      <w:bookmarkStart w:id="1" w:name="_Toc30870"/>
      <w:r>
        <w:rPr>
          <w:rFonts w:hint="default" w:ascii="Times New Roman" w:hAnsi="Times New Roman" w:cs="Times New Roman"/>
          <w:b/>
          <w:sz w:val="24"/>
          <w:szCs w:val="24"/>
        </w:rPr>
        <w:t>2. Optimize the work orientation of the Human Resources Management Department</w:t>
      </w:r>
      <w:bookmarkEnd w:id="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Human resources are the first resource of an enterprise and the first resource of innovation and development. Traditional human resource management has many limitations, often focusing on basic work such as talent development, training, salary management and assessment, while ignoring the full integration with the business. Therefore, based on the Huawei Group's business development strategy, I used IBM's Business Leadership Model</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IGI Global</w:t>
      </w:r>
      <w:r>
        <w:rPr>
          <w:rFonts w:hint="eastAsia" w:ascii="Times New Roman" w:hAnsi="Times New Roman" w:cs="Times New Roman"/>
          <w:sz w:val="24"/>
          <w:szCs w:val="32"/>
          <w:lang w:val="en-US" w:eastAsia="zh-CN"/>
        </w:rPr>
        <w:t>,2021)</w:t>
      </w:r>
      <w:r>
        <w:rPr>
          <w:rFonts w:hint="default" w:ascii="Times New Roman" w:hAnsi="Times New Roman" w:cs="Times New Roman"/>
          <w:sz w:val="24"/>
          <w:szCs w:val="32"/>
        </w:rPr>
        <w:t xml:space="preserve"> to optimize the positioning of Huawei's Human Resources Management Department and clarify that human resources are business-driven partners. Business-driven human resource management means that business first, the direction of work is business strategy, human resource management is a tool to support better business landing, human resources work should create value for the company, to avoid human resources work from the main business development needs.</w:t>
      </w:r>
    </w:p>
    <w:p>
      <w:pPr>
        <w:pStyle w:val="2"/>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rPr>
      </w:pPr>
      <w:bookmarkStart w:id="2" w:name="_Toc3886"/>
      <w:r>
        <w:rPr>
          <w:rFonts w:hint="default" w:ascii="Times New Roman" w:hAnsi="Times New Roman" w:cs="Times New Roman"/>
          <w:b/>
          <w:sz w:val="24"/>
          <w:szCs w:val="24"/>
        </w:rPr>
        <w:t>3. Skills upgrading actions of the Human Resources Department</w:t>
      </w:r>
      <w:bookmarkEnd w:id="2"/>
    </w:p>
    <w:p>
      <w:pPr>
        <w:pStyle w:val="3"/>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sz w:val="24"/>
          <w:szCs w:val="24"/>
        </w:rPr>
      </w:pPr>
      <w:bookmarkStart w:id="3" w:name="_Toc17313"/>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Improve strategy-based human capital management capabilities and reduce the influence of founders on business operations and performance management.</w:t>
      </w:r>
      <w:bookmarkEnd w:id="3"/>
      <w:r>
        <w:rPr>
          <w:rFonts w:hint="default" w:ascii="Times New Roman" w:hAnsi="Times New Roman" w:cs="Times New Roman"/>
          <w:sz w:val="24"/>
          <w:szCs w:val="24"/>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Strategic thinking is the basic quality that human resource practitioners should have, excellent human resource managers should not only have solid human resources professional knowledge, but also should cultivate their own strategic thinking, human capital conforms to the strategic development of enterprises, so that the organization's resource allocation is more efficient, and has a positive effect on improving the ability of enterprises to adapt to market changes. For example, Bain &amp; Company, McKinsey &amp; Company, world-renowned consulting companies, human capital is the core asset of an enterprise, and enhancing enterprise value by enhancing the value of people is an important inspiration for Huawei Group. The human resources department plans to systematically learn personal behavior, organizational behavior and cutting-edge human resources methodology through one year, and conduct systematic research on authorization management, management differentiation, execution, etc. that affect enterprise operations, and the main backbone personnel will become human resources experts, so that through human resources optimization and mechanism design, not only let human resources meet the needs of business development, but also drive the optimization and transformation of business development direction and improve the efficiency of enterprise development</w:t>
      </w:r>
      <w:r>
        <w:rPr>
          <w:rFonts w:hint="eastAsia" w:ascii="Times New Roman" w:hAnsi="Times New Roman" w:cs="Times New Roman"/>
          <w:sz w:val="24"/>
          <w:szCs w:val="32"/>
          <w:lang w:eastAsia="zh-CN"/>
        </w:rPr>
        <w:t>（</w:t>
      </w:r>
      <w:r>
        <w:rPr>
          <w:rFonts w:hint="default" w:ascii="Times New Roman" w:hAnsi="Times New Roman" w:cs="Times New Roman"/>
          <w:sz w:val="24"/>
          <w:szCs w:val="32"/>
        </w:rPr>
        <w:t>Kareem, M.A. and Mijbas, H.A.</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2019</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w:t>
      </w:r>
    </w:p>
    <w:p>
      <w:pPr>
        <w:pStyle w:val="3"/>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lang w:val="en-US" w:eastAsia="zh-CN"/>
        </w:rPr>
      </w:pPr>
      <w:bookmarkStart w:id="4" w:name="_Toc29702"/>
      <w:r>
        <w:rPr>
          <w:rFonts w:hint="eastAsia" w:ascii="Times New Roman" w:hAnsi="Times New Roman" w:cs="Times New Roman"/>
          <w:b/>
          <w:sz w:val="24"/>
          <w:szCs w:val="24"/>
          <w:lang w:val="en-US" w:eastAsia="zh-CN"/>
        </w:rPr>
        <w:t>3.2</w:t>
      </w:r>
      <w:r>
        <w:rPr>
          <w:rFonts w:hint="default" w:ascii="Times New Roman" w:hAnsi="Times New Roman" w:cs="Times New Roman"/>
          <w:b/>
          <w:sz w:val="24"/>
          <w:szCs w:val="24"/>
          <w:lang w:val="en-US" w:eastAsia="zh-CN"/>
        </w:rPr>
        <w:t xml:space="preserve"> Improve the design ability of advanced incentive mechanisms and strengthen long-term incentives for organizations and individuals.</w:t>
      </w:r>
      <w:bookmarkEnd w:id="4"/>
      <w:r>
        <w:rPr>
          <w:rFonts w:hint="default" w:ascii="Times New Roman" w:hAnsi="Times New Roman" w:cs="Times New Roman"/>
          <w:b/>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According to Maslow's hierarchy of needs, self-actualization and self-transcendence are at the top of the pyramid of the hierarchy of needs, which are the high-level needs of people in society and the universal goals pursued by individuals in organizations</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 xml:space="preserve">Pichère,P., Cadiat, A.-C. and Probert, C. </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2015). Human resource managers should not only become the watchmen of talents, but also become boosters to help individuals grow and succeed. At Huawei, stock options serve as a core long-term incentive, but they do not inspire cultural recognition among employees. Therefore, the human resources department should reflect on the effectiveness and adequacy of incentive measures, skillfully use incentive measures such as target incentives, establishing benchmarks, two-way respect, awarding honors, cultural care, material rewards, stock options, and becoming partners, constantly enrich the toolbox of performance management, and actively try the optimal combination of various management tools. From the second half of 2023, the award of honors will gradually be used as an important incentive tool to help employees achieve a "double harvest" of material and spiritual incentives.</w:t>
      </w:r>
    </w:p>
    <w:p>
      <w:pPr>
        <w:pStyle w:val="3"/>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lang w:val="en-US" w:eastAsia="zh-CN"/>
        </w:rPr>
      </w:pPr>
      <w:bookmarkStart w:id="5" w:name="_Toc5706"/>
      <w:r>
        <w:rPr>
          <w:rFonts w:hint="default" w:ascii="Times New Roman" w:hAnsi="Times New Roman" w:cs="Times New Roman"/>
          <w:b/>
          <w:sz w:val="24"/>
          <w:szCs w:val="24"/>
          <w:lang w:val="en-US" w:eastAsia="zh-CN"/>
        </w:rPr>
        <w:t>3.</w:t>
      </w:r>
      <w:r>
        <w:rPr>
          <w:rFonts w:hint="eastAsia" w:ascii="Times New Roman" w:hAnsi="Times New Roman" w:cs="Times New Roman"/>
          <w:b/>
          <w:sz w:val="24"/>
          <w:szCs w:val="24"/>
          <w:lang w:val="en-US" w:eastAsia="zh-CN"/>
        </w:rPr>
        <w:t>3</w:t>
      </w:r>
      <w:r>
        <w:rPr>
          <w:rFonts w:hint="default" w:ascii="Times New Roman" w:hAnsi="Times New Roman" w:cs="Times New Roman"/>
          <w:b/>
          <w:sz w:val="24"/>
          <w:szCs w:val="24"/>
          <w:lang w:val="en-US" w:eastAsia="zh-CN"/>
        </w:rPr>
        <w:t xml:space="preserve"> Improve data analysis and interpretation capabilities, and further highlight the result orientation of performance management.</w:t>
      </w:r>
      <w:bookmarkEnd w:id="5"/>
      <w:r>
        <w:rPr>
          <w:rFonts w:hint="default" w:ascii="Times New Roman" w:hAnsi="Times New Roman" w:cs="Times New Roman"/>
          <w:b/>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Since entering the digital era, in order to keep up with the pace of the times, enterprises have established multiple information platforms for office, production management or supplier management, but there is a "data gap" between the platforms, and it is often difficult for managers to grasp the full picture of digital operations. Human resource managers should be good at breaking the "digital barrier", establishing the organic correlation of financial, customer or market result data, finding the impact of human resource management on the production and operation data of enterprises, examining the scientificity of human resources work from a macro perspective, and then using advanced information tools for fitting management</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Colakoglu, S., Chung, Y. and Ceylan, C.</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2022). In addition to the ability in data analysis, it is also necessary to master the platform application ability, such as Oracle, SAP and Workday, large companies provide technology platform services, engineering systems and software applications for business and human resources solutions, and human resource managers should be proficient in the operation of these platforms.</w:t>
      </w:r>
    </w:p>
    <w:p>
      <w:pPr>
        <w:pStyle w:val="3"/>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lang w:val="en-US" w:eastAsia="zh-CN"/>
        </w:rPr>
      </w:pPr>
      <w:bookmarkStart w:id="6" w:name="_Toc32535"/>
      <w:r>
        <w:rPr>
          <w:rFonts w:hint="eastAsia" w:ascii="Times New Roman" w:hAnsi="Times New Roman" w:cs="Times New Roman"/>
          <w:b/>
          <w:sz w:val="24"/>
          <w:szCs w:val="24"/>
          <w:lang w:val="en-US" w:eastAsia="zh-CN"/>
        </w:rPr>
        <w:t>3.</w:t>
      </w:r>
      <w:r>
        <w:rPr>
          <w:rFonts w:hint="default" w:ascii="Times New Roman" w:hAnsi="Times New Roman" w:cs="Times New Roman"/>
          <w:b/>
          <w:sz w:val="24"/>
          <w:szCs w:val="24"/>
          <w:lang w:val="en-US" w:eastAsia="zh-CN"/>
        </w:rPr>
        <w:t>4 Improve human resources compliance management capabilities and create a fairer employment environment.</w:t>
      </w:r>
      <w:bookmarkEnd w:id="6"/>
      <w:r>
        <w:rPr>
          <w:rFonts w:hint="default" w:ascii="Times New Roman" w:hAnsi="Times New Roman" w:cs="Times New Roman"/>
          <w:b/>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Affected by the new crown pneumonia epidemic, the closure of small enterprises around the world, the layoffs of large enterprises have become the norm, and the job market has undergone profound changes. The last-place elimination seems to be a scientific selection, but there are also risks in compliance management. HR teams should avoid becoming "policy police" and maintain some flexibility in order to unleash the vitality of the company to a greater extent. The human resources team cannot ignore policies and regulations, and when there are signs of problems in the fields of gender discrimination, health risks, safe productivity, fair employment, etc., they should promptly and fairly stop the further fermentation and spread of such problems, and establish a long-term and stable relationship between enterprises and employees</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Uren, L.</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rPr>
        <w:t>2007) , so as to win a better market image and brand reputation for enterprises.</w:t>
      </w:r>
    </w:p>
    <w:p>
      <w:pPr>
        <w:pStyle w:val="3"/>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lang w:val="en-US" w:eastAsia="zh-CN"/>
        </w:rPr>
      </w:pPr>
      <w:bookmarkStart w:id="7" w:name="_Toc22544"/>
      <w:r>
        <w:rPr>
          <w:rFonts w:hint="eastAsia" w:ascii="Times New Roman" w:hAnsi="Times New Roman" w:cs="Times New Roman"/>
          <w:b/>
          <w:sz w:val="24"/>
          <w:szCs w:val="24"/>
          <w:lang w:val="en-US" w:eastAsia="zh-CN"/>
        </w:rPr>
        <w:t xml:space="preserve">3.5 </w:t>
      </w:r>
      <w:r>
        <w:rPr>
          <w:rFonts w:hint="default" w:ascii="Times New Roman" w:hAnsi="Times New Roman" w:cs="Times New Roman"/>
          <w:b/>
          <w:sz w:val="24"/>
          <w:szCs w:val="24"/>
          <w:lang w:val="en-US" w:eastAsia="zh-CN"/>
        </w:rPr>
        <w:t>Improve workflow optimization management capabilities and reduce excessive internal competition.</w:t>
      </w:r>
      <w:bookmarkEnd w:id="7"/>
      <w:r>
        <w:rPr>
          <w:rFonts w:hint="default" w:ascii="Times New Roman" w:hAnsi="Times New Roman" w:cs="Times New Roman"/>
          <w:b/>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Scientific internal competition is conducive to improving the overall external competitiveness of the company, but excessive internal competition will bring new problems, and as people get closer to the goal, they often focus on the distance between themselves and other collaborators rather than on the distance between themselves and the intended goal</w:t>
      </w:r>
      <w:bookmarkStart w:id="12" w:name="_GoBack"/>
      <w:bookmarkEnd w:id="12"/>
      <w:r>
        <w:rPr>
          <w:rFonts w:hint="default" w:ascii="Times New Roman" w:hAnsi="Times New Roman" w:cs="Times New Roman"/>
          <w:sz w:val="24"/>
          <w:szCs w:val="32"/>
        </w:rPr>
        <w:t>. For example, it affects organizational unity, barriers between departments, trust between colleagues declines, and market resources are not used effectively. As Huawei's human resources management department, it is necessary to keenly perceive the reasonable boundaries of competition, continuously improve process optimization capabilities, and timely eliminate redundant links that hinder service flow through service chain-based operation process combing, establish business processes that are more conducive to cooperation and better play the strengths of employees, and reflect the role of human resources in maximizing external benefits.</w:t>
      </w:r>
    </w:p>
    <w:p>
      <w:pPr>
        <w:pStyle w:val="2"/>
        <w:keepNext/>
        <w:keepLines/>
        <w:pageBreakBefore w:val="0"/>
        <w:widowControl w:val="0"/>
        <w:kinsoku/>
        <w:wordWrap/>
        <w:overflowPunct/>
        <w:topLinePunct w:val="0"/>
        <w:autoSpaceDE/>
        <w:autoSpaceDN/>
        <w:bidi w:val="0"/>
        <w:adjustRightInd/>
        <w:snapToGrid/>
        <w:spacing w:before="0" w:beforeLines="0" w:after="0" w:afterLines="0" w:line="480" w:lineRule="auto"/>
        <w:ind w:firstLine="482" w:firstLineChars="200"/>
        <w:textAlignment w:val="auto"/>
        <w:rPr>
          <w:rFonts w:hint="default" w:ascii="Times New Roman" w:hAnsi="Times New Roman" w:cs="Times New Roman"/>
          <w:b/>
          <w:sz w:val="24"/>
          <w:szCs w:val="24"/>
        </w:rPr>
      </w:pPr>
      <w:bookmarkStart w:id="8" w:name="_Toc19573"/>
      <w:r>
        <w:rPr>
          <w:rFonts w:hint="eastAsia" w:ascii="Times New Roman" w:hAnsi="Times New Roman" w:cs="Times New Roman"/>
          <w:b/>
          <w:sz w:val="24"/>
          <w:szCs w:val="24"/>
          <w:lang w:val="en-US" w:eastAsia="zh-CN"/>
        </w:rPr>
        <w:t>4</w:t>
      </w:r>
      <w:r>
        <w:rPr>
          <w:rFonts w:hint="default" w:ascii="Times New Roman" w:hAnsi="Times New Roman" w:cs="Times New Roman"/>
          <w:b/>
          <w:sz w:val="24"/>
          <w:szCs w:val="24"/>
        </w:rPr>
        <w:t>. Conclusion</w:t>
      </w:r>
      <w:bookmarkEnd w:id="8"/>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Huawei's Human Resources Dept's Skills Enhancement Program will effectively enhance the professional qualities of human resources teams and individuals, help improve Huawei's overall work performance, and achieve common development for employees and enterprises. Of course, these skills do not cover all the competencies required of a great human resource manager, nor may they apply to all organizations. In the practice of enterprise human resource management, there are more effective management methods waiting to be developed and tried.</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p>
    <w:p>
      <w:pPr>
        <w:rPr>
          <w:rFonts w:ascii="Times New Roman" w:hAnsi="Times New Roman" w:eastAsia="宋体" w:cs="Times New Roman"/>
          <w:b/>
          <w:bCs/>
          <w:sz w:val="24"/>
        </w:rPr>
      </w:pPr>
      <w:bookmarkStart w:id="9" w:name="_Toc2674"/>
      <w:bookmarkStart w:id="10" w:name="_Toc21245"/>
      <w:r>
        <w:rPr>
          <w:rFonts w:ascii="Times New Roman" w:hAnsi="Times New Roman" w:eastAsia="宋体" w:cs="Times New Roman"/>
          <w:b/>
          <w:bCs/>
          <w:sz w:val="24"/>
        </w:rPr>
        <w:br w:type="page"/>
      </w:r>
    </w:p>
    <w:p>
      <w:pPr>
        <w:spacing w:line="480" w:lineRule="auto"/>
        <w:outlineLvl w:val="0"/>
        <w:rPr>
          <w:rFonts w:hint="eastAsia" w:ascii="Times New Roman" w:hAnsi="Times New Roman" w:eastAsia="宋体" w:cs="Times New Roman"/>
          <w:b/>
          <w:bCs/>
          <w:sz w:val="24"/>
          <w:lang w:eastAsia="zh-CN"/>
        </w:rPr>
      </w:pPr>
      <w:bookmarkStart w:id="11" w:name="_Toc1283"/>
      <w:r>
        <w:rPr>
          <w:rFonts w:ascii="Times New Roman" w:hAnsi="Times New Roman" w:eastAsia="宋体" w:cs="Times New Roman"/>
          <w:b/>
          <w:bCs/>
          <w:sz w:val="24"/>
        </w:rPr>
        <w:t>References</w:t>
      </w:r>
      <w:bookmarkEnd w:id="9"/>
      <w:r>
        <w:rPr>
          <w:rFonts w:hint="eastAsia" w:ascii="Times New Roman" w:hAnsi="Times New Roman" w:eastAsia="宋体" w:cs="Times New Roman"/>
          <w:b/>
          <w:bCs/>
          <w:sz w:val="24"/>
          <w:lang w:eastAsia="zh-CN"/>
        </w:rPr>
        <w:t>：</w:t>
      </w:r>
      <w:bookmarkEnd w:id="10"/>
      <w:bookmarkEnd w:id="11"/>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 xml:space="preserve"> Kareem, M.A. and Mijbas, H.A. (2019) ‘Mediating Role of Dynamic Capabilities on the Relationship between Human Resource Development and Organizational Effectiveness’, Organizacija, 52(3), pp. 187–203. Available at: https://doi.org/10.2478/orga-2019-0012.</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Hargis, M.B. and Bradley, D.B. (2011) ‘Strategic human resource management in small and growing firms: aligning valuable resources’, Academy of strategic management journal, 10(2), p. 105–.</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 xml:space="preserve">  Pichère, P., Cadiat, A.-C. and Probert, C. (2015) Maslow’s hierarchy of needs. Translated by C. Probert. Namur: Lemaitre Publishing.</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 xml:space="preserve">‘HRM Practices in Human Capital-Intensive Firms: An Empirical Study of IBM Corporation’ (2021) in Research Anthology on Human Resource Practices for the Modern Workforce. IGI Global, pp. 921–938. Available at: </w:t>
      </w: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HYPERLINK "https://doi.org/10.4018/978-1-6684-3873-2.ch048." </w:instrText>
      </w:r>
      <w:r>
        <w:rPr>
          <w:rFonts w:hint="default" w:ascii="Times New Roman" w:hAnsi="Times New Roman" w:cs="Times New Roman"/>
          <w:sz w:val="24"/>
          <w:szCs w:val="32"/>
        </w:rPr>
        <w:fldChar w:fldCharType="separate"/>
      </w:r>
      <w:r>
        <w:rPr>
          <w:rStyle w:val="10"/>
          <w:rFonts w:hint="default" w:ascii="Times New Roman" w:hAnsi="Times New Roman" w:cs="Times New Roman"/>
          <w:sz w:val="24"/>
          <w:szCs w:val="32"/>
        </w:rPr>
        <w:t>https://doi.org/10.4018/978-1-6684-3873-2.ch048.</w:t>
      </w:r>
      <w:r>
        <w:rPr>
          <w:rFonts w:hint="default" w:ascii="Times New Roman" w:hAnsi="Times New Roman" w:cs="Times New Roman"/>
          <w:sz w:val="24"/>
          <w:szCs w:val="32"/>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 xml:space="preserve">Colakoglu, S., Chung, Y. and Ceylan, C. (2022) ‘Collaboration-based HR systems and innovative work behaviors: The role of information exchange and HR system strength’, European management journal, 40(4), pp. 518–531. Available at: </w:t>
      </w: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HYPERLINK "https://doi.org/10.1016/j.emj.2021.07.011." </w:instrText>
      </w:r>
      <w:r>
        <w:rPr>
          <w:rFonts w:hint="default" w:ascii="Times New Roman" w:hAnsi="Times New Roman" w:cs="Times New Roman"/>
          <w:sz w:val="24"/>
          <w:szCs w:val="32"/>
        </w:rPr>
        <w:fldChar w:fldCharType="separate"/>
      </w:r>
      <w:r>
        <w:rPr>
          <w:rStyle w:val="10"/>
          <w:rFonts w:hint="default" w:ascii="Times New Roman" w:hAnsi="Times New Roman" w:cs="Times New Roman"/>
          <w:sz w:val="24"/>
          <w:szCs w:val="32"/>
        </w:rPr>
        <w:t>https://doi.org/10.1016/j.emj.2021.07.011.</w:t>
      </w:r>
      <w:r>
        <w:rPr>
          <w:rFonts w:hint="default" w:ascii="Times New Roman" w:hAnsi="Times New Roman" w:cs="Times New Roman"/>
          <w:sz w:val="24"/>
          <w:szCs w:val="32"/>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Times New Roman" w:hAnsi="Times New Roman" w:cs="Times New Roman"/>
          <w:sz w:val="24"/>
          <w:szCs w:val="32"/>
        </w:rPr>
      </w:pPr>
      <w:r>
        <w:rPr>
          <w:rFonts w:hint="default" w:ascii="Times New Roman" w:hAnsi="Times New Roman" w:cs="Times New Roman"/>
          <w:sz w:val="24"/>
          <w:szCs w:val="32"/>
        </w:rPr>
        <w:t xml:space="preserve">Uren, L. (2007) ‘From talent compliance to talent commitment: Moving beyond the hype of talent management to realizing the benefits’, Strategic HR review, 6(3), pp. 32–35. Available at: </w:t>
      </w: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HYPERLINK "https://doi.org/10.1108/14754390780000970." </w:instrText>
      </w:r>
      <w:r>
        <w:rPr>
          <w:rFonts w:hint="default" w:ascii="Times New Roman" w:hAnsi="Times New Roman" w:cs="Times New Roman"/>
          <w:sz w:val="24"/>
          <w:szCs w:val="32"/>
        </w:rPr>
        <w:fldChar w:fldCharType="separate"/>
      </w:r>
      <w:r>
        <w:rPr>
          <w:rStyle w:val="10"/>
          <w:rFonts w:hint="default" w:ascii="Times New Roman" w:hAnsi="Times New Roman" w:cs="Times New Roman"/>
          <w:sz w:val="24"/>
          <w:szCs w:val="32"/>
        </w:rPr>
        <w:t>https://doi.org/10.1108/14754390780000970.</w:t>
      </w:r>
      <w:r>
        <w:rPr>
          <w:rFonts w:hint="default" w:ascii="Times New Roman" w:hAnsi="Times New Roman" w:cs="Times New Roman"/>
          <w:sz w:val="24"/>
          <w:szCs w:val="32"/>
        </w:rPr>
        <w:fldChar w:fldCharType="end"/>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panose1 w:val="02000000000000000000"/>
    <w:charset w:val="86"/>
    <w:family w:val="auto"/>
    <w:pitch w:val="default"/>
    <w:sig w:usb0="A00002BF" w:usb1="184F6CFA" w:usb2="00000012" w:usb3="00000000" w:csb0="00040001" w:csb1="00000000"/>
  </w:font>
  <w:font w:name="SimSun-ExtB">
    <w:panose1 w:val="02010609060101010101"/>
    <w:charset w:val="86"/>
    <w:family w:val="auto"/>
    <w:pitch w:val="default"/>
    <w:sig w:usb0="00000001" w:usb1="02000000" w:usb2="00000000" w:usb3="00000000" w:csb0="00040001" w:csb1="00000000"/>
  </w:font>
  <w:font w:name="Yu Gothic UI Light">
    <w:panose1 w:val="020B03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E759A9"/>
    <w:rsid w:val="01B110AA"/>
    <w:rsid w:val="13685067"/>
    <w:rsid w:val="14337FB3"/>
    <w:rsid w:val="15E759A9"/>
    <w:rsid w:val="26FF4D89"/>
    <w:rsid w:val="31FD4E11"/>
    <w:rsid w:val="39292CF8"/>
    <w:rsid w:val="3949030C"/>
    <w:rsid w:val="3D3717FB"/>
    <w:rsid w:val="3DB868D1"/>
    <w:rsid w:val="407C1B4B"/>
    <w:rsid w:val="40CE13E2"/>
    <w:rsid w:val="43B45922"/>
    <w:rsid w:val="441D78FE"/>
    <w:rsid w:val="44827275"/>
    <w:rsid w:val="463E0186"/>
    <w:rsid w:val="51773AA1"/>
    <w:rsid w:val="60C37E4F"/>
    <w:rsid w:val="63FF36A9"/>
    <w:rsid w:val="677A17D2"/>
    <w:rsid w:val="6BDC6503"/>
    <w:rsid w:val="70A002D1"/>
    <w:rsid w:val="725F4256"/>
    <w:rsid w:val="764566BC"/>
    <w:rsid w:val="764A0321"/>
    <w:rsid w:val="77E46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FollowedHyperlink"/>
    <w:basedOn w:val="8"/>
    <w:uiPriority w:val="0"/>
    <w:rPr>
      <w:color w:val="800080"/>
      <w:u w:val="single"/>
    </w:rPr>
  </w:style>
  <w:style w:type="character" w:styleId="10">
    <w:name w:val="Hyperlink"/>
    <w:basedOn w:val="8"/>
    <w:uiPriority w:val="0"/>
    <w:rPr>
      <w:color w:val="0000FF"/>
      <w:u w:val="single"/>
    </w:rPr>
  </w:style>
  <w:style w:type="paragraph" w:customStyle="1" w:styleId="11">
    <w:name w:val="WPSOffice手动目录 1"/>
    <w:uiPriority w:val="0"/>
    <w:pPr>
      <w:ind w:leftChars="0"/>
    </w:pPr>
    <w:rPr>
      <w:sz w:val="20"/>
      <w:szCs w:val="20"/>
    </w:rPr>
  </w:style>
  <w:style w:type="paragraph" w:customStyle="1" w:styleId="12">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2023-04-26T16:22:00Z</dcterms:created>
  <dc:creator>吕宏成</dc:creator>
  <cp:lastModifiedBy>吕宏成</cp:lastModifiedBy>
  <dcterms:modified xsi:type="dcterms:W3CDTF">2023-04-28T04:52:12Z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291142FED2F84B02B90C9014866002D9</vt:lpwstr>
  </property>
</Properties>
</file>