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BFE311" w14:textId="77777777" w:rsidR="00FA6C57" w:rsidRPr="00594FAC" w:rsidRDefault="00FA6C57" w:rsidP="00FA6C57">
      <w:pPr>
        <w:spacing w:line="360" w:lineRule="auto"/>
        <w:rPr>
          <w:rFonts w:ascii="Arial" w:hAnsi="Arial" w:cs="Arial"/>
          <w:szCs w:val="24"/>
        </w:rPr>
      </w:pPr>
      <w:r w:rsidRPr="00594FAC">
        <w:rPr>
          <w:rFonts w:ascii="Arial" w:hAnsi="Arial" w:cs="Arial"/>
          <w:noProof/>
        </w:rPr>
        <w:drawing>
          <wp:anchor distT="0" distB="0" distL="114300" distR="114300" simplePos="0" relativeHeight="251658240" behindDoc="0" locked="0" layoutInCell="1" allowOverlap="1" wp14:anchorId="0AFC2500" wp14:editId="06242920">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Cs w:val="24"/>
        </w:rPr>
        <w:t xml:space="preserve"> </w:t>
      </w:r>
    </w:p>
    <w:p w14:paraId="4976D752" w14:textId="77777777" w:rsidR="00FA6C57" w:rsidRPr="00594FAC" w:rsidRDefault="00FA6C57" w:rsidP="00FA6C57">
      <w:pPr>
        <w:spacing w:line="360" w:lineRule="auto"/>
        <w:rPr>
          <w:rFonts w:ascii="Arial" w:hAnsi="Arial" w:cs="Arial"/>
          <w:szCs w:val="24"/>
        </w:rPr>
      </w:pPr>
    </w:p>
    <w:p w14:paraId="02689954" w14:textId="77777777" w:rsidR="00FA6C57" w:rsidRPr="00594FAC" w:rsidRDefault="00FA6C57" w:rsidP="00FA6C57">
      <w:pPr>
        <w:spacing w:line="360" w:lineRule="auto"/>
        <w:rPr>
          <w:rFonts w:ascii="Arial" w:hAnsi="Arial" w:cs="Arial"/>
          <w:szCs w:val="24"/>
        </w:rPr>
      </w:pPr>
    </w:p>
    <w:p w14:paraId="01CEDD59" w14:textId="77777777" w:rsidR="00FA6C57" w:rsidRPr="00594FAC" w:rsidRDefault="00FA6C57" w:rsidP="00FA6C57">
      <w:pPr>
        <w:tabs>
          <w:tab w:val="left" w:pos="6540"/>
        </w:tabs>
        <w:spacing w:line="360" w:lineRule="auto"/>
        <w:rPr>
          <w:rFonts w:ascii="Arial" w:hAnsi="Arial" w:cs="Arial"/>
          <w:sz w:val="28"/>
          <w:szCs w:val="28"/>
        </w:rPr>
      </w:pPr>
    </w:p>
    <w:p w14:paraId="780E4ACA" w14:textId="77777777" w:rsidR="00FA6C57" w:rsidRPr="00594FAC" w:rsidRDefault="00FA6C57" w:rsidP="00FA6C57">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821660">
        <w:rPr>
          <w:rFonts w:ascii="Arial" w:hAnsi="Arial" w:cs="Arial"/>
          <w:b/>
          <w:bCs/>
          <w:sz w:val="28"/>
          <w:szCs w:val="28"/>
          <w:lang w:val="nl-NL"/>
        </w:rPr>
        <w:t xml:space="preserve">: </w:t>
      </w:r>
      <w:r w:rsidRPr="00821660">
        <w:rPr>
          <w:rFonts w:ascii="Arial" w:hAnsi="Arial" w:cs="Arial"/>
          <w:sz w:val="28"/>
          <w:szCs w:val="28"/>
          <w:lang w:val="nl-NL"/>
        </w:rPr>
        <w:t>Lubatiko Edwin Seme</w:t>
      </w:r>
    </w:p>
    <w:p w14:paraId="6BAB6C8A" w14:textId="40EC7257" w:rsidR="00FA6C57" w:rsidRPr="00FA6C57" w:rsidRDefault="00FA6C57" w:rsidP="00FA6C57">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Pr>
          <w:rFonts w:ascii="Arial" w:hAnsi="Arial" w:cs="Arial"/>
          <w:sz w:val="28"/>
          <w:szCs w:val="28"/>
          <w:lang w:val="nl-NL"/>
        </w:rPr>
        <w:t xml:space="preserve"> </w:t>
      </w:r>
      <w:r w:rsidRPr="00821660">
        <w:rPr>
          <w:rFonts w:ascii="Arial" w:hAnsi="Arial" w:cs="Arial"/>
          <w:sz w:val="28"/>
          <w:szCs w:val="28"/>
          <w:lang w:val="nl-NL"/>
        </w:rPr>
        <w:t>2442423</w:t>
      </w:r>
    </w:p>
    <w:p w14:paraId="2A6FD788" w14:textId="77777777" w:rsidR="00FA6C57" w:rsidRDefault="00FA6C57" w:rsidP="00FA6C57">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Pr>
          <w:rFonts w:ascii="Arial" w:hAnsi="Arial" w:cs="Arial"/>
          <w:sz w:val="28"/>
          <w:szCs w:val="28"/>
          <w:lang w:val="nl-NL"/>
        </w:rPr>
        <w:t>Principles of Health and Social Care Practice.</w:t>
      </w:r>
    </w:p>
    <w:p w14:paraId="1FAC3761" w14:textId="77777777" w:rsidR="00FA6C57" w:rsidRPr="00821660" w:rsidRDefault="00FA6C57" w:rsidP="00FA6C57">
      <w:pPr>
        <w:tabs>
          <w:tab w:val="left" w:pos="6540"/>
        </w:tabs>
        <w:spacing w:line="360" w:lineRule="auto"/>
        <w:rPr>
          <w:rFonts w:ascii="Arial" w:hAnsi="Arial" w:cs="Arial"/>
          <w:sz w:val="28"/>
          <w:szCs w:val="28"/>
          <w:lang w:val="nl-NL"/>
        </w:rPr>
      </w:pPr>
      <w:r>
        <w:rPr>
          <w:rFonts w:ascii="Arial" w:hAnsi="Arial" w:cs="Arial"/>
          <w:b/>
          <w:bCs/>
          <w:sz w:val="28"/>
          <w:szCs w:val="28"/>
          <w:lang w:val="nl-NL"/>
        </w:rPr>
        <w:t xml:space="preserve">Component: </w:t>
      </w:r>
      <w:r w:rsidRPr="00821660">
        <w:rPr>
          <w:rFonts w:ascii="Arial" w:hAnsi="Arial" w:cs="Arial"/>
          <w:sz w:val="28"/>
          <w:szCs w:val="28"/>
          <w:lang w:val="nl-NL"/>
        </w:rPr>
        <w:t>1</w:t>
      </w:r>
    </w:p>
    <w:p w14:paraId="2CD535D8" w14:textId="77777777" w:rsidR="00FA6C57" w:rsidRPr="00594FAC" w:rsidRDefault="00FA6C57" w:rsidP="00FA6C57">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Pr="00821660">
        <w:rPr>
          <w:rFonts w:ascii="Arial" w:hAnsi="Arial" w:cs="Arial"/>
          <w:sz w:val="28"/>
          <w:szCs w:val="28"/>
        </w:rPr>
        <w:t>(BMHP5016_LON</w:t>
      </w:r>
      <w:r>
        <w:rPr>
          <w:rFonts w:ascii="Arial" w:hAnsi="Arial" w:cs="Arial"/>
          <w:sz w:val="28"/>
          <w:szCs w:val="28"/>
        </w:rPr>
        <w:t>)</w:t>
      </w:r>
    </w:p>
    <w:p w14:paraId="53080F4A" w14:textId="0DCA9B78" w:rsidR="00FA6C57" w:rsidRDefault="00FA6C57" w:rsidP="00FA6C57">
      <w:pPr>
        <w:tabs>
          <w:tab w:val="left" w:pos="6540"/>
        </w:tabs>
        <w:spacing w:line="360" w:lineRule="auto"/>
        <w:rPr>
          <w:rFonts w:ascii="Arial" w:hAnsi="Arial" w:cs="Arial"/>
          <w:sz w:val="28"/>
          <w:szCs w:val="28"/>
        </w:rPr>
      </w:pPr>
      <w:r w:rsidRPr="00594FAC">
        <w:rPr>
          <w:rFonts w:ascii="Arial" w:hAnsi="Arial" w:cs="Arial"/>
          <w:b/>
          <w:bCs/>
          <w:sz w:val="28"/>
          <w:szCs w:val="28"/>
        </w:rPr>
        <w:t>Lecturer’s name</w:t>
      </w:r>
      <w:r w:rsidRPr="002108AE">
        <w:rPr>
          <w:rFonts w:ascii="Arial" w:hAnsi="Arial" w:cs="Arial"/>
          <w:b/>
          <w:bCs/>
          <w:sz w:val="28"/>
          <w:szCs w:val="28"/>
        </w:rPr>
        <w:t xml:space="preserve">: </w:t>
      </w:r>
      <w:r w:rsidRPr="00821660">
        <w:rPr>
          <w:rFonts w:ascii="Arial" w:hAnsi="Arial" w:cs="Arial"/>
          <w:sz w:val="28"/>
          <w:szCs w:val="28"/>
        </w:rPr>
        <w:t>Lou Wells.</w:t>
      </w:r>
    </w:p>
    <w:p w14:paraId="0E8E9817" w14:textId="215A18AC" w:rsidR="00FA6C57" w:rsidRDefault="00581C60" w:rsidP="00FA6C57">
      <w:pPr>
        <w:tabs>
          <w:tab w:val="left" w:pos="6540"/>
        </w:tabs>
        <w:spacing w:line="360" w:lineRule="auto"/>
        <w:rPr>
          <w:rFonts w:ascii="Arial" w:hAnsi="Arial" w:cs="Arial"/>
          <w:b/>
          <w:bCs/>
          <w:sz w:val="28"/>
          <w:szCs w:val="28"/>
        </w:rPr>
      </w:pPr>
      <w:r>
        <w:rPr>
          <w:rFonts w:ascii="Arial" w:hAnsi="Arial" w:cs="Arial"/>
          <w:b/>
          <w:bCs/>
          <w:sz w:val="28"/>
          <w:szCs w:val="28"/>
        </w:rPr>
        <w:t>Submission Date:</w:t>
      </w:r>
      <w:r w:rsidR="003D16C7">
        <w:rPr>
          <w:rFonts w:ascii="Arial" w:hAnsi="Arial" w:cs="Arial"/>
          <w:b/>
          <w:bCs/>
          <w:sz w:val="28"/>
          <w:szCs w:val="28"/>
        </w:rPr>
        <w:t xml:space="preserve"> </w:t>
      </w:r>
      <w:r w:rsidR="003D16C7" w:rsidRPr="003D16C7">
        <w:rPr>
          <w:rFonts w:ascii="Arial" w:hAnsi="Arial" w:cs="Arial"/>
          <w:sz w:val="28"/>
          <w:szCs w:val="28"/>
        </w:rPr>
        <w:t>1</w:t>
      </w:r>
      <w:r w:rsidR="0029660F">
        <w:rPr>
          <w:rFonts w:ascii="Arial" w:hAnsi="Arial" w:cs="Arial"/>
          <w:sz w:val="28"/>
          <w:szCs w:val="28"/>
        </w:rPr>
        <w:t>9</w:t>
      </w:r>
      <w:r w:rsidR="003D16C7" w:rsidRPr="003D16C7">
        <w:rPr>
          <w:rFonts w:ascii="Arial" w:hAnsi="Arial" w:cs="Arial"/>
          <w:sz w:val="28"/>
          <w:szCs w:val="28"/>
        </w:rPr>
        <w:t>/08/2026</w:t>
      </w:r>
    </w:p>
    <w:p w14:paraId="773F751A" w14:textId="77777777" w:rsidR="00FA6C57" w:rsidRPr="002108AE" w:rsidRDefault="00FA6C57" w:rsidP="00FA6C57">
      <w:pPr>
        <w:tabs>
          <w:tab w:val="left" w:pos="6540"/>
        </w:tabs>
        <w:spacing w:line="360" w:lineRule="auto"/>
        <w:rPr>
          <w:rFonts w:ascii="Arial" w:hAnsi="Arial" w:cs="Arial"/>
          <w:sz w:val="28"/>
          <w:szCs w:val="28"/>
        </w:rPr>
      </w:pPr>
      <w:r w:rsidRPr="002108AE">
        <w:rPr>
          <w:rFonts w:ascii="Arial" w:hAnsi="Arial" w:cs="Arial"/>
          <w:sz w:val="28"/>
          <w:szCs w:val="28"/>
        </w:rPr>
        <w:t>I acknowledge that I have used AI for grammar checking and proofreading.</w:t>
      </w:r>
    </w:p>
    <w:p w14:paraId="587C63E0" w14:textId="77777777" w:rsidR="00FA6C57" w:rsidRPr="00594FAC" w:rsidRDefault="00FA6C57" w:rsidP="00FA6C57">
      <w:pPr>
        <w:tabs>
          <w:tab w:val="left" w:pos="6540"/>
        </w:tabs>
        <w:spacing w:line="360" w:lineRule="auto"/>
        <w:rPr>
          <w:rFonts w:ascii="Arial" w:hAnsi="Arial" w:cs="Arial"/>
          <w:sz w:val="28"/>
          <w:szCs w:val="28"/>
        </w:rPr>
      </w:pPr>
    </w:p>
    <w:p w14:paraId="13E233D2" w14:textId="77777777" w:rsidR="00194362" w:rsidRPr="00374481" w:rsidRDefault="00194362" w:rsidP="00374481">
      <w:pPr>
        <w:jc w:val="both"/>
        <w:rPr>
          <w:rFonts w:ascii="Arial" w:hAnsi="Arial" w:cs="Arial"/>
        </w:rPr>
      </w:pPr>
      <w:r w:rsidRPr="00374481">
        <w:rPr>
          <w:rFonts w:ascii="Arial" w:hAnsi="Arial" w:cs="Arial"/>
        </w:rPr>
        <w:br w:type="page"/>
      </w:r>
    </w:p>
    <w:p w14:paraId="2B7A71AA" w14:textId="2F66B661" w:rsidR="009C5A71" w:rsidRPr="00374481" w:rsidRDefault="009C5A71" w:rsidP="00374481">
      <w:pPr>
        <w:jc w:val="both"/>
        <w:rPr>
          <w:rFonts w:ascii="Arial" w:hAnsi="Arial" w:cs="Arial"/>
        </w:rPr>
      </w:pPr>
    </w:p>
    <w:sdt>
      <w:sdtPr>
        <w:rPr>
          <w:rFonts w:ascii="Arial" w:eastAsiaTheme="minorHAnsi" w:hAnsi="Arial" w:cs="Arial"/>
          <w:color w:val="auto"/>
          <w:sz w:val="22"/>
          <w:szCs w:val="22"/>
        </w:rPr>
        <w:id w:val="1799093831"/>
        <w:docPartObj>
          <w:docPartGallery w:val="Table of Contents"/>
          <w:docPartUnique/>
        </w:docPartObj>
      </w:sdtPr>
      <w:sdtEndPr>
        <w:rPr>
          <w:b/>
          <w:bCs/>
          <w:noProof/>
        </w:rPr>
      </w:sdtEndPr>
      <w:sdtContent>
        <w:p w14:paraId="13674A1F" w14:textId="6C5062D3" w:rsidR="009C5A71" w:rsidRPr="00374481" w:rsidRDefault="009C5A71" w:rsidP="00935778">
          <w:pPr>
            <w:pStyle w:val="TOCHeading"/>
            <w:spacing w:line="600" w:lineRule="auto"/>
            <w:jc w:val="both"/>
            <w:rPr>
              <w:rFonts w:ascii="Arial" w:hAnsi="Arial" w:cs="Arial"/>
              <w:sz w:val="22"/>
              <w:szCs w:val="22"/>
            </w:rPr>
          </w:pPr>
          <w:r w:rsidRPr="00374481">
            <w:rPr>
              <w:rFonts w:ascii="Arial" w:hAnsi="Arial" w:cs="Arial"/>
              <w:sz w:val="22"/>
              <w:szCs w:val="22"/>
            </w:rPr>
            <w:t>Table of Content</w:t>
          </w:r>
        </w:p>
        <w:p w14:paraId="443254A2" w14:textId="6CDB6EF7" w:rsidR="00374481" w:rsidRPr="00374481" w:rsidRDefault="009C5A71" w:rsidP="00935778">
          <w:pPr>
            <w:pStyle w:val="TOC1"/>
            <w:tabs>
              <w:tab w:val="right" w:leader="dot" w:pos="9350"/>
            </w:tabs>
            <w:spacing w:line="600" w:lineRule="auto"/>
            <w:jc w:val="both"/>
            <w:rPr>
              <w:rFonts w:ascii="Arial" w:eastAsiaTheme="minorEastAsia" w:hAnsi="Arial" w:cs="Arial"/>
              <w:noProof/>
            </w:rPr>
          </w:pPr>
          <w:r w:rsidRPr="00374481">
            <w:rPr>
              <w:rFonts w:ascii="Arial" w:hAnsi="Arial" w:cs="Arial"/>
            </w:rPr>
            <w:fldChar w:fldCharType="begin"/>
          </w:r>
          <w:r w:rsidRPr="00374481">
            <w:rPr>
              <w:rFonts w:ascii="Arial" w:hAnsi="Arial" w:cs="Arial"/>
            </w:rPr>
            <w:instrText xml:space="preserve"> TOC \o "1-3" \h \z \u </w:instrText>
          </w:r>
          <w:r w:rsidRPr="00374481">
            <w:rPr>
              <w:rFonts w:ascii="Arial" w:hAnsi="Arial" w:cs="Arial"/>
            </w:rPr>
            <w:fldChar w:fldCharType="separate"/>
          </w:r>
          <w:hyperlink w:anchor="_Toc237537634" w:history="1">
            <w:r w:rsidR="00374481" w:rsidRPr="00374481">
              <w:rPr>
                <w:rStyle w:val="Hyperlink"/>
                <w:rFonts w:ascii="Arial" w:hAnsi="Arial" w:cs="Arial"/>
                <w:noProof/>
              </w:rPr>
              <w:t>Task 1: Reflection on the Importance of Principles of Health and Social Care</w:t>
            </w:r>
            <w:r w:rsidR="00374481" w:rsidRPr="00374481">
              <w:rPr>
                <w:rFonts w:ascii="Arial" w:hAnsi="Arial" w:cs="Arial"/>
                <w:noProof/>
                <w:webHidden/>
              </w:rPr>
              <w:tab/>
            </w:r>
            <w:r w:rsidR="00374481" w:rsidRPr="00374481">
              <w:rPr>
                <w:rFonts w:ascii="Arial" w:hAnsi="Arial" w:cs="Arial"/>
                <w:noProof/>
                <w:webHidden/>
              </w:rPr>
              <w:fldChar w:fldCharType="begin"/>
            </w:r>
            <w:r w:rsidR="00374481" w:rsidRPr="00374481">
              <w:rPr>
                <w:rFonts w:ascii="Arial" w:hAnsi="Arial" w:cs="Arial"/>
                <w:noProof/>
                <w:webHidden/>
              </w:rPr>
              <w:instrText xml:space="preserve"> PAGEREF _Toc237537634 \h </w:instrText>
            </w:r>
            <w:r w:rsidR="00374481" w:rsidRPr="00374481">
              <w:rPr>
                <w:rFonts w:ascii="Arial" w:hAnsi="Arial" w:cs="Arial"/>
                <w:noProof/>
                <w:webHidden/>
              </w:rPr>
            </w:r>
            <w:r w:rsidR="00374481" w:rsidRPr="00374481">
              <w:rPr>
                <w:rFonts w:ascii="Arial" w:hAnsi="Arial" w:cs="Arial"/>
                <w:noProof/>
                <w:webHidden/>
              </w:rPr>
              <w:fldChar w:fldCharType="separate"/>
            </w:r>
            <w:r w:rsidR="00374481" w:rsidRPr="00374481">
              <w:rPr>
                <w:rFonts w:ascii="Arial" w:hAnsi="Arial" w:cs="Arial"/>
                <w:noProof/>
                <w:webHidden/>
              </w:rPr>
              <w:t>3</w:t>
            </w:r>
            <w:r w:rsidR="00374481" w:rsidRPr="00374481">
              <w:rPr>
                <w:rFonts w:ascii="Arial" w:hAnsi="Arial" w:cs="Arial"/>
                <w:noProof/>
                <w:webHidden/>
              </w:rPr>
              <w:fldChar w:fldCharType="end"/>
            </w:r>
          </w:hyperlink>
        </w:p>
        <w:p w14:paraId="59E59CD2" w14:textId="4F56D8E3" w:rsidR="00374481" w:rsidRPr="00374481" w:rsidRDefault="00E763C5" w:rsidP="00935778">
          <w:pPr>
            <w:pStyle w:val="TOC1"/>
            <w:tabs>
              <w:tab w:val="right" w:leader="dot" w:pos="9350"/>
            </w:tabs>
            <w:spacing w:line="600" w:lineRule="auto"/>
            <w:jc w:val="both"/>
            <w:rPr>
              <w:rFonts w:ascii="Arial" w:eastAsiaTheme="minorEastAsia" w:hAnsi="Arial" w:cs="Arial"/>
              <w:noProof/>
            </w:rPr>
          </w:pPr>
          <w:hyperlink w:anchor="_Toc237537635" w:history="1">
            <w:r w:rsidR="00374481" w:rsidRPr="00374481">
              <w:rPr>
                <w:rStyle w:val="Hyperlink"/>
                <w:rFonts w:ascii="Arial" w:hAnsi="Arial" w:cs="Arial"/>
                <w:noProof/>
              </w:rPr>
              <w:t>Task 2: Practical Examples of Concepts in Practice</w:t>
            </w:r>
            <w:r w:rsidR="00374481" w:rsidRPr="00374481">
              <w:rPr>
                <w:rFonts w:ascii="Arial" w:hAnsi="Arial" w:cs="Arial"/>
                <w:noProof/>
                <w:webHidden/>
              </w:rPr>
              <w:tab/>
            </w:r>
            <w:r w:rsidR="00374481" w:rsidRPr="00374481">
              <w:rPr>
                <w:rFonts w:ascii="Arial" w:hAnsi="Arial" w:cs="Arial"/>
                <w:noProof/>
                <w:webHidden/>
              </w:rPr>
              <w:fldChar w:fldCharType="begin"/>
            </w:r>
            <w:r w:rsidR="00374481" w:rsidRPr="00374481">
              <w:rPr>
                <w:rFonts w:ascii="Arial" w:hAnsi="Arial" w:cs="Arial"/>
                <w:noProof/>
                <w:webHidden/>
              </w:rPr>
              <w:instrText xml:space="preserve"> PAGEREF _Toc237537635 \h </w:instrText>
            </w:r>
            <w:r w:rsidR="00374481" w:rsidRPr="00374481">
              <w:rPr>
                <w:rFonts w:ascii="Arial" w:hAnsi="Arial" w:cs="Arial"/>
                <w:noProof/>
                <w:webHidden/>
              </w:rPr>
            </w:r>
            <w:r w:rsidR="00374481" w:rsidRPr="00374481">
              <w:rPr>
                <w:rFonts w:ascii="Arial" w:hAnsi="Arial" w:cs="Arial"/>
                <w:noProof/>
                <w:webHidden/>
              </w:rPr>
              <w:fldChar w:fldCharType="separate"/>
            </w:r>
            <w:r w:rsidR="00374481" w:rsidRPr="00374481">
              <w:rPr>
                <w:rFonts w:ascii="Arial" w:hAnsi="Arial" w:cs="Arial"/>
                <w:noProof/>
                <w:webHidden/>
              </w:rPr>
              <w:t>4</w:t>
            </w:r>
            <w:r w:rsidR="00374481" w:rsidRPr="00374481">
              <w:rPr>
                <w:rFonts w:ascii="Arial" w:hAnsi="Arial" w:cs="Arial"/>
                <w:noProof/>
                <w:webHidden/>
              </w:rPr>
              <w:fldChar w:fldCharType="end"/>
            </w:r>
          </w:hyperlink>
        </w:p>
        <w:p w14:paraId="58BE198D" w14:textId="74DD8B95" w:rsidR="00374481" w:rsidRPr="00374481" w:rsidRDefault="00E763C5" w:rsidP="00935778">
          <w:pPr>
            <w:pStyle w:val="TOC1"/>
            <w:tabs>
              <w:tab w:val="right" w:leader="dot" w:pos="9350"/>
            </w:tabs>
            <w:spacing w:line="600" w:lineRule="auto"/>
            <w:jc w:val="both"/>
            <w:rPr>
              <w:rFonts w:ascii="Arial" w:eastAsiaTheme="minorEastAsia" w:hAnsi="Arial" w:cs="Arial"/>
              <w:noProof/>
            </w:rPr>
          </w:pPr>
          <w:hyperlink w:anchor="_Toc237537636" w:history="1">
            <w:r w:rsidR="00374481" w:rsidRPr="00374481">
              <w:rPr>
                <w:rStyle w:val="Hyperlink"/>
                <w:rFonts w:ascii="Arial" w:hAnsi="Arial" w:cs="Arial"/>
                <w:noProof/>
              </w:rPr>
              <w:t>Task 3: Self-Reflection as a Health and Social Care Professional</w:t>
            </w:r>
            <w:r w:rsidR="00374481" w:rsidRPr="00374481">
              <w:rPr>
                <w:rFonts w:ascii="Arial" w:hAnsi="Arial" w:cs="Arial"/>
                <w:noProof/>
                <w:webHidden/>
              </w:rPr>
              <w:tab/>
            </w:r>
            <w:r w:rsidR="00374481" w:rsidRPr="00374481">
              <w:rPr>
                <w:rFonts w:ascii="Arial" w:hAnsi="Arial" w:cs="Arial"/>
                <w:noProof/>
                <w:webHidden/>
              </w:rPr>
              <w:fldChar w:fldCharType="begin"/>
            </w:r>
            <w:r w:rsidR="00374481" w:rsidRPr="00374481">
              <w:rPr>
                <w:rFonts w:ascii="Arial" w:hAnsi="Arial" w:cs="Arial"/>
                <w:noProof/>
                <w:webHidden/>
              </w:rPr>
              <w:instrText xml:space="preserve"> PAGEREF _Toc237537636 \h </w:instrText>
            </w:r>
            <w:r w:rsidR="00374481" w:rsidRPr="00374481">
              <w:rPr>
                <w:rFonts w:ascii="Arial" w:hAnsi="Arial" w:cs="Arial"/>
                <w:noProof/>
                <w:webHidden/>
              </w:rPr>
            </w:r>
            <w:r w:rsidR="00374481" w:rsidRPr="00374481">
              <w:rPr>
                <w:rFonts w:ascii="Arial" w:hAnsi="Arial" w:cs="Arial"/>
                <w:noProof/>
                <w:webHidden/>
              </w:rPr>
              <w:fldChar w:fldCharType="separate"/>
            </w:r>
            <w:r w:rsidR="00374481" w:rsidRPr="00374481">
              <w:rPr>
                <w:rFonts w:ascii="Arial" w:hAnsi="Arial" w:cs="Arial"/>
                <w:noProof/>
                <w:webHidden/>
              </w:rPr>
              <w:t>5</w:t>
            </w:r>
            <w:r w:rsidR="00374481" w:rsidRPr="00374481">
              <w:rPr>
                <w:rFonts w:ascii="Arial" w:hAnsi="Arial" w:cs="Arial"/>
                <w:noProof/>
                <w:webHidden/>
              </w:rPr>
              <w:fldChar w:fldCharType="end"/>
            </w:r>
          </w:hyperlink>
        </w:p>
        <w:p w14:paraId="0FE71A55" w14:textId="02CA08BF" w:rsidR="00374481" w:rsidRPr="00374481" w:rsidRDefault="00E763C5" w:rsidP="00935778">
          <w:pPr>
            <w:pStyle w:val="TOC1"/>
            <w:tabs>
              <w:tab w:val="right" w:leader="dot" w:pos="9350"/>
            </w:tabs>
            <w:spacing w:line="600" w:lineRule="auto"/>
            <w:jc w:val="both"/>
            <w:rPr>
              <w:rFonts w:ascii="Arial" w:eastAsiaTheme="minorEastAsia" w:hAnsi="Arial" w:cs="Arial"/>
              <w:noProof/>
            </w:rPr>
          </w:pPr>
          <w:hyperlink w:anchor="_Toc237537637" w:history="1">
            <w:r w:rsidR="00374481" w:rsidRPr="00374481">
              <w:rPr>
                <w:rStyle w:val="Hyperlink"/>
                <w:rFonts w:ascii="Arial" w:hAnsi="Arial" w:cs="Arial"/>
                <w:noProof/>
              </w:rPr>
              <w:t>References</w:t>
            </w:r>
            <w:r w:rsidR="00374481" w:rsidRPr="00374481">
              <w:rPr>
                <w:rFonts w:ascii="Arial" w:hAnsi="Arial" w:cs="Arial"/>
                <w:noProof/>
                <w:webHidden/>
              </w:rPr>
              <w:tab/>
            </w:r>
            <w:r w:rsidR="00374481" w:rsidRPr="00374481">
              <w:rPr>
                <w:rFonts w:ascii="Arial" w:hAnsi="Arial" w:cs="Arial"/>
                <w:noProof/>
                <w:webHidden/>
              </w:rPr>
              <w:fldChar w:fldCharType="begin"/>
            </w:r>
            <w:r w:rsidR="00374481" w:rsidRPr="00374481">
              <w:rPr>
                <w:rFonts w:ascii="Arial" w:hAnsi="Arial" w:cs="Arial"/>
                <w:noProof/>
                <w:webHidden/>
              </w:rPr>
              <w:instrText xml:space="preserve"> PAGEREF _Toc237537637 \h </w:instrText>
            </w:r>
            <w:r w:rsidR="00374481" w:rsidRPr="00374481">
              <w:rPr>
                <w:rFonts w:ascii="Arial" w:hAnsi="Arial" w:cs="Arial"/>
                <w:noProof/>
                <w:webHidden/>
              </w:rPr>
            </w:r>
            <w:r w:rsidR="00374481" w:rsidRPr="00374481">
              <w:rPr>
                <w:rFonts w:ascii="Arial" w:hAnsi="Arial" w:cs="Arial"/>
                <w:noProof/>
                <w:webHidden/>
              </w:rPr>
              <w:fldChar w:fldCharType="separate"/>
            </w:r>
            <w:r w:rsidR="00374481" w:rsidRPr="00374481">
              <w:rPr>
                <w:rFonts w:ascii="Arial" w:hAnsi="Arial" w:cs="Arial"/>
                <w:noProof/>
                <w:webHidden/>
              </w:rPr>
              <w:t>8</w:t>
            </w:r>
            <w:r w:rsidR="00374481" w:rsidRPr="00374481">
              <w:rPr>
                <w:rFonts w:ascii="Arial" w:hAnsi="Arial" w:cs="Arial"/>
                <w:noProof/>
                <w:webHidden/>
              </w:rPr>
              <w:fldChar w:fldCharType="end"/>
            </w:r>
          </w:hyperlink>
        </w:p>
        <w:p w14:paraId="7C93460C" w14:textId="2FE9D5C5" w:rsidR="009C5A71" w:rsidRPr="00374481" w:rsidRDefault="009C5A71" w:rsidP="00935778">
          <w:pPr>
            <w:spacing w:line="600" w:lineRule="auto"/>
            <w:jc w:val="both"/>
            <w:rPr>
              <w:rFonts w:ascii="Arial" w:hAnsi="Arial" w:cs="Arial"/>
            </w:rPr>
          </w:pPr>
          <w:r w:rsidRPr="00374481">
            <w:rPr>
              <w:rFonts w:ascii="Arial" w:hAnsi="Arial" w:cs="Arial"/>
              <w:b/>
              <w:bCs/>
              <w:noProof/>
            </w:rPr>
            <w:fldChar w:fldCharType="end"/>
          </w:r>
        </w:p>
      </w:sdtContent>
    </w:sdt>
    <w:p w14:paraId="05622E63" w14:textId="721BB1A1" w:rsidR="00194362" w:rsidRPr="00374481" w:rsidRDefault="00194362" w:rsidP="00374481">
      <w:pPr>
        <w:jc w:val="both"/>
        <w:rPr>
          <w:rFonts w:ascii="Arial" w:hAnsi="Arial" w:cs="Arial"/>
        </w:rPr>
      </w:pPr>
    </w:p>
    <w:p w14:paraId="308E49C0" w14:textId="77777777" w:rsidR="003D409E" w:rsidRPr="00374481" w:rsidRDefault="003D409E" w:rsidP="00374481">
      <w:pPr>
        <w:spacing w:line="360" w:lineRule="auto"/>
        <w:jc w:val="both"/>
        <w:rPr>
          <w:rFonts w:ascii="Arial" w:hAnsi="Arial" w:cs="Arial"/>
        </w:rPr>
      </w:pPr>
    </w:p>
    <w:p w14:paraId="676F9155" w14:textId="77777777" w:rsidR="003D409E" w:rsidRPr="00374481" w:rsidRDefault="003D409E" w:rsidP="00374481">
      <w:pPr>
        <w:spacing w:line="360" w:lineRule="auto"/>
        <w:jc w:val="both"/>
        <w:rPr>
          <w:rFonts w:ascii="Arial" w:hAnsi="Arial" w:cs="Arial"/>
        </w:rPr>
      </w:pPr>
      <w:r w:rsidRPr="00374481">
        <w:rPr>
          <w:rFonts w:ascii="Arial" w:hAnsi="Arial" w:cs="Arial"/>
        </w:rPr>
        <w:t> </w:t>
      </w:r>
    </w:p>
    <w:p w14:paraId="3E27686F" w14:textId="504755E0" w:rsidR="009C5A71" w:rsidRPr="00374481" w:rsidRDefault="003D409E" w:rsidP="00374481">
      <w:pPr>
        <w:spacing w:line="360" w:lineRule="auto"/>
        <w:jc w:val="both"/>
        <w:rPr>
          <w:rFonts w:ascii="Arial" w:hAnsi="Arial" w:cs="Arial"/>
        </w:rPr>
      </w:pPr>
      <w:r w:rsidRPr="00374481">
        <w:rPr>
          <w:rFonts w:ascii="Arial" w:hAnsi="Arial" w:cs="Arial"/>
        </w:rPr>
        <w:t xml:space="preserve"> </w:t>
      </w:r>
    </w:p>
    <w:p w14:paraId="5BB65DAC" w14:textId="77777777" w:rsidR="009C5A71" w:rsidRPr="00374481" w:rsidRDefault="009C5A71" w:rsidP="00374481">
      <w:pPr>
        <w:jc w:val="both"/>
        <w:rPr>
          <w:rFonts w:ascii="Arial" w:hAnsi="Arial" w:cs="Arial"/>
        </w:rPr>
      </w:pPr>
      <w:r w:rsidRPr="00374481">
        <w:rPr>
          <w:rFonts w:ascii="Arial" w:hAnsi="Arial" w:cs="Arial"/>
        </w:rPr>
        <w:br w:type="page"/>
      </w:r>
    </w:p>
    <w:p w14:paraId="56FD58DF" w14:textId="77777777" w:rsidR="003D409E" w:rsidRPr="00374481" w:rsidRDefault="003D409E" w:rsidP="00374481">
      <w:pPr>
        <w:spacing w:line="360" w:lineRule="auto"/>
        <w:jc w:val="both"/>
        <w:rPr>
          <w:rFonts w:ascii="Arial" w:hAnsi="Arial" w:cs="Arial"/>
        </w:rPr>
      </w:pPr>
    </w:p>
    <w:p w14:paraId="08DE3C26" w14:textId="77777777" w:rsidR="003D409E" w:rsidRPr="006F7201" w:rsidRDefault="003D409E" w:rsidP="006F7201">
      <w:pPr>
        <w:pStyle w:val="Heading1"/>
        <w:rPr>
          <w:rFonts w:cs="Arial"/>
          <w:szCs w:val="22"/>
        </w:rPr>
      </w:pPr>
      <w:bookmarkStart w:id="0" w:name="_Toc237537634"/>
      <w:r w:rsidRPr="006F7201">
        <w:rPr>
          <w:rFonts w:cs="Arial"/>
          <w:szCs w:val="22"/>
        </w:rPr>
        <w:t>Task 1: Reflection on the Importance of Principles of Health and Social Care</w:t>
      </w:r>
      <w:bookmarkEnd w:id="0"/>
    </w:p>
    <w:p w14:paraId="44C5C6D5" w14:textId="7594CB17" w:rsidR="00491A82" w:rsidRPr="006F7201" w:rsidRDefault="00803FFE" w:rsidP="006F7201">
      <w:pPr>
        <w:spacing w:line="360" w:lineRule="auto"/>
        <w:jc w:val="both"/>
        <w:rPr>
          <w:rFonts w:ascii="Arial" w:hAnsi="Arial" w:cs="Arial"/>
        </w:rPr>
      </w:pPr>
      <w:bookmarkStart w:id="1" w:name="_Hlk237536193"/>
      <w:r w:rsidRPr="006F7201">
        <w:rPr>
          <w:rFonts w:ascii="Arial" w:hAnsi="Arial" w:cs="Arial"/>
        </w:rPr>
        <w:t>Contemporary</w:t>
      </w:r>
      <w:r w:rsidR="00491A82" w:rsidRPr="006F7201">
        <w:rPr>
          <w:rFonts w:ascii="Arial" w:hAnsi="Arial" w:cs="Arial"/>
        </w:rPr>
        <w:t xml:space="preserve"> UK healthcare models </w:t>
      </w:r>
      <w:proofErr w:type="spellStart"/>
      <w:r w:rsidRPr="006F7201">
        <w:rPr>
          <w:rFonts w:ascii="Arial" w:hAnsi="Arial" w:cs="Arial"/>
        </w:rPr>
        <w:t>recogni</w:t>
      </w:r>
      <w:r w:rsidR="00936645" w:rsidRPr="006F7201">
        <w:rPr>
          <w:rFonts w:ascii="Arial" w:hAnsi="Arial" w:cs="Arial"/>
        </w:rPr>
        <w:t>s</w:t>
      </w:r>
      <w:r w:rsidRPr="006F7201">
        <w:rPr>
          <w:rFonts w:ascii="Arial" w:hAnsi="Arial" w:cs="Arial"/>
        </w:rPr>
        <w:t>e</w:t>
      </w:r>
      <w:proofErr w:type="spellEnd"/>
      <w:r w:rsidR="00491A82" w:rsidRPr="006F7201">
        <w:rPr>
          <w:rFonts w:ascii="Arial" w:hAnsi="Arial" w:cs="Arial"/>
        </w:rPr>
        <w:t xml:space="preserve"> individual needs, wants, and empowerment to be more important than strict institutional procedures, with person-centeredness being one of the basic components (Kitson et al., 2013). Drawing on the humanistic psychology paradigm advocated by Maslow (1943), such an approach treats individual dignity, independence, and choice not as some extra benefits but as the indispensable condition of recovery and comprehensive well-being. The examples of legislative documents, such as the Care Act 2014, reflect this attitude and obligate local authorities to promote individual well-being and self-determination in the process of care management (Great Britain, 2014).</w:t>
      </w:r>
    </w:p>
    <w:p w14:paraId="7269BDC8" w14:textId="4E0148FE" w:rsidR="00491A82" w:rsidRPr="006F7201" w:rsidRDefault="00491A82" w:rsidP="006F7201">
      <w:pPr>
        <w:spacing w:line="360" w:lineRule="auto"/>
        <w:jc w:val="both"/>
        <w:rPr>
          <w:rFonts w:ascii="Arial" w:hAnsi="Arial" w:cs="Arial"/>
        </w:rPr>
      </w:pPr>
      <w:r w:rsidRPr="006F7201">
        <w:rPr>
          <w:rFonts w:ascii="Arial" w:hAnsi="Arial" w:cs="Arial"/>
        </w:rPr>
        <w:t xml:space="preserve">Nevertheless, high-level legislation purposes do not always fit easily into everyday practice operations. Due to financial stringency and resource limitations, care establishments may consider family and informal caregivers as operational risks rather than partners (Marczak et al., 2022). The above-mentioned systemic friction indicates that the efficiency of any legislation depends equally on local cultures within </w:t>
      </w:r>
      <w:r w:rsidR="00E26180" w:rsidRPr="006F7201">
        <w:rPr>
          <w:rFonts w:ascii="Arial" w:hAnsi="Arial" w:cs="Arial"/>
        </w:rPr>
        <w:t>organizations</w:t>
      </w:r>
      <w:r w:rsidRPr="006F7201">
        <w:rPr>
          <w:rFonts w:ascii="Arial" w:hAnsi="Arial" w:cs="Arial"/>
        </w:rPr>
        <w:t xml:space="preserve"> as it does on laws passed. As regards professional work, this gap provides the much-needed caution against cutting costs in favor of convenience instead of people’s agency, while preserving a person-centered approach.</w:t>
      </w:r>
    </w:p>
    <w:p w14:paraId="5DA28AC7" w14:textId="0730E14E" w:rsidR="00491A82" w:rsidRPr="006F7201" w:rsidRDefault="00491A82" w:rsidP="006F7201">
      <w:pPr>
        <w:spacing w:line="360" w:lineRule="auto"/>
        <w:jc w:val="both"/>
        <w:rPr>
          <w:rFonts w:ascii="Arial" w:hAnsi="Arial" w:cs="Arial"/>
        </w:rPr>
      </w:pPr>
      <w:r w:rsidRPr="006F7201">
        <w:rPr>
          <w:rFonts w:ascii="Arial" w:hAnsi="Arial" w:cs="Arial"/>
        </w:rPr>
        <w:t xml:space="preserve">An equally important aspect of modern service provision is interprofessional collaboration because, as no one </w:t>
      </w:r>
      <w:r w:rsidR="00E26180" w:rsidRPr="006F7201">
        <w:rPr>
          <w:rFonts w:ascii="Arial" w:hAnsi="Arial" w:cs="Arial"/>
        </w:rPr>
        <w:t>organization</w:t>
      </w:r>
      <w:r w:rsidRPr="006F7201">
        <w:rPr>
          <w:rFonts w:ascii="Arial" w:hAnsi="Arial" w:cs="Arial"/>
        </w:rPr>
        <w:t xml:space="preserve"> or profession can meet all human needs, teamwork is essential for providing services. Cross-sector collaboration strengthens the whole health system through the integration of different professional perspectives in accordance with the WHO guidelines on interprofessional education and collaborative practice (WHO, 2010). The legal means by which such </w:t>
      </w:r>
      <w:r w:rsidR="003D16C7" w:rsidRPr="006F7201">
        <w:rPr>
          <w:rFonts w:ascii="Arial" w:hAnsi="Arial" w:cs="Arial"/>
        </w:rPr>
        <w:t>integration</w:t>
      </w:r>
      <w:r w:rsidRPr="006F7201">
        <w:rPr>
          <w:rFonts w:ascii="Arial" w:hAnsi="Arial" w:cs="Arial"/>
        </w:rPr>
        <w:t xml:space="preserve"> is achieved in the UK include the Health and Social Care Act 2012 (Great Britain, 2012) and the Health and Care Act 2022 creating ICSs to connect NHS </w:t>
      </w:r>
      <w:r w:rsidR="00E26180" w:rsidRPr="006F7201">
        <w:rPr>
          <w:rFonts w:ascii="Arial" w:hAnsi="Arial" w:cs="Arial"/>
        </w:rPr>
        <w:t>organizations</w:t>
      </w:r>
      <w:r w:rsidRPr="006F7201">
        <w:rPr>
          <w:rFonts w:ascii="Arial" w:hAnsi="Arial" w:cs="Arial"/>
        </w:rPr>
        <w:t xml:space="preserve">, local councils, and voluntary </w:t>
      </w:r>
      <w:r w:rsidR="00E26180" w:rsidRPr="006F7201">
        <w:rPr>
          <w:rFonts w:ascii="Arial" w:hAnsi="Arial" w:cs="Arial"/>
        </w:rPr>
        <w:t>organizations</w:t>
      </w:r>
      <w:r w:rsidRPr="006F7201">
        <w:rPr>
          <w:rFonts w:ascii="Arial" w:hAnsi="Arial" w:cs="Arial"/>
        </w:rPr>
        <w:t xml:space="preserve"> (Great Britain, 2022).</w:t>
      </w:r>
    </w:p>
    <w:p w14:paraId="3FB2EE80" w14:textId="4EB822E1" w:rsidR="00491A82" w:rsidRPr="006F7201" w:rsidRDefault="00491A82" w:rsidP="006F7201">
      <w:pPr>
        <w:spacing w:line="360" w:lineRule="auto"/>
        <w:jc w:val="both"/>
        <w:rPr>
          <w:rFonts w:ascii="Arial" w:hAnsi="Arial" w:cs="Arial"/>
        </w:rPr>
      </w:pPr>
      <w:r w:rsidRPr="006F7201">
        <w:rPr>
          <w:rFonts w:ascii="Arial" w:hAnsi="Arial" w:cs="Arial"/>
        </w:rPr>
        <w:t xml:space="preserve">However, despite this, the existence of structural integration alone does not automatically mean successful collaboration. In qualitative studies of case studies from three ICSs conducted by Sanderson et al. (2023), it is found that stakeholders often find it difficult to reconcile their system-level responsibilities with their own institutional concerns at times, pulling out of difficult collaborative decisions </w:t>
      </w:r>
      <w:r w:rsidR="006F670C" w:rsidRPr="006F7201">
        <w:rPr>
          <w:rFonts w:ascii="Arial" w:hAnsi="Arial" w:cs="Arial"/>
        </w:rPr>
        <w:t>to</w:t>
      </w:r>
      <w:r w:rsidRPr="006F7201">
        <w:rPr>
          <w:rFonts w:ascii="Arial" w:hAnsi="Arial" w:cs="Arial"/>
        </w:rPr>
        <w:t xml:space="preserve"> preserve their local accountability. Also, in a rapid evidence review it has been highlighted that there is an inherent lack of standard methodology for evaluations which means that the claims of successful partnership working have not been proven empirically </w:t>
      </w:r>
      <w:r w:rsidRPr="006F7201">
        <w:rPr>
          <w:rFonts w:ascii="Arial" w:hAnsi="Arial" w:cs="Arial"/>
        </w:rPr>
        <w:lastRenderedPageBreak/>
        <w:t xml:space="preserve">(Thomson and Chatterjee, 2024). Therefore, partnering must be </w:t>
      </w:r>
      <w:r w:rsidR="006F670C" w:rsidRPr="006F7201">
        <w:rPr>
          <w:rFonts w:ascii="Arial" w:hAnsi="Arial" w:cs="Arial"/>
        </w:rPr>
        <w:t>recognized</w:t>
      </w:r>
      <w:r w:rsidRPr="006F7201">
        <w:rPr>
          <w:rFonts w:ascii="Arial" w:hAnsi="Arial" w:cs="Arial"/>
        </w:rPr>
        <w:t xml:space="preserve"> as a continuous, contentious political process rather than an inevitable gain through structural change.</w:t>
      </w:r>
    </w:p>
    <w:p w14:paraId="548329DC" w14:textId="39D9F6D8" w:rsidR="00491A82" w:rsidRPr="006F7201" w:rsidRDefault="00491A82" w:rsidP="006F7201">
      <w:pPr>
        <w:spacing w:line="360" w:lineRule="auto"/>
        <w:jc w:val="both"/>
        <w:rPr>
          <w:rFonts w:ascii="Arial" w:hAnsi="Arial" w:cs="Arial"/>
        </w:rPr>
      </w:pPr>
      <w:r w:rsidRPr="006F7201">
        <w:rPr>
          <w:rFonts w:ascii="Arial" w:hAnsi="Arial" w:cs="Arial"/>
        </w:rPr>
        <w:t>Person-</w:t>
      </w:r>
      <w:r w:rsidR="00FA6C57" w:rsidRPr="006F7201">
        <w:rPr>
          <w:rFonts w:ascii="Arial" w:hAnsi="Arial" w:cs="Arial"/>
        </w:rPr>
        <w:t>centered</w:t>
      </w:r>
      <w:r w:rsidRPr="006F7201">
        <w:rPr>
          <w:rFonts w:ascii="Arial" w:hAnsi="Arial" w:cs="Arial"/>
        </w:rPr>
        <w:t xml:space="preserve"> and collaborative care both depend on the fundamental principles of moral integrity. Ethical decisions are based on traditional biomedical ethics of autonomy, beneficence, non-maleficence and justice as stated in the NMC code (NMC, 2018) and HCPC standards (HCPC, 2024). The Mid Staffordshire </w:t>
      </w:r>
      <w:r w:rsidR="00FA6C57" w:rsidRPr="006F7201">
        <w:rPr>
          <w:rFonts w:ascii="Arial" w:hAnsi="Arial" w:cs="Arial"/>
        </w:rPr>
        <w:t>case,</w:t>
      </w:r>
      <w:r w:rsidRPr="006F7201">
        <w:rPr>
          <w:rFonts w:ascii="Arial" w:hAnsi="Arial" w:cs="Arial"/>
        </w:rPr>
        <w:t xml:space="preserve"> which is part of the Francis report on the NHS Foundation Trust, however, shows that even with these codes of conduct there is no safety if the </w:t>
      </w:r>
      <w:r w:rsidR="00FA6C57" w:rsidRPr="006F7201">
        <w:rPr>
          <w:rFonts w:ascii="Arial" w:hAnsi="Arial" w:cs="Arial"/>
        </w:rPr>
        <w:t>organization</w:t>
      </w:r>
      <w:r w:rsidRPr="006F7201">
        <w:rPr>
          <w:rFonts w:ascii="Arial" w:hAnsi="Arial" w:cs="Arial"/>
        </w:rPr>
        <w:t xml:space="preserve"> is target driven and patient welfare is not the </w:t>
      </w:r>
      <w:r w:rsidR="00FA6C57" w:rsidRPr="006F7201">
        <w:rPr>
          <w:rFonts w:ascii="Arial" w:hAnsi="Arial" w:cs="Arial"/>
        </w:rPr>
        <w:t>focus</w:t>
      </w:r>
      <w:r w:rsidRPr="006F7201">
        <w:rPr>
          <w:rFonts w:ascii="Arial" w:hAnsi="Arial" w:cs="Arial"/>
        </w:rPr>
        <w:t xml:space="preserve">. It is necessary to have good leadership and adequate staffing to be successful with ethical models (Rayner, 2022). In the </w:t>
      </w:r>
      <w:r w:rsidR="00FA6C57" w:rsidRPr="006F7201">
        <w:rPr>
          <w:rFonts w:ascii="Arial" w:hAnsi="Arial" w:cs="Arial"/>
        </w:rPr>
        <w:t>future of professional practice</w:t>
      </w:r>
      <w:r w:rsidRPr="006F7201">
        <w:rPr>
          <w:rFonts w:ascii="Arial" w:hAnsi="Arial" w:cs="Arial"/>
        </w:rPr>
        <w:t xml:space="preserve">, there will be a need to reflect on self </w:t>
      </w:r>
      <w:r w:rsidR="00FA6C57" w:rsidRPr="006F7201">
        <w:rPr>
          <w:rFonts w:ascii="Arial" w:hAnsi="Arial" w:cs="Arial"/>
        </w:rPr>
        <w:t>to</w:t>
      </w:r>
      <w:r w:rsidRPr="006F7201">
        <w:rPr>
          <w:rFonts w:ascii="Arial" w:hAnsi="Arial" w:cs="Arial"/>
        </w:rPr>
        <w:t xml:space="preserve"> comprehend </w:t>
      </w:r>
      <w:r w:rsidR="00FA6C57" w:rsidRPr="006F7201">
        <w:rPr>
          <w:rFonts w:ascii="Arial" w:hAnsi="Arial" w:cs="Arial"/>
        </w:rPr>
        <w:t>organizational</w:t>
      </w:r>
      <w:r w:rsidRPr="006F7201">
        <w:rPr>
          <w:rFonts w:ascii="Arial" w:hAnsi="Arial" w:cs="Arial"/>
        </w:rPr>
        <w:t xml:space="preserve"> environment and its influence on moral decision making.</w:t>
      </w:r>
    </w:p>
    <w:p w14:paraId="103CD695" w14:textId="77777777" w:rsidR="003D409E" w:rsidRPr="006F7201" w:rsidRDefault="003D409E" w:rsidP="006F7201">
      <w:pPr>
        <w:pStyle w:val="Heading1"/>
        <w:rPr>
          <w:rFonts w:cs="Arial"/>
          <w:szCs w:val="22"/>
        </w:rPr>
      </w:pPr>
      <w:bookmarkStart w:id="2" w:name="_Toc237537635"/>
      <w:bookmarkEnd w:id="1"/>
      <w:r w:rsidRPr="006F7201">
        <w:rPr>
          <w:rFonts w:cs="Arial"/>
          <w:szCs w:val="22"/>
        </w:rPr>
        <w:t>Task 2: Practical Examples of Concepts in Practice</w:t>
      </w:r>
      <w:bookmarkEnd w:id="2"/>
    </w:p>
    <w:p w14:paraId="5B8A5C21" w14:textId="2468B4D5" w:rsidR="00374481" w:rsidRPr="006F7201" w:rsidRDefault="00374481" w:rsidP="006F7201">
      <w:pPr>
        <w:spacing w:line="360" w:lineRule="auto"/>
        <w:jc w:val="both"/>
        <w:rPr>
          <w:rFonts w:ascii="Arial" w:hAnsi="Arial" w:cs="Arial"/>
        </w:rPr>
      </w:pPr>
      <w:r w:rsidRPr="006F7201">
        <w:rPr>
          <w:rFonts w:ascii="Arial" w:hAnsi="Arial" w:cs="Arial"/>
        </w:rPr>
        <w:t xml:space="preserve">The process of discharge after a complicated hip fracture serves as an effective example of how these important principles work in real clinical settings. The application of true person-centered care requires involving the patient in multi-disciplinary meetings and making their main preference for going back home their priority (Great Britain, 2014; Kitson et al., 2013). Yet, according to Marczak et al. (2022), “severe resource limitations usually place greater emphasis on the ease of administration than the preferences of the individual resident,” thus </w:t>
      </w:r>
      <w:r w:rsidR="00FA6C57" w:rsidRPr="006F7201">
        <w:rPr>
          <w:rFonts w:ascii="Arial" w:hAnsi="Arial" w:cs="Arial"/>
        </w:rPr>
        <w:t>emphasizing</w:t>
      </w:r>
      <w:r w:rsidRPr="006F7201">
        <w:rPr>
          <w:rFonts w:ascii="Arial" w:hAnsi="Arial" w:cs="Arial"/>
        </w:rPr>
        <w:t xml:space="preserve"> a need for </w:t>
      </w:r>
      <w:r w:rsidR="00722E9C" w:rsidRPr="006F7201">
        <w:rPr>
          <w:rFonts w:ascii="Arial" w:hAnsi="Arial" w:cs="Arial"/>
        </w:rPr>
        <w:t xml:space="preserve"> </w:t>
      </w:r>
      <w:r w:rsidR="007B5A9E" w:rsidRPr="006F7201">
        <w:rPr>
          <w:rFonts w:ascii="Arial" w:hAnsi="Arial" w:cs="Arial"/>
        </w:rPr>
        <w:t xml:space="preserve"> Person </w:t>
      </w:r>
      <w:r w:rsidR="00A23E7D" w:rsidRPr="006F7201">
        <w:rPr>
          <w:rFonts w:ascii="Arial" w:hAnsi="Arial" w:cs="Arial"/>
        </w:rPr>
        <w:t>centered</w:t>
      </w:r>
      <w:r w:rsidR="007B5A9E" w:rsidRPr="006F7201">
        <w:rPr>
          <w:rFonts w:ascii="Arial" w:hAnsi="Arial" w:cs="Arial"/>
        </w:rPr>
        <w:t xml:space="preserve"> approaches</w:t>
      </w:r>
      <w:r w:rsidRPr="006F7201">
        <w:rPr>
          <w:rFonts w:ascii="Arial" w:hAnsi="Arial" w:cs="Arial"/>
        </w:rPr>
        <w:t xml:space="preserve"> based on criteria that </w:t>
      </w:r>
      <w:r w:rsidR="00A23E7D" w:rsidRPr="006F7201">
        <w:rPr>
          <w:rFonts w:ascii="Arial" w:hAnsi="Arial" w:cs="Arial"/>
        </w:rPr>
        <w:t>consider</w:t>
      </w:r>
      <w:r w:rsidRPr="006F7201">
        <w:rPr>
          <w:rFonts w:ascii="Arial" w:hAnsi="Arial" w:cs="Arial"/>
        </w:rPr>
        <w:t xml:space="preserve"> resident well-being.</w:t>
      </w:r>
    </w:p>
    <w:p w14:paraId="65FD38A6" w14:textId="4E207582" w:rsidR="00374481" w:rsidRPr="006F7201" w:rsidRDefault="00374481" w:rsidP="006F7201">
      <w:pPr>
        <w:spacing w:line="360" w:lineRule="auto"/>
        <w:jc w:val="both"/>
        <w:rPr>
          <w:rFonts w:ascii="Arial" w:hAnsi="Arial" w:cs="Arial"/>
        </w:rPr>
      </w:pPr>
      <w:r w:rsidRPr="006F7201">
        <w:rPr>
          <w:rFonts w:ascii="Arial" w:hAnsi="Arial" w:cs="Arial"/>
        </w:rPr>
        <w:t xml:space="preserve">Partnership working can be observed in the form of close collaboration among discharge teams, community nurses, occupational therapists, social workers, and informal carers working in unison to create a </w:t>
      </w:r>
      <w:r w:rsidR="00A23E7D" w:rsidRPr="006F7201">
        <w:rPr>
          <w:rFonts w:ascii="Arial" w:hAnsi="Arial" w:cs="Arial"/>
        </w:rPr>
        <w:t>person-centered</w:t>
      </w:r>
      <w:r w:rsidRPr="006F7201">
        <w:rPr>
          <w:rFonts w:ascii="Arial" w:hAnsi="Arial" w:cs="Arial"/>
        </w:rPr>
        <w:t xml:space="preserve"> package, all of which are facilitated by Integrated Care Boards under the Health and Care Act 2022 (Great Britain, 2022). Pathways such as 'discharge to assess' have been identified by Social Care Institute for Excellence (SCIE, 2022) as being robust clinical examples of partnership working reducing avoidable hospital admissions. However, the tensions within </w:t>
      </w:r>
      <w:r w:rsidR="00A23E7D" w:rsidRPr="006F7201">
        <w:rPr>
          <w:rFonts w:ascii="Arial" w:hAnsi="Arial" w:cs="Arial"/>
        </w:rPr>
        <w:t>organizations</w:t>
      </w:r>
      <w:r w:rsidRPr="006F7201">
        <w:rPr>
          <w:rFonts w:ascii="Arial" w:hAnsi="Arial" w:cs="Arial"/>
        </w:rPr>
        <w:t xml:space="preserve"> described by Sanderson et al. (2023) indicate that such pathways would fail due to conflicts between hospital trusts, with targets for occupancy rates, and community services, which have capacity constraints. Conflicts often arise between the </w:t>
      </w:r>
      <w:r w:rsidR="00803FFE" w:rsidRPr="006F7201">
        <w:rPr>
          <w:rFonts w:ascii="Arial" w:hAnsi="Arial" w:cs="Arial"/>
        </w:rPr>
        <w:t>residents</w:t>
      </w:r>
      <w:r w:rsidRPr="006F7201">
        <w:rPr>
          <w:rFonts w:ascii="Arial" w:hAnsi="Arial" w:cs="Arial"/>
        </w:rPr>
        <w:t xml:space="preserve"> and their family as well; in cases where residents want to go back home while the families prefer residential care for them. The way to resolve this problem is to give equal importance to the </w:t>
      </w:r>
      <w:r w:rsidR="00803FFE" w:rsidRPr="006F7201">
        <w:rPr>
          <w:rFonts w:ascii="Arial" w:hAnsi="Arial" w:cs="Arial"/>
        </w:rPr>
        <w:t>residents’</w:t>
      </w:r>
      <w:r w:rsidRPr="006F7201">
        <w:rPr>
          <w:rFonts w:ascii="Arial" w:hAnsi="Arial" w:cs="Arial"/>
        </w:rPr>
        <w:t xml:space="preserve"> autonomy and at the same time value the opinions of the family highly without considering either opinion to be automatically correct (Cave, 2020).</w:t>
      </w:r>
    </w:p>
    <w:p w14:paraId="3E733044" w14:textId="3DFEED6B" w:rsidR="00374481" w:rsidRPr="006F7201" w:rsidRDefault="00374481" w:rsidP="006F7201">
      <w:pPr>
        <w:spacing w:line="360" w:lineRule="auto"/>
        <w:jc w:val="both"/>
        <w:rPr>
          <w:rFonts w:ascii="Arial" w:hAnsi="Arial" w:cs="Arial"/>
        </w:rPr>
      </w:pPr>
      <w:r w:rsidRPr="006F7201">
        <w:rPr>
          <w:rFonts w:ascii="Arial" w:hAnsi="Arial" w:cs="Arial"/>
        </w:rPr>
        <w:lastRenderedPageBreak/>
        <w:t>Ethical practice can be identified through the process through which formal consent is sought for the</w:t>
      </w:r>
      <w:r w:rsidR="009F1180" w:rsidRPr="006F7201">
        <w:rPr>
          <w:rFonts w:ascii="Arial" w:hAnsi="Arial" w:cs="Arial"/>
        </w:rPr>
        <w:t xml:space="preserve"> person-centered care</w:t>
      </w:r>
      <w:r w:rsidRPr="006F7201">
        <w:rPr>
          <w:rFonts w:ascii="Arial" w:hAnsi="Arial" w:cs="Arial"/>
        </w:rPr>
        <w:t xml:space="preserve"> plan and through the conflict between autonomy and professional responsibility in protecting others from harm when there is a risk of falls at home. This is because it represents the ethical dilemma described in literature on bioethics: Where one person takes a decision that is not good but does not affect anybody else, the principles of non-maleficence and autonomy of the patient should be considered (Beauchamp and Childress, 2019). The guidance in the Mental Capacity Act 2005 outlines an ethical principle-based strategy, but this can work only where professionals are confident and have enough time, which is difficult in areas of heavy caseloads (DHSC, 2022).</w:t>
      </w:r>
    </w:p>
    <w:p w14:paraId="739C9BF3" w14:textId="702CAB37" w:rsidR="00374481" w:rsidRPr="006F7201" w:rsidRDefault="00374481" w:rsidP="006F7201">
      <w:pPr>
        <w:spacing w:line="360" w:lineRule="auto"/>
        <w:jc w:val="both"/>
        <w:rPr>
          <w:rFonts w:ascii="Arial" w:hAnsi="Arial" w:cs="Arial"/>
        </w:rPr>
      </w:pPr>
      <w:r w:rsidRPr="006F7201">
        <w:rPr>
          <w:rFonts w:ascii="Arial" w:hAnsi="Arial" w:cs="Arial"/>
        </w:rPr>
        <w:t>Yet, putting all these important principles into practice becomes exceedingly hard within the real-life context. The extreme staff shortage across the field of social care leads to very little space left for person-</w:t>
      </w:r>
      <w:r w:rsidR="009F1180" w:rsidRPr="006F7201">
        <w:rPr>
          <w:rFonts w:ascii="Arial" w:hAnsi="Arial" w:cs="Arial"/>
        </w:rPr>
        <w:t>centered</w:t>
      </w:r>
      <w:r w:rsidRPr="006F7201">
        <w:rPr>
          <w:rFonts w:ascii="Arial" w:hAnsi="Arial" w:cs="Arial"/>
        </w:rPr>
        <w:t xml:space="preserve"> conversations and collaboration (Skills for Care, 2025). Thus, the most critical problem is not the absence of relevant policies or ethical values but the shortage of resources, including staffing and sustainable financing. Additional financing for hiring and retaining social care workers, as stated by the Department of Health and Social Care (2022), can become effective only when accompanied by reasonable workloads and the possibility of multi-disciplinary meetings. Without such a crucial step, appeals for improved person-</w:t>
      </w:r>
      <w:r w:rsidR="009F1180" w:rsidRPr="006F7201">
        <w:rPr>
          <w:rFonts w:ascii="Arial" w:hAnsi="Arial" w:cs="Arial"/>
        </w:rPr>
        <w:t>centered</w:t>
      </w:r>
      <w:r w:rsidRPr="006F7201">
        <w:rPr>
          <w:rFonts w:ascii="Arial" w:hAnsi="Arial" w:cs="Arial"/>
        </w:rPr>
        <w:t xml:space="preserve"> practices become just another unfulfilled requirement imposed on social care workers.</w:t>
      </w:r>
    </w:p>
    <w:p w14:paraId="15FC7ACE" w14:textId="0D8D6495" w:rsidR="00936645" w:rsidRPr="006F7201" w:rsidRDefault="003D409E" w:rsidP="006F7201">
      <w:pPr>
        <w:pStyle w:val="Heading1"/>
        <w:rPr>
          <w:rFonts w:cs="Arial"/>
          <w:szCs w:val="22"/>
        </w:rPr>
      </w:pPr>
      <w:bookmarkStart w:id="3" w:name="_Toc237537636"/>
      <w:r w:rsidRPr="006F7201">
        <w:rPr>
          <w:rFonts w:cs="Arial"/>
          <w:szCs w:val="22"/>
        </w:rPr>
        <w:t>Task 3: Self-Reflection as a Health and Social Care Professional</w:t>
      </w:r>
      <w:bookmarkEnd w:id="3"/>
    </w:p>
    <w:p w14:paraId="315F6A46" w14:textId="5CA3B1C6" w:rsidR="00936645" w:rsidRPr="006F7201" w:rsidRDefault="00F84932" w:rsidP="006F7201">
      <w:pPr>
        <w:spacing w:line="360" w:lineRule="auto"/>
        <w:rPr>
          <w:rFonts w:ascii="Arial" w:hAnsi="Arial" w:cs="Arial"/>
        </w:rPr>
      </w:pPr>
      <w:r w:rsidRPr="006F7201">
        <w:rPr>
          <w:rFonts w:ascii="Arial" w:hAnsi="Arial" w:cs="Arial"/>
        </w:rPr>
        <w:t>I am going to reflect on one event from my work as a care assistant using Gibbs' (1988) reflective model. I have chosen this model because it has six clear stages, as shown in Figure 1: Description, Feelings, Evaluation, Analysis, Conclusion, and Action Plan. These stages help me look honestly at what happened, how I responded, and what I would do differently, rather than just describing my job in general terms.</w:t>
      </w:r>
    </w:p>
    <w:p w14:paraId="577F1807" w14:textId="77777777" w:rsidR="003E68BD" w:rsidRPr="006F7201" w:rsidRDefault="003E68BD" w:rsidP="006F7201">
      <w:pPr>
        <w:spacing w:line="360" w:lineRule="auto"/>
        <w:rPr>
          <w:rFonts w:ascii="Arial" w:hAnsi="Arial" w:cs="Arial"/>
        </w:rPr>
      </w:pPr>
    </w:p>
    <w:p w14:paraId="7340340F" w14:textId="655007A2" w:rsidR="003E68BD" w:rsidRPr="006F7201" w:rsidRDefault="003E68BD" w:rsidP="006F7201">
      <w:pPr>
        <w:spacing w:line="360" w:lineRule="auto"/>
        <w:jc w:val="center"/>
        <w:rPr>
          <w:rFonts w:ascii="Arial" w:hAnsi="Arial" w:cs="Arial"/>
        </w:rPr>
      </w:pPr>
      <w:r w:rsidRPr="006F7201">
        <w:rPr>
          <w:rFonts w:ascii="Arial" w:hAnsi="Arial" w:cs="Arial"/>
        </w:rPr>
        <w:lastRenderedPageBreak/>
        <w:drawing>
          <wp:inline distT="0" distB="0" distL="0" distR="0" wp14:anchorId="4A41B9ED" wp14:editId="2BD268D9">
            <wp:extent cx="2894445" cy="3388071"/>
            <wp:effectExtent l="0" t="0" r="1270" b="3175"/>
            <wp:docPr id="1175748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748649" name=""/>
                    <pic:cNvPicPr/>
                  </pic:nvPicPr>
                  <pic:blipFill>
                    <a:blip r:embed="rId9"/>
                    <a:stretch>
                      <a:fillRect/>
                    </a:stretch>
                  </pic:blipFill>
                  <pic:spPr>
                    <a:xfrm>
                      <a:off x="0" y="0"/>
                      <a:ext cx="2909012" cy="3405123"/>
                    </a:xfrm>
                    <a:prstGeom prst="rect">
                      <a:avLst/>
                    </a:prstGeom>
                  </pic:spPr>
                </pic:pic>
              </a:graphicData>
            </a:graphic>
          </wp:inline>
        </w:drawing>
      </w:r>
    </w:p>
    <w:p w14:paraId="468C03DA" w14:textId="55CC3572" w:rsidR="003E68BD" w:rsidRPr="006F7201" w:rsidRDefault="003E68BD" w:rsidP="006F7201">
      <w:pPr>
        <w:spacing w:line="360" w:lineRule="auto"/>
        <w:rPr>
          <w:rFonts w:ascii="Arial" w:hAnsi="Arial" w:cs="Arial"/>
        </w:rPr>
      </w:pPr>
      <w:r w:rsidRPr="006F7201">
        <w:rPr>
          <w:rFonts w:ascii="Arial" w:hAnsi="Arial" w:cs="Arial"/>
        </w:rPr>
        <w:t xml:space="preserve">Figure 1: Gibb’s reflective cycle. </w:t>
      </w:r>
    </w:p>
    <w:p w14:paraId="351258F4" w14:textId="6D304B22" w:rsidR="00936645" w:rsidRPr="006F7201" w:rsidRDefault="00936645" w:rsidP="006F7201">
      <w:pPr>
        <w:spacing w:line="360" w:lineRule="auto"/>
        <w:rPr>
          <w:rFonts w:ascii="Arial" w:hAnsi="Arial" w:cs="Arial"/>
          <w:b/>
          <w:bCs/>
        </w:rPr>
      </w:pPr>
      <w:r w:rsidRPr="006F7201">
        <w:rPr>
          <w:rFonts w:ascii="Arial" w:hAnsi="Arial" w:cs="Arial"/>
          <w:b/>
          <w:bCs/>
        </w:rPr>
        <w:t>Description</w:t>
      </w:r>
    </w:p>
    <w:p w14:paraId="3041F974" w14:textId="6CC473D8" w:rsidR="00936645" w:rsidRPr="006F7201" w:rsidRDefault="00936645" w:rsidP="006F7201">
      <w:pPr>
        <w:spacing w:line="360" w:lineRule="auto"/>
        <w:rPr>
          <w:rFonts w:ascii="Arial" w:hAnsi="Arial" w:cs="Arial"/>
        </w:rPr>
      </w:pPr>
      <w:r w:rsidRPr="006F7201">
        <w:rPr>
          <w:rFonts w:ascii="Arial" w:hAnsi="Arial" w:cs="Arial"/>
        </w:rPr>
        <w:t xml:space="preserve">I went to support a service user I had worked with for several months. He told me he did not want help washing that day because he did not feel safe in the bathroom. He had fallen earlier that week, and the district nurse had already raised concerns about his mobility. At first, I focused on the risk rather than on him, and I explained why it was important to let me help him into the shower safely. He then told me firmly that he had managed his own care for sixty years. That was when I </w:t>
      </w:r>
      <w:proofErr w:type="spellStart"/>
      <w:proofErr w:type="gramStart"/>
      <w:r w:rsidRPr="006F7201">
        <w:rPr>
          <w:rFonts w:ascii="Arial" w:hAnsi="Arial" w:cs="Arial"/>
        </w:rPr>
        <w:t>realised</w:t>
      </w:r>
      <w:proofErr w:type="spellEnd"/>
      <w:proofErr w:type="gramEnd"/>
      <w:r w:rsidRPr="006F7201">
        <w:rPr>
          <w:rFonts w:ascii="Arial" w:hAnsi="Arial" w:cs="Arial"/>
        </w:rPr>
        <w:t xml:space="preserve"> I had been managing a problem instead of listening to a person.</w:t>
      </w:r>
    </w:p>
    <w:p w14:paraId="4D2D716C" w14:textId="148674A7" w:rsidR="00936645" w:rsidRPr="006F7201" w:rsidRDefault="00936645" w:rsidP="006F7201">
      <w:pPr>
        <w:spacing w:line="360" w:lineRule="auto"/>
        <w:rPr>
          <w:rFonts w:ascii="Arial" w:hAnsi="Arial" w:cs="Arial"/>
          <w:b/>
          <w:bCs/>
        </w:rPr>
      </w:pPr>
      <w:r w:rsidRPr="006F7201">
        <w:rPr>
          <w:rFonts w:ascii="Arial" w:hAnsi="Arial" w:cs="Arial"/>
          <w:b/>
          <w:bCs/>
        </w:rPr>
        <w:t>Feelings</w:t>
      </w:r>
    </w:p>
    <w:p w14:paraId="38012918" w14:textId="5D6E9E50" w:rsidR="00936645" w:rsidRPr="006F7201" w:rsidRDefault="00936645" w:rsidP="006F7201">
      <w:pPr>
        <w:spacing w:line="360" w:lineRule="auto"/>
        <w:rPr>
          <w:rFonts w:ascii="Arial" w:hAnsi="Arial" w:cs="Arial"/>
        </w:rPr>
      </w:pPr>
      <w:r w:rsidRPr="006F7201">
        <w:rPr>
          <w:rFonts w:ascii="Arial" w:hAnsi="Arial" w:cs="Arial"/>
        </w:rPr>
        <w:t xml:space="preserve">Maslow (1943) argues that dignity and control are basic human needs, not extras. This is easy to agree with in theory. It was uncomfortable to notice that I had forgotten it in the </w:t>
      </w:r>
      <w:proofErr w:type="gramStart"/>
      <w:r w:rsidRPr="006F7201">
        <w:rPr>
          <w:rFonts w:ascii="Arial" w:hAnsi="Arial" w:cs="Arial"/>
        </w:rPr>
        <w:t>moment, and</w:t>
      </w:r>
      <w:proofErr w:type="gramEnd"/>
      <w:r w:rsidRPr="006F7201">
        <w:rPr>
          <w:rFonts w:ascii="Arial" w:hAnsi="Arial" w:cs="Arial"/>
        </w:rPr>
        <w:t xml:space="preserve"> had explained instead of asking. I also felt uneasy later, when the district nurse questioned the change, because I was unsure whether to trust what he had told me or defer to her experience.</w:t>
      </w:r>
    </w:p>
    <w:p w14:paraId="48DD4129" w14:textId="4067727A" w:rsidR="00936645" w:rsidRPr="006F7201" w:rsidRDefault="00936645" w:rsidP="006F7201">
      <w:pPr>
        <w:spacing w:line="360" w:lineRule="auto"/>
        <w:rPr>
          <w:rFonts w:ascii="Arial" w:hAnsi="Arial" w:cs="Arial"/>
          <w:b/>
          <w:bCs/>
        </w:rPr>
      </w:pPr>
      <w:r w:rsidRPr="006F7201">
        <w:rPr>
          <w:rFonts w:ascii="Arial" w:hAnsi="Arial" w:cs="Arial"/>
          <w:b/>
          <w:bCs/>
        </w:rPr>
        <w:t>Evaluation</w:t>
      </w:r>
    </w:p>
    <w:p w14:paraId="50784CF8" w14:textId="6E63171B" w:rsidR="00936645" w:rsidRPr="006F7201" w:rsidRDefault="00936645" w:rsidP="006F7201">
      <w:pPr>
        <w:spacing w:line="360" w:lineRule="auto"/>
        <w:rPr>
          <w:rFonts w:ascii="Arial" w:hAnsi="Arial" w:cs="Arial"/>
        </w:rPr>
      </w:pPr>
      <w:r w:rsidRPr="006F7201">
        <w:rPr>
          <w:rFonts w:ascii="Arial" w:hAnsi="Arial" w:cs="Arial"/>
        </w:rPr>
        <w:t xml:space="preserve">What went well: once I stopped and listened, I changed my approach quickly. I asked what he was willing to do instead of what he needed to do. We agreed he could wash at the sink instead of showering. This respected his independence and was also safer, since the floor was slippery. </w:t>
      </w:r>
      <w:r w:rsidRPr="006F7201">
        <w:rPr>
          <w:rFonts w:ascii="Arial" w:hAnsi="Arial" w:cs="Arial"/>
        </w:rPr>
        <w:lastRenderedPageBreak/>
        <w:t>I recorded the change and discussed it with the district nurse at the next visit, because the NMC (2018) Code requires decisions like this to be documented and shared, and because I was not confident making the decision alone.</w:t>
      </w:r>
    </w:p>
    <w:p w14:paraId="1B4C2646" w14:textId="77874D47" w:rsidR="00936645" w:rsidRPr="006F7201" w:rsidRDefault="00936645" w:rsidP="006F7201">
      <w:pPr>
        <w:spacing w:line="360" w:lineRule="auto"/>
        <w:rPr>
          <w:rFonts w:ascii="Arial" w:hAnsi="Arial" w:cs="Arial"/>
        </w:rPr>
      </w:pPr>
      <w:r w:rsidRPr="006F7201">
        <w:rPr>
          <w:rFonts w:ascii="Arial" w:hAnsi="Arial" w:cs="Arial"/>
        </w:rPr>
        <w:t xml:space="preserve">What went less well: the nurse felt a full risk assessment should have happened before any change was made. I understood her concern, since the NMC (2018) Code requires her to </w:t>
      </w:r>
      <w:proofErr w:type="spellStart"/>
      <w:r w:rsidRPr="006F7201">
        <w:rPr>
          <w:rFonts w:ascii="Arial" w:hAnsi="Arial" w:cs="Arial"/>
        </w:rPr>
        <w:t>minimise</w:t>
      </w:r>
      <w:proofErr w:type="spellEnd"/>
      <w:r w:rsidRPr="006F7201">
        <w:rPr>
          <w:rFonts w:ascii="Arial" w:hAnsi="Arial" w:cs="Arial"/>
        </w:rPr>
        <w:t xml:space="preserve"> risk, but she had not heard how strongly he had objected to the original plan. I did not defend my position as firmly as I should have. I agreed to go back to the shower "for now," which meant his wishes were quietly overridden again the following week.</w:t>
      </w:r>
    </w:p>
    <w:p w14:paraId="6837320D" w14:textId="739745E9" w:rsidR="00936645" w:rsidRPr="006F7201" w:rsidRDefault="00936645" w:rsidP="006F7201">
      <w:pPr>
        <w:spacing w:line="360" w:lineRule="auto"/>
        <w:rPr>
          <w:rFonts w:ascii="Arial" w:hAnsi="Arial" w:cs="Arial"/>
          <w:b/>
          <w:bCs/>
        </w:rPr>
      </w:pPr>
      <w:r w:rsidRPr="006F7201">
        <w:rPr>
          <w:rFonts w:ascii="Arial" w:hAnsi="Arial" w:cs="Arial"/>
          <w:b/>
          <w:bCs/>
        </w:rPr>
        <w:t>Analysis</w:t>
      </w:r>
    </w:p>
    <w:p w14:paraId="0418F7D5" w14:textId="4658629C" w:rsidR="00936645" w:rsidRPr="006F7201" w:rsidRDefault="00936645" w:rsidP="006F7201">
      <w:pPr>
        <w:spacing w:line="360" w:lineRule="auto"/>
        <w:rPr>
          <w:rFonts w:ascii="Arial" w:hAnsi="Arial" w:cs="Arial"/>
        </w:rPr>
      </w:pPr>
      <w:r w:rsidRPr="006F7201">
        <w:rPr>
          <w:rFonts w:ascii="Arial" w:hAnsi="Arial" w:cs="Arial"/>
        </w:rPr>
        <w:t xml:space="preserve">Sanderson et al. (2023) note that professionals in health and social care often avoid difficult disagreements instead of working through them. This is exactly what happened here, and seeing this pattern in my own </w:t>
      </w:r>
      <w:proofErr w:type="spellStart"/>
      <w:r w:rsidRPr="006F7201">
        <w:rPr>
          <w:rFonts w:ascii="Arial" w:hAnsi="Arial" w:cs="Arial"/>
        </w:rPr>
        <w:t>behaviour</w:t>
      </w:r>
      <w:proofErr w:type="spellEnd"/>
      <w:r w:rsidRPr="006F7201">
        <w:rPr>
          <w:rFonts w:ascii="Arial" w:hAnsi="Arial" w:cs="Arial"/>
        </w:rPr>
        <w:t>, not just in a book, was uncomfortable but useful.</w:t>
      </w:r>
    </w:p>
    <w:p w14:paraId="4CE855A8" w14:textId="77777777" w:rsidR="00936645" w:rsidRPr="006F7201" w:rsidRDefault="00936645" w:rsidP="006F7201">
      <w:pPr>
        <w:spacing w:line="360" w:lineRule="auto"/>
        <w:rPr>
          <w:rFonts w:ascii="Arial" w:hAnsi="Arial" w:cs="Arial"/>
        </w:rPr>
      </w:pPr>
      <w:r w:rsidRPr="006F7201">
        <w:rPr>
          <w:rFonts w:ascii="Arial" w:hAnsi="Arial" w:cs="Arial"/>
        </w:rPr>
        <w:t>The core issue was a conflict between his right to make his own choices and our duty to keep him safe. This reflects the balance Beauchamp and Childress (2019) describe between respecting someone's wishes and protecting them from harm. It was not resolved well. It was resolved by seniority, not by proper discussion, which is not what the Mental Capacity Act 2005 intends when it asks practitioners to support a person's right to make their own decisions if they have the capacity to do so.</w:t>
      </w:r>
    </w:p>
    <w:p w14:paraId="759024D2" w14:textId="77777777" w:rsidR="006F2A49" w:rsidRPr="006F7201" w:rsidRDefault="006F2A49" w:rsidP="006F7201">
      <w:pPr>
        <w:spacing w:line="360" w:lineRule="auto"/>
        <w:rPr>
          <w:rFonts w:ascii="Arial" w:hAnsi="Arial" w:cs="Arial"/>
        </w:rPr>
      </w:pPr>
    </w:p>
    <w:p w14:paraId="77B98985" w14:textId="6679F2D3" w:rsidR="00936645" w:rsidRPr="006F7201" w:rsidRDefault="00936645" w:rsidP="006F7201">
      <w:pPr>
        <w:spacing w:line="360" w:lineRule="auto"/>
        <w:rPr>
          <w:rFonts w:ascii="Arial" w:hAnsi="Arial" w:cs="Arial"/>
          <w:b/>
          <w:bCs/>
        </w:rPr>
      </w:pPr>
      <w:r w:rsidRPr="006F7201">
        <w:rPr>
          <w:rFonts w:ascii="Arial" w:hAnsi="Arial" w:cs="Arial"/>
          <w:b/>
          <w:bCs/>
        </w:rPr>
        <w:t>Conclusion</w:t>
      </w:r>
    </w:p>
    <w:p w14:paraId="09EF5612" w14:textId="47BA60DA" w:rsidR="00936645" w:rsidRPr="006F7201" w:rsidRDefault="00AD76B2" w:rsidP="006F7201">
      <w:pPr>
        <w:spacing w:line="360" w:lineRule="auto"/>
        <w:rPr>
          <w:rFonts w:ascii="Arial" w:hAnsi="Arial" w:cs="Arial"/>
        </w:rPr>
      </w:pPr>
      <w:r w:rsidRPr="006F7201">
        <w:rPr>
          <w:rFonts w:ascii="Arial" w:hAnsi="Arial" w:cs="Arial"/>
        </w:rPr>
        <w:t>There was no simple answer at the time. But he should have been included directly in the disagreement between me and the nurse, rather than it being settled around him. This event showed me my strengths and weaknesses more clearly than a general self-review would. Listening is a real strength of mine: once I paid attention, I quickly understood what he needed, which aligns with feedback I have received before. My main weakness is holding my position when a more experienced colleague disagrees, even when I have clear evidence from the person themselves. I also know I do not understand the local Integrated Care System well, and Sanderson et al. (2023) point out that this kind of local knowledge matters more than knowledge of the law for making partnership work well for the person involved.</w:t>
      </w:r>
    </w:p>
    <w:p w14:paraId="73574009" w14:textId="77777777" w:rsidR="00F84932" w:rsidRPr="006F7201" w:rsidRDefault="00F84932" w:rsidP="006F7201">
      <w:pPr>
        <w:spacing w:line="360" w:lineRule="auto"/>
        <w:rPr>
          <w:rFonts w:ascii="Arial" w:hAnsi="Arial" w:cs="Arial"/>
          <w:b/>
          <w:bCs/>
        </w:rPr>
      </w:pPr>
    </w:p>
    <w:p w14:paraId="6012B791" w14:textId="74E43F24" w:rsidR="00936645" w:rsidRPr="006F7201" w:rsidRDefault="00936645" w:rsidP="006F7201">
      <w:pPr>
        <w:spacing w:line="360" w:lineRule="auto"/>
        <w:rPr>
          <w:rFonts w:ascii="Arial" w:hAnsi="Arial" w:cs="Arial"/>
          <w:b/>
          <w:bCs/>
        </w:rPr>
      </w:pPr>
      <w:r w:rsidRPr="006F7201">
        <w:rPr>
          <w:rFonts w:ascii="Arial" w:hAnsi="Arial" w:cs="Arial"/>
          <w:b/>
          <w:bCs/>
        </w:rPr>
        <w:lastRenderedPageBreak/>
        <w:t>Action Plan</w:t>
      </w:r>
    </w:p>
    <w:p w14:paraId="2551FA8C" w14:textId="77777777" w:rsidR="00AD76B2" w:rsidRPr="006F7201" w:rsidRDefault="00AD76B2" w:rsidP="006F7201">
      <w:pPr>
        <w:spacing w:line="360" w:lineRule="auto"/>
        <w:rPr>
          <w:rFonts w:ascii="Arial" w:hAnsi="Arial" w:cs="Arial"/>
        </w:rPr>
      </w:pPr>
      <w:r w:rsidRPr="006F7201">
        <w:rPr>
          <w:rFonts w:ascii="Arial" w:hAnsi="Arial" w:cs="Arial"/>
        </w:rPr>
        <w:t xml:space="preserve">Going forward, I want to build my assertiveness on purpose, not just hope it improves. This means </w:t>
      </w:r>
      <w:proofErr w:type="spellStart"/>
      <w:r w:rsidRPr="006F7201">
        <w:rPr>
          <w:rFonts w:ascii="Arial" w:hAnsi="Arial" w:cs="Arial"/>
        </w:rPr>
        <w:t>practising</w:t>
      </w:r>
      <w:proofErr w:type="spellEnd"/>
      <w:r w:rsidRPr="006F7201">
        <w:rPr>
          <w:rFonts w:ascii="Arial" w:hAnsi="Arial" w:cs="Arial"/>
        </w:rPr>
        <w:t xml:space="preserve"> how to explain my reasoning clearly in team discussions — for example, saying "he told me directly that x happens, so let's try y first, then go back to the original plan" rather than dropping my point when challenged.</w:t>
      </w:r>
    </w:p>
    <w:p w14:paraId="24369C96" w14:textId="3A5B253E" w:rsidR="00936645" w:rsidRPr="006F7201" w:rsidRDefault="00936645" w:rsidP="006F7201">
      <w:pPr>
        <w:spacing w:line="360" w:lineRule="auto"/>
        <w:rPr>
          <w:rFonts w:ascii="Arial" w:hAnsi="Arial" w:cs="Arial"/>
        </w:rPr>
      </w:pPr>
      <w:r w:rsidRPr="006F7201">
        <w:rPr>
          <w:rFonts w:ascii="Arial" w:hAnsi="Arial" w:cs="Arial"/>
        </w:rPr>
        <w:t>For this reason, I plan to keep a short reflective journal</w:t>
      </w:r>
      <w:r w:rsidR="006F2A49" w:rsidRPr="006F7201">
        <w:rPr>
          <w:rFonts w:ascii="Arial" w:hAnsi="Arial" w:cs="Arial"/>
        </w:rPr>
        <w:t>.</w:t>
      </w:r>
      <w:r w:rsidRPr="006F7201">
        <w:rPr>
          <w:rFonts w:ascii="Arial" w:hAnsi="Arial" w:cs="Arial"/>
        </w:rPr>
        <w:t xml:space="preserve"> I also want to build a better understanding of local safeguarding partnerships, using CQC (2023) thematic reports and Skills for Care (2025) workforce research. In the longer term, I want to work towards accreditation in safeguarding or team leadership, since being able to make these decisions directly, rather than deferring them, is the clearest way to put these principles into practice.</w:t>
      </w:r>
      <w:r w:rsidR="006F7201" w:rsidRPr="006F7201">
        <w:rPr>
          <w:rFonts w:ascii="Arial" w:hAnsi="Arial" w:cs="Arial"/>
        </w:rPr>
        <w:t xml:space="preserve"> </w:t>
      </w:r>
    </w:p>
    <w:p w14:paraId="224B4343" w14:textId="143F2E17" w:rsidR="006F7201" w:rsidRPr="006F7201" w:rsidRDefault="006F7201" w:rsidP="006F7201">
      <w:pPr>
        <w:spacing w:line="360" w:lineRule="auto"/>
        <w:rPr>
          <w:rFonts w:ascii="Arial" w:hAnsi="Arial" w:cs="Arial"/>
          <w:b/>
          <w:bCs/>
        </w:rPr>
      </w:pPr>
      <w:r w:rsidRPr="006F7201">
        <w:rPr>
          <w:rFonts w:ascii="Arial" w:hAnsi="Arial" w:cs="Arial"/>
          <w:b/>
          <w:bCs/>
        </w:rPr>
        <w:t xml:space="preserve">Conclusion </w:t>
      </w:r>
    </w:p>
    <w:p w14:paraId="72FA1B78" w14:textId="55090864" w:rsidR="006F7201" w:rsidRPr="006F7201" w:rsidRDefault="006F7201" w:rsidP="006F7201">
      <w:pPr>
        <w:spacing w:line="360" w:lineRule="auto"/>
        <w:rPr>
          <w:rFonts w:ascii="Arial" w:hAnsi="Arial" w:cs="Arial"/>
        </w:rPr>
      </w:pPr>
      <w:r w:rsidRPr="006F7201">
        <w:rPr>
          <w:rFonts w:ascii="Arial" w:hAnsi="Arial" w:cs="Arial"/>
        </w:rPr>
        <w:t>This reflection has shown that knowing a principle, such as the importance of dignity, autonomy, and person-</w:t>
      </w:r>
      <w:proofErr w:type="spellStart"/>
      <w:r w:rsidRPr="006F7201">
        <w:rPr>
          <w:rFonts w:ascii="Arial" w:hAnsi="Arial" w:cs="Arial"/>
        </w:rPr>
        <w:t>centred</w:t>
      </w:r>
      <w:proofErr w:type="spellEnd"/>
      <w:r w:rsidRPr="006F7201">
        <w:rPr>
          <w:rFonts w:ascii="Arial" w:hAnsi="Arial" w:cs="Arial"/>
        </w:rPr>
        <w:t xml:space="preserve"> care, is not the same as consistently acting on it under pressure. The incident revealed a genuine strength in my ability to listen and adapt once I stopped focusing on risk alone, but also a clear weakness in maintaining a person's stated wishes when challenged by a more experienced colleague. Using Gibbs' (1988) model made it possible to separate these two things clearly, rather than letting the positive outcome of the day disguise the weaker moment within it. Going forward, the aim is not simply to feel more confident, but to build specific habits, such as clearer reasoning in team discussions and regular reflective journaling, that can be checked against my actual </w:t>
      </w:r>
      <w:proofErr w:type="spellStart"/>
      <w:r w:rsidRPr="006F7201">
        <w:rPr>
          <w:rFonts w:ascii="Arial" w:hAnsi="Arial" w:cs="Arial"/>
        </w:rPr>
        <w:t>behaviour</w:t>
      </w:r>
      <w:proofErr w:type="spellEnd"/>
      <w:r w:rsidRPr="006F7201">
        <w:rPr>
          <w:rFonts w:ascii="Arial" w:hAnsi="Arial" w:cs="Arial"/>
        </w:rPr>
        <w:t xml:space="preserve"> over time, rather than against my intentions alone.</w:t>
      </w:r>
    </w:p>
    <w:p w14:paraId="4AFC5D3D" w14:textId="77777777" w:rsidR="00C62AF5" w:rsidRPr="006F7201" w:rsidRDefault="00C62AF5" w:rsidP="006F7201">
      <w:pPr>
        <w:spacing w:line="360" w:lineRule="auto"/>
        <w:jc w:val="both"/>
        <w:rPr>
          <w:rFonts w:ascii="Arial" w:hAnsi="Arial" w:cs="Arial"/>
        </w:rPr>
      </w:pPr>
      <w:r w:rsidRPr="006F7201">
        <w:rPr>
          <w:rFonts w:ascii="Arial" w:hAnsi="Arial" w:cs="Arial"/>
        </w:rPr>
        <w:br w:type="page"/>
      </w:r>
    </w:p>
    <w:p w14:paraId="2F769D77" w14:textId="77777777" w:rsidR="006F7201" w:rsidRPr="00374481" w:rsidRDefault="006F7201" w:rsidP="00374481">
      <w:pPr>
        <w:jc w:val="both"/>
        <w:rPr>
          <w:rFonts w:ascii="Arial" w:eastAsiaTheme="majorEastAsia" w:hAnsi="Arial" w:cs="Arial"/>
          <w:b/>
        </w:rPr>
      </w:pPr>
    </w:p>
    <w:p w14:paraId="09020A4F" w14:textId="00800996" w:rsidR="009C5A71" w:rsidRPr="00374481" w:rsidRDefault="009C5A71" w:rsidP="00374481">
      <w:pPr>
        <w:pStyle w:val="Heading1"/>
        <w:rPr>
          <w:rFonts w:cs="Arial"/>
          <w:szCs w:val="22"/>
        </w:rPr>
      </w:pPr>
      <w:bookmarkStart w:id="4" w:name="_Toc237537637"/>
      <w:r w:rsidRPr="00374481">
        <w:rPr>
          <w:rFonts w:cs="Arial"/>
          <w:szCs w:val="22"/>
        </w:rPr>
        <w:t>References</w:t>
      </w:r>
      <w:bookmarkEnd w:id="4"/>
    </w:p>
    <w:p w14:paraId="2FDEA3A3"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Great Britain, 2005. </w:t>
      </w:r>
      <w:r w:rsidRPr="00374481">
        <w:rPr>
          <w:rFonts w:ascii="Arial" w:hAnsi="Arial" w:cs="Arial"/>
          <w:i/>
          <w:iCs/>
          <w:color w:val="222222"/>
          <w:shd w:val="clear" w:color="auto" w:fill="FFFFFF"/>
        </w:rPr>
        <w:t>Mental Capacity Act 2005</w:t>
      </w:r>
      <w:r w:rsidRPr="00374481">
        <w:rPr>
          <w:rFonts w:ascii="Arial" w:hAnsi="Arial" w:cs="Arial"/>
          <w:color w:val="222222"/>
          <w:shd w:val="clear" w:color="auto" w:fill="FFFFFF"/>
        </w:rPr>
        <w:t>. London: The Stationery Office.</w:t>
      </w:r>
    </w:p>
    <w:p w14:paraId="096061CB"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Great Britain, 2012. Health and Social Care Act 2012. London: The Stationery Office.</w:t>
      </w:r>
    </w:p>
    <w:p w14:paraId="0B387EBB"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Beauchamp, T. and Childress, J., (2019). Principles of biomedical ethics: marking its fortieth anniversary. </w:t>
      </w:r>
      <w:r w:rsidRPr="00374481">
        <w:rPr>
          <w:rFonts w:ascii="Arial" w:hAnsi="Arial" w:cs="Arial"/>
          <w:i/>
          <w:iCs/>
          <w:color w:val="222222"/>
          <w:shd w:val="clear" w:color="auto" w:fill="FFFFFF"/>
        </w:rPr>
        <w:t>The American Journal of Bioethics</w:t>
      </w:r>
      <w:r w:rsidRPr="00374481">
        <w:rPr>
          <w:rFonts w:ascii="Arial" w:hAnsi="Arial" w:cs="Arial"/>
          <w:color w:val="222222"/>
          <w:shd w:val="clear" w:color="auto" w:fill="FFFFFF"/>
        </w:rPr>
        <w:t>, </w:t>
      </w:r>
      <w:r w:rsidRPr="00374481">
        <w:rPr>
          <w:rFonts w:ascii="Arial" w:hAnsi="Arial" w:cs="Arial"/>
          <w:i/>
          <w:iCs/>
          <w:color w:val="222222"/>
          <w:shd w:val="clear" w:color="auto" w:fill="FFFFFF"/>
        </w:rPr>
        <w:t>19</w:t>
      </w:r>
      <w:r w:rsidRPr="00374481">
        <w:rPr>
          <w:rFonts w:ascii="Arial" w:hAnsi="Arial" w:cs="Arial"/>
          <w:color w:val="222222"/>
          <w:shd w:val="clear" w:color="auto" w:fill="FFFFFF"/>
        </w:rPr>
        <w:t>(11), pp.9-12.</w:t>
      </w:r>
    </w:p>
    <w:p w14:paraId="11628F99"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 xml:space="preserve">Care Quality Commission (2023) </w:t>
      </w:r>
      <w:r w:rsidRPr="00374481">
        <w:rPr>
          <w:rFonts w:ascii="Arial" w:hAnsi="Arial" w:cs="Arial"/>
          <w:i/>
          <w:iCs/>
          <w:color w:val="222222"/>
          <w:shd w:val="clear" w:color="auto" w:fill="FFFFFF"/>
        </w:rPr>
        <w:t>Performance Summary Report</w:t>
      </w:r>
      <w:r w:rsidRPr="00374481">
        <w:rPr>
          <w:rFonts w:ascii="Arial" w:hAnsi="Arial" w:cs="Arial"/>
          <w:color w:val="222222"/>
          <w:shd w:val="clear" w:color="auto" w:fill="FFFFFF"/>
        </w:rPr>
        <w:t xml:space="preserve">. Available at: </w:t>
      </w:r>
      <w:hyperlink r:id="rId10" w:tgtFrame="_blank" w:history="1">
        <w:r w:rsidRPr="00374481">
          <w:rPr>
            <w:rStyle w:val="Hyperlink"/>
            <w:rFonts w:ascii="Arial" w:hAnsi="Arial" w:cs="Arial"/>
            <w:shd w:val="clear" w:color="auto" w:fill="FFFFFF"/>
          </w:rPr>
          <w:t>https://www.cqc.org.uk/sites/default/files/2023-09/CM092341_4.1b_PerformanceSummary_report.odt</w:t>
        </w:r>
      </w:hyperlink>
      <w:r w:rsidRPr="00374481">
        <w:rPr>
          <w:rFonts w:ascii="Arial" w:hAnsi="Arial" w:cs="Arial"/>
          <w:color w:val="222222"/>
          <w:shd w:val="clear" w:color="auto" w:fill="FFFFFF"/>
        </w:rPr>
        <w:t xml:space="preserve"> </w:t>
      </w:r>
    </w:p>
    <w:p w14:paraId="0D2B94E3"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Cave, E., (2020). Selecting treatment options and choosing between them: delineating patient and professional autonomy in shared decision-making. </w:t>
      </w:r>
      <w:r w:rsidRPr="00374481">
        <w:rPr>
          <w:rFonts w:ascii="Arial" w:hAnsi="Arial" w:cs="Arial"/>
          <w:i/>
          <w:iCs/>
          <w:color w:val="222222"/>
          <w:shd w:val="clear" w:color="auto" w:fill="FFFFFF"/>
        </w:rPr>
        <w:t>Health care analysis</w:t>
      </w:r>
      <w:r w:rsidRPr="00374481">
        <w:rPr>
          <w:rFonts w:ascii="Arial" w:hAnsi="Arial" w:cs="Arial"/>
          <w:color w:val="222222"/>
          <w:shd w:val="clear" w:color="auto" w:fill="FFFFFF"/>
        </w:rPr>
        <w:t>, </w:t>
      </w:r>
      <w:r w:rsidRPr="00374481">
        <w:rPr>
          <w:rFonts w:ascii="Arial" w:hAnsi="Arial" w:cs="Arial"/>
          <w:i/>
          <w:iCs/>
          <w:color w:val="222222"/>
          <w:shd w:val="clear" w:color="auto" w:fill="FFFFFF"/>
        </w:rPr>
        <w:t>28</w:t>
      </w:r>
      <w:r w:rsidRPr="00374481">
        <w:rPr>
          <w:rFonts w:ascii="Arial" w:hAnsi="Arial" w:cs="Arial"/>
          <w:color w:val="222222"/>
          <w:shd w:val="clear" w:color="auto" w:fill="FFFFFF"/>
        </w:rPr>
        <w:t>(1), pp.4-24.</w:t>
      </w:r>
    </w:p>
    <w:p w14:paraId="58926C73"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 xml:space="preserve">Department of Health and Social Care (2022) People at the Heart of Care: </w:t>
      </w:r>
      <w:r w:rsidRPr="00374481">
        <w:rPr>
          <w:rFonts w:ascii="Arial" w:hAnsi="Arial" w:cs="Arial"/>
          <w:i/>
          <w:iCs/>
          <w:color w:val="222222"/>
          <w:shd w:val="clear" w:color="auto" w:fill="FFFFFF"/>
        </w:rPr>
        <w:t>Adult Social Care Reform White Paper</w:t>
      </w:r>
      <w:r w:rsidRPr="00374481">
        <w:rPr>
          <w:rFonts w:ascii="Arial" w:hAnsi="Arial" w:cs="Arial"/>
          <w:color w:val="222222"/>
          <w:shd w:val="clear" w:color="auto" w:fill="FFFFFF"/>
        </w:rPr>
        <w:t>. London: DHSC.</w:t>
      </w:r>
    </w:p>
    <w:p w14:paraId="04574A21"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Gibbs, G., (1988). Learning by doing: A guide to teaching and learning methods. </w:t>
      </w:r>
      <w:r w:rsidRPr="00374481">
        <w:rPr>
          <w:rFonts w:ascii="Arial" w:hAnsi="Arial" w:cs="Arial"/>
          <w:i/>
          <w:iCs/>
          <w:color w:val="222222"/>
          <w:shd w:val="clear" w:color="auto" w:fill="FFFFFF"/>
        </w:rPr>
        <w:t>Further Education Unit</w:t>
      </w:r>
      <w:r w:rsidRPr="00374481">
        <w:rPr>
          <w:rFonts w:ascii="Arial" w:hAnsi="Arial" w:cs="Arial"/>
          <w:color w:val="222222"/>
          <w:shd w:val="clear" w:color="auto" w:fill="FFFFFF"/>
        </w:rPr>
        <w:t>.</w:t>
      </w:r>
    </w:p>
    <w:p w14:paraId="23C37901"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rPr>
        <w:t xml:space="preserve">Great Britain (2014) Care Act (2014). London: The Stationery Office. </w:t>
      </w:r>
      <w:hyperlink r:id="rId11" w:history="1">
        <w:r w:rsidRPr="00374481">
          <w:rPr>
            <w:rStyle w:val="Hyperlink"/>
            <w:rFonts w:ascii="Arial" w:hAnsi="Arial" w:cs="Arial"/>
          </w:rPr>
          <w:t>https://www.legislation.gov.uk/ukpga/2014/23/contents</w:t>
        </w:r>
      </w:hyperlink>
      <w:r w:rsidRPr="00374481">
        <w:rPr>
          <w:rFonts w:ascii="Arial" w:hAnsi="Arial" w:cs="Arial"/>
        </w:rPr>
        <w:t xml:space="preserve"> </w:t>
      </w:r>
    </w:p>
    <w:p w14:paraId="1D05EADD" w14:textId="77777777" w:rsidR="00200631" w:rsidRPr="00374481" w:rsidRDefault="00200631" w:rsidP="00374481">
      <w:pPr>
        <w:spacing w:line="240" w:lineRule="auto"/>
        <w:ind w:left="720" w:hanging="720"/>
        <w:jc w:val="both"/>
        <w:rPr>
          <w:rFonts w:ascii="Arial" w:hAnsi="Arial" w:cs="Arial"/>
        </w:rPr>
      </w:pPr>
      <w:r w:rsidRPr="00374481">
        <w:rPr>
          <w:rFonts w:ascii="Arial" w:hAnsi="Arial" w:cs="Arial"/>
        </w:rPr>
        <w:t xml:space="preserve">Great Britain (2022) Health and Care Act 2022. London: The Stationery Office. </w:t>
      </w:r>
      <w:hyperlink r:id="rId12" w:history="1">
        <w:r w:rsidRPr="00374481">
          <w:rPr>
            <w:rStyle w:val="Hyperlink"/>
            <w:rFonts w:ascii="Arial" w:hAnsi="Arial" w:cs="Arial"/>
          </w:rPr>
          <w:t>https://www.legislation.gov.uk/ukpga/2022/31/contents</w:t>
        </w:r>
      </w:hyperlink>
      <w:r w:rsidRPr="00374481">
        <w:rPr>
          <w:rFonts w:ascii="Arial" w:hAnsi="Arial" w:cs="Arial"/>
        </w:rPr>
        <w:t xml:space="preserve"> </w:t>
      </w:r>
    </w:p>
    <w:p w14:paraId="070FEF6A"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Health &amp; Care Professions Council, (2024). </w:t>
      </w:r>
      <w:r w:rsidRPr="00374481">
        <w:rPr>
          <w:rFonts w:ascii="Arial" w:hAnsi="Arial" w:cs="Arial"/>
          <w:i/>
          <w:iCs/>
          <w:color w:val="222222"/>
          <w:shd w:val="clear" w:color="auto" w:fill="FFFFFF"/>
        </w:rPr>
        <w:t>Standards of conduct, performance and ethics</w:t>
      </w:r>
      <w:r w:rsidRPr="00374481">
        <w:rPr>
          <w:rFonts w:ascii="Arial" w:hAnsi="Arial" w:cs="Arial"/>
          <w:color w:val="222222"/>
          <w:shd w:val="clear" w:color="auto" w:fill="FFFFFF"/>
        </w:rPr>
        <w:t>. Health &amp; Care Professions Council.</w:t>
      </w:r>
    </w:p>
    <w:p w14:paraId="519469A2"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Kitson, A., Marshall, A., Bassett, K. and Zeitz, K., (2013). What are the core elements of patient</w:t>
      </w:r>
      <w:r w:rsidRPr="00374481">
        <w:rPr>
          <w:rFonts w:ascii="Cambria Math" w:hAnsi="Cambria Math" w:cs="Cambria Math"/>
          <w:color w:val="222222"/>
          <w:shd w:val="clear" w:color="auto" w:fill="FFFFFF"/>
        </w:rPr>
        <w:t>‐</w:t>
      </w:r>
      <w:proofErr w:type="spellStart"/>
      <w:r w:rsidRPr="00374481">
        <w:rPr>
          <w:rFonts w:ascii="Arial" w:hAnsi="Arial" w:cs="Arial"/>
          <w:color w:val="222222"/>
          <w:shd w:val="clear" w:color="auto" w:fill="FFFFFF"/>
        </w:rPr>
        <w:t>centred</w:t>
      </w:r>
      <w:proofErr w:type="spellEnd"/>
      <w:r w:rsidRPr="00374481">
        <w:rPr>
          <w:rFonts w:ascii="Arial" w:hAnsi="Arial" w:cs="Arial"/>
          <w:color w:val="222222"/>
          <w:shd w:val="clear" w:color="auto" w:fill="FFFFFF"/>
        </w:rPr>
        <w:t xml:space="preserve"> care? A narrative review and synthesis of the literature from health policy, medicine and nursing. </w:t>
      </w:r>
      <w:r w:rsidRPr="00374481">
        <w:rPr>
          <w:rFonts w:ascii="Arial" w:hAnsi="Arial" w:cs="Arial"/>
          <w:i/>
          <w:iCs/>
          <w:color w:val="222222"/>
          <w:shd w:val="clear" w:color="auto" w:fill="FFFFFF"/>
        </w:rPr>
        <w:t>Journal of advanced nursing</w:t>
      </w:r>
      <w:r w:rsidRPr="00374481">
        <w:rPr>
          <w:rFonts w:ascii="Arial" w:hAnsi="Arial" w:cs="Arial"/>
          <w:color w:val="222222"/>
          <w:shd w:val="clear" w:color="auto" w:fill="FFFFFF"/>
        </w:rPr>
        <w:t>, </w:t>
      </w:r>
      <w:r w:rsidRPr="00374481">
        <w:rPr>
          <w:rFonts w:ascii="Arial" w:hAnsi="Arial" w:cs="Arial"/>
          <w:i/>
          <w:iCs/>
          <w:color w:val="222222"/>
          <w:shd w:val="clear" w:color="auto" w:fill="FFFFFF"/>
        </w:rPr>
        <w:t>69</w:t>
      </w:r>
      <w:r w:rsidRPr="00374481">
        <w:rPr>
          <w:rFonts w:ascii="Arial" w:hAnsi="Arial" w:cs="Arial"/>
          <w:color w:val="222222"/>
          <w:shd w:val="clear" w:color="auto" w:fill="FFFFFF"/>
        </w:rPr>
        <w:t>(1), pp.4-15.</w:t>
      </w:r>
    </w:p>
    <w:p w14:paraId="45A5513B"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Marczak, J., Fernandez, J.L., Manthorpe, J., Brimblecombe, N., Moriarty, J., Knapp, M. and Snell, T., 2022. How have the Care Act (2014) ambitions to support carers translated into local practice? Findings from a process evaluation study of local stakeholders' perceptions of Care Act implementation. </w:t>
      </w:r>
      <w:r w:rsidRPr="00374481">
        <w:rPr>
          <w:rFonts w:ascii="Arial" w:hAnsi="Arial" w:cs="Arial"/>
          <w:i/>
          <w:iCs/>
          <w:color w:val="222222"/>
          <w:shd w:val="clear" w:color="auto" w:fill="FFFFFF"/>
        </w:rPr>
        <w:t>Health &amp; Social Care in the Community</w:t>
      </w:r>
      <w:r w:rsidRPr="00374481">
        <w:rPr>
          <w:rFonts w:ascii="Arial" w:hAnsi="Arial" w:cs="Arial"/>
          <w:color w:val="222222"/>
          <w:shd w:val="clear" w:color="auto" w:fill="FFFFFF"/>
        </w:rPr>
        <w:t>, </w:t>
      </w:r>
      <w:r w:rsidRPr="00374481">
        <w:rPr>
          <w:rFonts w:ascii="Arial" w:hAnsi="Arial" w:cs="Arial"/>
          <w:i/>
          <w:iCs/>
          <w:color w:val="222222"/>
          <w:shd w:val="clear" w:color="auto" w:fill="FFFFFF"/>
        </w:rPr>
        <w:t>30</w:t>
      </w:r>
      <w:r w:rsidRPr="00374481">
        <w:rPr>
          <w:rFonts w:ascii="Arial" w:hAnsi="Arial" w:cs="Arial"/>
          <w:color w:val="222222"/>
          <w:shd w:val="clear" w:color="auto" w:fill="FFFFFF"/>
        </w:rPr>
        <w:t xml:space="preserve">(5), </w:t>
      </w:r>
      <w:proofErr w:type="gramStart"/>
      <w:r w:rsidRPr="00374481">
        <w:rPr>
          <w:rFonts w:ascii="Arial" w:hAnsi="Arial" w:cs="Arial"/>
          <w:color w:val="222222"/>
          <w:shd w:val="clear" w:color="auto" w:fill="FFFFFF"/>
        </w:rPr>
        <w:t>pp.e</w:t>
      </w:r>
      <w:proofErr w:type="gramEnd"/>
      <w:r w:rsidRPr="00374481">
        <w:rPr>
          <w:rFonts w:ascii="Arial" w:hAnsi="Arial" w:cs="Arial"/>
          <w:color w:val="222222"/>
          <w:shd w:val="clear" w:color="auto" w:fill="FFFFFF"/>
        </w:rPr>
        <w:t>1711-e1720.</w:t>
      </w:r>
    </w:p>
    <w:p w14:paraId="722A150E"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Maslow, A.H., 1943. A theory of human motivation. </w:t>
      </w:r>
      <w:r w:rsidRPr="00374481">
        <w:rPr>
          <w:rFonts w:ascii="Arial" w:hAnsi="Arial" w:cs="Arial"/>
          <w:i/>
          <w:iCs/>
          <w:color w:val="222222"/>
          <w:shd w:val="clear" w:color="auto" w:fill="FFFFFF"/>
        </w:rPr>
        <w:t>Psychological review</w:t>
      </w:r>
      <w:r w:rsidRPr="00374481">
        <w:rPr>
          <w:rFonts w:ascii="Arial" w:hAnsi="Arial" w:cs="Arial"/>
          <w:color w:val="222222"/>
          <w:shd w:val="clear" w:color="auto" w:fill="FFFFFF"/>
        </w:rPr>
        <w:t>, </w:t>
      </w:r>
      <w:r w:rsidRPr="00374481">
        <w:rPr>
          <w:rFonts w:ascii="Arial" w:hAnsi="Arial" w:cs="Arial"/>
          <w:i/>
          <w:iCs/>
          <w:color w:val="222222"/>
          <w:shd w:val="clear" w:color="auto" w:fill="FFFFFF"/>
        </w:rPr>
        <w:t>50</w:t>
      </w:r>
      <w:r w:rsidRPr="00374481">
        <w:rPr>
          <w:rFonts w:ascii="Arial" w:hAnsi="Arial" w:cs="Arial"/>
          <w:color w:val="222222"/>
          <w:shd w:val="clear" w:color="auto" w:fill="FFFFFF"/>
        </w:rPr>
        <w:t>(4), p.370.</w:t>
      </w:r>
    </w:p>
    <w:p w14:paraId="5376A502" w14:textId="77777777" w:rsidR="00200631" w:rsidRPr="00374481" w:rsidRDefault="00200631" w:rsidP="00374481">
      <w:pPr>
        <w:spacing w:line="240" w:lineRule="auto"/>
        <w:ind w:left="720" w:hanging="720"/>
        <w:jc w:val="both"/>
        <w:rPr>
          <w:rFonts w:ascii="Arial" w:hAnsi="Arial" w:cs="Arial"/>
          <w:color w:val="222222"/>
          <w:shd w:val="clear" w:color="auto" w:fill="FFFFFF"/>
        </w:rPr>
      </w:pPr>
      <w:bookmarkStart w:id="5" w:name="_Hlk234042247"/>
      <w:r w:rsidRPr="00374481">
        <w:rPr>
          <w:rFonts w:ascii="Arial" w:hAnsi="Arial" w:cs="Arial"/>
          <w:color w:val="222222"/>
          <w:shd w:val="clear" w:color="auto" w:fill="FFFFFF"/>
        </w:rPr>
        <w:t>Mid Staffordshire</w:t>
      </w:r>
      <w:bookmarkEnd w:id="5"/>
      <w:r w:rsidRPr="00374481">
        <w:rPr>
          <w:rFonts w:ascii="Arial" w:hAnsi="Arial" w:cs="Arial"/>
          <w:color w:val="222222"/>
          <w:shd w:val="clear" w:color="auto" w:fill="FFFFFF"/>
        </w:rPr>
        <w:t>, N.H.S., (2013). </w:t>
      </w:r>
      <w:r w:rsidRPr="00374481">
        <w:rPr>
          <w:rFonts w:ascii="Arial" w:hAnsi="Arial" w:cs="Arial"/>
          <w:i/>
          <w:iCs/>
          <w:color w:val="222222"/>
          <w:shd w:val="clear" w:color="auto" w:fill="FFFFFF"/>
        </w:rPr>
        <w:t>Report of the Mid Staffordshire NHS foundation trust public inquiry</w:t>
      </w:r>
      <w:r w:rsidRPr="00374481">
        <w:rPr>
          <w:rFonts w:ascii="Arial" w:hAnsi="Arial" w:cs="Arial"/>
          <w:color w:val="222222"/>
          <w:shd w:val="clear" w:color="auto" w:fill="FFFFFF"/>
        </w:rPr>
        <w:t>. Stationery Office.</w:t>
      </w:r>
    </w:p>
    <w:p w14:paraId="09A51F5D"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Nursing and Midwifery Council (Great Britain), (2018). </w:t>
      </w:r>
      <w:r w:rsidRPr="00374481">
        <w:rPr>
          <w:rFonts w:ascii="Arial" w:hAnsi="Arial" w:cs="Arial"/>
          <w:i/>
          <w:iCs/>
          <w:color w:val="222222"/>
          <w:shd w:val="clear" w:color="auto" w:fill="FFFFFF"/>
        </w:rPr>
        <w:t xml:space="preserve">The code: professional standards of practice and </w:t>
      </w:r>
      <w:proofErr w:type="spellStart"/>
      <w:r w:rsidRPr="00374481">
        <w:rPr>
          <w:rFonts w:ascii="Arial" w:hAnsi="Arial" w:cs="Arial"/>
          <w:i/>
          <w:iCs/>
          <w:color w:val="222222"/>
          <w:shd w:val="clear" w:color="auto" w:fill="FFFFFF"/>
        </w:rPr>
        <w:t>behaviour</w:t>
      </w:r>
      <w:proofErr w:type="spellEnd"/>
      <w:r w:rsidRPr="00374481">
        <w:rPr>
          <w:rFonts w:ascii="Arial" w:hAnsi="Arial" w:cs="Arial"/>
          <w:i/>
          <w:iCs/>
          <w:color w:val="222222"/>
          <w:shd w:val="clear" w:color="auto" w:fill="FFFFFF"/>
        </w:rPr>
        <w:t xml:space="preserve"> for nurses, midwives and nursing associates</w:t>
      </w:r>
      <w:r w:rsidRPr="00374481">
        <w:rPr>
          <w:rFonts w:ascii="Arial" w:hAnsi="Arial" w:cs="Arial"/>
          <w:color w:val="222222"/>
          <w:shd w:val="clear" w:color="auto" w:fill="FFFFFF"/>
        </w:rPr>
        <w:t>. NMC.</w:t>
      </w:r>
    </w:p>
    <w:p w14:paraId="1EB0D9E6"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Rayner, M., (2022). The care quality commission: a regulatory evolution. </w:t>
      </w:r>
      <w:r w:rsidRPr="00374481">
        <w:rPr>
          <w:rFonts w:ascii="Arial" w:hAnsi="Arial" w:cs="Arial"/>
          <w:i/>
          <w:iCs/>
          <w:color w:val="222222"/>
          <w:shd w:val="clear" w:color="auto" w:fill="FFFFFF"/>
        </w:rPr>
        <w:t>Judicial Review</w:t>
      </w:r>
      <w:r w:rsidRPr="00374481">
        <w:rPr>
          <w:rFonts w:ascii="Arial" w:hAnsi="Arial" w:cs="Arial"/>
          <w:color w:val="222222"/>
          <w:shd w:val="clear" w:color="auto" w:fill="FFFFFF"/>
        </w:rPr>
        <w:t>, </w:t>
      </w:r>
      <w:r w:rsidRPr="00374481">
        <w:rPr>
          <w:rFonts w:ascii="Arial" w:hAnsi="Arial" w:cs="Arial"/>
          <w:i/>
          <w:iCs/>
          <w:color w:val="222222"/>
          <w:shd w:val="clear" w:color="auto" w:fill="FFFFFF"/>
        </w:rPr>
        <w:t>27</w:t>
      </w:r>
      <w:r w:rsidRPr="00374481">
        <w:rPr>
          <w:rFonts w:ascii="Arial" w:hAnsi="Arial" w:cs="Arial"/>
          <w:color w:val="222222"/>
          <w:shd w:val="clear" w:color="auto" w:fill="FFFFFF"/>
        </w:rPr>
        <w:t>(2), pp.126-131.</w:t>
      </w:r>
    </w:p>
    <w:p w14:paraId="01A41F5B" w14:textId="77777777" w:rsidR="00200631" w:rsidRPr="00374481" w:rsidRDefault="00200631" w:rsidP="00374481">
      <w:pPr>
        <w:spacing w:line="240" w:lineRule="auto"/>
        <w:ind w:left="720" w:hanging="720"/>
        <w:jc w:val="both"/>
        <w:rPr>
          <w:rFonts w:ascii="Arial" w:hAnsi="Arial" w:cs="Arial"/>
          <w:color w:val="222222"/>
          <w:shd w:val="clear" w:color="auto" w:fill="FFFFFF"/>
        </w:rPr>
      </w:pPr>
      <w:bookmarkStart w:id="6" w:name="_Hlk234042054"/>
      <w:bookmarkStart w:id="7" w:name="_Hlk234144123"/>
      <w:r w:rsidRPr="00374481">
        <w:rPr>
          <w:rFonts w:ascii="Arial" w:hAnsi="Arial" w:cs="Arial"/>
          <w:color w:val="222222"/>
          <w:shd w:val="clear" w:color="auto" w:fill="FFFFFF"/>
        </w:rPr>
        <w:t>Sanderson</w:t>
      </w:r>
      <w:bookmarkEnd w:id="6"/>
      <w:r w:rsidRPr="00374481">
        <w:rPr>
          <w:rFonts w:ascii="Arial" w:hAnsi="Arial" w:cs="Arial"/>
          <w:color w:val="222222"/>
          <w:shd w:val="clear" w:color="auto" w:fill="FFFFFF"/>
        </w:rPr>
        <w:t xml:space="preserve">, </w:t>
      </w:r>
      <w:bookmarkEnd w:id="7"/>
      <w:r w:rsidRPr="00374481">
        <w:rPr>
          <w:rFonts w:ascii="Arial" w:hAnsi="Arial" w:cs="Arial"/>
          <w:color w:val="222222"/>
          <w:shd w:val="clear" w:color="auto" w:fill="FFFFFF"/>
        </w:rPr>
        <w:t xml:space="preserve">M., Allen, P., Osipovic, D., </w:t>
      </w:r>
      <w:proofErr w:type="spellStart"/>
      <w:r w:rsidRPr="00374481">
        <w:rPr>
          <w:rFonts w:ascii="Arial" w:hAnsi="Arial" w:cs="Arial"/>
          <w:color w:val="222222"/>
          <w:shd w:val="clear" w:color="auto" w:fill="FFFFFF"/>
        </w:rPr>
        <w:t>Petsoulas</w:t>
      </w:r>
      <w:proofErr w:type="spellEnd"/>
      <w:r w:rsidRPr="00374481">
        <w:rPr>
          <w:rFonts w:ascii="Arial" w:hAnsi="Arial" w:cs="Arial"/>
          <w:color w:val="222222"/>
          <w:shd w:val="clear" w:color="auto" w:fill="FFFFFF"/>
        </w:rPr>
        <w:t>, C., Boiko, O. and Lorne, C., (2023). Developing architecture of system management in the English NHS: evidence from a qualitative study of three Integrated Care Systems. </w:t>
      </w:r>
      <w:r w:rsidRPr="00374481">
        <w:rPr>
          <w:rFonts w:ascii="Arial" w:hAnsi="Arial" w:cs="Arial"/>
          <w:i/>
          <w:iCs/>
          <w:color w:val="222222"/>
          <w:shd w:val="clear" w:color="auto" w:fill="FFFFFF"/>
        </w:rPr>
        <w:t>BMJ open</w:t>
      </w:r>
      <w:r w:rsidRPr="00374481">
        <w:rPr>
          <w:rFonts w:ascii="Arial" w:hAnsi="Arial" w:cs="Arial"/>
          <w:color w:val="222222"/>
          <w:shd w:val="clear" w:color="auto" w:fill="FFFFFF"/>
        </w:rPr>
        <w:t>, </w:t>
      </w:r>
      <w:r w:rsidRPr="00374481">
        <w:rPr>
          <w:rFonts w:ascii="Arial" w:hAnsi="Arial" w:cs="Arial"/>
          <w:i/>
          <w:iCs/>
          <w:color w:val="222222"/>
          <w:shd w:val="clear" w:color="auto" w:fill="FFFFFF"/>
        </w:rPr>
        <w:t>13</w:t>
      </w:r>
      <w:r w:rsidRPr="00374481">
        <w:rPr>
          <w:rFonts w:ascii="Arial" w:hAnsi="Arial" w:cs="Arial"/>
          <w:color w:val="222222"/>
          <w:shd w:val="clear" w:color="auto" w:fill="FFFFFF"/>
        </w:rPr>
        <w:t>(2), p.e065993.</w:t>
      </w:r>
    </w:p>
    <w:p w14:paraId="10538E86"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lastRenderedPageBreak/>
        <w:t xml:space="preserve">Skills for Care (2025) </w:t>
      </w:r>
      <w:r w:rsidRPr="00374481">
        <w:rPr>
          <w:rFonts w:ascii="Arial" w:hAnsi="Arial" w:cs="Arial"/>
          <w:i/>
          <w:iCs/>
          <w:color w:val="222222"/>
          <w:shd w:val="clear" w:color="auto" w:fill="FFFFFF"/>
        </w:rPr>
        <w:t>The state of the adult social care sector and workforce in England 2025: Executive Summary</w:t>
      </w:r>
      <w:r w:rsidRPr="00374481">
        <w:rPr>
          <w:rFonts w:ascii="Arial" w:hAnsi="Arial" w:cs="Arial"/>
          <w:color w:val="222222"/>
          <w:shd w:val="clear" w:color="auto" w:fill="FFFFFF"/>
        </w:rPr>
        <w:t xml:space="preserve">. Available at: </w:t>
      </w:r>
      <w:hyperlink r:id="rId13" w:tgtFrame="_blank" w:history="1">
        <w:r w:rsidRPr="00374481">
          <w:rPr>
            <w:rStyle w:val="Hyperlink"/>
            <w:rFonts w:ascii="Arial" w:hAnsi="Arial" w:cs="Arial"/>
            <w:shd w:val="clear" w:color="auto" w:fill="FFFFFF"/>
          </w:rPr>
          <w:t>https://www.skillsforcare.org.uk/Adult-Social-Care-Workforce-Data/workforceintelligence/resources/Reports/National/The-state-of-the-adult-social-care-sector-and-workforce-in-England-2025-Executive-Summary.pdf</w:t>
        </w:r>
      </w:hyperlink>
    </w:p>
    <w:p w14:paraId="708F6173"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 xml:space="preserve">Social Care Institute for Excellence (2022) </w:t>
      </w:r>
      <w:r w:rsidRPr="00374481">
        <w:rPr>
          <w:rFonts w:ascii="Arial" w:hAnsi="Arial" w:cs="Arial"/>
          <w:i/>
          <w:iCs/>
          <w:color w:val="222222"/>
          <w:shd w:val="clear" w:color="auto" w:fill="FFFFFF"/>
        </w:rPr>
        <w:t>Hospital discharge and preventing unnecessary hospital admissions (COVID-19)</w:t>
      </w:r>
      <w:r w:rsidRPr="00374481">
        <w:rPr>
          <w:rFonts w:ascii="Arial" w:hAnsi="Arial" w:cs="Arial"/>
          <w:color w:val="222222"/>
          <w:shd w:val="clear" w:color="auto" w:fill="FFFFFF"/>
        </w:rPr>
        <w:t xml:space="preserve">. Available at: </w:t>
      </w:r>
      <w:hyperlink r:id="rId14" w:tgtFrame="_blank" w:history="1">
        <w:r w:rsidRPr="00374481">
          <w:rPr>
            <w:rStyle w:val="Hyperlink"/>
            <w:rFonts w:ascii="Arial" w:hAnsi="Arial" w:cs="Arial"/>
            <w:shd w:val="clear" w:color="auto" w:fill="FFFFFF"/>
          </w:rPr>
          <w:t>https://www.scie.org.uk/providing-care/commissioning/hospital-discharge-admissions/</w:t>
        </w:r>
      </w:hyperlink>
      <w:r w:rsidRPr="00374481">
        <w:rPr>
          <w:rFonts w:ascii="Arial" w:hAnsi="Arial" w:cs="Arial"/>
          <w:color w:val="222222"/>
          <w:shd w:val="clear" w:color="auto" w:fill="FFFFFF"/>
        </w:rPr>
        <w:t xml:space="preserve"> </w:t>
      </w:r>
    </w:p>
    <w:p w14:paraId="479A7C04" w14:textId="77777777"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Thomson, L.J. and Chatterjee, H.J., (2024). Barriers and enablers of integrated care in the UK: a rapid evidence review of review articles and grey literature 2018–2022. </w:t>
      </w:r>
      <w:r w:rsidRPr="00374481">
        <w:rPr>
          <w:rFonts w:ascii="Arial" w:hAnsi="Arial" w:cs="Arial"/>
          <w:i/>
          <w:iCs/>
          <w:color w:val="222222"/>
          <w:shd w:val="clear" w:color="auto" w:fill="FFFFFF"/>
        </w:rPr>
        <w:t>Frontiers in Public Health</w:t>
      </w:r>
      <w:r w:rsidRPr="00374481">
        <w:rPr>
          <w:rFonts w:ascii="Arial" w:hAnsi="Arial" w:cs="Arial"/>
          <w:color w:val="222222"/>
          <w:shd w:val="clear" w:color="auto" w:fill="FFFFFF"/>
        </w:rPr>
        <w:t>, </w:t>
      </w:r>
      <w:r w:rsidRPr="00374481">
        <w:rPr>
          <w:rFonts w:ascii="Arial" w:hAnsi="Arial" w:cs="Arial"/>
          <w:i/>
          <w:iCs/>
          <w:color w:val="222222"/>
          <w:shd w:val="clear" w:color="auto" w:fill="FFFFFF"/>
        </w:rPr>
        <w:t>11</w:t>
      </w:r>
      <w:r w:rsidRPr="00374481">
        <w:rPr>
          <w:rFonts w:ascii="Arial" w:hAnsi="Arial" w:cs="Arial"/>
          <w:color w:val="222222"/>
          <w:shd w:val="clear" w:color="auto" w:fill="FFFFFF"/>
        </w:rPr>
        <w:t>, p.1286479.</w:t>
      </w:r>
    </w:p>
    <w:p w14:paraId="0C9471A9" w14:textId="5A1FD6E1" w:rsidR="00200631" w:rsidRPr="00374481" w:rsidRDefault="00200631" w:rsidP="00374481">
      <w:pPr>
        <w:spacing w:line="240" w:lineRule="auto"/>
        <w:ind w:left="720" w:hanging="720"/>
        <w:jc w:val="both"/>
        <w:rPr>
          <w:rFonts w:ascii="Arial" w:hAnsi="Arial" w:cs="Arial"/>
          <w:color w:val="222222"/>
          <w:shd w:val="clear" w:color="auto" w:fill="FFFFFF"/>
        </w:rPr>
      </w:pPr>
      <w:r w:rsidRPr="00374481">
        <w:rPr>
          <w:rFonts w:ascii="Arial" w:hAnsi="Arial" w:cs="Arial"/>
          <w:color w:val="222222"/>
          <w:shd w:val="clear" w:color="auto" w:fill="FFFFFF"/>
        </w:rPr>
        <w:t xml:space="preserve">World Health </w:t>
      </w:r>
      <w:r w:rsidR="001749A6" w:rsidRPr="00374481">
        <w:rPr>
          <w:rFonts w:ascii="Arial" w:hAnsi="Arial" w:cs="Arial"/>
          <w:color w:val="222222"/>
          <w:shd w:val="clear" w:color="auto" w:fill="FFFFFF"/>
        </w:rPr>
        <w:t>Organ</w:t>
      </w:r>
      <w:r w:rsidR="001749A6">
        <w:rPr>
          <w:rFonts w:ascii="Arial" w:hAnsi="Arial" w:cs="Arial"/>
          <w:color w:val="222222"/>
          <w:shd w:val="clear" w:color="auto" w:fill="FFFFFF"/>
        </w:rPr>
        <w:t>iza</w:t>
      </w:r>
      <w:r w:rsidR="001749A6" w:rsidRPr="00374481">
        <w:rPr>
          <w:rFonts w:ascii="Arial" w:hAnsi="Arial" w:cs="Arial"/>
          <w:color w:val="222222"/>
          <w:shd w:val="clear" w:color="auto" w:fill="FFFFFF"/>
        </w:rPr>
        <w:t>tion</w:t>
      </w:r>
      <w:r w:rsidRPr="00374481">
        <w:rPr>
          <w:rFonts w:ascii="Arial" w:hAnsi="Arial" w:cs="Arial"/>
          <w:color w:val="222222"/>
          <w:shd w:val="clear" w:color="auto" w:fill="FFFFFF"/>
        </w:rPr>
        <w:t>, (2010). </w:t>
      </w:r>
      <w:r w:rsidRPr="00374481">
        <w:rPr>
          <w:rFonts w:ascii="Arial" w:hAnsi="Arial" w:cs="Arial"/>
          <w:i/>
          <w:iCs/>
          <w:color w:val="222222"/>
          <w:shd w:val="clear" w:color="auto" w:fill="FFFFFF"/>
        </w:rPr>
        <w:t>Framework for action on interprofessional education and collaborative practice</w:t>
      </w:r>
      <w:r w:rsidRPr="00374481">
        <w:rPr>
          <w:rFonts w:ascii="Arial" w:hAnsi="Arial" w:cs="Arial"/>
          <w:color w:val="222222"/>
          <w:shd w:val="clear" w:color="auto" w:fill="FFFFFF"/>
        </w:rPr>
        <w:t xml:space="preserve"> (No. WHO/HRH/HPN/10.3). World Health </w:t>
      </w:r>
      <w:r w:rsidR="001749A6" w:rsidRPr="00374481">
        <w:rPr>
          <w:rFonts w:ascii="Arial" w:hAnsi="Arial" w:cs="Arial"/>
          <w:color w:val="222222"/>
          <w:shd w:val="clear" w:color="auto" w:fill="FFFFFF"/>
        </w:rPr>
        <w:t>Organ</w:t>
      </w:r>
      <w:r w:rsidR="001749A6">
        <w:rPr>
          <w:rFonts w:ascii="Arial" w:hAnsi="Arial" w:cs="Arial"/>
          <w:color w:val="222222"/>
          <w:shd w:val="clear" w:color="auto" w:fill="FFFFFF"/>
        </w:rPr>
        <w:t>iza</w:t>
      </w:r>
      <w:r w:rsidR="001749A6" w:rsidRPr="00374481">
        <w:rPr>
          <w:rFonts w:ascii="Arial" w:hAnsi="Arial" w:cs="Arial"/>
          <w:color w:val="222222"/>
          <w:shd w:val="clear" w:color="auto" w:fill="FFFFFF"/>
        </w:rPr>
        <w:t>tion</w:t>
      </w:r>
      <w:r w:rsidRPr="00374481">
        <w:rPr>
          <w:rFonts w:ascii="Arial" w:hAnsi="Arial" w:cs="Arial"/>
          <w:color w:val="222222"/>
          <w:shd w:val="clear" w:color="auto" w:fill="FFFFFF"/>
        </w:rPr>
        <w:t>.</w:t>
      </w:r>
    </w:p>
    <w:p w14:paraId="618F27B7" w14:textId="77777777" w:rsidR="00BD68AF" w:rsidRPr="00374481" w:rsidRDefault="00BD68AF" w:rsidP="00374481">
      <w:pPr>
        <w:spacing w:line="360" w:lineRule="auto"/>
        <w:jc w:val="both"/>
        <w:rPr>
          <w:rFonts w:ascii="Arial" w:hAnsi="Arial" w:cs="Arial"/>
        </w:rPr>
      </w:pPr>
    </w:p>
    <w:p w14:paraId="0D17A732" w14:textId="77777777" w:rsidR="003D409E" w:rsidRPr="00374481" w:rsidRDefault="003D409E" w:rsidP="00374481">
      <w:pPr>
        <w:spacing w:line="360" w:lineRule="auto"/>
        <w:jc w:val="both"/>
        <w:rPr>
          <w:rFonts w:ascii="Arial" w:hAnsi="Arial" w:cs="Arial"/>
        </w:rPr>
      </w:pPr>
    </w:p>
    <w:p w14:paraId="2EA9CA51" w14:textId="77777777" w:rsidR="003D409E" w:rsidRPr="00374481" w:rsidRDefault="003D409E" w:rsidP="00374481">
      <w:pPr>
        <w:spacing w:line="360" w:lineRule="auto"/>
        <w:jc w:val="both"/>
        <w:rPr>
          <w:rFonts w:ascii="Arial" w:hAnsi="Arial" w:cs="Arial"/>
        </w:rPr>
      </w:pPr>
    </w:p>
    <w:p w14:paraId="06BD2D02" w14:textId="77777777" w:rsidR="006B6864" w:rsidRPr="00374481" w:rsidRDefault="00AB760C" w:rsidP="00374481">
      <w:pPr>
        <w:jc w:val="both"/>
        <w:rPr>
          <w:rFonts w:ascii="Arial" w:hAnsi="Arial" w:cs="Arial"/>
        </w:rPr>
      </w:pPr>
      <w:r w:rsidRPr="00374481">
        <w:rPr>
          <w:rFonts w:ascii="Arial" w:hAnsi="Arial" w:cs="Arial"/>
        </w:rPr>
        <w:br w:type="page"/>
      </w:r>
    </w:p>
    <w:sectPr w:rsidR="006B6864" w:rsidRPr="00374481">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07FF69" w14:textId="77777777" w:rsidR="004D59CD" w:rsidRDefault="004D59CD" w:rsidP="00194362">
      <w:pPr>
        <w:spacing w:after="0" w:line="240" w:lineRule="auto"/>
      </w:pPr>
      <w:r>
        <w:separator/>
      </w:r>
    </w:p>
  </w:endnote>
  <w:endnote w:type="continuationSeparator" w:id="0">
    <w:p w14:paraId="0DC638F9" w14:textId="77777777" w:rsidR="004D59CD" w:rsidRDefault="004D59CD" w:rsidP="00194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35431341"/>
      <w:docPartObj>
        <w:docPartGallery w:val="Page Numbers (Bottom of Page)"/>
        <w:docPartUnique/>
      </w:docPartObj>
    </w:sdtPr>
    <w:sdtEndPr>
      <w:rPr>
        <w:rFonts w:ascii="Arial" w:hAnsi="Arial" w:cs="Arial"/>
        <w:noProof/>
      </w:rPr>
    </w:sdtEndPr>
    <w:sdtContent>
      <w:p w14:paraId="5EADF9DE" w14:textId="6331E387" w:rsidR="00194362" w:rsidRPr="00194362" w:rsidRDefault="00194362">
        <w:pPr>
          <w:pStyle w:val="Footer"/>
          <w:rPr>
            <w:rFonts w:ascii="Arial" w:hAnsi="Arial" w:cs="Arial"/>
          </w:rPr>
        </w:pPr>
        <w:r w:rsidRPr="00194362">
          <w:rPr>
            <w:rFonts w:ascii="Arial" w:hAnsi="Arial" w:cs="Arial"/>
          </w:rPr>
          <w:fldChar w:fldCharType="begin"/>
        </w:r>
        <w:r w:rsidRPr="00194362">
          <w:rPr>
            <w:rFonts w:ascii="Arial" w:hAnsi="Arial" w:cs="Arial"/>
          </w:rPr>
          <w:instrText xml:space="preserve"> PAGE   \* MERGEFORMAT </w:instrText>
        </w:r>
        <w:r w:rsidRPr="00194362">
          <w:rPr>
            <w:rFonts w:ascii="Arial" w:hAnsi="Arial" w:cs="Arial"/>
          </w:rPr>
          <w:fldChar w:fldCharType="separate"/>
        </w:r>
        <w:r w:rsidRPr="00194362">
          <w:rPr>
            <w:rFonts w:ascii="Arial" w:hAnsi="Arial" w:cs="Arial"/>
            <w:noProof/>
          </w:rPr>
          <w:t>2</w:t>
        </w:r>
        <w:r w:rsidRPr="00194362">
          <w:rPr>
            <w:rFonts w:ascii="Arial" w:hAnsi="Arial" w:cs="Arial"/>
            <w:noProof/>
          </w:rPr>
          <w:fldChar w:fldCharType="end"/>
        </w:r>
      </w:p>
    </w:sdtContent>
  </w:sdt>
  <w:p w14:paraId="542ADDDD" w14:textId="77777777" w:rsidR="00194362" w:rsidRDefault="00194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B72C46" w14:textId="77777777" w:rsidR="004D59CD" w:rsidRDefault="004D59CD" w:rsidP="00194362">
      <w:pPr>
        <w:spacing w:after="0" w:line="240" w:lineRule="auto"/>
      </w:pPr>
      <w:r>
        <w:separator/>
      </w:r>
    </w:p>
  </w:footnote>
  <w:footnote w:type="continuationSeparator" w:id="0">
    <w:p w14:paraId="6A3353EE" w14:textId="77777777" w:rsidR="004D59CD" w:rsidRDefault="004D59CD" w:rsidP="001943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09E"/>
    <w:rsid w:val="0004716E"/>
    <w:rsid w:val="00095DCA"/>
    <w:rsid w:val="001749A6"/>
    <w:rsid w:val="00190D60"/>
    <w:rsid w:val="00194362"/>
    <w:rsid w:val="001C725C"/>
    <w:rsid w:val="00200631"/>
    <w:rsid w:val="00251BC3"/>
    <w:rsid w:val="0029660F"/>
    <w:rsid w:val="002C0015"/>
    <w:rsid w:val="00326B48"/>
    <w:rsid w:val="00330A67"/>
    <w:rsid w:val="00374481"/>
    <w:rsid w:val="003D16C7"/>
    <w:rsid w:val="003D409E"/>
    <w:rsid w:val="003E68BD"/>
    <w:rsid w:val="003F0B47"/>
    <w:rsid w:val="00411888"/>
    <w:rsid w:val="0046243F"/>
    <w:rsid w:val="00491A82"/>
    <w:rsid w:val="004976D1"/>
    <w:rsid w:val="004D59CD"/>
    <w:rsid w:val="00502A32"/>
    <w:rsid w:val="00581C60"/>
    <w:rsid w:val="006B6864"/>
    <w:rsid w:val="006F2A49"/>
    <w:rsid w:val="006F670C"/>
    <w:rsid w:val="006F7201"/>
    <w:rsid w:val="00722E9C"/>
    <w:rsid w:val="00731E4E"/>
    <w:rsid w:val="00763446"/>
    <w:rsid w:val="007711B5"/>
    <w:rsid w:val="00777CCF"/>
    <w:rsid w:val="00795316"/>
    <w:rsid w:val="007B5A9E"/>
    <w:rsid w:val="00803FFE"/>
    <w:rsid w:val="008666A2"/>
    <w:rsid w:val="0089653C"/>
    <w:rsid w:val="008F63EB"/>
    <w:rsid w:val="00935778"/>
    <w:rsid w:val="00936645"/>
    <w:rsid w:val="00941F14"/>
    <w:rsid w:val="009A13DB"/>
    <w:rsid w:val="009C21DC"/>
    <w:rsid w:val="009C5A71"/>
    <w:rsid w:val="009F1180"/>
    <w:rsid w:val="00A23E7D"/>
    <w:rsid w:val="00A72F82"/>
    <w:rsid w:val="00AB760C"/>
    <w:rsid w:val="00AD5FC2"/>
    <w:rsid w:val="00AD76B2"/>
    <w:rsid w:val="00B4179B"/>
    <w:rsid w:val="00B51111"/>
    <w:rsid w:val="00B52375"/>
    <w:rsid w:val="00BD68AF"/>
    <w:rsid w:val="00BE4A9A"/>
    <w:rsid w:val="00BF06F2"/>
    <w:rsid w:val="00C62AF5"/>
    <w:rsid w:val="00C75EC3"/>
    <w:rsid w:val="00E26180"/>
    <w:rsid w:val="00E4176C"/>
    <w:rsid w:val="00F82462"/>
    <w:rsid w:val="00F84932"/>
    <w:rsid w:val="00FA6C57"/>
    <w:rsid w:val="00FD0E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E2FFA0"/>
  <w15:chartTrackingRefBased/>
  <w15:docId w15:val="{B16DC67A-853F-4A22-8448-0BF3FA121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A71"/>
    <w:pPr>
      <w:keepNext/>
      <w:keepLines/>
      <w:spacing w:before="240" w:after="0" w:line="360" w:lineRule="auto"/>
      <w:jc w:val="both"/>
      <w:outlineLvl w:val="0"/>
    </w:pPr>
    <w:rPr>
      <w:rFonts w:ascii="Arial" w:eastAsiaTheme="majorEastAsia" w:hAnsi="Arial"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43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4362"/>
  </w:style>
  <w:style w:type="paragraph" w:styleId="Footer">
    <w:name w:val="footer"/>
    <w:basedOn w:val="Normal"/>
    <w:link w:val="FooterChar"/>
    <w:uiPriority w:val="99"/>
    <w:unhideWhenUsed/>
    <w:rsid w:val="001943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4362"/>
  </w:style>
  <w:style w:type="character" w:customStyle="1" w:styleId="Heading1Char">
    <w:name w:val="Heading 1 Char"/>
    <w:basedOn w:val="DefaultParagraphFont"/>
    <w:link w:val="Heading1"/>
    <w:uiPriority w:val="9"/>
    <w:rsid w:val="009C5A71"/>
    <w:rPr>
      <w:rFonts w:ascii="Arial" w:eastAsiaTheme="majorEastAsia" w:hAnsi="Arial" w:cstheme="majorBidi"/>
      <w:b/>
      <w:szCs w:val="32"/>
    </w:rPr>
  </w:style>
  <w:style w:type="paragraph" w:styleId="TOCHeading">
    <w:name w:val="TOC Heading"/>
    <w:basedOn w:val="Heading1"/>
    <w:next w:val="Normal"/>
    <w:uiPriority w:val="39"/>
    <w:unhideWhenUsed/>
    <w:qFormat/>
    <w:rsid w:val="009C5A7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C5A71"/>
    <w:pPr>
      <w:spacing w:after="100"/>
    </w:pPr>
  </w:style>
  <w:style w:type="character" w:styleId="Hyperlink">
    <w:name w:val="Hyperlink"/>
    <w:basedOn w:val="DefaultParagraphFont"/>
    <w:uiPriority w:val="99"/>
    <w:unhideWhenUsed/>
    <w:rsid w:val="009C5A71"/>
    <w:rPr>
      <w:color w:val="0563C1" w:themeColor="hyperlink"/>
      <w:u w:val="single"/>
    </w:rPr>
  </w:style>
  <w:style w:type="paragraph" w:styleId="BalloonText">
    <w:name w:val="Balloon Text"/>
    <w:basedOn w:val="Normal"/>
    <w:link w:val="BalloonTextChar"/>
    <w:uiPriority w:val="99"/>
    <w:semiHidden/>
    <w:unhideWhenUsed/>
    <w:rsid w:val="00BE4A9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4A9A"/>
    <w:rPr>
      <w:rFonts w:ascii="Segoe UI" w:hAnsi="Segoe UI" w:cs="Segoe UI"/>
      <w:sz w:val="18"/>
      <w:szCs w:val="1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795316"/>
    <w:rPr>
      <w:color w:val="605E5C"/>
      <w:shd w:val="clear" w:color="auto" w:fill="E1DFDD"/>
    </w:rPr>
  </w:style>
  <w:style w:type="character" w:styleId="FollowedHyperlink">
    <w:name w:val="FollowedHyperlink"/>
    <w:basedOn w:val="DefaultParagraphFont"/>
    <w:uiPriority w:val="99"/>
    <w:semiHidden/>
    <w:unhideWhenUsed/>
    <w:rsid w:val="008965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9145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google.com/search?q=https%3A%2F%2Fwww.skillsforcare.org.uk%2FAdult-Social-Care-Workforce-Data%2Fworkforceintelligence%2Fresources%2FReports%2FNational%2FThe-state-of-the-adult-social-care-sector-and-workforce-in-England-2025-Executive-Summary.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ukpga/2022/31/cont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4/23/content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qc.org.uk/sites/default/files/2023-09/CM092341_4.1b_PerformanceSummary_report.odt"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scie.org.uk/providing-care/commissioning/hospital-discharge-admis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158D96-A6F4-4970-8080-B46C64044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2298</Words>
  <Characters>15818</Characters>
  <Application>Microsoft Office Word</Application>
  <DocSecurity>0</DocSecurity>
  <Lines>878</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Lubatiko Seme</dc:creator>
  <cp:keywords/>
  <dc:description/>
  <cp:lastModifiedBy>Bianca Sanfilippo</cp:lastModifiedBy>
  <cp:revision>2</cp:revision>
  <dcterms:created xsi:type="dcterms:W3CDTF">2026-08-18T15:45:00Z</dcterms:created>
  <dcterms:modified xsi:type="dcterms:W3CDTF">2026-08-18T15:45:00Z</dcterms:modified>
</cp:coreProperties>
</file>