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1DD62" w14:textId="2D29D10B" w:rsidR="00586AA8" w:rsidRPr="00916B5C" w:rsidRDefault="00586AA8" w:rsidP="00D8023A">
      <w:pPr>
        <w:spacing w:before="100" w:beforeAutospacing="1" w:after="100" w:afterAutospacing="1" w:line="480" w:lineRule="auto"/>
        <w:rPr>
          <w:rFonts w:ascii="Times New Roman" w:eastAsia="Times New Roman" w:hAnsi="Times New Roman" w:cs="Times New Roman"/>
          <w:bCs/>
          <w:iCs/>
          <w:lang w:eastAsia="en-GB"/>
        </w:rPr>
      </w:pPr>
    </w:p>
    <w:p w14:paraId="218F22BA" w14:textId="77777777" w:rsidR="00E21D2F" w:rsidRPr="00355B44" w:rsidRDefault="00E21D2F" w:rsidP="00834D45">
      <w:pPr>
        <w:rPr>
          <w:rFonts w:eastAsia="Times New Roman"/>
          <w:b/>
          <w:bCs/>
          <w:iCs/>
          <w:lang w:eastAsia="en-GB"/>
        </w:rPr>
      </w:pPr>
      <w:r w:rsidRPr="00355B44">
        <w:rPr>
          <w:rFonts w:eastAsia="Times New Roman"/>
          <w:b/>
          <w:bCs/>
          <w:iCs/>
          <w:lang w:eastAsia="en-GB"/>
        </w:rPr>
        <w:t>Name: Wesley Aliprandi</w:t>
      </w:r>
    </w:p>
    <w:p w14:paraId="0B341091" w14:textId="77777777" w:rsidR="00E21D2F" w:rsidRPr="00355B44" w:rsidRDefault="00E21D2F" w:rsidP="00834D45">
      <w:pPr>
        <w:rPr>
          <w:rFonts w:eastAsia="Times New Roman"/>
          <w:b/>
          <w:bCs/>
          <w:iCs/>
          <w:lang w:eastAsia="en-GB"/>
        </w:rPr>
      </w:pPr>
      <w:r w:rsidRPr="00355B44">
        <w:rPr>
          <w:rFonts w:eastAsia="Times New Roman"/>
          <w:b/>
          <w:bCs/>
          <w:iCs/>
          <w:lang w:eastAsia="en-GB"/>
        </w:rPr>
        <w:t>Student ID: 1809922</w:t>
      </w:r>
    </w:p>
    <w:p w14:paraId="3EBD3B35" w14:textId="6B47F13E" w:rsidR="00586AA8" w:rsidRPr="00355B44" w:rsidRDefault="00E21D2F" w:rsidP="00834D45">
      <w:pPr>
        <w:rPr>
          <w:rFonts w:eastAsia="Calibri"/>
          <w:b/>
          <w:bCs/>
        </w:rPr>
      </w:pPr>
      <w:r w:rsidRPr="00355B44">
        <w:rPr>
          <w:rFonts w:eastAsia="Calibri"/>
          <w:b/>
          <w:bCs/>
          <w:noProof/>
        </w:rPr>
        <w:drawing>
          <wp:anchor distT="0" distB="0" distL="114300" distR="114300" simplePos="0" relativeHeight="251660288" behindDoc="1" locked="0" layoutInCell="1" allowOverlap="1" wp14:anchorId="40DEEFB1" wp14:editId="39D9C94E">
            <wp:simplePos x="0" y="0"/>
            <wp:positionH relativeFrom="column">
              <wp:posOffset>-151075</wp:posOffset>
            </wp:positionH>
            <wp:positionV relativeFrom="paragraph">
              <wp:posOffset>526553</wp:posOffset>
            </wp:positionV>
            <wp:extent cx="6145530" cy="3236181"/>
            <wp:effectExtent l="0" t="0" r="7620" b="2540"/>
            <wp:wrapNone/>
            <wp:docPr id="935929757" name="Picture 4"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929757" name="Picture 4" descr="A blue and white logo&#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6179790" cy="3254222"/>
                    </a:xfrm>
                    <a:prstGeom prst="rect">
                      <a:avLst/>
                    </a:prstGeom>
                  </pic:spPr>
                </pic:pic>
              </a:graphicData>
            </a:graphic>
            <wp14:sizeRelH relativeFrom="margin">
              <wp14:pctWidth>0</wp14:pctWidth>
            </wp14:sizeRelH>
            <wp14:sizeRelV relativeFrom="margin">
              <wp14:pctHeight>0</wp14:pctHeight>
            </wp14:sizeRelV>
          </wp:anchor>
        </w:drawing>
      </w:r>
      <w:r w:rsidRPr="00355B44">
        <w:rPr>
          <w:rFonts w:eastAsia="Calibri"/>
          <w:b/>
          <w:bCs/>
        </w:rPr>
        <w:t>LCLM6002</w:t>
      </w:r>
    </w:p>
    <w:p w14:paraId="2EE3BACE" w14:textId="2E361171" w:rsidR="00E21D2F" w:rsidRPr="00E21D2F" w:rsidRDefault="00E21D2F" w:rsidP="00533174">
      <w:pPr>
        <w:spacing w:before="100" w:beforeAutospacing="1" w:after="100" w:afterAutospacing="1" w:line="480" w:lineRule="auto"/>
        <w:jc w:val="center"/>
        <w:rPr>
          <w:rFonts w:ascii="Times New Roman" w:eastAsia="Calibri" w:hAnsi="Times New Roman" w:cs="Times New Roman"/>
          <w:b/>
          <w:bCs/>
        </w:rPr>
      </w:pPr>
    </w:p>
    <w:p w14:paraId="61E20DC7" w14:textId="5D1368E9" w:rsidR="00586AA8" w:rsidRDefault="00586AA8" w:rsidP="00533174">
      <w:pPr>
        <w:pStyle w:val="NormalWeb"/>
        <w:spacing w:line="480" w:lineRule="auto"/>
        <w:jc w:val="both"/>
        <w:outlineLvl w:val="0"/>
        <w:rPr>
          <w:b/>
        </w:rPr>
      </w:pPr>
    </w:p>
    <w:p w14:paraId="1F0056DB" w14:textId="0FB7955D" w:rsidR="00E21D2F" w:rsidRDefault="00E21D2F" w:rsidP="00533174">
      <w:pPr>
        <w:pStyle w:val="NormalWeb"/>
        <w:spacing w:line="480" w:lineRule="auto"/>
        <w:jc w:val="both"/>
        <w:outlineLvl w:val="0"/>
        <w:rPr>
          <w:b/>
        </w:rPr>
      </w:pPr>
    </w:p>
    <w:p w14:paraId="6DC632AF" w14:textId="10E9BC2C" w:rsidR="00E21D2F" w:rsidRDefault="00E21D2F" w:rsidP="00533174">
      <w:pPr>
        <w:pStyle w:val="NormalWeb"/>
        <w:spacing w:line="480" w:lineRule="auto"/>
        <w:jc w:val="both"/>
        <w:outlineLvl w:val="0"/>
        <w:rPr>
          <w:b/>
        </w:rPr>
      </w:pPr>
      <w:bookmarkStart w:id="0" w:name="_Toc215488564"/>
      <w:bookmarkStart w:id="1" w:name="_Toc215488595"/>
      <w:r>
        <w:rPr>
          <w:noProof/>
        </w:rPr>
        <mc:AlternateContent>
          <mc:Choice Requires="wps">
            <w:drawing>
              <wp:anchor distT="0" distB="0" distL="114300" distR="114300" simplePos="0" relativeHeight="251659264" behindDoc="0" locked="0" layoutInCell="1" allowOverlap="1" wp14:anchorId="195D9FE1" wp14:editId="0071E0B7">
                <wp:simplePos x="0" y="0"/>
                <wp:positionH relativeFrom="column">
                  <wp:posOffset>3815604</wp:posOffset>
                </wp:positionH>
                <wp:positionV relativeFrom="paragraph">
                  <wp:posOffset>399415</wp:posOffset>
                </wp:positionV>
                <wp:extent cx="1828800" cy="1828800"/>
                <wp:effectExtent l="0" t="0" r="0" b="2540"/>
                <wp:wrapSquare wrapText="bothSides"/>
                <wp:docPr id="123623292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E821018" w14:textId="77777777" w:rsidR="00E21D2F" w:rsidRPr="0024004D" w:rsidRDefault="00E21D2F" w:rsidP="0024004D">
                            <w:pPr>
                              <w:spacing w:before="100" w:beforeAutospacing="1" w:after="100" w:afterAutospacing="1" w:line="480" w:lineRule="auto"/>
                              <w:rPr>
                                <w:rFonts w:ascii="Times New Roman" w:eastAsia="Calibri" w:hAnsi="Times New Roman" w:cs="Times New Roman"/>
                              </w:rPr>
                            </w:pPr>
                            <w:r>
                              <w:rPr>
                                <w:rFonts w:ascii="Times New Roman" w:eastAsia="Calibri" w:hAnsi="Times New Roman" w:cs="Times New Roman"/>
                              </w:rPr>
                              <w:t>Source: Pharmacy2U(2025)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95D9FE1" id="_x0000_t202" coordsize="21600,21600" o:spt="202" path="m,l,21600r21600,l21600,xe">
                <v:stroke joinstyle="miter"/>
                <v:path gradientshapeok="t" o:connecttype="rect"/>
              </v:shapetype>
              <v:shape id="Text Box 1" o:spid="_x0000_s1026" type="#_x0000_t202" style="position:absolute;left:0;text-align:left;margin-left:300.45pt;margin-top:31.4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" filled="f" stroked="f" strokeweight=".5pt">
                <v:textbox style="mso-fit-shape-to-text:t">
                  <w:txbxContent>
                    <w:p w14:paraId="0E821018" w14:textId="77777777" w:rsidR="00E21D2F" w:rsidRPr="0024004D" w:rsidRDefault="00E21D2F" w:rsidP="0024004D">
                      <w:pPr>
                        <w:spacing w:before="100" w:beforeAutospacing="1" w:after="100" w:afterAutospacing="1" w:line="480" w:lineRule="auto"/>
                        <w:rPr>
                          <w:rFonts w:ascii="Times New Roman" w:eastAsia="Calibri" w:hAnsi="Times New Roman" w:cs="Times New Roman"/>
                        </w:rPr>
                      </w:pPr>
                      <w:r>
                        <w:rPr>
                          <w:rFonts w:ascii="Times New Roman" w:eastAsia="Calibri" w:hAnsi="Times New Roman" w:cs="Times New Roman"/>
                        </w:rPr>
                        <w:t>Source: Pharmacy2U(2025)</w:t>
                      </w:r>
                    </w:p>
                  </w:txbxContent>
                </v:textbox>
                <w10:wrap type="square"/>
              </v:shape>
            </w:pict>
          </mc:Fallback>
        </mc:AlternateContent>
      </w:r>
      <w:bookmarkEnd w:id="0"/>
      <w:bookmarkEnd w:id="1"/>
    </w:p>
    <w:p w14:paraId="1B64E6AE" w14:textId="48E470D5" w:rsidR="00E21D2F" w:rsidRDefault="00E21D2F" w:rsidP="00533174">
      <w:pPr>
        <w:pStyle w:val="NormalWeb"/>
        <w:spacing w:line="480" w:lineRule="auto"/>
        <w:jc w:val="both"/>
        <w:outlineLvl w:val="0"/>
        <w:rPr>
          <w:b/>
        </w:rPr>
      </w:pPr>
    </w:p>
    <w:p w14:paraId="5878DE21" w14:textId="77777777" w:rsidR="00E21D2F" w:rsidRDefault="00E21D2F" w:rsidP="00533174">
      <w:pPr>
        <w:pStyle w:val="NormalWeb"/>
        <w:spacing w:line="480" w:lineRule="auto"/>
        <w:jc w:val="both"/>
        <w:outlineLvl w:val="0"/>
        <w:rPr>
          <w:b/>
        </w:rPr>
      </w:pPr>
    </w:p>
    <w:p w14:paraId="6904CA06" w14:textId="77777777" w:rsidR="00E21D2F" w:rsidRDefault="00E21D2F" w:rsidP="00533174">
      <w:pPr>
        <w:pStyle w:val="NormalWeb"/>
        <w:spacing w:line="480" w:lineRule="auto"/>
        <w:jc w:val="both"/>
        <w:outlineLvl w:val="0"/>
        <w:rPr>
          <w:b/>
        </w:rPr>
      </w:pPr>
    </w:p>
    <w:p w14:paraId="607A48D7" w14:textId="5614EDAB" w:rsidR="00E34F71" w:rsidRDefault="00E34F71" w:rsidP="00533174">
      <w:pPr>
        <w:spacing w:before="100" w:beforeAutospacing="1" w:after="100" w:afterAutospacing="1" w:line="480" w:lineRule="auto"/>
        <w:jc w:val="both"/>
        <w:rPr>
          <w:rFonts w:ascii="Times New Roman" w:hAnsi="Times New Roman" w:cs="Times New Roman"/>
          <w:b/>
          <w:bCs/>
        </w:rPr>
      </w:pPr>
    </w:p>
    <w:p w14:paraId="7BEE9D12" w14:textId="0C0CC795" w:rsidR="00D8023A" w:rsidRDefault="00D8023A" w:rsidP="00533174">
      <w:pPr>
        <w:spacing w:before="100" w:beforeAutospacing="1" w:after="100" w:afterAutospacing="1" w:line="480" w:lineRule="auto"/>
        <w:jc w:val="both"/>
        <w:rPr>
          <w:rFonts w:ascii="Times New Roman" w:hAnsi="Times New Roman" w:cs="Times New Roman"/>
          <w:b/>
          <w:bCs/>
        </w:rPr>
      </w:pPr>
    </w:p>
    <w:p w14:paraId="61516556" w14:textId="0AA975A7" w:rsidR="00D8023A" w:rsidRDefault="00D8023A" w:rsidP="00533174">
      <w:pPr>
        <w:spacing w:before="100" w:beforeAutospacing="1" w:after="100" w:afterAutospacing="1" w:line="480" w:lineRule="auto"/>
        <w:jc w:val="both"/>
        <w:rPr>
          <w:rFonts w:ascii="Times New Roman" w:hAnsi="Times New Roman" w:cs="Times New Roman"/>
          <w:b/>
          <w:bCs/>
        </w:rPr>
      </w:pPr>
    </w:p>
    <w:p w14:paraId="2213403E" w14:textId="57944351" w:rsidR="00D8023A" w:rsidRDefault="00D8023A" w:rsidP="00533174">
      <w:pPr>
        <w:spacing w:before="100" w:beforeAutospacing="1" w:after="100" w:afterAutospacing="1" w:line="480" w:lineRule="auto"/>
        <w:jc w:val="both"/>
        <w:rPr>
          <w:rFonts w:ascii="Times New Roman" w:hAnsi="Times New Roman" w:cs="Times New Roman"/>
          <w:b/>
          <w:bCs/>
        </w:rPr>
      </w:pPr>
    </w:p>
    <w:p w14:paraId="1C095BE1" w14:textId="77777777" w:rsidR="009A529E" w:rsidRDefault="009A529E" w:rsidP="00533174">
      <w:pPr>
        <w:spacing w:before="100" w:beforeAutospacing="1" w:after="100" w:afterAutospacing="1" w:line="480" w:lineRule="auto"/>
        <w:jc w:val="both"/>
        <w:rPr>
          <w:rFonts w:ascii="Times New Roman" w:hAnsi="Times New Roman" w:cs="Times New Roman"/>
          <w:b/>
          <w:bCs/>
        </w:rPr>
      </w:pPr>
    </w:p>
    <w:p w14:paraId="6DE76E7D" w14:textId="77777777" w:rsidR="00D8023A" w:rsidRPr="00E34F71" w:rsidRDefault="00D8023A" w:rsidP="00533174">
      <w:pPr>
        <w:spacing w:before="100" w:beforeAutospacing="1" w:after="100" w:afterAutospacing="1" w:line="480" w:lineRule="auto"/>
        <w:jc w:val="both"/>
        <w:rPr>
          <w:rFonts w:ascii="Times New Roman" w:hAnsi="Times New Roman" w:cs="Times New Roman"/>
          <w:b/>
          <w:bCs/>
        </w:rPr>
      </w:pPr>
    </w:p>
    <w:sdt>
      <w:sdtPr>
        <w:rPr>
          <w:rFonts w:asciiTheme="minorHAnsi" w:eastAsiaTheme="minorHAnsi" w:hAnsiTheme="minorHAnsi" w:cstheme="minorBidi"/>
          <w:b/>
          <w:bCs/>
          <w:color w:val="auto"/>
          <w:kern w:val="2"/>
          <w:sz w:val="24"/>
          <w:szCs w:val="24"/>
          <w:lang w:val="en-GB"/>
          <w14:ligatures w14:val="standardContextual"/>
        </w:rPr>
        <w:id w:val="-1903596911"/>
        <w:docPartObj>
          <w:docPartGallery w:val="Table of Contents"/>
          <w:docPartUnique/>
        </w:docPartObj>
      </w:sdtPr>
      <w:sdtEndPr>
        <w:rPr>
          <w:noProof/>
        </w:rPr>
      </w:sdtEndPr>
      <w:sdtContent>
        <w:p w14:paraId="7B78D7D0" w14:textId="61232BA1" w:rsidR="00834D45" w:rsidRPr="00834D45" w:rsidRDefault="00586AA8" w:rsidP="00834D45">
          <w:pPr>
            <w:pStyle w:val="TOCHeading"/>
            <w:spacing w:before="100" w:beforeAutospacing="1" w:after="100" w:afterAutospacing="1" w:line="480" w:lineRule="auto"/>
            <w:rPr>
              <w:b/>
              <w:bCs/>
              <w:color w:val="auto"/>
            </w:rPr>
          </w:pPr>
          <w:r w:rsidRPr="00E21D2F">
            <w:rPr>
              <w:b/>
              <w:bCs/>
              <w:color w:val="auto"/>
            </w:rPr>
            <w:t>Contents</w:t>
          </w:r>
          <w:r>
            <w:fldChar w:fldCharType="begin"/>
          </w:r>
          <w:r>
            <w:instrText xml:space="preserve"> TOC \o "1-3" \h \z \u </w:instrText>
          </w:r>
          <w:r>
            <w:fldChar w:fldCharType="separate"/>
          </w:r>
        </w:p>
        <w:p w14:paraId="65FC5380" w14:textId="102D896A" w:rsidR="00834D45" w:rsidRDefault="00834D45">
          <w:pPr>
            <w:pStyle w:val="TOC1"/>
            <w:tabs>
              <w:tab w:val="right" w:leader="dot" w:pos="9016"/>
            </w:tabs>
            <w:rPr>
              <w:rFonts w:eastAsiaTheme="minorEastAsia"/>
              <w:noProof/>
              <w:lang w:eastAsia="en-GB"/>
            </w:rPr>
          </w:pPr>
          <w:hyperlink w:anchor="_Toc215488596" w:history="1">
            <w:r w:rsidRPr="00E56D6F">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_Toc215488596 \h </w:instrText>
            </w:r>
            <w:r>
              <w:rPr>
                <w:noProof/>
                <w:webHidden/>
              </w:rPr>
            </w:r>
            <w:r>
              <w:rPr>
                <w:noProof/>
                <w:webHidden/>
              </w:rPr>
              <w:fldChar w:fldCharType="separate"/>
            </w:r>
            <w:r>
              <w:rPr>
                <w:noProof/>
                <w:webHidden/>
              </w:rPr>
              <w:t>3</w:t>
            </w:r>
            <w:r>
              <w:rPr>
                <w:noProof/>
                <w:webHidden/>
              </w:rPr>
              <w:fldChar w:fldCharType="end"/>
            </w:r>
          </w:hyperlink>
        </w:p>
        <w:p w14:paraId="1C1C48F8" w14:textId="3D4773D2" w:rsidR="00834D45" w:rsidRDefault="00834D45">
          <w:pPr>
            <w:pStyle w:val="TOC1"/>
            <w:tabs>
              <w:tab w:val="right" w:leader="dot" w:pos="9016"/>
            </w:tabs>
            <w:rPr>
              <w:rFonts w:eastAsiaTheme="minorEastAsia"/>
              <w:noProof/>
              <w:lang w:eastAsia="en-GB"/>
            </w:rPr>
          </w:pPr>
          <w:hyperlink w:anchor="_Toc215488597" w:history="1">
            <w:r w:rsidRPr="00E56D6F">
              <w:rPr>
                <w:rStyle w:val="Hyperlink"/>
                <w:rFonts w:ascii="Times New Roman" w:hAnsi="Times New Roman" w:cs="Times New Roman"/>
                <w:b/>
                <w:bCs/>
                <w:noProof/>
              </w:rPr>
              <w:t>Key consumer and industry trends</w:t>
            </w:r>
            <w:r>
              <w:rPr>
                <w:noProof/>
                <w:webHidden/>
              </w:rPr>
              <w:tab/>
            </w:r>
            <w:r>
              <w:rPr>
                <w:noProof/>
                <w:webHidden/>
              </w:rPr>
              <w:fldChar w:fldCharType="begin"/>
            </w:r>
            <w:r>
              <w:rPr>
                <w:noProof/>
                <w:webHidden/>
              </w:rPr>
              <w:instrText xml:space="preserve"> PAGEREF _Toc215488597 \h </w:instrText>
            </w:r>
            <w:r>
              <w:rPr>
                <w:noProof/>
                <w:webHidden/>
              </w:rPr>
            </w:r>
            <w:r>
              <w:rPr>
                <w:noProof/>
                <w:webHidden/>
              </w:rPr>
              <w:fldChar w:fldCharType="separate"/>
            </w:r>
            <w:r>
              <w:rPr>
                <w:noProof/>
                <w:webHidden/>
              </w:rPr>
              <w:t>4</w:t>
            </w:r>
            <w:r>
              <w:rPr>
                <w:noProof/>
                <w:webHidden/>
              </w:rPr>
              <w:fldChar w:fldCharType="end"/>
            </w:r>
          </w:hyperlink>
        </w:p>
        <w:p w14:paraId="0428020D" w14:textId="379FE0F0" w:rsidR="00834D45" w:rsidRDefault="00834D45">
          <w:pPr>
            <w:pStyle w:val="TOC1"/>
            <w:tabs>
              <w:tab w:val="right" w:leader="dot" w:pos="9016"/>
            </w:tabs>
            <w:rPr>
              <w:rFonts w:eastAsiaTheme="minorEastAsia"/>
              <w:noProof/>
              <w:lang w:eastAsia="en-GB"/>
            </w:rPr>
          </w:pPr>
          <w:hyperlink w:anchor="_Toc215488598" w:history="1">
            <w:r w:rsidRPr="00E56D6F">
              <w:rPr>
                <w:rStyle w:val="Hyperlink"/>
                <w:rFonts w:ascii="Times New Roman" w:hAnsi="Times New Roman" w:cs="Times New Roman"/>
                <w:b/>
                <w:bCs/>
                <w:noProof/>
              </w:rPr>
              <w:t>Part 1: An analysis of the organisation’s approach to innovation</w:t>
            </w:r>
            <w:r>
              <w:rPr>
                <w:noProof/>
                <w:webHidden/>
              </w:rPr>
              <w:tab/>
            </w:r>
            <w:r>
              <w:rPr>
                <w:noProof/>
                <w:webHidden/>
              </w:rPr>
              <w:fldChar w:fldCharType="begin"/>
            </w:r>
            <w:r>
              <w:rPr>
                <w:noProof/>
                <w:webHidden/>
              </w:rPr>
              <w:instrText xml:space="preserve"> PAGEREF _Toc215488598 \h </w:instrText>
            </w:r>
            <w:r>
              <w:rPr>
                <w:noProof/>
                <w:webHidden/>
              </w:rPr>
            </w:r>
            <w:r>
              <w:rPr>
                <w:noProof/>
                <w:webHidden/>
              </w:rPr>
              <w:fldChar w:fldCharType="separate"/>
            </w:r>
            <w:r>
              <w:rPr>
                <w:noProof/>
                <w:webHidden/>
              </w:rPr>
              <w:t>5</w:t>
            </w:r>
            <w:r>
              <w:rPr>
                <w:noProof/>
                <w:webHidden/>
              </w:rPr>
              <w:fldChar w:fldCharType="end"/>
            </w:r>
          </w:hyperlink>
        </w:p>
        <w:p w14:paraId="0DE369CB" w14:textId="0EF33403" w:rsidR="00834D45" w:rsidRDefault="00834D45">
          <w:pPr>
            <w:pStyle w:val="TOC2"/>
            <w:tabs>
              <w:tab w:val="right" w:leader="dot" w:pos="9016"/>
            </w:tabs>
            <w:rPr>
              <w:rFonts w:eastAsiaTheme="minorEastAsia"/>
              <w:noProof/>
              <w:lang w:eastAsia="en-GB"/>
            </w:rPr>
          </w:pPr>
          <w:hyperlink w:anchor="_Toc215488599" w:history="1">
            <w:r w:rsidRPr="00E56D6F">
              <w:rPr>
                <w:rStyle w:val="Hyperlink"/>
                <w:rFonts w:ascii="Times New Roman" w:hAnsi="Times New Roman" w:cs="Times New Roman"/>
                <w:b/>
                <w:bCs/>
                <w:noProof/>
              </w:rPr>
              <w:t>Innovation ambition matrix</w:t>
            </w:r>
            <w:r>
              <w:rPr>
                <w:noProof/>
                <w:webHidden/>
              </w:rPr>
              <w:tab/>
            </w:r>
            <w:r>
              <w:rPr>
                <w:noProof/>
                <w:webHidden/>
              </w:rPr>
              <w:fldChar w:fldCharType="begin"/>
            </w:r>
            <w:r>
              <w:rPr>
                <w:noProof/>
                <w:webHidden/>
              </w:rPr>
              <w:instrText xml:space="preserve"> PAGEREF _Toc215488599 \h </w:instrText>
            </w:r>
            <w:r>
              <w:rPr>
                <w:noProof/>
                <w:webHidden/>
              </w:rPr>
            </w:r>
            <w:r>
              <w:rPr>
                <w:noProof/>
                <w:webHidden/>
              </w:rPr>
              <w:fldChar w:fldCharType="separate"/>
            </w:r>
            <w:r>
              <w:rPr>
                <w:noProof/>
                <w:webHidden/>
              </w:rPr>
              <w:t>5</w:t>
            </w:r>
            <w:r>
              <w:rPr>
                <w:noProof/>
                <w:webHidden/>
              </w:rPr>
              <w:fldChar w:fldCharType="end"/>
            </w:r>
          </w:hyperlink>
        </w:p>
        <w:p w14:paraId="685E45A5" w14:textId="7A945AF2" w:rsidR="00834D45" w:rsidRDefault="00834D45">
          <w:pPr>
            <w:pStyle w:val="TOC2"/>
            <w:tabs>
              <w:tab w:val="right" w:leader="dot" w:pos="9016"/>
            </w:tabs>
            <w:rPr>
              <w:rFonts w:eastAsiaTheme="minorEastAsia"/>
              <w:noProof/>
              <w:lang w:eastAsia="en-GB"/>
            </w:rPr>
          </w:pPr>
          <w:hyperlink w:anchor="_Toc215488600" w:history="1">
            <w:r w:rsidRPr="00E56D6F">
              <w:rPr>
                <w:rStyle w:val="Hyperlink"/>
                <w:rFonts w:ascii="Times New Roman" w:hAnsi="Times New Roman" w:cs="Times New Roman"/>
                <w:b/>
                <w:bCs/>
                <w:noProof/>
              </w:rPr>
              <w:t>Customer Journey Mapping</w:t>
            </w:r>
            <w:r>
              <w:rPr>
                <w:noProof/>
                <w:webHidden/>
              </w:rPr>
              <w:tab/>
            </w:r>
            <w:r>
              <w:rPr>
                <w:noProof/>
                <w:webHidden/>
              </w:rPr>
              <w:fldChar w:fldCharType="begin"/>
            </w:r>
            <w:r>
              <w:rPr>
                <w:noProof/>
                <w:webHidden/>
              </w:rPr>
              <w:instrText xml:space="preserve"> PAGEREF _Toc215488600 \h </w:instrText>
            </w:r>
            <w:r>
              <w:rPr>
                <w:noProof/>
                <w:webHidden/>
              </w:rPr>
            </w:r>
            <w:r>
              <w:rPr>
                <w:noProof/>
                <w:webHidden/>
              </w:rPr>
              <w:fldChar w:fldCharType="separate"/>
            </w:r>
            <w:r>
              <w:rPr>
                <w:noProof/>
                <w:webHidden/>
              </w:rPr>
              <w:t>9</w:t>
            </w:r>
            <w:r>
              <w:rPr>
                <w:noProof/>
                <w:webHidden/>
              </w:rPr>
              <w:fldChar w:fldCharType="end"/>
            </w:r>
          </w:hyperlink>
        </w:p>
        <w:p w14:paraId="03A2ADED" w14:textId="3643B6EC" w:rsidR="00834D45" w:rsidRDefault="00834D45">
          <w:pPr>
            <w:pStyle w:val="TOC1"/>
            <w:tabs>
              <w:tab w:val="right" w:leader="dot" w:pos="9016"/>
            </w:tabs>
            <w:rPr>
              <w:rFonts w:eastAsiaTheme="minorEastAsia"/>
              <w:noProof/>
              <w:lang w:eastAsia="en-GB"/>
            </w:rPr>
          </w:pPr>
          <w:hyperlink w:anchor="_Toc215488601" w:history="1">
            <w:r w:rsidRPr="00E56D6F">
              <w:rPr>
                <w:rStyle w:val="Hyperlink"/>
                <w:rFonts w:ascii="Times New Roman" w:hAnsi="Times New Roman" w:cs="Times New Roman"/>
                <w:b/>
                <w:bCs/>
                <w:noProof/>
              </w:rPr>
              <w:t>Part 2:</w:t>
            </w:r>
            <w:r>
              <w:rPr>
                <w:noProof/>
                <w:webHidden/>
              </w:rPr>
              <w:tab/>
            </w:r>
            <w:r>
              <w:rPr>
                <w:noProof/>
                <w:webHidden/>
              </w:rPr>
              <w:fldChar w:fldCharType="begin"/>
            </w:r>
            <w:r>
              <w:rPr>
                <w:noProof/>
                <w:webHidden/>
              </w:rPr>
              <w:instrText xml:space="preserve"> PAGEREF _Toc215488601 \h </w:instrText>
            </w:r>
            <w:r>
              <w:rPr>
                <w:noProof/>
                <w:webHidden/>
              </w:rPr>
            </w:r>
            <w:r>
              <w:rPr>
                <w:noProof/>
                <w:webHidden/>
              </w:rPr>
              <w:fldChar w:fldCharType="separate"/>
            </w:r>
            <w:r>
              <w:rPr>
                <w:noProof/>
                <w:webHidden/>
              </w:rPr>
              <w:t>13</w:t>
            </w:r>
            <w:r>
              <w:rPr>
                <w:noProof/>
                <w:webHidden/>
              </w:rPr>
              <w:fldChar w:fldCharType="end"/>
            </w:r>
          </w:hyperlink>
        </w:p>
        <w:p w14:paraId="12F70E8E" w14:textId="069AD71B" w:rsidR="00834D45" w:rsidRDefault="00834D45">
          <w:pPr>
            <w:pStyle w:val="TOC2"/>
            <w:tabs>
              <w:tab w:val="right" w:leader="dot" w:pos="9016"/>
            </w:tabs>
            <w:rPr>
              <w:rFonts w:eastAsiaTheme="minorEastAsia"/>
              <w:noProof/>
              <w:lang w:eastAsia="en-GB"/>
            </w:rPr>
          </w:pPr>
          <w:hyperlink w:anchor="_Toc215488602" w:history="1">
            <w:r w:rsidRPr="00E56D6F">
              <w:rPr>
                <w:rStyle w:val="Hyperlink"/>
                <w:rFonts w:ascii="Times New Roman" w:hAnsi="Times New Roman" w:cs="Times New Roman"/>
                <w:b/>
                <w:bCs/>
                <w:noProof/>
              </w:rPr>
              <w:t>Digital transformation initiative</w:t>
            </w:r>
            <w:r>
              <w:rPr>
                <w:noProof/>
                <w:webHidden/>
              </w:rPr>
              <w:tab/>
            </w:r>
            <w:r>
              <w:rPr>
                <w:noProof/>
                <w:webHidden/>
              </w:rPr>
              <w:fldChar w:fldCharType="begin"/>
            </w:r>
            <w:r>
              <w:rPr>
                <w:noProof/>
                <w:webHidden/>
              </w:rPr>
              <w:instrText xml:space="preserve"> PAGEREF _Toc215488602 \h </w:instrText>
            </w:r>
            <w:r>
              <w:rPr>
                <w:noProof/>
                <w:webHidden/>
              </w:rPr>
            </w:r>
            <w:r>
              <w:rPr>
                <w:noProof/>
                <w:webHidden/>
              </w:rPr>
              <w:fldChar w:fldCharType="separate"/>
            </w:r>
            <w:r>
              <w:rPr>
                <w:noProof/>
                <w:webHidden/>
              </w:rPr>
              <w:t>13</w:t>
            </w:r>
            <w:r>
              <w:rPr>
                <w:noProof/>
                <w:webHidden/>
              </w:rPr>
              <w:fldChar w:fldCharType="end"/>
            </w:r>
          </w:hyperlink>
        </w:p>
        <w:p w14:paraId="2AF60C91" w14:textId="530EF422" w:rsidR="00834D45" w:rsidRDefault="00834D45">
          <w:pPr>
            <w:pStyle w:val="TOC2"/>
            <w:tabs>
              <w:tab w:val="right" w:leader="dot" w:pos="9016"/>
            </w:tabs>
            <w:rPr>
              <w:rFonts w:eastAsiaTheme="minorEastAsia"/>
              <w:noProof/>
              <w:lang w:eastAsia="en-GB"/>
            </w:rPr>
          </w:pPr>
          <w:hyperlink w:anchor="_Toc215488603" w:history="1">
            <w:r w:rsidRPr="00E56D6F">
              <w:rPr>
                <w:rStyle w:val="Hyperlink"/>
                <w:rFonts w:ascii="Times New Roman" w:hAnsi="Times New Roman" w:cs="Times New Roman"/>
                <w:b/>
                <w:bCs/>
                <w:noProof/>
              </w:rPr>
              <w:t>New customer journey</w:t>
            </w:r>
            <w:r>
              <w:rPr>
                <w:noProof/>
                <w:webHidden/>
              </w:rPr>
              <w:tab/>
            </w:r>
            <w:r>
              <w:rPr>
                <w:noProof/>
                <w:webHidden/>
              </w:rPr>
              <w:fldChar w:fldCharType="begin"/>
            </w:r>
            <w:r>
              <w:rPr>
                <w:noProof/>
                <w:webHidden/>
              </w:rPr>
              <w:instrText xml:space="preserve"> PAGEREF _Toc215488603 \h </w:instrText>
            </w:r>
            <w:r>
              <w:rPr>
                <w:noProof/>
                <w:webHidden/>
              </w:rPr>
            </w:r>
            <w:r>
              <w:rPr>
                <w:noProof/>
                <w:webHidden/>
              </w:rPr>
              <w:fldChar w:fldCharType="separate"/>
            </w:r>
            <w:r>
              <w:rPr>
                <w:noProof/>
                <w:webHidden/>
              </w:rPr>
              <w:t>15</w:t>
            </w:r>
            <w:r>
              <w:rPr>
                <w:noProof/>
                <w:webHidden/>
              </w:rPr>
              <w:fldChar w:fldCharType="end"/>
            </w:r>
          </w:hyperlink>
        </w:p>
        <w:p w14:paraId="3C4CEC3F" w14:textId="6A6904D0" w:rsidR="00834D45" w:rsidRDefault="00834D45">
          <w:pPr>
            <w:pStyle w:val="TOC1"/>
            <w:tabs>
              <w:tab w:val="right" w:leader="dot" w:pos="9016"/>
            </w:tabs>
            <w:rPr>
              <w:rFonts w:eastAsiaTheme="minorEastAsia"/>
              <w:noProof/>
              <w:lang w:eastAsia="en-GB"/>
            </w:rPr>
          </w:pPr>
          <w:hyperlink w:anchor="_Toc215488604" w:history="1">
            <w:r w:rsidRPr="00E56D6F">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_Toc215488604 \h </w:instrText>
            </w:r>
            <w:r>
              <w:rPr>
                <w:noProof/>
                <w:webHidden/>
              </w:rPr>
            </w:r>
            <w:r>
              <w:rPr>
                <w:noProof/>
                <w:webHidden/>
              </w:rPr>
              <w:fldChar w:fldCharType="separate"/>
            </w:r>
            <w:r>
              <w:rPr>
                <w:noProof/>
                <w:webHidden/>
              </w:rPr>
              <w:t>19</w:t>
            </w:r>
            <w:r>
              <w:rPr>
                <w:noProof/>
                <w:webHidden/>
              </w:rPr>
              <w:fldChar w:fldCharType="end"/>
            </w:r>
          </w:hyperlink>
        </w:p>
        <w:p w14:paraId="6C982F01" w14:textId="6E0FF0FE" w:rsidR="00586AA8" w:rsidRDefault="00586AA8" w:rsidP="00533174">
          <w:pPr>
            <w:spacing w:before="100" w:beforeAutospacing="1" w:after="100" w:afterAutospacing="1" w:line="480" w:lineRule="auto"/>
          </w:pPr>
          <w:r>
            <w:rPr>
              <w:b/>
              <w:bCs/>
              <w:noProof/>
            </w:rPr>
            <w:fldChar w:fldCharType="end"/>
          </w:r>
        </w:p>
      </w:sdtContent>
    </w:sdt>
    <w:p w14:paraId="6BA81A6B" w14:textId="77777777" w:rsidR="00E34F71" w:rsidRPr="00E34F71" w:rsidRDefault="00E34F71" w:rsidP="00533174">
      <w:pPr>
        <w:spacing w:before="100" w:beforeAutospacing="1" w:after="100" w:afterAutospacing="1" w:line="480" w:lineRule="auto"/>
        <w:jc w:val="both"/>
        <w:rPr>
          <w:rFonts w:ascii="Times New Roman" w:hAnsi="Times New Roman" w:cs="Times New Roman"/>
          <w:b/>
          <w:bCs/>
        </w:rPr>
      </w:pPr>
    </w:p>
    <w:p w14:paraId="62486347" w14:textId="77777777" w:rsidR="00C94593" w:rsidRDefault="00C94593" w:rsidP="00533174">
      <w:pPr>
        <w:pStyle w:val="Heading1"/>
        <w:spacing w:before="100" w:beforeAutospacing="1" w:after="100" w:afterAutospacing="1" w:line="480" w:lineRule="auto"/>
        <w:rPr>
          <w:rFonts w:ascii="Times New Roman" w:hAnsi="Times New Roman" w:cs="Times New Roman"/>
          <w:b/>
          <w:bCs/>
          <w:color w:val="auto"/>
          <w:sz w:val="24"/>
          <w:szCs w:val="24"/>
        </w:rPr>
      </w:pPr>
    </w:p>
    <w:p w14:paraId="6D2A42D7" w14:textId="77777777" w:rsidR="00C94593" w:rsidRDefault="00C94593" w:rsidP="00533174">
      <w:pPr>
        <w:pStyle w:val="Heading1"/>
        <w:spacing w:before="100" w:beforeAutospacing="1" w:after="100" w:afterAutospacing="1" w:line="480" w:lineRule="auto"/>
        <w:rPr>
          <w:rFonts w:ascii="Times New Roman" w:hAnsi="Times New Roman" w:cs="Times New Roman"/>
          <w:b/>
          <w:bCs/>
          <w:color w:val="auto"/>
          <w:sz w:val="24"/>
          <w:szCs w:val="24"/>
        </w:rPr>
      </w:pPr>
    </w:p>
    <w:p w14:paraId="5830CD46" w14:textId="77777777" w:rsidR="00C94593" w:rsidRDefault="00C94593" w:rsidP="00533174">
      <w:pPr>
        <w:pStyle w:val="Heading1"/>
        <w:spacing w:before="100" w:beforeAutospacing="1" w:after="100" w:afterAutospacing="1" w:line="480" w:lineRule="auto"/>
        <w:rPr>
          <w:rFonts w:ascii="Times New Roman" w:hAnsi="Times New Roman" w:cs="Times New Roman"/>
          <w:b/>
          <w:bCs/>
          <w:color w:val="auto"/>
          <w:sz w:val="24"/>
          <w:szCs w:val="24"/>
        </w:rPr>
      </w:pPr>
    </w:p>
    <w:p w14:paraId="216AE126" w14:textId="77777777" w:rsidR="00C94593" w:rsidRDefault="00C94593" w:rsidP="00533174">
      <w:pPr>
        <w:pStyle w:val="Heading1"/>
        <w:spacing w:before="100" w:beforeAutospacing="1" w:after="100" w:afterAutospacing="1" w:line="480" w:lineRule="auto"/>
        <w:rPr>
          <w:rFonts w:ascii="Times New Roman" w:hAnsi="Times New Roman" w:cs="Times New Roman"/>
          <w:b/>
          <w:bCs/>
          <w:color w:val="auto"/>
          <w:sz w:val="24"/>
          <w:szCs w:val="24"/>
        </w:rPr>
      </w:pPr>
    </w:p>
    <w:p w14:paraId="2FA0D7C5" w14:textId="77777777" w:rsidR="00C94593" w:rsidRDefault="00C94593" w:rsidP="00533174">
      <w:pPr>
        <w:pStyle w:val="Heading1"/>
        <w:spacing w:before="100" w:beforeAutospacing="1" w:after="100" w:afterAutospacing="1" w:line="480" w:lineRule="auto"/>
        <w:rPr>
          <w:rFonts w:ascii="Times New Roman" w:hAnsi="Times New Roman" w:cs="Times New Roman"/>
          <w:b/>
          <w:bCs/>
          <w:color w:val="auto"/>
          <w:sz w:val="24"/>
          <w:szCs w:val="24"/>
        </w:rPr>
      </w:pPr>
    </w:p>
    <w:p w14:paraId="30A85E58" w14:textId="4042DEEF" w:rsidR="00C94593" w:rsidRDefault="00C94593" w:rsidP="00533174">
      <w:pPr>
        <w:spacing w:before="100" w:beforeAutospacing="1" w:after="100" w:afterAutospacing="1" w:line="480" w:lineRule="auto"/>
      </w:pPr>
    </w:p>
    <w:p w14:paraId="606F3BD5" w14:textId="77777777" w:rsidR="00533174" w:rsidRPr="00C94593" w:rsidRDefault="00533174" w:rsidP="00533174">
      <w:pPr>
        <w:spacing w:before="100" w:beforeAutospacing="1" w:after="100" w:afterAutospacing="1" w:line="480" w:lineRule="auto"/>
      </w:pPr>
    </w:p>
    <w:p w14:paraId="28EE27FD" w14:textId="43257B47" w:rsidR="00205179" w:rsidRPr="00E34F71" w:rsidRDefault="00C8482B" w:rsidP="00533174">
      <w:pPr>
        <w:pStyle w:val="Heading1"/>
        <w:spacing w:before="100" w:beforeAutospacing="1" w:after="100" w:afterAutospacing="1" w:line="480" w:lineRule="auto"/>
        <w:jc w:val="center"/>
        <w:rPr>
          <w:rFonts w:ascii="Times New Roman" w:hAnsi="Times New Roman" w:cs="Times New Roman"/>
          <w:color w:val="auto"/>
          <w:sz w:val="24"/>
          <w:szCs w:val="24"/>
        </w:rPr>
      </w:pPr>
      <w:bookmarkStart w:id="2" w:name="_Toc215488596"/>
      <w:r w:rsidRPr="00C8482B">
        <w:rPr>
          <w:rFonts w:ascii="Times New Roman" w:hAnsi="Times New Roman" w:cs="Times New Roman"/>
          <w:b/>
          <w:bCs/>
          <w:color w:val="auto"/>
          <w:sz w:val="24"/>
          <w:szCs w:val="24"/>
        </w:rPr>
        <w:lastRenderedPageBreak/>
        <w:t>Introduction</w:t>
      </w:r>
      <w:bookmarkEnd w:id="2"/>
    </w:p>
    <w:p w14:paraId="79FFF5F3" w14:textId="10D90BFB" w:rsidR="00C8482B" w:rsidRPr="00C8482B" w:rsidRDefault="00C8482B" w:rsidP="00533174">
      <w:pPr>
        <w:spacing w:before="100" w:beforeAutospacing="1" w:after="100" w:afterAutospacing="1" w:line="480" w:lineRule="auto"/>
        <w:jc w:val="both"/>
        <w:rPr>
          <w:rFonts w:ascii="Times New Roman" w:hAnsi="Times New Roman" w:cs="Times New Roman"/>
        </w:rPr>
      </w:pPr>
      <w:r w:rsidRPr="00C8482B">
        <w:rPr>
          <w:rFonts w:ascii="Times New Roman" w:hAnsi="Times New Roman" w:cs="Times New Roman"/>
        </w:rPr>
        <w:t>Pharmacy2U was established in the UK in 199</w:t>
      </w:r>
      <w:r w:rsidR="004D63E4">
        <w:rPr>
          <w:rFonts w:ascii="Times New Roman" w:hAnsi="Times New Roman" w:cs="Times New Roman"/>
        </w:rPr>
        <w:t>9</w:t>
      </w:r>
      <w:r w:rsidRPr="00C8482B">
        <w:rPr>
          <w:rFonts w:ascii="Times New Roman" w:hAnsi="Times New Roman" w:cs="Times New Roman"/>
        </w:rPr>
        <w:t xml:space="preserve"> and has since become the largest digital-only pharmacy in the country. It specialises in the management of NHS repeat prescriptions alongside providing reliable and wellness products that are fully managed under digital platforms. Users have the option of nominating the company through the NHS electronic prescription service</w:t>
      </w:r>
      <w:r w:rsidR="001826A8" w:rsidRPr="00E34F71">
        <w:rPr>
          <w:rFonts w:ascii="Times New Roman" w:hAnsi="Times New Roman" w:cs="Times New Roman"/>
        </w:rPr>
        <w:t xml:space="preserve"> (Pharmacy2U, 2025)</w:t>
      </w:r>
      <w:r w:rsidRPr="00C8482B">
        <w:rPr>
          <w:rFonts w:ascii="Times New Roman" w:hAnsi="Times New Roman" w:cs="Times New Roman"/>
        </w:rPr>
        <w:t xml:space="preserve">. The company dispenses and delivers medication using automated pharmacies and optimised home platforms. As at 2024, the company was estimated to be serving approximately 1.5 million customers with an average of 3.65 million NHS prescriptions monthly. This translated to revenues of about £200 million yearly. Even though the company has had a robust model that has enabled it to serve millions of patients and customers, it has had instances of </w:t>
      </w:r>
      <w:r w:rsidR="008C53AA" w:rsidRPr="00C8482B">
        <w:rPr>
          <w:rFonts w:ascii="Times New Roman" w:hAnsi="Times New Roman" w:cs="Times New Roman"/>
        </w:rPr>
        <w:t>chaos</w:t>
      </w:r>
      <w:r w:rsidRPr="00C8482B">
        <w:rPr>
          <w:rFonts w:ascii="Times New Roman" w:hAnsi="Times New Roman" w:cs="Times New Roman"/>
        </w:rPr>
        <w:t xml:space="preserve"> with losses, like in the 2023 financial year where losses of £5.6 million were recorded despite reporting revenues worth £17 million</w:t>
      </w:r>
      <w:r w:rsidR="00846344" w:rsidRPr="00E34F71">
        <w:rPr>
          <w:rFonts w:ascii="Times New Roman" w:hAnsi="Times New Roman" w:cs="Times New Roman"/>
        </w:rPr>
        <w:t xml:space="preserve"> (</w:t>
      </w:r>
      <w:r w:rsidR="00893DCA" w:rsidRPr="00E34F71">
        <w:rPr>
          <w:rFonts w:ascii="Times New Roman" w:hAnsi="Times New Roman" w:cs="Times New Roman"/>
        </w:rPr>
        <w:t>Pharmacy Magazine, 2024)</w:t>
      </w:r>
      <w:r w:rsidRPr="00C8482B">
        <w:rPr>
          <w:rFonts w:ascii="Times New Roman" w:hAnsi="Times New Roman" w:cs="Times New Roman"/>
        </w:rPr>
        <w:t>. To supplement its medications line of business, the company has been involved in complementary services like the provision of online private GPs or online doctors and repeat medications, which has helped diversify the revenue streams for progressive growth and sustainability</w:t>
      </w:r>
      <w:r w:rsidR="00893DCA" w:rsidRPr="00E34F71">
        <w:rPr>
          <w:rFonts w:ascii="Times New Roman" w:hAnsi="Times New Roman" w:cs="Times New Roman"/>
        </w:rPr>
        <w:t xml:space="preserve"> (Pharmacy2U, 2023)</w:t>
      </w:r>
      <w:r w:rsidRPr="00C8482B">
        <w:rPr>
          <w:rFonts w:ascii="Times New Roman" w:hAnsi="Times New Roman" w:cs="Times New Roman"/>
        </w:rPr>
        <w:t>. The vision of the company is to be patient-centric in the digital era while leveraging such technologies to shift care to homes and communities. The automated systems and robotic dispensing allow the streamlining of prescription management while promoting adherence to set regulations and guidelines. In addition, the company emphasises the capacity of technology to take the pain out of patient experiences with recent developments allowing the integration of health applications that incorporate GP, NHS, vet services, and different wellness services</w:t>
      </w:r>
      <w:r w:rsidR="00D43299" w:rsidRPr="00E34F71">
        <w:rPr>
          <w:rFonts w:ascii="Times New Roman" w:hAnsi="Times New Roman" w:cs="Times New Roman"/>
        </w:rPr>
        <w:t xml:space="preserve"> (Pharmacy2U, 2025)</w:t>
      </w:r>
      <w:r w:rsidRPr="00C8482B">
        <w:rPr>
          <w:rFonts w:ascii="Times New Roman" w:hAnsi="Times New Roman" w:cs="Times New Roman"/>
        </w:rPr>
        <w:t>. In this report, a critical analysis of Pharmacy2U is conducted with a focus on current innovations, activities, and customer journey. The report also proposes a new digital transformation situation that aims to close the key gaps identified for sustainability and the growth of future revenues.</w:t>
      </w:r>
    </w:p>
    <w:p w14:paraId="3AAA3ACC" w14:textId="6E876955" w:rsidR="00D43299" w:rsidRPr="00E34F71" w:rsidRDefault="00C8482B" w:rsidP="00533174">
      <w:pPr>
        <w:pStyle w:val="Heading1"/>
        <w:spacing w:before="100" w:beforeAutospacing="1" w:after="100" w:afterAutospacing="1" w:line="480" w:lineRule="auto"/>
        <w:rPr>
          <w:rFonts w:ascii="Times New Roman" w:hAnsi="Times New Roman" w:cs="Times New Roman"/>
          <w:color w:val="auto"/>
          <w:sz w:val="24"/>
          <w:szCs w:val="24"/>
        </w:rPr>
      </w:pPr>
      <w:bookmarkStart w:id="3" w:name="_Toc215488597"/>
      <w:r w:rsidRPr="00C8482B">
        <w:rPr>
          <w:rFonts w:ascii="Times New Roman" w:hAnsi="Times New Roman" w:cs="Times New Roman"/>
          <w:b/>
          <w:bCs/>
          <w:color w:val="auto"/>
          <w:sz w:val="24"/>
          <w:szCs w:val="24"/>
        </w:rPr>
        <w:lastRenderedPageBreak/>
        <w:t xml:space="preserve">Key </w:t>
      </w:r>
      <w:r w:rsidR="000C7A77" w:rsidRPr="000C7A77">
        <w:rPr>
          <w:rFonts w:ascii="Times New Roman" w:hAnsi="Times New Roman" w:cs="Times New Roman"/>
          <w:b/>
          <w:bCs/>
          <w:color w:val="auto"/>
          <w:sz w:val="24"/>
          <w:szCs w:val="24"/>
        </w:rPr>
        <w:t xml:space="preserve">consumer </w:t>
      </w:r>
      <w:r w:rsidR="000C7A77">
        <w:rPr>
          <w:rFonts w:ascii="Times New Roman" w:hAnsi="Times New Roman" w:cs="Times New Roman"/>
          <w:b/>
          <w:bCs/>
          <w:color w:val="auto"/>
          <w:sz w:val="24"/>
          <w:szCs w:val="24"/>
        </w:rPr>
        <w:t xml:space="preserve">and </w:t>
      </w:r>
      <w:r w:rsidRPr="00C8482B">
        <w:rPr>
          <w:rFonts w:ascii="Times New Roman" w:hAnsi="Times New Roman" w:cs="Times New Roman"/>
          <w:b/>
          <w:bCs/>
          <w:color w:val="auto"/>
          <w:sz w:val="24"/>
          <w:szCs w:val="24"/>
        </w:rPr>
        <w:t>industry trends</w:t>
      </w:r>
      <w:bookmarkEnd w:id="3"/>
    </w:p>
    <w:p w14:paraId="6B8B5260" w14:textId="587FC8BA" w:rsidR="00C8482B" w:rsidRPr="00C8482B" w:rsidRDefault="00C8482B" w:rsidP="00533174">
      <w:pPr>
        <w:spacing w:before="100" w:beforeAutospacing="1" w:after="100" w:afterAutospacing="1" w:line="480" w:lineRule="auto"/>
        <w:jc w:val="both"/>
        <w:rPr>
          <w:rFonts w:ascii="Times New Roman" w:hAnsi="Times New Roman" w:cs="Times New Roman"/>
        </w:rPr>
      </w:pPr>
      <w:r w:rsidRPr="00C8482B">
        <w:rPr>
          <w:rFonts w:ascii="Times New Roman" w:hAnsi="Times New Roman" w:cs="Times New Roman"/>
        </w:rPr>
        <w:t>Looking at industry and consumer trends, the digitisation of pharmacy and healthcare services has been a major driving force in the UK and beyond. The UK e-pharmacy market has since increased in value and was estimated to be worth more than £1 billion in 2024</w:t>
      </w:r>
      <w:r w:rsidR="00AB0093" w:rsidRPr="00E34F71">
        <w:rPr>
          <w:rFonts w:ascii="Times New Roman" w:hAnsi="Times New Roman" w:cs="Times New Roman"/>
        </w:rPr>
        <w:t xml:space="preserve"> (</w:t>
      </w:r>
      <w:proofErr w:type="spellStart"/>
      <w:r w:rsidR="00AB0093" w:rsidRPr="00E34F71">
        <w:rPr>
          <w:rFonts w:ascii="Times New Roman" w:hAnsi="Times New Roman" w:cs="Times New Roman"/>
        </w:rPr>
        <w:t>TechSci</w:t>
      </w:r>
      <w:proofErr w:type="spellEnd"/>
      <w:r w:rsidR="00AB0093" w:rsidRPr="00E34F71">
        <w:rPr>
          <w:rFonts w:ascii="Times New Roman" w:hAnsi="Times New Roman" w:cs="Times New Roman"/>
        </w:rPr>
        <w:t xml:space="preserve"> Research, 2025)</w:t>
      </w:r>
      <w:r w:rsidRPr="00C8482B">
        <w:rPr>
          <w:rFonts w:ascii="Times New Roman" w:hAnsi="Times New Roman" w:cs="Times New Roman"/>
        </w:rPr>
        <w:t>. This value was projected to continue with an annual average growth of 4.7% up to the year 2030 owing to the enhanced adaptation of online-based platforms for different products and services, including healthcare-related issues. Consumers have shown an increasing preference for the convenience that ordering online brings. This has been proven with most household items</w:t>
      </w:r>
      <w:r w:rsidR="00E026F3" w:rsidRPr="00E34F71">
        <w:rPr>
          <w:rFonts w:ascii="Times New Roman" w:hAnsi="Times New Roman" w:cs="Times New Roman"/>
        </w:rPr>
        <w:t xml:space="preserve"> (Pharmacy2U, 2025)</w:t>
      </w:r>
      <w:r w:rsidRPr="00C8482B">
        <w:rPr>
          <w:rFonts w:ascii="Times New Roman" w:hAnsi="Times New Roman" w:cs="Times New Roman"/>
        </w:rPr>
        <w:t>. In this regard, the same concept has been replicated in the pharmaceutical sector, with medication being ordered online and delivered to buyers’ preferred locations. With an ageing population in the UK, more than 10 million residents are estimated to be over 65 years of age</w:t>
      </w:r>
      <w:r w:rsidR="003B3680" w:rsidRPr="00E34F71">
        <w:rPr>
          <w:rFonts w:ascii="Times New Roman" w:hAnsi="Times New Roman" w:cs="Times New Roman"/>
        </w:rPr>
        <w:t xml:space="preserve"> (</w:t>
      </w:r>
      <w:proofErr w:type="spellStart"/>
      <w:r w:rsidR="003B3680" w:rsidRPr="00E34F71">
        <w:rPr>
          <w:rFonts w:ascii="Times New Roman" w:hAnsi="Times New Roman" w:cs="Times New Roman"/>
        </w:rPr>
        <w:t>McCurtin</w:t>
      </w:r>
      <w:proofErr w:type="spellEnd"/>
      <w:r w:rsidR="003B3680" w:rsidRPr="00E34F71">
        <w:rPr>
          <w:rFonts w:ascii="Times New Roman" w:hAnsi="Times New Roman" w:cs="Times New Roman"/>
        </w:rPr>
        <w:t xml:space="preserve"> et al., 2015)</w:t>
      </w:r>
      <w:r w:rsidRPr="00C8482B">
        <w:rPr>
          <w:rFonts w:ascii="Times New Roman" w:hAnsi="Times New Roman" w:cs="Times New Roman"/>
        </w:rPr>
        <w:t xml:space="preserve">. This is further </w:t>
      </w:r>
      <w:r w:rsidR="000C7A77" w:rsidRPr="00C8482B">
        <w:rPr>
          <w:rFonts w:ascii="Times New Roman" w:hAnsi="Times New Roman" w:cs="Times New Roman"/>
        </w:rPr>
        <w:t>intensified</w:t>
      </w:r>
      <w:r w:rsidRPr="00C8482B">
        <w:rPr>
          <w:rFonts w:ascii="Times New Roman" w:hAnsi="Times New Roman" w:cs="Times New Roman"/>
        </w:rPr>
        <w:t xml:space="preserve"> by a rising prevalence in chronic diseases and mobility challenges, which have all necessitated the need for convenient and reliable medication delivery systems like those offered by Pharmacy2U. In addition to this, busy lifestyles make the full-time ordering systems attractive, especially in areas that may be underserved or lack the necessary infrastructure to deliver the desired healthcare and medication services required</w:t>
      </w:r>
      <w:r w:rsidR="003F5542" w:rsidRPr="00E34F71">
        <w:rPr>
          <w:rFonts w:ascii="Times New Roman" w:hAnsi="Times New Roman" w:cs="Times New Roman"/>
        </w:rPr>
        <w:t xml:space="preserve"> (Digital Health, 2024)</w:t>
      </w:r>
      <w:r w:rsidRPr="00C8482B">
        <w:rPr>
          <w:rFonts w:ascii="Times New Roman" w:hAnsi="Times New Roman" w:cs="Times New Roman"/>
        </w:rPr>
        <w:t>. This has been seen as a major e-health service enabling home delivery capacity while cementing the online pharmacy as a reference for both existing and new customers.</w:t>
      </w:r>
    </w:p>
    <w:p w14:paraId="5AE42AAE" w14:textId="4D457027" w:rsidR="00C8482B" w:rsidRPr="00C8482B" w:rsidRDefault="00C8482B" w:rsidP="00533174">
      <w:pPr>
        <w:spacing w:before="100" w:beforeAutospacing="1" w:after="100" w:afterAutospacing="1" w:line="480" w:lineRule="auto"/>
        <w:jc w:val="both"/>
        <w:rPr>
          <w:rFonts w:ascii="Times New Roman" w:hAnsi="Times New Roman" w:cs="Times New Roman"/>
        </w:rPr>
      </w:pPr>
      <w:r w:rsidRPr="00C8482B">
        <w:rPr>
          <w:rFonts w:ascii="Times New Roman" w:hAnsi="Times New Roman" w:cs="Times New Roman"/>
        </w:rPr>
        <w:t>In addition to this, the UK healthcare sector is also pushing for digital primary healthcare as it seeks to align with modern trends, moving from analogue to digital services focusing on curative and preventive healthcare</w:t>
      </w:r>
      <w:r w:rsidR="00D533F4" w:rsidRPr="00E34F71">
        <w:rPr>
          <w:rFonts w:ascii="Times New Roman" w:hAnsi="Times New Roman" w:cs="Times New Roman"/>
        </w:rPr>
        <w:t xml:space="preserve"> (</w:t>
      </w:r>
      <w:proofErr w:type="spellStart"/>
      <w:r w:rsidR="00D533F4" w:rsidRPr="00E34F71">
        <w:rPr>
          <w:rFonts w:ascii="Times New Roman" w:hAnsi="Times New Roman" w:cs="Times New Roman"/>
        </w:rPr>
        <w:t>Paloumpi</w:t>
      </w:r>
      <w:proofErr w:type="spellEnd"/>
      <w:r w:rsidR="00D533F4" w:rsidRPr="00E34F71">
        <w:rPr>
          <w:rFonts w:ascii="Times New Roman" w:hAnsi="Times New Roman" w:cs="Times New Roman"/>
        </w:rPr>
        <w:t xml:space="preserve"> et al., 2024)</w:t>
      </w:r>
      <w:r w:rsidRPr="00C8482B">
        <w:rPr>
          <w:rFonts w:ascii="Times New Roman" w:hAnsi="Times New Roman" w:cs="Times New Roman"/>
        </w:rPr>
        <w:t xml:space="preserve">. This is further supported by the continued adaptation of digital health practices like the NHS application that has since recorded more than 70% adaptation by UK adults. Despite earlier concerns that were raised by different </w:t>
      </w:r>
      <w:r w:rsidRPr="00C8482B">
        <w:rPr>
          <w:rFonts w:ascii="Times New Roman" w:hAnsi="Times New Roman" w:cs="Times New Roman"/>
        </w:rPr>
        <w:lastRenderedPageBreak/>
        <w:t>stakeholders, the government has since shown its support for the system with the adoption of telehealth services. Pharmacy2U has partnerships like the NHS E</w:t>
      </w:r>
      <w:r w:rsidR="008C53AA">
        <w:rPr>
          <w:rFonts w:ascii="Times New Roman" w:hAnsi="Times New Roman" w:cs="Times New Roman"/>
        </w:rPr>
        <w:t>lectronic Prescription Service (E</w:t>
      </w:r>
      <w:r w:rsidRPr="00C8482B">
        <w:rPr>
          <w:rFonts w:ascii="Times New Roman" w:hAnsi="Times New Roman" w:cs="Times New Roman"/>
        </w:rPr>
        <w:t>PS</w:t>
      </w:r>
      <w:r w:rsidR="008C53AA">
        <w:rPr>
          <w:rFonts w:ascii="Times New Roman" w:hAnsi="Times New Roman" w:cs="Times New Roman"/>
        </w:rPr>
        <w:t>)</w:t>
      </w:r>
      <w:r w:rsidRPr="00C8482B">
        <w:rPr>
          <w:rFonts w:ascii="Times New Roman" w:hAnsi="Times New Roman" w:cs="Times New Roman"/>
        </w:rPr>
        <w:t xml:space="preserve"> which has eliminated wasteful processes and legacy systems resulting in time and cost savings</w:t>
      </w:r>
      <w:r w:rsidR="00CF3A13" w:rsidRPr="00E34F71">
        <w:rPr>
          <w:rFonts w:ascii="Times New Roman" w:hAnsi="Times New Roman" w:cs="Times New Roman"/>
        </w:rPr>
        <w:t xml:space="preserve"> (Peckham, 2023)</w:t>
      </w:r>
      <w:r w:rsidRPr="00C8482B">
        <w:rPr>
          <w:rFonts w:ascii="Times New Roman" w:hAnsi="Times New Roman" w:cs="Times New Roman"/>
        </w:rPr>
        <w:t>. For instance, new schemes like the Pharmacy First encourage community and digital pharmacies to manage common conditions, which has allowed the easing of workloads for healthcare facilities and practitioners. In the backdrop of all these changes and digital expansions, the need for a holistic digital experience from consumers has also been a pushing factor, with multichannel services available on online portals and mobile applications</w:t>
      </w:r>
      <w:r w:rsidR="00CF3A13" w:rsidRPr="00E34F71">
        <w:rPr>
          <w:rFonts w:ascii="Times New Roman" w:hAnsi="Times New Roman" w:cs="Times New Roman"/>
        </w:rPr>
        <w:t xml:space="preserve"> (Glover et al., 2025)</w:t>
      </w:r>
      <w:r w:rsidRPr="00C8482B">
        <w:rPr>
          <w:rFonts w:ascii="Times New Roman" w:hAnsi="Times New Roman" w:cs="Times New Roman"/>
        </w:rPr>
        <w:t>. The platforms have also been subject to regulatory frameworks like the general pharmaceutical guidelines in a bid to address consumer concerns in relation to safety and legitimacy. This has been crucial in building consumer trust, even though challenges are still present with regards to competition from high street chains, the need for robust infrastructure, reliability, and consumer trust-related issues.</w:t>
      </w:r>
    </w:p>
    <w:p w14:paraId="43B33614" w14:textId="61BC6F65" w:rsidR="00586AA8" w:rsidRDefault="00586AA8" w:rsidP="00533174">
      <w:pPr>
        <w:pStyle w:val="Heading1"/>
        <w:spacing w:before="100" w:beforeAutospacing="1" w:after="100" w:afterAutospacing="1" w:line="480" w:lineRule="auto"/>
        <w:jc w:val="center"/>
        <w:rPr>
          <w:rFonts w:ascii="Times New Roman" w:hAnsi="Times New Roman" w:cs="Times New Roman"/>
          <w:b/>
          <w:bCs/>
          <w:color w:val="auto"/>
          <w:sz w:val="24"/>
          <w:szCs w:val="24"/>
        </w:rPr>
      </w:pPr>
      <w:bookmarkStart w:id="4" w:name="_Toc215488598"/>
      <w:r>
        <w:rPr>
          <w:rFonts w:ascii="Times New Roman" w:hAnsi="Times New Roman" w:cs="Times New Roman"/>
          <w:b/>
          <w:bCs/>
          <w:color w:val="auto"/>
          <w:sz w:val="24"/>
          <w:szCs w:val="24"/>
        </w:rPr>
        <w:t>Part 1</w:t>
      </w:r>
      <w:r w:rsidR="000E65CF">
        <w:rPr>
          <w:rFonts w:ascii="Times New Roman" w:hAnsi="Times New Roman" w:cs="Times New Roman"/>
          <w:b/>
          <w:bCs/>
          <w:color w:val="auto"/>
          <w:sz w:val="24"/>
          <w:szCs w:val="24"/>
        </w:rPr>
        <w:t xml:space="preserve">: </w:t>
      </w:r>
      <w:r w:rsidR="000E65CF" w:rsidRPr="000E65CF">
        <w:rPr>
          <w:rFonts w:ascii="Times New Roman" w:hAnsi="Times New Roman" w:cs="Times New Roman"/>
          <w:b/>
          <w:bCs/>
          <w:color w:val="auto"/>
          <w:sz w:val="24"/>
          <w:szCs w:val="24"/>
        </w:rPr>
        <w:t>An analysis of the organisation’s approach to innovation</w:t>
      </w:r>
      <w:bookmarkEnd w:id="4"/>
    </w:p>
    <w:p w14:paraId="6D992E81" w14:textId="4B31771B" w:rsidR="003B3680" w:rsidRPr="00E34F71" w:rsidRDefault="00C8482B" w:rsidP="00533174">
      <w:pPr>
        <w:pStyle w:val="Heading2"/>
        <w:spacing w:before="100" w:beforeAutospacing="1" w:after="100" w:afterAutospacing="1" w:line="480" w:lineRule="auto"/>
        <w:rPr>
          <w:rFonts w:ascii="Times New Roman" w:hAnsi="Times New Roman" w:cs="Times New Roman"/>
          <w:color w:val="auto"/>
          <w:sz w:val="24"/>
          <w:szCs w:val="24"/>
        </w:rPr>
      </w:pPr>
      <w:bookmarkStart w:id="5" w:name="_Toc215488599"/>
      <w:r w:rsidRPr="00C8482B">
        <w:rPr>
          <w:rFonts w:ascii="Times New Roman" w:hAnsi="Times New Roman" w:cs="Times New Roman"/>
          <w:b/>
          <w:bCs/>
          <w:color w:val="auto"/>
          <w:sz w:val="24"/>
          <w:szCs w:val="24"/>
        </w:rPr>
        <w:t>Innovation ambition matrix</w:t>
      </w:r>
      <w:bookmarkEnd w:id="5"/>
    </w:p>
    <w:p w14:paraId="7E462E26" w14:textId="652F2136" w:rsidR="00C8482B" w:rsidRPr="00C8482B" w:rsidRDefault="00C8482B" w:rsidP="00533174">
      <w:pPr>
        <w:spacing w:before="100" w:beforeAutospacing="1" w:after="100" w:afterAutospacing="1" w:line="480" w:lineRule="auto"/>
        <w:jc w:val="both"/>
        <w:rPr>
          <w:rFonts w:ascii="Times New Roman" w:hAnsi="Times New Roman" w:cs="Times New Roman"/>
        </w:rPr>
      </w:pPr>
      <w:r w:rsidRPr="00C8482B">
        <w:rPr>
          <w:rFonts w:ascii="Times New Roman" w:hAnsi="Times New Roman" w:cs="Times New Roman"/>
        </w:rPr>
        <w:t>The innovation matrix considers the newness of a product against the newness of a market. This allows for the distinction between three major forms of innovation types which can either be core, adjacent, or disruptive</w:t>
      </w:r>
      <w:r w:rsidR="00BA19FE" w:rsidRPr="00E34F71">
        <w:rPr>
          <w:rFonts w:ascii="Times New Roman" w:hAnsi="Times New Roman" w:cs="Times New Roman"/>
        </w:rPr>
        <w:t xml:space="preserve"> (Pichler, 2025)</w:t>
      </w:r>
      <w:r w:rsidRPr="00C8482B">
        <w:rPr>
          <w:rFonts w:ascii="Times New Roman" w:hAnsi="Times New Roman" w:cs="Times New Roman"/>
        </w:rPr>
        <w:t>. Core innovations seek to enhance existing products for established markets, adjacent innovations seek to offer existing products to new markets, while disruptive</w:t>
      </w:r>
      <w:r w:rsidR="008C53AA">
        <w:rPr>
          <w:rFonts w:ascii="Times New Roman" w:hAnsi="Times New Roman" w:cs="Times New Roman"/>
        </w:rPr>
        <w:t xml:space="preserve"> (transformational)</w:t>
      </w:r>
      <w:r w:rsidRPr="00C8482B">
        <w:rPr>
          <w:rFonts w:ascii="Times New Roman" w:hAnsi="Times New Roman" w:cs="Times New Roman"/>
        </w:rPr>
        <w:t xml:space="preserve"> innovations focus on new products made for new markets.</w:t>
      </w:r>
    </w:p>
    <w:p w14:paraId="7B63E06A" w14:textId="77777777" w:rsidR="00C8482B" w:rsidRPr="00E34F71" w:rsidRDefault="00C8482B" w:rsidP="00355B44">
      <w:pPr>
        <w:spacing w:before="100" w:beforeAutospacing="1" w:after="100" w:afterAutospacing="1" w:line="480" w:lineRule="auto"/>
        <w:jc w:val="center"/>
        <w:rPr>
          <w:rFonts w:ascii="Times New Roman" w:hAnsi="Times New Roman" w:cs="Times New Roman"/>
        </w:rPr>
      </w:pPr>
      <w:r w:rsidRPr="00E34F71">
        <w:rPr>
          <w:rFonts w:ascii="Times New Roman" w:hAnsi="Times New Roman" w:cs="Times New Roman"/>
          <w:noProof/>
        </w:rPr>
        <w:lastRenderedPageBreak/>
        <w:drawing>
          <wp:inline distT="0" distB="0" distL="0" distR="0" wp14:anchorId="098AF15E" wp14:editId="701FD1BE">
            <wp:extent cx="3295650" cy="2305050"/>
            <wp:effectExtent l="0" t="0" r="0" b="0"/>
            <wp:docPr id="235622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22369" name=""/>
                    <pic:cNvPicPr/>
                  </pic:nvPicPr>
                  <pic:blipFill>
                    <a:blip r:embed="rId8"/>
                    <a:stretch>
                      <a:fillRect/>
                    </a:stretch>
                  </pic:blipFill>
                  <pic:spPr>
                    <a:xfrm>
                      <a:off x="0" y="0"/>
                      <a:ext cx="3295650" cy="2305050"/>
                    </a:xfrm>
                    <a:prstGeom prst="rect">
                      <a:avLst/>
                    </a:prstGeom>
                  </pic:spPr>
                </pic:pic>
              </a:graphicData>
            </a:graphic>
          </wp:inline>
        </w:drawing>
      </w:r>
    </w:p>
    <w:p w14:paraId="41A534D9" w14:textId="77777777" w:rsidR="00C8482B" w:rsidRPr="00E34F71" w:rsidRDefault="00C8482B" w:rsidP="00533174">
      <w:pPr>
        <w:spacing w:before="100" w:beforeAutospacing="1" w:after="100" w:afterAutospacing="1" w:line="480" w:lineRule="auto"/>
        <w:jc w:val="both"/>
        <w:rPr>
          <w:rFonts w:ascii="Times New Roman" w:hAnsi="Times New Roman" w:cs="Times New Roman"/>
        </w:rPr>
      </w:pPr>
    </w:p>
    <w:p w14:paraId="79E949DC" w14:textId="30CE9F25" w:rsidR="00C8482B" w:rsidRPr="00E34F71" w:rsidRDefault="00C8482B" w:rsidP="00533174">
      <w:pPr>
        <w:spacing w:before="100" w:beforeAutospacing="1" w:after="100" w:afterAutospacing="1" w:line="480" w:lineRule="auto"/>
        <w:jc w:val="both"/>
        <w:rPr>
          <w:rFonts w:ascii="Times New Roman" w:hAnsi="Times New Roman" w:cs="Times New Roman"/>
        </w:rPr>
      </w:pPr>
      <w:r w:rsidRPr="00E34F71">
        <w:rPr>
          <w:rFonts w:ascii="Times New Roman" w:hAnsi="Times New Roman" w:cs="Times New Roman"/>
        </w:rPr>
        <w:t xml:space="preserve">Based on the  Innovation Matrix, Pharmacy2U’s </w:t>
      </w:r>
      <w:r w:rsidR="00B81FA6">
        <w:rPr>
          <w:rFonts w:ascii="Times New Roman" w:hAnsi="Times New Roman" w:cs="Times New Roman"/>
        </w:rPr>
        <w:t>h</w:t>
      </w:r>
      <w:r w:rsidRPr="00E34F71">
        <w:rPr>
          <w:rFonts w:ascii="Times New Roman" w:hAnsi="Times New Roman" w:cs="Times New Roman"/>
        </w:rPr>
        <w:t xml:space="preserve">orizon 1 </w:t>
      </w:r>
      <w:r w:rsidR="00B81FA6">
        <w:rPr>
          <w:rFonts w:ascii="Times New Roman" w:hAnsi="Times New Roman" w:cs="Times New Roman"/>
        </w:rPr>
        <w:t>core</w:t>
      </w:r>
      <w:r w:rsidRPr="00E34F71">
        <w:rPr>
          <w:rFonts w:ascii="Times New Roman" w:hAnsi="Times New Roman" w:cs="Times New Roman"/>
        </w:rPr>
        <w:t xml:space="preserve"> </w:t>
      </w:r>
      <w:r w:rsidR="00B81FA6">
        <w:rPr>
          <w:rFonts w:ascii="Times New Roman" w:hAnsi="Times New Roman" w:cs="Times New Roman"/>
        </w:rPr>
        <w:t>is</w:t>
      </w:r>
      <w:r w:rsidRPr="00E34F71">
        <w:rPr>
          <w:rFonts w:ascii="Times New Roman" w:hAnsi="Times New Roman" w:cs="Times New Roman"/>
        </w:rPr>
        <w:t xml:space="preserve"> apparent as </w:t>
      </w:r>
      <w:r w:rsidR="00162894" w:rsidRPr="00E34F71">
        <w:rPr>
          <w:rFonts w:ascii="Times New Roman" w:hAnsi="Times New Roman" w:cs="Times New Roman"/>
        </w:rPr>
        <w:t>a</w:t>
      </w:r>
      <w:r w:rsidR="00162894">
        <w:rPr>
          <w:rFonts w:ascii="Times New Roman" w:hAnsi="Times New Roman" w:cs="Times New Roman"/>
        </w:rPr>
        <w:t xml:space="preserve"> </w:t>
      </w:r>
      <w:r w:rsidR="00162894" w:rsidRPr="00E34F71">
        <w:rPr>
          <w:rFonts w:ascii="Times New Roman" w:hAnsi="Times New Roman" w:cs="Times New Roman"/>
        </w:rPr>
        <w:t>part</w:t>
      </w:r>
      <w:r w:rsidRPr="00E34F71">
        <w:rPr>
          <w:rFonts w:ascii="Times New Roman" w:hAnsi="Times New Roman" w:cs="Times New Roman"/>
        </w:rPr>
        <w:t xml:space="preserve"> of the adjacent innovations. In automating dispensing systems like observed in the Leicester facility opened in 2020,  the firm greatly enhanced the cost structure and improved </w:t>
      </w:r>
      <w:r w:rsidR="00162894" w:rsidRPr="00E34F71">
        <w:rPr>
          <w:rFonts w:ascii="Times New Roman" w:hAnsi="Times New Roman" w:cs="Times New Roman"/>
        </w:rPr>
        <w:t>output</w:t>
      </w:r>
      <w:r w:rsidRPr="00E34F71">
        <w:rPr>
          <w:rFonts w:ascii="Times New Roman" w:hAnsi="Times New Roman" w:cs="Times New Roman"/>
        </w:rPr>
        <w:t xml:space="preserve"> in the core, repeat-prescription</w:t>
      </w:r>
      <w:r w:rsidR="0088091C">
        <w:rPr>
          <w:rFonts w:ascii="Times New Roman" w:hAnsi="Times New Roman" w:cs="Times New Roman"/>
        </w:rPr>
        <w:t xml:space="preserve"> and</w:t>
      </w:r>
      <w:r w:rsidRPr="00E34F71">
        <w:rPr>
          <w:rFonts w:ascii="Times New Roman" w:hAnsi="Times New Roman" w:cs="Times New Roman"/>
        </w:rPr>
        <w:t xml:space="preserve"> delivery service. For example, the 2021-22 accounts show gross profit margin rising to 33.4 % (from 28.4 %) due to efficiency</w:t>
      </w:r>
      <w:r w:rsidR="00BA19FE" w:rsidRPr="00E34F71">
        <w:rPr>
          <w:rFonts w:ascii="Times New Roman" w:hAnsi="Times New Roman" w:cs="Times New Roman"/>
        </w:rPr>
        <w:t xml:space="preserve"> (Pharmacy2U, 2025)</w:t>
      </w:r>
      <w:r w:rsidRPr="00E34F71">
        <w:rPr>
          <w:rFonts w:ascii="Times New Roman" w:hAnsi="Times New Roman" w:cs="Times New Roman"/>
        </w:rPr>
        <w:t xml:space="preserve">. The core business model is complemented by patient onboarding, digital accounts, online orders, reminders, and home delivery. These innovations lower cost-to-serve and increase service value while supporting millions to </w:t>
      </w:r>
      <w:r w:rsidR="0088091C">
        <w:rPr>
          <w:rFonts w:ascii="Times New Roman" w:hAnsi="Times New Roman" w:cs="Times New Roman"/>
        </w:rPr>
        <w:t>g</w:t>
      </w:r>
      <w:r w:rsidRPr="00E34F71">
        <w:rPr>
          <w:rFonts w:ascii="Times New Roman" w:hAnsi="Times New Roman" w:cs="Times New Roman"/>
        </w:rPr>
        <w:t xml:space="preserve">et their services in a timely and efficient manner. </w:t>
      </w:r>
    </w:p>
    <w:p w14:paraId="05C385BF" w14:textId="7F162884" w:rsidR="00C8482B" w:rsidRPr="00E34F71" w:rsidRDefault="00C8482B" w:rsidP="00533174">
      <w:pPr>
        <w:spacing w:before="100" w:beforeAutospacing="1" w:after="100" w:afterAutospacing="1" w:line="480" w:lineRule="auto"/>
        <w:jc w:val="both"/>
        <w:rPr>
          <w:rFonts w:ascii="Times New Roman" w:hAnsi="Times New Roman" w:cs="Times New Roman"/>
        </w:rPr>
      </w:pPr>
      <w:r w:rsidRPr="00E34F71">
        <w:rPr>
          <w:rFonts w:ascii="Times New Roman" w:hAnsi="Times New Roman" w:cs="Times New Roman"/>
        </w:rPr>
        <w:t xml:space="preserve">In the second horizon, the </w:t>
      </w:r>
      <w:r w:rsidR="00B81FA6">
        <w:rPr>
          <w:rFonts w:ascii="Times New Roman" w:hAnsi="Times New Roman" w:cs="Times New Roman"/>
        </w:rPr>
        <w:t>adjacent</w:t>
      </w:r>
      <w:r w:rsidRPr="00E34F71">
        <w:rPr>
          <w:rFonts w:ascii="Times New Roman" w:hAnsi="Times New Roman" w:cs="Times New Roman"/>
        </w:rPr>
        <w:t xml:space="preserve"> innovations, domain of the matrix, Pharmacy2U  has moved  the market's related services. The company now offers online clinical services including tele-medicine, virtual consultations, and “Pharmacy First” services, and are also integrating logistics/ESG</w:t>
      </w:r>
      <w:r w:rsidR="00B81FA6">
        <w:rPr>
          <w:rFonts w:ascii="Times New Roman" w:hAnsi="Times New Roman" w:cs="Times New Roman"/>
        </w:rPr>
        <w:t xml:space="preserve"> (Environmental, Social and Governance)</w:t>
      </w:r>
      <w:r w:rsidRPr="00E34F71">
        <w:rPr>
          <w:rFonts w:ascii="Times New Roman" w:hAnsi="Times New Roman" w:cs="Times New Roman"/>
        </w:rPr>
        <w:t xml:space="preserve"> innovations like EV-fleet delivery</w:t>
      </w:r>
      <w:r w:rsidR="00BA19FE" w:rsidRPr="00E34F71">
        <w:rPr>
          <w:rFonts w:ascii="Times New Roman" w:hAnsi="Times New Roman" w:cs="Times New Roman"/>
        </w:rPr>
        <w:t xml:space="preserve"> (Pharmacy2U, 2025)</w:t>
      </w:r>
      <w:r w:rsidRPr="00E34F71">
        <w:rPr>
          <w:rFonts w:ascii="Times New Roman" w:hAnsi="Times New Roman" w:cs="Times New Roman"/>
        </w:rPr>
        <w:t xml:space="preserve">. </w:t>
      </w:r>
      <w:r w:rsidR="00893D50" w:rsidRPr="00E34F71">
        <w:rPr>
          <w:rFonts w:ascii="Times New Roman" w:hAnsi="Times New Roman" w:cs="Times New Roman"/>
        </w:rPr>
        <w:t>These current</w:t>
      </w:r>
      <w:r w:rsidRPr="00E34F71">
        <w:rPr>
          <w:rFonts w:ascii="Times New Roman" w:hAnsi="Times New Roman" w:cs="Times New Roman"/>
        </w:rPr>
        <w:t xml:space="preserve"> practices extend the offering from merely repeat dispensing and clinical service delivery to wellness services that are progressively </w:t>
      </w:r>
      <w:r w:rsidR="00B81FA6">
        <w:rPr>
          <w:rFonts w:ascii="Times New Roman" w:hAnsi="Times New Roman" w:cs="Times New Roman"/>
        </w:rPr>
        <w:t>and</w:t>
      </w:r>
      <w:r w:rsidRPr="00E34F71">
        <w:rPr>
          <w:rFonts w:ascii="Times New Roman" w:hAnsi="Times New Roman" w:cs="Times New Roman"/>
        </w:rPr>
        <w:t xml:space="preserve"> gaining traction in the Uk as part of global preferences and </w:t>
      </w:r>
      <w:r w:rsidR="00893D50" w:rsidRPr="00E34F71">
        <w:rPr>
          <w:rFonts w:ascii="Times New Roman" w:hAnsi="Times New Roman" w:cs="Times New Roman"/>
        </w:rPr>
        <w:t>trends.</w:t>
      </w:r>
      <w:r w:rsidRPr="00E34F71">
        <w:rPr>
          <w:rFonts w:ascii="Times New Roman" w:hAnsi="Times New Roman" w:cs="Times New Roman"/>
        </w:rPr>
        <w:t xml:space="preserve"> For example, the company's ESG </w:t>
      </w:r>
      <w:r w:rsidRPr="00E34F71">
        <w:rPr>
          <w:rFonts w:ascii="Times New Roman" w:hAnsi="Times New Roman" w:cs="Times New Roman"/>
        </w:rPr>
        <w:lastRenderedPageBreak/>
        <w:t xml:space="preserve">statement focuses on providing low-carbon and </w:t>
      </w:r>
      <w:r w:rsidR="00893D50" w:rsidRPr="00E34F71">
        <w:rPr>
          <w:rFonts w:ascii="Times New Roman" w:hAnsi="Times New Roman" w:cs="Times New Roman"/>
        </w:rPr>
        <w:t>forward-looking</w:t>
      </w:r>
      <w:r w:rsidRPr="00E34F71">
        <w:rPr>
          <w:rFonts w:ascii="Times New Roman" w:hAnsi="Times New Roman" w:cs="Times New Roman"/>
        </w:rPr>
        <w:t xml:space="preserve"> technology to sustainably delivery award-winning solutions to the management of medication in the UK.</w:t>
      </w:r>
    </w:p>
    <w:p w14:paraId="38EE9793" w14:textId="6DF1422C" w:rsidR="00C8482B" w:rsidRPr="00E34F71" w:rsidRDefault="00C8482B" w:rsidP="00533174">
      <w:pPr>
        <w:spacing w:before="100" w:beforeAutospacing="1" w:after="100" w:afterAutospacing="1" w:line="480" w:lineRule="auto"/>
        <w:jc w:val="both"/>
        <w:rPr>
          <w:rFonts w:ascii="Times New Roman" w:hAnsi="Times New Roman" w:cs="Times New Roman"/>
        </w:rPr>
      </w:pPr>
      <w:r w:rsidRPr="00E34F71">
        <w:rPr>
          <w:rFonts w:ascii="Times New Roman" w:hAnsi="Times New Roman" w:cs="Times New Roman"/>
        </w:rPr>
        <w:t xml:space="preserve">For the </w:t>
      </w:r>
      <w:r w:rsidR="00B81FA6">
        <w:rPr>
          <w:rFonts w:ascii="Times New Roman" w:hAnsi="Times New Roman" w:cs="Times New Roman"/>
        </w:rPr>
        <w:t>disruptive innovations</w:t>
      </w:r>
      <w:r w:rsidRPr="00E34F71">
        <w:rPr>
          <w:rFonts w:ascii="Times New Roman" w:hAnsi="Times New Roman" w:cs="Times New Roman"/>
        </w:rPr>
        <w:t xml:space="preserve">  in horizon 3, there is potential for </w:t>
      </w:r>
      <w:proofErr w:type="gramStart"/>
      <w:r w:rsidRPr="00E34F71">
        <w:rPr>
          <w:rFonts w:ascii="Times New Roman" w:hAnsi="Times New Roman" w:cs="Times New Roman"/>
        </w:rPr>
        <w:t>disruption</w:t>
      </w:r>
      <w:proofErr w:type="gramEnd"/>
      <w:r w:rsidRPr="00E34F71">
        <w:rPr>
          <w:rFonts w:ascii="Times New Roman" w:hAnsi="Times New Roman" w:cs="Times New Roman"/>
        </w:rPr>
        <w:t xml:space="preserve"> but it is less clear from public outlook. Opportunities for transformation may include constructing a comprehensive digital health-ecosystem by integrating predictive GP data, adherence analytics, IoT/connected medication adherence devices, health monitoring services, and home care platforms. Pharmacy2U is well positioned to pursue this because of its infrastructure and digital </w:t>
      </w:r>
      <w:proofErr w:type="gramStart"/>
      <w:r w:rsidRPr="00E34F71">
        <w:rPr>
          <w:rFonts w:ascii="Times New Roman" w:hAnsi="Times New Roman" w:cs="Times New Roman"/>
        </w:rPr>
        <w:t>channel,</w:t>
      </w:r>
      <w:r w:rsidR="00717D4D">
        <w:rPr>
          <w:rFonts w:ascii="Times New Roman" w:hAnsi="Times New Roman" w:cs="Times New Roman"/>
        </w:rPr>
        <w:t xml:space="preserve"> </w:t>
      </w:r>
      <w:r w:rsidRPr="00E34F71">
        <w:rPr>
          <w:rFonts w:ascii="Times New Roman" w:hAnsi="Times New Roman" w:cs="Times New Roman"/>
        </w:rPr>
        <w:t>but</w:t>
      </w:r>
      <w:proofErr w:type="gramEnd"/>
      <w:r w:rsidRPr="00E34F71">
        <w:rPr>
          <w:rFonts w:ascii="Times New Roman" w:hAnsi="Times New Roman" w:cs="Times New Roman"/>
        </w:rPr>
        <w:t xml:space="preserve"> is currently concentrating on efficiency and adjacent services instead of transforming the business model. The trust developed over the years also makes it easy for the company to scale its operations on t</w:t>
      </w:r>
      <w:r w:rsidR="00717D4D">
        <w:rPr>
          <w:rFonts w:ascii="Times New Roman" w:hAnsi="Times New Roman" w:cs="Times New Roman"/>
        </w:rPr>
        <w:t>h</w:t>
      </w:r>
      <w:r w:rsidRPr="00E34F71">
        <w:rPr>
          <w:rFonts w:ascii="Times New Roman" w:hAnsi="Times New Roman" w:cs="Times New Roman"/>
        </w:rPr>
        <w:t xml:space="preserve">is tier while conquering markets in the UK and beyond. </w:t>
      </w:r>
    </w:p>
    <w:tbl>
      <w:tblPr>
        <w:tblStyle w:val="TableGrid"/>
        <w:tblW w:w="10632" w:type="dxa"/>
        <w:tblInd w:w="-714" w:type="dxa"/>
        <w:tblLayout w:type="fixed"/>
        <w:tblLook w:val="04A0" w:firstRow="1" w:lastRow="0" w:firstColumn="1" w:lastColumn="0" w:noHBand="0" w:noVBand="1"/>
      </w:tblPr>
      <w:tblGrid>
        <w:gridCol w:w="1276"/>
        <w:gridCol w:w="2694"/>
        <w:gridCol w:w="2835"/>
        <w:gridCol w:w="3827"/>
      </w:tblGrid>
      <w:tr w:rsidR="00E34F71" w:rsidRPr="00E34F71" w14:paraId="6E5317F2" w14:textId="77777777" w:rsidTr="00A931DC">
        <w:tc>
          <w:tcPr>
            <w:tcW w:w="1276" w:type="dxa"/>
            <w:hideMark/>
          </w:tcPr>
          <w:p w14:paraId="3439BC2B" w14:textId="77777777" w:rsidR="00C8482B" w:rsidRPr="00776C79" w:rsidRDefault="00C8482B" w:rsidP="00717D4D">
            <w:pPr>
              <w:spacing w:before="100" w:beforeAutospacing="1" w:after="100" w:afterAutospacing="1" w:line="480" w:lineRule="auto"/>
              <w:jc w:val="center"/>
              <w:rPr>
                <w:rFonts w:ascii="Times New Roman" w:hAnsi="Times New Roman" w:cs="Times New Roman"/>
                <w:b/>
                <w:bCs/>
              </w:rPr>
            </w:pPr>
            <w:r w:rsidRPr="00776C79">
              <w:rPr>
                <w:rFonts w:ascii="Times New Roman" w:hAnsi="Times New Roman" w:cs="Times New Roman"/>
                <w:b/>
                <w:bCs/>
              </w:rPr>
              <w:t>Horizon</w:t>
            </w:r>
          </w:p>
        </w:tc>
        <w:tc>
          <w:tcPr>
            <w:tcW w:w="2694" w:type="dxa"/>
            <w:hideMark/>
          </w:tcPr>
          <w:p w14:paraId="25F48854" w14:textId="77777777" w:rsidR="00C8482B" w:rsidRPr="00776C79" w:rsidRDefault="00C8482B" w:rsidP="00717D4D">
            <w:pPr>
              <w:spacing w:before="100" w:beforeAutospacing="1" w:after="100" w:afterAutospacing="1" w:line="480" w:lineRule="auto"/>
              <w:jc w:val="center"/>
              <w:rPr>
                <w:rFonts w:ascii="Times New Roman" w:hAnsi="Times New Roman" w:cs="Times New Roman"/>
                <w:b/>
                <w:bCs/>
              </w:rPr>
            </w:pPr>
            <w:r w:rsidRPr="00776C79">
              <w:rPr>
                <w:rFonts w:ascii="Times New Roman" w:hAnsi="Times New Roman" w:cs="Times New Roman"/>
                <w:b/>
                <w:bCs/>
              </w:rPr>
              <w:t>Description</w:t>
            </w:r>
          </w:p>
        </w:tc>
        <w:tc>
          <w:tcPr>
            <w:tcW w:w="2835" w:type="dxa"/>
            <w:hideMark/>
          </w:tcPr>
          <w:p w14:paraId="311EB5AA" w14:textId="77777777" w:rsidR="00C8482B" w:rsidRPr="00776C79" w:rsidRDefault="00C8482B" w:rsidP="00717D4D">
            <w:pPr>
              <w:spacing w:before="100" w:beforeAutospacing="1" w:after="100" w:afterAutospacing="1" w:line="480" w:lineRule="auto"/>
              <w:jc w:val="center"/>
              <w:rPr>
                <w:rFonts w:ascii="Times New Roman" w:hAnsi="Times New Roman" w:cs="Times New Roman"/>
                <w:b/>
                <w:bCs/>
              </w:rPr>
            </w:pPr>
            <w:r w:rsidRPr="00776C79">
              <w:rPr>
                <w:rFonts w:ascii="Times New Roman" w:hAnsi="Times New Roman" w:cs="Times New Roman"/>
                <w:b/>
                <w:bCs/>
              </w:rPr>
              <w:t>Current examples in Pharmacy2U</w:t>
            </w:r>
          </w:p>
        </w:tc>
        <w:tc>
          <w:tcPr>
            <w:tcW w:w="3827" w:type="dxa"/>
            <w:hideMark/>
          </w:tcPr>
          <w:p w14:paraId="022C089D" w14:textId="78D5C659" w:rsidR="00C8482B" w:rsidRPr="00776C79" w:rsidRDefault="00717D4D" w:rsidP="00717D4D">
            <w:pPr>
              <w:spacing w:before="100" w:beforeAutospacing="1" w:after="100" w:afterAutospacing="1" w:line="480" w:lineRule="auto"/>
              <w:jc w:val="center"/>
              <w:rPr>
                <w:rFonts w:ascii="Times New Roman" w:hAnsi="Times New Roman" w:cs="Times New Roman"/>
                <w:b/>
                <w:bCs/>
              </w:rPr>
            </w:pPr>
            <w:r>
              <w:rPr>
                <w:rFonts w:ascii="Times New Roman" w:hAnsi="Times New Roman" w:cs="Times New Roman"/>
                <w:b/>
                <w:bCs/>
              </w:rPr>
              <w:t>O</w:t>
            </w:r>
            <w:r w:rsidR="00C8482B" w:rsidRPr="00776C79">
              <w:rPr>
                <w:rFonts w:ascii="Times New Roman" w:hAnsi="Times New Roman" w:cs="Times New Roman"/>
                <w:b/>
                <w:bCs/>
              </w:rPr>
              <w:t>pportunity</w:t>
            </w:r>
          </w:p>
        </w:tc>
      </w:tr>
      <w:tr w:rsidR="00E34F71" w:rsidRPr="00E34F71" w14:paraId="00B4DEE4" w14:textId="77777777" w:rsidTr="00A931DC">
        <w:tc>
          <w:tcPr>
            <w:tcW w:w="1276" w:type="dxa"/>
            <w:hideMark/>
          </w:tcPr>
          <w:p w14:paraId="04CA7F81" w14:textId="77777777" w:rsidR="00C8482B" w:rsidRPr="00776C79"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b/>
                <w:bCs/>
              </w:rPr>
              <w:t>Horizon 1 (Core)</w:t>
            </w:r>
          </w:p>
        </w:tc>
        <w:tc>
          <w:tcPr>
            <w:tcW w:w="2694" w:type="dxa"/>
            <w:hideMark/>
          </w:tcPr>
          <w:p w14:paraId="678A2126" w14:textId="77777777" w:rsidR="00C8482B" w:rsidRPr="00776C79"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Improvements to existing business model sustaining and optimising what the company currently does.</w:t>
            </w:r>
          </w:p>
        </w:tc>
        <w:tc>
          <w:tcPr>
            <w:tcW w:w="2835" w:type="dxa"/>
            <w:hideMark/>
          </w:tcPr>
          <w:p w14:paraId="39268BDE" w14:textId="77777777" w:rsidR="00C8482B" w:rsidRPr="00E34F71"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Automation of dispensing facility to reduce cost per prescription.</w:t>
            </w:r>
          </w:p>
          <w:p w14:paraId="16D08E0E" w14:textId="77777777" w:rsidR="00C8482B" w:rsidRPr="00E34F71"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 xml:space="preserve">Digital repeat-prescription service, home delivery rather than high-street pick-up. </w:t>
            </w:r>
          </w:p>
          <w:p w14:paraId="59E670B9" w14:textId="77777777" w:rsidR="00C8482B" w:rsidRPr="00776C79"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 xml:space="preserve">Strong customer service &amp; experience focus (winning the KPMG CX award) </w:t>
            </w:r>
          </w:p>
        </w:tc>
        <w:tc>
          <w:tcPr>
            <w:tcW w:w="3827" w:type="dxa"/>
            <w:hideMark/>
          </w:tcPr>
          <w:p w14:paraId="787F478A" w14:textId="6720393C" w:rsidR="00C8482B" w:rsidRPr="00E34F71"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 xml:space="preserve">Further optimisation of logistics and delivery times </w:t>
            </w:r>
            <w:r w:rsidRPr="00E34F71">
              <w:rPr>
                <w:rFonts w:ascii="Times New Roman" w:hAnsi="Times New Roman" w:cs="Times New Roman"/>
              </w:rPr>
              <w:t>like</w:t>
            </w:r>
            <w:r w:rsidRPr="00776C79">
              <w:rPr>
                <w:rFonts w:ascii="Times New Roman" w:hAnsi="Times New Roman" w:cs="Times New Roman"/>
              </w:rPr>
              <w:t xml:space="preserve"> </w:t>
            </w:r>
            <w:r w:rsidR="00355B44" w:rsidRPr="00776C79">
              <w:rPr>
                <w:rFonts w:ascii="Times New Roman" w:hAnsi="Times New Roman" w:cs="Times New Roman"/>
              </w:rPr>
              <w:t>same day</w:t>
            </w:r>
            <w:r w:rsidRPr="00776C79">
              <w:rPr>
                <w:rFonts w:ascii="Times New Roman" w:hAnsi="Times New Roman" w:cs="Times New Roman"/>
              </w:rPr>
              <w:t xml:space="preserve"> for repeat prescriptions) </w:t>
            </w:r>
          </w:p>
          <w:p w14:paraId="45E86D46" w14:textId="77777777" w:rsidR="00C8482B" w:rsidRPr="00776C79"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Improving app or portal usability for existing patients</w:t>
            </w:r>
          </w:p>
        </w:tc>
      </w:tr>
      <w:tr w:rsidR="00E34F71" w:rsidRPr="00E34F71" w14:paraId="5E592F5C" w14:textId="77777777" w:rsidTr="00A931DC">
        <w:tc>
          <w:tcPr>
            <w:tcW w:w="1276" w:type="dxa"/>
            <w:hideMark/>
          </w:tcPr>
          <w:p w14:paraId="35D776BE" w14:textId="77777777" w:rsidR="00C8482B" w:rsidRPr="00776C79"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b/>
                <w:bCs/>
              </w:rPr>
              <w:lastRenderedPageBreak/>
              <w:t>Horizon 2 (Adjacent)</w:t>
            </w:r>
          </w:p>
        </w:tc>
        <w:tc>
          <w:tcPr>
            <w:tcW w:w="2694" w:type="dxa"/>
            <w:hideMark/>
          </w:tcPr>
          <w:p w14:paraId="25F32D6B" w14:textId="55CDD796" w:rsidR="00C8482B" w:rsidRPr="00776C79"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Expanding into related markets or new services using</w:t>
            </w:r>
            <w:r w:rsidR="00717D4D">
              <w:rPr>
                <w:rFonts w:ascii="Times New Roman" w:hAnsi="Times New Roman" w:cs="Times New Roman"/>
              </w:rPr>
              <w:t xml:space="preserve"> </w:t>
            </w:r>
            <w:r w:rsidRPr="00776C79">
              <w:rPr>
                <w:rFonts w:ascii="Times New Roman" w:hAnsi="Times New Roman" w:cs="Times New Roman"/>
              </w:rPr>
              <w:t>existing capabilities.</w:t>
            </w:r>
          </w:p>
        </w:tc>
        <w:tc>
          <w:tcPr>
            <w:tcW w:w="2835" w:type="dxa"/>
            <w:hideMark/>
          </w:tcPr>
          <w:p w14:paraId="7D22315E" w14:textId="77777777" w:rsidR="00C8482B" w:rsidRPr="00E34F71"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 xml:space="preserve">Online doctor services (telemedicine) and health &amp; wellbeing shop added to the offering. </w:t>
            </w:r>
          </w:p>
          <w:p w14:paraId="23CCD8A3" w14:textId="77777777" w:rsidR="00C8482B" w:rsidRPr="00776C79"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 xml:space="preserve">Weight-loss drug price promotions </w:t>
            </w:r>
            <w:r w:rsidRPr="00E34F71">
              <w:rPr>
                <w:rFonts w:ascii="Times New Roman" w:hAnsi="Times New Roman" w:cs="Times New Roman"/>
              </w:rPr>
              <w:t xml:space="preserve">like </w:t>
            </w:r>
            <w:r w:rsidRPr="00776C79">
              <w:rPr>
                <w:rFonts w:ascii="Times New Roman" w:hAnsi="Times New Roman" w:cs="Times New Roman"/>
              </w:rPr>
              <w:t>consumer health opportunity.</w:t>
            </w:r>
          </w:p>
        </w:tc>
        <w:tc>
          <w:tcPr>
            <w:tcW w:w="3827" w:type="dxa"/>
            <w:hideMark/>
          </w:tcPr>
          <w:p w14:paraId="049FB7DD" w14:textId="77777777" w:rsidR="00C8482B" w:rsidRPr="00E34F71"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 xml:space="preserve">Partnering with supermarkets or broader retail chains to embed pharmacy services (e.g., in-store collection + home delivery) </w:t>
            </w:r>
          </w:p>
          <w:p w14:paraId="7E5D5A2B" w14:textId="77777777" w:rsidR="00C8482B" w:rsidRPr="00776C79"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 xml:space="preserve">Offering advanced pharmacy services </w:t>
            </w:r>
            <w:r w:rsidRPr="00E34F71">
              <w:rPr>
                <w:rFonts w:ascii="Times New Roman" w:hAnsi="Times New Roman" w:cs="Times New Roman"/>
              </w:rPr>
              <w:t xml:space="preserve"> like </w:t>
            </w:r>
            <w:r w:rsidRPr="00776C79">
              <w:rPr>
                <w:rFonts w:ascii="Times New Roman" w:hAnsi="Times New Roman" w:cs="Times New Roman"/>
              </w:rPr>
              <w:t>vaccinations, home health monitoring, chronic condition remote support</w:t>
            </w:r>
          </w:p>
        </w:tc>
      </w:tr>
      <w:tr w:rsidR="00E34F71" w:rsidRPr="00E34F71" w14:paraId="70510106" w14:textId="77777777" w:rsidTr="00A931DC">
        <w:tc>
          <w:tcPr>
            <w:tcW w:w="1276" w:type="dxa"/>
            <w:hideMark/>
          </w:tcPr>
          <w:p w14:paraId="1E7AD37C" w14:textId="6767CFFE" w:rsidR="00C8482B" w:rsidRPr="00776C79"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b/>
                <w:bCs/>
              </w:rPr>
              <w:t xml:space="preserve">Horizon 3 </w:t>
            </w:r>
            <w:r w:rsidR="00717D4D">
              <w:rPr>
                <w:rFonts w:ascii="Times New Roman" w:hAnsi="Times New Roman" w:cs="Times New Roman"/>
                <w:b/>
                <w:bCs/>
              </w:rPr>
              <w:t>(Transformational)</w:t>
            </w:r>
            <w:r w:rsidR="00BA19FE" w:rsidRPr="00E34F71">
              <w:rPr>
                <w:rFonts w:ascii="Times New Roman" w:hAnsi="Times New Roman" w:cs="Times New Roman"/>
                <w:b/>
                <w:bCs/>
              </w:rPr>
              <w:t xml:space="preserve"> </w:t>
            </w:r>
          </w:p>
        </w:tc>
        <w:tc>
          <w:tcPr>
            <w:tcW w:w="2694" w:type="dxa"/>
            <w:hideMark/>
          </w:tcPr>
          <w:p w14:paraId="69100793" w14:textId="77777777" w:rsidR="00C8482B" w:rsidRPr="00776C79"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Bold, disruptive innovations that could reshape the industry or company’s role.</w:t>
            </w:r>
          </w:p>
        </w:tc>
        <w:tc>
          <w:tcPr>
            <w:tcW w:w="2835" w:type="dxa"/>
            <w:hideMark/>
          </w:tcPr>
          <w:p w14:paraId="26FF6FD7" w14:textId="77777777" w:rsidR="00C8482B" w:rsidRPr="00776C79"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The vision of being world-leading patient-centric digital healthcare provider</w:t>
            </w:r>
            <w:r w:rsidRPr="00E34F71">
              <w:rPr>
                <w:rFonts w:ascii="Times New Roman" w:hAnsi="Times New Roman" w:cs="Times New Roman"/>
              </w:rPr>
              <w:t xml:space="preserve"> </w:t>
            </w:r>
            <w:r w:rsidRPr="00776C79">
              <w:rPr>
                <w:rFonts w:ascii="Times New Roman" w:hAnsi="Times New Roman" w:cs="Times New Roman"/>
              </w:rPr>
              <w:t xml:space="preserve">as stated in its ESG statement. </w:t>
            </w:r>
          </w:p>
        </w:tc>
        <w:tc>
          <w:tcPr>
            <w:tcW w:w="3827" w:type="dxa"/>
            <w:hideMark/>
          </w:tcPr>
          <w:p w14:paraId="307251FD" w14:textId="5BE8A7E5" w:rsidR="00C8482B" w:rsidRPr="00E34F71"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 xml:space="preserve">A platform-model where Pharmacy2U becomes a health-ecosystem hub </w:t>
            </w:r>
            <w:r w:rsidRPr="00E34F71">
              <w:rPr>
                <w:rFonts w:ascii="Times New Roman" w:hAnsi="Times New Roman" w:cs="Times New Roman"/>
              </w:rPr>
              <w:t xml:space="preserve"> </w:t>
            </w:r>
            <w:r w:rsidR="00D8023A" w:rsidRPr="00E34F71">
              <w:rPr>
                <w:rFonts w:ascii="Times New Roman" w:hAnsi="Times New Roman" w:cs="Times New Roman"/>
              </w:rPr>
              <w:t>e.g.,</w:t>
            </w:r>
            <w:r w:rsidRPr="00E34F71">
              <w:rPr>
                <w:rFonts w:ascii="Times New Roman" w:hAnsi="Times New Roman" w:cs="Times New Roman"/>
              </w:rPr>
              <w:t xml:space="preserve"> </w:t>
            </w:r>
            <w:r w:rsidRPr="00776C79">
              <w:rPr>
                <w:rFonts w:ascii="Times New Roman" w:hAnsi="Times New Roman" w:cs="Times New Roman"/>
              </w:rPr>
              <w:t>telehealth, wearable integration, AI-driven medication management, predictive analytics for adherence</w:t>
            </w:r>
          </w:p>
          <w:p w14:paraId="2CC02A4F" w14:textId="7C205B33" w:rsidR="00C8482B" w:rsidRPr="00E34F71" w:rsidRDefault="00355B44"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Fully automated</w:t>
            </w:r>
            <w:r w:rsidR="00C8482B" w:rsidRPr="00776C79">
              <w:rPr>
                <w:rFonts w:ascii="Times New Roman" w:hAnsi="Times New Roman" w:cs="Times New Roman"/>
              </w:rPr>
              <w:t xml:space="preserve"> end-to-end pharmacy experience: digital consultation</w:t>
            </w:r>
            <w:r w:rsidR="00C8482B" w:rsidRPr="00E34F71">
              <w:rPr>
                <w:rFonts w:ascii="Times New Roman" w:hAnsi="Times New Roman" w:cs="Times New Roman"/>
              </w:rPr>
              <w:t xml:space="preserve"> </w:t>
            </w:r>
            <w:r w:rsidR="00C8482B" w:rsidRPr="00776C79">
              <w:rPr>
                <w:rFonts w:ascii="Times New Roman" w:hAnsi="Times New Roman" w:cs="Times New Roman"/>
              </w:rPr>
              <w:t xml:space="preserve">e-prescription home delivery via drones or lockers </w:t>
            </w:r>
          </w:p>
          <w:p w14:paraId="6323D28B" w14:textId="77777777" w:rsidR="00C8482B" w:rsidRPr="00776C79" w:rsidRDefault="00C8482B" w:rsidP="00533174">
            <w:pPr>
              <w:spacing w:before="100" w:beforeAutospacing="1" w:after="100" w:afterAutospacing="1" w:line="480" w:lineRule="auto"/>
              <w:jc w:val="both"/>
              <w:rPr>
                <w:rFonts w:ascii="Times New Roman" w:hAnsi="Times New Roman" w:cs="Times New Roman"/>
              </w:rPr>
            </w:pPr>
            <w:r w:rsidRPr="00776C79">
              <w:rPr>
                <w:rFonts w:ascii="Times New Roman" w:hAnsi="Times New Roman" w:cs="Times New Roman"/>
              </w:rPr>
              <w:t xml:space="preserve">Expanding internationally or into adjacent healthcare markets </w:t>
            </w:r>
            <w:r w:rsidRPr="00E34F71">
              <w:rPr>
                <w:rFonts w:ascii="Times New Roman" w:hAnsi="Times New Roman" w:cs="Times New Roman"/>
              </w:rPr>
              <w:t xml:space="preserve"> like </w:t>
            </w:r>
            <w:r w:rsidRPr="00776C79">
              <w:rPr>
                <w:rFonts w:ascii="Times New Roman" w:hAnsi="Times New Roman" w:cs="Times New Roman"/>
              </w:rPr>
              <w:t>remote monitoring services, chronic disease management beyond just dispensing</w:t>
            </w:r>
          </w:p>
        </w:tc>
      </w:tr>
    </w:tbl>
    <w:p w14:paraId="7F415C9D" w14:textId="77777777" w:rsidR="00C8482B" w:rsidRPr="00E34F71" w:rsidRDefault="00C8482B" w:rsidP="00533174">
      <w:pPr>
        <w:spacing w:before="100" w:beforeAutospacing="1" w:after="100" w:afterAutospacing="1" w:line="480" w:lineRule="auto"/>
        <w:jc w:val="both"/>
        <w:rPr>
          <w:rFonts w:ascii="Times New Roman" w:hAnsi="Times New Roman" w:cs="Times New Roman"/>
        </w:rPr>
      </w:pPr>
      <w:r w:rsidRPr="00E34F71">
        <w:rPr>
          <w:rFonts w:ascii="Times New Roman" w:hAnsi="Times New Roman" w:cs="Times New Roman"/>
        </w:rPr>
        <w:lastRenderedPageBreak/>
        <w:t xml:space="preserve">Using the matrix, </w:t>
      </w:r>
      <w:proofErr w:type="gramStart"/>
      <w:r w:rsidRPr="00E34F71">
        <w:rPr>
          <w:rFonts w:ascii="Times New Roman" w:hAnsi="Times New Roman" w:cs="Times New Roman"/>
        </w:rPr>
        <w:t>it is clear that the</w:t>
      </w:r>
      <w:proofErr w:type="gramEnd"/>
      <w:r w:rsidRPr="00E34F71">
        <w:rPr>
          <w:rFonts w:ascii="Times New Roman" w:hAnsi="Times New Roman" w:cs="Times New Roman"/>
        </w:rPr>
        <w:t xml:space="preserve"> company has performed well in both improving and scaling the core model (Horizon 1) and has initiated expansion to adjacent services (Horizon 2), but unlike the other horizons, has yet to maximize the transformational horizon (Horizon 3). This insight implies that the company has yet to capitalize on key pieces of innovation which are bound to yield considerable change in the future that can potentially result in disruptive innovations beyond the current industry scope. </w:t>
      </w:r>
    </w:p>
    <w:p w14:paraId="03CD2845" w14:textId="77777777" w:rsidR="00BA19FE" w:rsidRPr="00E34F71" w:rsidRDefault="006200AE" w:rsidP="00533174">
      <w:pPr>
        <w:pStyle w:val="Heading2"/>
        <w:spacing w:before="100" w:beforeAutospacing="1" w:after="100" w:afterAutospacing="1" w:line="480" w:lineRule="auto"/>
        <w:rPr>
          <w:rFonts w:ascii="Times New Roman" w:hAnsi="Times New Roman" w:cs="Times New Roman"/>
          <w:b/>
          <w:bCs/>
          <w:color w:val="auto"/>
          <w:sz w:val="24"/>
          <w:szCs w:val="24"/>
        </w:rPr>
      </w:pPr>
      <w:bookmarkStart w:id="6" w:name="_Toc215488600"/>
      <w:r w:rsidRPr="00E34F71">
        <w:rPr>
          <w:rFonts w:ascii="Times New Roman" w:hAnsi="Times New Roman" w:cs="Times New Roman"/>
          <w:b/>
          <w:bCs/>
          <w:color w:val="auto"/>
          <w:sz w:val="24"/>
          <w:szCs w:val="24"/>
        </w:rPr>
        <w:t>Customer Journey Mapping</w:t>
      </w:r>
      <w:bookmarkEnd w:id="6"/>
    </w:p>
    <w:p w14:paraId="4CAB5847" w14:textId="7C4333D7" w:rsidR="00C81CE4" w:rsidRDefault="006200AE" w:rsidP="00533174">
      <w:pPr>
        <w:spacing w:before="100" w:beforeAutospacing="1" w:after="100" w:afterAutospacing="1" w:line="480" w:lineRule="auto"/>
        <w:jc w:val="both"/>
        <w:rPr>
          <w:rFonts w:ascii="Times New Roman" w:hAnsi="Times New Roman" w:cs="Times New Roman"/>
        </w:rPr>
      </w:pPr>
      <w:r w:rsidRPr="00E34F71">
        <w:rPr>
          <w:rFonts w:ascii="Times New Roman" w:hAnsi="Times New Roman" w:cs="Times New Roman"/>
        </w:rPr>
        <w:t>The customer journey map is a representation of the customer’s entire experience with an organisation, from their initial contact to the last point of purchase and post-purchase. It shows the steps that a customer takes, taking into consideration their thoughts, feelings, touchpoints, pain points and respective actions</w:t>
      </w:r>
      <w:r w:rsidR="0035452D" w:rsidRPr="00E34F71">
        <w:rPr>
          <w:rFonts w:ascii="Times New Roman" w:hAnsi="Times New Roman" w:cs="Times New Roman"/>
        </w:rPr>
        <w:t xml:space="preserve"> (Ludwiczak, 2021)</w:t>
      </w:r>
      <w:r w:rsidRPr="00E34F71">
        <w:rPr>
          <w:rFonts w:ascii="Times New Roman" w:hAnsi="Times New Roman" w:cs="Times New Roman"/>
        </w:rPr>
        <w:t xml:space="preserve"> The key components of the journey include customer actions, touchpoints, thoughts, timeline and pain points. In the case of Pharmacy2U, this can be from the point a customer makes initial contact to when they receive support for their prescription deliveries.</w:t>
      </w:r>
    </w:p>
    <w:p w14:paraId="01C799E9" w14:textId="517BACF8" w:rsidR="004231E4" w:rsidRPr="00717D4D" w:rsidRDefault="004231E4" w:rsidP="00533174">
      <w:pPr>
        <w:spacing w:before="100" w:beforeAutospacing="1" w:after="100" w:afterAutospacing="1" w:line="480" w:lineRule="auto"/>
        <w:jc w:val="both"/>
        <w:rPr>
          <w:rFonts w:ascii="Times New Roman" w:hAnsi="Times New Roman" w:cs="Times New Roman"/>
          <w:b/>
          <w:bCs/>
        </w:rPr>
      </w:pPr>
      <w:r w:rsidRPr="00717D4D">
        <w:rPr>
          <w:rFonts w:ascii="Times New Roman" w:hAnsi="Times New Roman" w:cs="Times New Roman"/>
          <w:b/>
          <w:bCs/>
        </w:rPr>
        <w:t xml:space="preserve">Pharmacy2u Customer journey </w:t>
      </w:r>
      <w:r w:rsidR="002D4DE7" w:rsidRPr="00717D4D">
        <w:rPr>
          <w:rFonts w:ascii="Times New Roman" w:hAnsi="Times New Roman" w:cs="Times New Roman"/>
          <w:b/>
          <w:bCs/>
        </w:rPr>
        <w:t>mapping</w:t>
      </w:r>
    </w:p>
    <w:p w14:paraId="4AB171C4" w14:textId="77777777" w:rsidR="004231E4" w:rsidRDefault="00291D3E" w:rsidP="004231E4">
      <w:pPr>
        <w:spacing w:before="100" w:beforeAutospacing="1" w:after="100" w:afterAutospacing="1" w:line="480" w:lineRule="auto"/>
        <w:jc w:val="both"/>
        <w:rPr>
          <w:rFonts w:ascii="Times New Roman" w:hAnsi="Times New Roman" w:cs="Times New Roman"/>
          <w:i/>
          <w:iCs/>
        </w:rPr>
      </w:pPr>
      <w:r>
        <w:rPr>
          <w:rFonts w:ascii="Times New Roman" w:hAnsi="Times New Roman" w:cs="Times New Roman"/>
          <w:i/>
          <w:iCs/>
          <w:noProof/>
        </w:rPr>
        <w:drawing>
          <wp:inline distT="0" distB="0" distL="0" distR="0" wp14:anchorId="2D47F5BE" wp14:editId="35057C97">
            <wp:extent cx="6146358" cy="2857500"/>
            <wp:effectExtent l="0" t="0" r="0" b="0"/>
            <wp:docPr id="150537257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82704FB" w14:textId="146651F5" w:rsidR="004231E4" w:rsidRDefault="004231E4" w:rsidP="004231E4">
      <w:pPr>
        <w:spacing w:before="100" w:beforeAutospacing="1" w:after="100" w:afterAutospacing="1" w:line="480" w:lineRule="auto"/>
        <w:jc w:val="both"/>
        <w:rPr>
          <w:rFonts w:ascii="Times New Roman" w:hAnsi="Times New Roman" w:cs="Times New Roman"/>
          <w:i/>
          <w:iCs/>
        </w:rPr>
      </w:pPr>
      <w:r w:rsidRPr="00E34F71">
        <w:rPr>
          <w:rFonts w:ascii="Times New Roman" w:hAnsi="Times New Roman" w:cs="Times New Roman"/>
          <w:i/>
          <w:iCs/>
        </w:rPr>
        <w:lastRenderedPageBreak/>
        <w:t xml:space="preserve">Awareness &amp; Consideration  </w:t>
      </w:r>
    </w:p>
    <w:p w14:paraId="6C76E8EB" w14:textId="5FCD362D" w:rsidR="006200AE" w:rsidRPr="00E34F71" w:rsidRDefault="006200AE" w:rsidP="00533174">
      <w:pPr>
        <w:spacing w:before="100" w:beforeAutospacing="1" w:after="100" w:afterAutospacing="1" w:line="480" w:lineRule="auto"/>
        <w:jc w:val="both"/>
        <w:rPr>
          <w:rFonts w:ascii="Times New Roman" w:hAnsi="Times New Roman" w:cs="Times New Roman"/>
        </w:rPr>
      </w:pPr>
      <w:r w:rsidRPr="00E34F71">
        <w:rPr>
          <w:rFonts w:ascii="Times New Roman" w:hAnsi="Times New Roman" w:cs="Times New Roman"/>
        </w:rPr>
        <w:t>For a new Pharmacy2u customer or a customer seeking to obtain repeat prescriptions, the initial contact with Pharmacy2U occur</w:t>
      </w:r>
      <w:r w:rsidR="006B2B2C">
        <w:rPr>
          <w:rFonts w:ascii="Times New Roman" w:hAnsi="Times New Roman" w:cs="Times New Roman"/>
        </w:rPr>
        <w:t>s</w:t>
      </w:r>
      <w:r w:rsidRPr="00E34F71">
        <w:rPr>
          <w:rFonts w:ascii="Times New Roman" w:hAnsi="Times New Roman" w:cs="Times New Roman"/>
        </w:rPr>
        <w:t xml:space="preserve"> </w:t>
      </w:r>
      <w:proofErr w:type="gramStart"/>
      <w:r w:rsidRPr="00E34F71">
        <w:rPr>
          <w:rFonts w:ascii="Times New Roman" w:hAnsi="Times New Roman" w:cs="Times New Roman"/>
        </w:rPr>
        <w:t>as a result of</w:t>
      </w:r>
      <w:proofErr w:type="gramEnd"/>
      <w:r w:rsidRPr="00E34F71">
        <w:rPr>
          <w:rFonts w:ascii="Times New Roman" w:hAnsi="Times New Roman" w:cs="Times New Roman"/>
        </w:rPr>
        <w:t xml:space="preserve"> marketing communication, word-of-mouth, search engines, or a GP recommendation. As a first contact, the major proposition is evident: an e-pharmacy with NHS repeat prescription services and home delivery options. The customer gains the promise of convenience and time saved, in that there is no need to physically visit a pharmacy, no need to queue, or travel</w:t>
      </w:r>
      <w:r w:rsidR="00075173" w:rsidRPr="00E34F71">
        <w:rPr>
          <w:rFonts w:ascii="Times New Roman" w:hAnsi="Times New Roman" w:cs="Times New Roman"/>
        </w:rPr>
        <w:t xml:space="preserve"> (UK Parliament, 2025)</w:t>
      </w:r>
      <w:r w:rsidRPr="00E34F71">
        <w:rPr>
          <w:rFonts w:ascii="Times New Roman" w:hAnsi="Times New Roman" w:cs="Times New Roman"/>
        </w:rPr>
        <w:t xml:space="preserve">. Customers may be unfamiliar with the process and concerns about the process online prescriptions or pharmacy nomination process,  or the reputation of the vendor compared to a traditional pharmacy. The vendor trust is built fundamentally through signals: client reviews, along with placing and sponsor of the professional testimonials.  </w:t>
      </w:r>
    </w:p>
    <w:p w14:paraId="28D26B92" w14:textId="77777777" w:rsidR="006200AE" w:rsidRPr="00E34F71" w:rsidRDefault="006200AE" w:rsidP="00533174">
      <w:pPr>
        <w:spacing w:before="100" w:beforeAutospacing="1" w:after="100" w:afterAutospacing="1" w:line="480" w:lineRule="auto"/>
        <w:jc w:val="both"/>
        <w:rPr>
          <w:rFonts w:ascii="Times New Roman" w:hAnsi="Times New Roman" w:cs="Times New Roman"/>
          <w:i/>
          <w:iCs/>
        </w:rPr>
      </w:pPr>
      <w:r w:rsidRPr="00E34F71">
        <w:rPr>
          <w:rFonts w:ascii="Times New Roman" w:hAnsi="Times New Roman" w:cs="Times New Roman"/>
          <w:i/>
          <w:iCs/>
        </w:rPr>
        <w:t xml:space="preserve">Registration, Nomination and Setup  </w:t>
      </w:r>
    </w:p>
    <w:p w14:paraId="2B757E9B" w14:textId="34D4DDAB" w:rsidR="006200AE" w:rsidRPr="00E34F71" w:rsidRDefault="006200AE" w:rsidP="00533174">
      <w:pPr>
        <w:spacing w:before="100" w:beforeAutospacing="1" w:after="100" w:afterAutospacing="1" w:line="480" w:lineRule="auto"/>
        <w:jc w:val="both"/>
        <w:rPr>
          <w:rFonts w:ascii="Times New Roman" w:hAnsi="Times New Roman" w:cs="Times New Roman"/>
        </w:rPr>
      </w:pPr>
      <w:r w:rsidRPr="00E34F71">
        <w:rPr>
          <w:rFonts w:ascii="Times New Roman" w:hAnsi="Times New Roman" w:cs="Times New Roman"/>
        </w:rPr>
        <w:t xml:space="preserve">Following the opt-in step, the customer logs into the Pharmacy2U website or app, completes the nomination of Pharmacy2U as a preferred dispenser and prescription provider, provides personal and NHS information, and defines the delivery schedule. This is important, as a customer is now actively engaged and interaction with the system for the first time, and will </w:t>
      </w:r>
      <w:proofErr w:type="gramStart"/>
      <w:r w:rsidRPr="00E34F71">
        <w:rPr>
          <w:rFonts w:ascii="Times New Roman" w:hAnsi="Times New Roman" w:cs="Times New Roman"/>
        </w:rPr>
        <w:t>make a decision</w:t>
      </w:r>
      <w:proofErr w:type="gramEnd"/>
      <w:r w:rsidRPr="00E34F71">
        <w:rPr>
          <w:rFonts w:ascii="Times New Roman" w:hAnsi="Times New Roman" w:cs="Times New Roman"/>
        </w:rPr>
        <w:t xml:space="preserve"> whether to spend more time in the application. Completion of the setup is a significant achievement because, in the case of subsequent repeat prescriptions, such prescriptions are now automatically managed</w:t>
      </w:r>
      <w:r w:rsidR="00A52F3C" w:rsidRPr="00E34F71">
        <w:rPr>
          <w:rFonts w:ascii="Times New Roman" w:hAnsi="Times New Roman" w:cs="Times New Roman"/>
        </w:rPr>
        <w:t xml:space="preserve"> (de </w:t>
      </w:r>
      <w:proofErr w:type="spellStart"/>
      <w:r w:rsidR="00A52F3C" w:rsidRPr="00E34F71">
        <w:rPr>
          <w:rFonts w:ascii="Times New Roman" w:hAnsi="Times New Roman" w:cs="Times New Roman"/>
        </w:rPr>
        <w:t>Mooij</w:t>
      </w:r>
      <w:proofErr w:type="spellEnd"/>
      <w:r w:rsidR="00A52F3C" w:rsidRPr="00E34F71">
        <w:rPr>
          <w:rFonts w:ascii="Times New Roman" w:hAnsi="Times New Roman" w:cs="Times New Roman"/>
        </w:rPr>
        <w:t>, M, 2022)</w:t>
      </w:r>
      <w:r w:rsidRPr="00E34F71">
        <w:rPr>
          <w:rFonts w:ascii="Times New Roman" w:hAnsi="Times New Roman" w:cs="Times New Roman"/>
        </w:rPr>
        <w:t xml:space="preserve">. This reduces the customer’s effort in obtaining a more seamless experience. On the other hand, the user may experience some pain, such as data entry, time taken in verifying the nomination with the GP, the customer having to provide additional information, and for some, discomfort with a digital, less human process. </w:t>
      </w:r>
    </w:p>
    <w:p w14:paraId="5586CD7C" w14:textId="552F9FAC" w:rsidR="006200AE" w:rsidRPr="00E34F71" w:rsidRDefault="006200AE" w:rsidP="00533174">
      <w:pPr>
        <w:spacing w:before="100" w:beforeAutospacing="1" w:after="100" w:afterAutospacing="1" w:line="480" w:lineRule="auto"/>
        <w:jc w:val="both"/>
        <w:rPr>
          <w:rFonts w:ascii="Times New Roman" w:hAnsi="Times New Roman" w:cs="Times New Roman"/>
          <w:i/>
          <w:iCs/>
        </w:rPr>
      </w:pPr>
      <w:r w:rsidRPr="00E34F71">
        <w:rPr>
          <w:rFonts w:ascii="Times New Roman" w:hAnsi="Times New Roman" w:cs="Times New Roman"/>
          <w:i/>
          <w:iCs/>
        </w:rPr>
        <w:lastRenderedPageBreak/>
        <w:t>Prescription Management</w:t>
      </w:r>
      <w:r w:rsidR="00A52F3C" w:rsidRPr="00E34F71">
        <w:rPr>
          <w:rFonts w:ascii="Times New Roman" w:hAnsi="Times New Roman" w:cs="Times New Roman"/>
          <w:i/>
          <w:iCs/>
        </w:rPr>
        <w:t xml:space="preserve"> and </w:t>
      </w:r>
      <w:r w:rsidRPr="00E34F71">
        <w:rPr>
          <w:rFonts w:ascii="Times New Roman" w:hAnsi="Times New Roman" w:cs="Times New Roman"/>
          <w:i/>
          <w:iCs/>
        </w:rPr>
        <w:t xml:space="preserve"> Dispatch</w:t>
      </w:r>
    </w:p>
    <w:p w14:paraId="2F85EB55" w14:textId="20C62611" w:rsidR="006200AE" w:rsidRPr="00E34F71" w:rsidRDefault="006200AE" w:rsidP="00533174">
      <w:pPr>
        <w:spacing w:before="100" w:beforeAutospacing="1" w:after="100" w:afterAutospacing="1" w:line="480" w:lineRule="auto"/>
        <w:jc w:val="both"/>
        <w:rPr>
          <w:rFonts w:ascii="Times New Roman" w:hAnsi="Times New Roman" w:cs="Times New Roman"/>
        </w:rPr>
      </w:pPr>
      <w:r w:rsidRPr="00E34F71">
        <w:rPr>
          <w:rFonts w:ascii="Times New Roman" w:hAnsi="Times New Roman" w:cs="Times New Roman"/>
        </w:rPr>
        <w:t xml:space="preserve">When the nomination and setup phases are completed, the customer experience moves to the operational core of the service for prescription management and dispatch. The system keeps the customer informed with automated reminders and home delivery, then automatically dispenses the medication and initiates the next repeat prescription. The completion of this stage or phase which is automated offers a distinct advantage of convenience and accuracy. In manual contracts, customers </w:t>
      </w:r>
      <w:proofErr w:type="gramStart"/>
      <w:r w:rsidRPr="00E34F71">
        <w:rPr>
          <w:rFonts w:ascii="Times New Roman" w:hAnsi="Times New Roman" w:cs="Times New Roman"/>
        </w:rPr>
        <w:t>have to</w:t>
      </w:r>
      <w:proofErr w:type="gramEnd"/>
      <w:r w:rsidRPr="00E34F71">
        <w:rPr>
          <w:rFonts w:ascii="Times New Roman" w:hAnsi="Times New Roman" w:cs="Times New Roman"/>
        </w:rPr>
        <w:t xml:space="preserve"> do more work to answer the questions offered in the follow-up questionnaires</w:t>
      </w:r>
      <w:r w:rsidR="00FA1E32" w:rsidRPr="00E34F71">
        <w:rPr>
          <w:rFonts w:ascii="Times New Roman" w:hAnsi="Times New Roman" w:cs="Times New Roman"/>
        </w:rPr>
        <w:t xml:space="preserve"> (Sukriti et al., 2023)</w:t>
      </w:r>
      <w:r w:rsidRPr="00E34F71">
        <w:rPr>
          <w:rFonts w:ascii="Times New Roman" w:hAnsi="Times New Roman" w:cs="Times New Roman"/>
        </w:rPr>
        <w:t xml:space="preserve">.  Pharmacy2U has focused on managing and optimising its infrastructure to ensure a high level of availability during high demand periods. </w:t>
      </w:r>
    </w:p>
    <w:p w14:paraId="3FA1FB30" w14:textId="77777777" w:rsidR="006200AE" w:rsidRPr="00E34F71" w:rsidRDefault="006200AE" w:rsidP="00533174">
      <w:pPr>
        <w:spacing w:before="100" w:beforeAutospacing="1" w:after="100" w:afterAutospacing="1" w:line="480" w:lineRule="auto"/>
        <w:jc w:val="both"/>
        <w:rPr>
          <w:rFonts w:ascii="Times New Roman" w:hAnsi="Times New Roman" w:cs="Times New Roman"/>
          <w:i/>
          <w:iCs/>
        </w:rPr>
      </w:pPr>
      <w:r w:rsidRPr="00E34F71">
        <w:rPr>
          <w:rFonts w:ascii="Times New Roman" w:hAnsi="Times New Roman" w:cs="Times New Roman"/>
          <w:i/>
          <w:iCs/>
        </w:rPr>
        <w:t>Delivery and Receipt</w:t>
      </w:r>
    </w:p>
    <w:p w14:paraId="442E3C13" w14:textId="32FD555B" w:rsidR="006200AE" w:rsidRPr="00E34F71" w:rsidRDefault="006200AE" w:rsidP="00533174">
      <w:pPr>
        <w:spacing w:before="100" w:beforeAutospacing="1" w:after="100" w:afterAutospacing="1" w:line="480" w:lineRule="auto"/>
        <w:jc w:val="both"/>
        <w:rPr>
          <w:rFonts w:ascii="Times New Roman" w:hAnsi="Times New Roman" w:cs="Times New Roman"/>
        </w:rPr>
      </w:pPr>
      <w:r w:rsidRPr="00E34F71">
        <w:rPr>
          <w:rFonts w:ascii="Times New Roman" w:hAnsi="Times New Roman" w:cs="Times New Roman"/>
        </w:rPr>
        <w:t>Once dispatched, the customer waits to receive the ordered medication. At this point, the customer receives the important and significant benefit of having the prescribed medication sent directly to the home or their preferred collection point, thus avoiding the physical trip to the pharmacy. This convenience is important to patients, especially those who may have a physical disability or chronic illness. There are, however, some customer pain points which arise due to the inability to track and retake delivery, poor delivery scheduling, or bad packaging</w:t>
      </w:r>
      <w:r w:rsidR="00FA1E32" w:rsidRPr="00E34F71">
        <w:rPr>
          <w:rFonts w:ascii="Times New Roman" w:hAnsi="Times New Roman" w:cs="Times New Roman"/>
        </w:rPr>
        <w:t xml:space="preserve"> (Sukriti et al., 2023)</w:t>
      </w:r>
      <w:r w:rsidRPr="00E34F71">
        <w:rPr>
          <w:rFonts w:ascii="Times New Roman" w:hAnsi="Times New Roman" w:cs="Times New Roman"/>
        </w:rPr>
        <w:t>. Third party collaboration can result in failed deliveries and delays which can increase the pain points associated with the Pharmacy2U when getting prescription medication.</w:t>
      </w:r>
    </w:p>
    <w:p w14:paraId="3CC3845D" w14:textId="77777777" w:rsidR="006200AE" w:rsidRPr="00E34F71" w:rsidRDefault="006200AE" w:rsidP="00533174">
      <w:pPr>
        <w:spacing w:before="100" w:beforeAutospacing="1" w:after="100" w:afterAutospacing="1" w:line="480" w:lineRule="auto"/>
        <w:jc w:val="both"/>
        <w:rPr>
          <w:rFonts w:ascii="Times New Roman" w:hAnsi="Times New Roman" w:cs="Times New Roman"/>
          <w:i/>
          <w:iCs/>
        </w:rPr>
      </w:pPr>
      <w:r w:rsidRPr="00E34F71">
        <w:rPr>
          <w:rFonts w:ascii="Times New Roman" w:hAnsi="Times New Roman" w:cs="Times New Roman"/>
          <w:i/>
          <w:iCs/>
        </w:rPr>
        <w:t>Support, Retention, and Follow Up</w:t>
      </w:r>
    </w:p>
    <w:p w14:paraId="33B9A6FF" w14:textId="43AD069E" w:rsidR="006200AE" w:rsidRPr="00E34F71" w:rsidRDefault="006200AE" w:rsidP="00533174">
      <w:pPr>
        <w:spacing w:before="100" w:beforeAutospacing="1" w:after="100" w:afterAutospacing="1" w:line="480" w:lineRule="auto"/>
        <w:jc w:val="both"/>
        <w:rPr>
          <w:rFonts w:ascii="Times New Roman" w:hAnsi="Times New Roman" w:cs="Times New Roman"/>
        </w:rPr>
      </w:pPr>
      <w:r w:rsidRPr="00E34F71">
        <w:rPr>
          <w:rFonts w:ascii="Times New Roman" w:hAnsi="Times New Roman" w:cs="Times New Roman"/>
        </w:rPr>
        <w:t xml:space="preserve">Pharmacy2U has a proactive approach to maintaining customers even after the delivery of medicines as they use reminders, simplify routine prescription orders, and provide easy access to online wellness products. This approach helps in achieving benefits that provide customers </w:t>
      </w:r>
      <w:r w:rsidRPr="00E34F71">
        <w:rPr>
          <w:rFonts w:ascii="Times New Roman" w:hAnsi="Times New Roman" w:cs="Times New Roman"/>
        </w:rPr>
        <w:lastRenderedPageBreak/>
        <w:t>with the necessary support enough to last them until the next delivery of their prescription medications. For example, about side effects dose, or possible drug interactions, the user may have some questions or issues. If the user views the systems as less personalised or valuable compared to a local pharmacy, this can lead to potential friction</w:t>
      </w:r>
      <w:r w:rsidR="00FA1E32" w:rsidRPr="00E34F71">
        <w:rPr>
          <w:rFonts w:ascii="Times New Roman" w:hAnsi="Times New Roman" w:cs="Times New Roman"/>
        </w:rPr>
        <w:t xml:space="preserve"> ( Parmacy2U, 2024)</w:t>
      </w:r>
      <w:r w:rsidRPr="00E34F71">
        <w:rPr>
          <w:rFonts w:ascii="Times New Roman" w:hAnsi="Times New Roman" w:cs="Times New Roman"/>
        </w:rPr>
        <w:t xml:space="preserve">. If switching to another service is easy or the app is not compelling  to users, this may result in low uptake and future use of the services provided. Pharmacy2U counteracts this friction by focusing on trust and customer feedback </w:t>
      </w:r>
    </w:p>
    <w:p w14:paraId="74485BDA" w14:textId="6080F6A0" w:rsidR="006200AE" w:rsidRPr="00835EF0" w:rsidRDefault="006200AE" w:rsidP="00533174">
      <w:pPr>
        <w:spacing w:before="100" w:beforeAutospacing="1" w:after="100" w:afterAutospacing="1" w:line="480" w:lineRule="auto"/>
        <w:jc w:val="both"/>
        <w:rPr>
          <w:rFonts w:ascii="Times New Roman" w:hAnsi="Times New Roman" w:cs="Times New Roman"/>
          <w:b/>
          <w:bCs/>
        </w:rPr>
      </w:pPr>
      <w:r w:rsidRPr="00835EF0">
        <w:rPr>
          <w:rFonts w:ascii="Times New Roman" w:hAnsi="Times New Roman" w:cs="Times New Roman"/>
          <w:b/>
          <w:bCs/>
        </w:rPr>
        <w:t xml:space="preserve">Digital innovation opportunities </w:t>
      </w:r>
      <w:r w:rsidR="00424B1B" w:rsidRPr="00835EF0">
        <w:rPr>
          <w:rFonts w:ascii="Times New Roman" w:hAnsi="Times New Roman" w:cs="Times New Roman"/>
          <w:b/>
          <w:bCs/>
        </w:rPr>
        <w:t xml:space="preserve">from current customer journey </w:t>
      </w:r>
    </w:p>
    <w:p w14:paraId="16F8A485" w14:textId="0E6B9A57" w:rsidR="006200AE" w:rsidRPr="00835EF0" w:rsidRDefault="00424B1B" w:rsidP="00533174">
      <w:pPr>
        <w:spacing w:before="100" w:beforeAutospacing="1" w:after="100" w:afterAutospacing="1" w:line="480" w:lineRule="auto"/>
        <w:jc w:val="both"/>
        <w:rPr>
          <w:rFonts w:ascii="Times New Roman" w:hAnsi="Times New Roman" w:cs="Times New Roman"/>
        </w:rPr>
      </w:pPr>
      <w:r w:rsidRPr="00835EF0">
        <w:rPr>
          <w:rFonts w:ascii="Times New Roman" w:hAnsi="Times New Roman" w:cs="Times New Roman"/>
        </w:rPr>
        <w:t>Based on the c</w:t>
      </w:r>
      <w:r w:rsidR="00E5471A" w:rsidRPr="00835EF0">
        <w:rPr>
          <w:rFonts w:ascii="Times New Roman" w:hAnsi="Times New Roman" w:cs="Times New Roman"/>
        </w:rPr>
        <w:t xml:space="preserve">urrent customer journey several opportunities arise for digital innovation at Pharmacy2U. </w:t>
      </w:r>
      <w:r w:rsidR="006200AE" w:rsidRPr="00835EF0">
        <w:rPr>
          <w:rFonts w:ascii="Times New Roman" w:hAnsi="Times New Roman" w:cs="Times New Roman"/>
        </w:rPr>
        <w:t>Apart from friction in repetition of prescriptions for a customer, the value proposition of Pharmacy2U is robust as seen through the uptake. Once a setup is complete, and the need to go to a physical pharmacy removed, the overall convenience and time savings are significant. However, friction points still concern onboarding, the lack of real-time visibility throughout the sequence, the personal delivery contacts, and the feeling of lack of human interaction. From a digital innovation perspective, there are significant opportunities at each stage</w:t>
      </w:r>
      <w:r w:rsidR="008F4E86" w:rsidRPr="00835EF0">
        <w:rPr>
          <w:rFonts w:ascii="Times New Roman" w:hAnsi="Times New Roman" w:cs="Times New Roman"/>
        </w:rPr>
        <w:t xml:space="preserve"> (</w:t>
      </w:r>
      <w:proofErr w:type="spellStart"/>
      <w:r w:rsidR="008F4E86" w:rsidRPr="00835EF0">
        <w:rPr>
          <w:rFonts w:ascii="Times New Roman" w:hAnsi="Times New Roman" w:cs="Times New Roman"/>
        </w:rPr>
        <w:t>Tantray</w:t>
      </w:r>
      <w:proofErr w:type="spellEnd"/>
      <w:r w:rsidR="008F4E86" w:rsidRPr="00835EF0">
        <w:rPr>
          <w:rFonts w:ascii="Times New Roman" w:hAnsi="Times New Roman" w:cs="Times New Roman"/>
        </w:rPr>
        <w:t xml:space="preserve">  et al., 2024)</w:t>
      </w:r>
      <w:r w:rsidR="006200AE" w:rsidRPr="00835EF0">
        <w:rPr>
          <w:rFonts w:ascii="Times New Roman" w:hAnsi="Times New Roman" w:cs="Times New Roman"/>
        </w:rPr>
        <w:t xml:space="preserve">. An interactive onboarding, mobile-friendly interface, real-time order and delivery tracking, automated virtual support or follow-up pharmacist integrations, and scheduled automated adherence reminders all pose opportunities for enhanced service delivery. Data-driven insights can be used to personalise and predict the user experience to identify friction points and pain points that can progressively  enhance ethe Phramacy2U brand </w:t>
      </w:r>
    </w:p>
    <w:p w14:paraId="3CC90FE4" w14:textId="34922573" w:rsidR="00DC1BA5" w:rsidRPr="00E34F71" w:rsidRDefault="003338FF" w:rsidP="00533174">
      <w:pPr>
        <w:pStyle w:val="Heading1"/>
        <w:spacing w:before="100" w:beforeAutospacing="1" w:after="100" w:afterAutospacing="1" w:line="480" w:lineRule="auto"/>
        <w:jc w:val="center"/>
        <w:rPr>
          <w:rFonts w:ascii="Times New Roman" w:hAnsi="Times New Roman" w:cs="Times New Roman"/>
          <w:b/>
          <w:bCs/>
          <w:color w:val="auto"/>
        </w:rPr>
      </w:pPr>
      <w:bookmarkStart w:id="7" w:name="_Toc215488601"/>
      <w:r w:rsidRPr="003338FF">
        <w:rPr>
          <w:rFonts w:ascii="Times New Roman" w:hAnsi="Times New Roman" w:cs="Times New Roman"/>
          <w:b/>
          <w:bCs/>
          <w:color w:val="auto"/>
          <w:sz w:val="24"/>
          <w:szCs w:val="24"/>
        </w:rPr>
        <w:lastRenderedPageBreak/>
        <w:t>Part 2:</w:t>
      </w:r>
      <w:bookmarkEnd w:id="7"/>
    </w:p>
    <w:p w14:paraId="04F7F113" w14:textId="12B820A5" w:rsidR="008D3B52" w:rsidRPr="00E34F71" w:rsidRDefault="003338FF" w:rsidP="00CD78E1">
      <w:pPr>
        <w:pStyle w:val="Heading2"/>
        <w:spacing w:before="100" w:beforeAutospacing="1" w:after="100" w:afterAutospacing="1" w:line="480" w:lineRule="auto"/>
        <w:jc w:val="center"/>
        <w:rPr>
          <w:rFonts w:ascii="Times New Roman" w:hAnsi="Times New Roman" w:cs="Times New Roman"/>
          <w:color w:val="auto"/>
          <w:sz w:val="24"/>
          <w:szCs w:val="24"/>
        </w:rPr>
      </w:pPr>
      <w:bookmarkStart w:id="8" w:name="_Toc215488602"/>
      <w:r w:rsidRPr="003338FF">
        <w:rPr>
          <w:rFonts w:ascii="Times New Roman" w:hAnsi="Times New Roman" w:cs="Times New Roman"/>
          <w:b/>
          <w:bCs/>
          <w:color w:val="auto"/>
          <w:sz w:val="24"/>
          <w:szCs w:val="24"/>
        </w:rPr>
        <w:t>Digital transformation initiative</w:t>
      </w:r>
      <w:bookmarkEnd w:id="8"/>
    </w:p>
    <w:p w14:paraId="299E4EF0" w14:textId="436CB330" w:rsidR="008D3B52" w:rsidRPr="00E34F71" w:rsidRDefault="003338FF" w:rsidP="00533174">
      <w:pPr>
        <w:spacing w:before="100" w:beforeAutospacing="1" w:after="100" w:afterAutospacing="1" w:line="480" w:lineRule="auto"/>
        <w:jc w:val="both"/>
        <w:rPr>
          <w:rFonts w:ascii="Times New Roman" w:hAnsi="Times New Roman" w:cs="Times New Roman"/>
        </w:rPr>
      </w:pPr>
      <w:r w:rsidRPr="003338FF">
        <w:rPr>
          <w:rFonts w:ascii="Times New Roman" w:hAnsi="Times New Roman" w:cs="Times New Roman"/>
        </w:rPr>
        <w:t xml:space="preserve">Based on the current system at Pharmacy2U, the primary challenge stems from the focus on prescription medication without a proper monitoring and preventive care integrated into the system. This applies to both pre- and post-medication disposition. The proposed initiative </w:t>
      </w:r>
      <w:r w:rsidR="004C1A83">
        <w:rPr>
          <w:rFonts w:ascii="Times New Roman" w:hAnsi="Times New Roman" w:cs="Times New Roman"/>
        </w:rPr>
        <w:t>is</w:t>
      </w:r>
      <w:r w:rsidRPr="003338FF">
        <w:rPr>
          <w:rFonts w:ascii="Times New Roman" w:hAnsi="Times New Roman" w:cs="Times New Roman"/>
        </w:rPr>
        <w:t xml:space="preserve"> develop</w:t>
      </w:r>
      <w:r w:rsidR="004C1A83">
        <w:rPr>
          <w:rFonts w:ascii="Times New Roman" w:hAnsi="Times New Roman" w:cs="Times New Roman"/>
        </w:rPr>
        <w:t>ing</w:t>
      </w:r>
      <w:r w:rsidRPr="003338FF">
        <w:rPr>
          <w:rFonts w:ascii="Times New Roman" w:hAnsi="Times New Roman" w:cs="Times New Roman"/>
        </w:rPr>
        <w:t xml:space="preserve"> a smart care system which would be a digital extension to the platform, integrating home health monitoring with predictive analysis and enhanced patient–practitioner interactions. This would involve the following.</w:t>
      </w:r>
    </w:p>
    <w:p w14:paraId="6AF5268C" w14:textId="6660C624" w:rsidR="003338FF" w:rsidRPr="003338FF" w:rsidRDefault="003338FF" w:rsidP="00533174">
      <w:pPr>
        <w:spacing w:before="100" w:beforeAutospacing="1" w:after="100" w:afterAutospacing="1" w:line="480" w:lineRule="auto"/>
        <w:jc w:val="both"/>
        <w:rPr>
          <w:rFonts w:ascii="Times New Roman" w:hAnsi="Times New Roman" w:cs="Times New Roman"/>
        </w:rPr>
      </w:pPr>
      <w:r w:rsidRPr="003338FF">
        <w:rPr>
          <w:rFonts w:ascii="Times New Roman" w:hAnsi="Times New Roman" w:cs="Times New Roman"/>
        </w:rPr>
        <w:t>For the new digital transformation initiative, Pharmacy2U would seek to have connected health devices to facilitate integrated care in line with the initiative’s mission. Pharmacy2U would collaborate with manufacturers of medical devices for home use such as Bluetooth-connected blood pressure monitors, remote pulse oximeters, blood glucose meters, smart scales, and wearable fitness trackers</w:t>
      </w:r>
      <w:r w:rsidR="00A35831" w:rsidRPr="00E34F71">
        <w:rPr>
          <w:rFonts w:ascii="Times New Roman" w:hAnsi="Times New Roman" w:cs="Times New Roman"/>
        </w:rPr>
        <w:t xml:space="preserve"> (Allcock et al., 2024)</w:t>
      </w:r>
      <w:r w:rsidRPr="003338FF">
        <w:rPr>
          <w:rFonts w:ascii="Times New Roman" w:hAnsi="Times New Roman" w:cs="Times New Roman"/>
        </w:rPr>
        <w:t>. Patients with chronic conditions like hypertension, diabetes, and chronic obstructive pulmonary disease and who use Pharmacy2U for their medications would be provided with compatible devices based on a fee or subscription model. With the express consent of the patient, the devices would be linked to the Pharmacy2U app for the purpose of obtaining incremental health data to be used for a comprehensive care management approach.</w:t>
      </w:r>
    </w:p>
    <w:p w14:paraId="189D6D62" w14:textId="77777777" w:rsidR="00DC1BA5" w:rsidRPr="00E34F71" w:rsidRDefault="003338FF" w:rsidP="00533174">
      <w:pPr>
        <w:spacing w:before="100" w:beforeAutospacing="1" w:after="100" w:afterAutospacing="1" w:line="480" w:lineRule="auto"/>
        <w:jc w:val="both"/>
        <w:rPr>
          <w:rFonts w:ascii="Times New Roman" w:hAnsi="Times New Roman" w:cs="Times New Roman"/>
        </w:rPr>
      </w:pPr>
      <w:r w:rsidRPr="003338FF">
        <w:rPr>
          <w:rFonts w:ascii="Times New Roman" w:hAnsi="Times New Roman" w:cs="Times New Roman"/>
        </w:rPr>
        <w:t>The new initiative would also have a data-driven monitoring system for enhanced decision-making and care. The biometric information would be assimilated into the systems of Pharmacy2U. Automated algorithms would detect worrying patterns, for example, sustained hypertension, increase in blood sugar levels, or abnormal rhythms in heart activity</w:t>
      </w:r>
      <w:r w:rsidR="00A35831" w:rsidRPr="00E34F71">
        <w:rPr>
          <w:rFonts w:ascii="Times New Roman" w:hAnsi="Times New Roman" w:cs="Times New Roman"/>
        </w:rPr>
        <w:t xml:space="preserve"> (Ibeh et al., 2024)</w:t>
      </w:r>
      <w:r w:rsidRPr="003338FF">
        <w:rPr>
          <w:rFonts w:ascii="Times New Roman" w:hAnsi="Times New Roman" w:cs="Times New Roman"/>
        </w:rPr>
        <w:t xml:space="preserve">. The system would self-generate alerts, and the patient as well as the clinical team could </w:t>
      </w:r>
      <w:r w:rsidRPr="003338FF">
        <w:rPr>
          <w:rFonts w:ascii="Times New Roman" w:hAnsi="Times New Roman" w:cs="Times New Roman"/>
        </w:rPr>
        <w:lastRenderedPageBreak/>
        <w:t>be notified. Pharmacy2U could suggest a fast-tracked teleconsultation with an online doctor/practitioner or a pharmacist for significant alerts, while chatbots and nurses could lend lifestyle modification assistance for minor alerts.</w:t>
      </w:r>
    </w:p>
    <w:p w14:paraId="1C62F040" w14:textId="4F80BB47" w:rsidR="008D3B52" w:rsidRPr="00E34F71" w:rsidRDefault="003338FF" w:rsidP="00533174">
      <w:pPr>
        <w:spacing w:before="100" w:beforeAutospacing="1" w:after="100" w:afterAutospacing="1" w:line="480" w:lineRule="auto"/>
        <w:jc w:val="both"/>
        <w:rPr>
          <w:rFonts w:ascii="Times New Roman" w:hAnsi="Times New Roman" w:cs="Times New Roman"/>
        </w:rPr>
      </w:pPr>
      <w:r w:rsidRPr="003338FF">
        <w:rPr>
          <w:rFonts w:ascii="Times New Roman" w:hAnsi="Times New Roman" w:cs="Times New Roman"/>
        </w:rPr>
        <w:t>The initiative would also include a medication management system that integrates monitoring with prescriptions. For example, if a diabetic patient’s glucose levels are above a certain threshold, the system recommends consideration of the patient’s medication. It may automatically adjust refill frequency, send supplies sooner, suggest new medication options or facilitate GP communication</w:t>
      </w:r>
      <w:r w:rsidR="001C4C56" w:rsidRPr="00E34F71">
        <w:rPr>
          <w:rFonts w:ascii="Times New Roman" w:hAnsi="Times New Roman" w:cs="Times New Roman"/>
        </w:rPr>
        <w:t xml:space="preserve"> (Motta-</w:t>
      </w:r>
      <w:proofErr w:type="spellStart"/>
      <w:r w:rsidR="001C4C56" w:rsidRPr="00E34F71">
        <w:rPr>
          <w:rFonts w:ascii="Times New Roman" w:hAnsi="Times New Roman" w:cs="Times New Roman"/>
        </w:rPr>
        <w:t>Yanac</w:t>
      </w:r>
      <w:proofErr w:type="spellEnd"/>
      <w:r w:rsidR="001C4C56" w:rsidRPr="00E34F71">
        <w:rPr>
          <w:rFonts w:ascii="Times New Roman" w:hAnsi="Times New Roman" w:cs="Times New Roman"/>
        </w:rPr>
        <w:t xml:space="preserve"> et al.,2024)</w:t>
      </w:r>
      <w:r w:rsidRPr="003338FF">
        <w:rPr>
          <w:rFonts w:ascii="Times New Roman" w:hAnsi="Times New Roman" w:cs="Times New Roman"/>
        </w:rPr>
        <w:t>. If the system’s readings indicate that the patient’s condition is well controlled, the system may also log self-adherence and send a digital confirmation message.</w:t>
      </w:r>
    </w:p>
    <w:p w14:paraId="59D4BCA9" w14:textId="75641ABE" w:rsidR="003338FF" w:rsidRPr="003338FF" w:rsidRDefault="003338FF" w:rsidP="00533174">
      <w:pPr>
        <w:spacing w:before="100" w:beforeAutospacing="1" w:after="100" w:afterAutospacing="1" w:line="480" w:lineRule="auto"/>
        <w:jc w:val="both"/>
        <w:rPr>
          <w:rFonts w:ascii="Times New Roman" w:hAnsi="Times New Roman" w:cs="Times New Roman"/>
        </w:rPr>
      </w:pPr>
      <w:r w:rsidRPr="003338FF">
        <w:rPr>
          <w:rFonts w:ascii="Times New Roman" w:hAnsi="Times New Roman" w:cs="Times New Roman"/>
        </w:rPr>
        <w:t>The ecosystem also contains other wellness services: patients could use the Pharmacy2U app to access educational materials and health trackers like weight-loss or smoking-cessation programmes. Previous research conducted by the company such as the Healthy Heart study suggests that heart health programmes like cardiovascular risk management that utilise pharmacy data could be integrated as part of preventative care</w:t>
      </w:r>
      <w:r w:rsidR="00816007" w:rsidRPr="00E34F71">
        <w:rPr>
          <w:rFonts w:ascii="Times New Roman" w:hAnsi="Times New Roman" w:cs="Times New Roman"/>
        </w:rPr>
        <w:t xml:space="preserve"> (De la Torre et al., 2025)</w:t>
      </w:r>
      <w:r w:rsidRPr="003338FF">
        <w:rPr>
          <w:rFonts w:ascii="Times New Roman" w:hAnsi="Times New Roman" w:cs="Times New Roman"/>
        </w:rPr>
        <w:t>. Pharmacy2U pharmacists could use the data to virtually coach patients on medication adherence, diet, or exercise.</w:t>
      </w:r>
    </w:p>
    <w:p w14:paraId="7E34F519" w14:textId="77777777" w:rsidR="008D3B52" w:rsidRPr="00E34F71" w:rsidRDefault="003338FF" w:rsidP="00533174">
      <w:pPr>
        <w:spacing w:before="100" w:beforeAutospacing="1" w:after="100" w:afterAutospacing="1" w:line="480" w:lineRule="auto"/>
        <w:jc w:val="both"/>
        <w:rPr>
          <w:rFonts w:ascii="Times New Roman" w:hAnsi="Times New Roman" w:cs="Times New Roman"/>
        </w:rPr>
      </w:pPr>
      <w:r w:rsidRPr="003338FF">
        <w:rPr>
          <w:rFonts w:ascii="Times New Roman" w:hAnsi="Times New Roman" w:cs="Times New Roman"/>
        </w:rPr>
        <w:t>The new initiative would also have a unified patient dashboard to integrate all the services and products available to users. Patients would be able to access the app’s health dashboard component to view the medication they take and health data over time. This feature will be an extension to the existing Pharmacy2U app. It provides patients with a comprehensive overview of their health and treatment. Patients will be empowered to self-manage their long-term conditions, which interlinks the long-term condition management strategy set by the NHS.</w:t>
      </w:r>
    </w:p>
    <w:p w14:paraId="6132A0F6" w14:textId="25E285D5" w:rsidR="00487EC3" w:rsidRPr="00E34F71" w:rsidRDefault="003338FF" w:rsidP="00533174">
      <w:pPr>
        <w:spacing w:before="100" w:beforeAutospacing="1" w:after="100" w:afterAutospacing="1" w:line="480" w:lineRule="auto"/>
        <w:jc w:val="both"/>
        <w:rPr>
          <w:rFonts w:ascii="Times New Roman" w:hAnsi="Times New Roman" w:cs="Times New Roman"/>
        </w:rPr>
      </w:pPr>
      <w:r w:rsidRPr="003338FF">
        <w:rPr>
          <w:rFonts w:ascii="Times New Roman" w:hAnsi="Times New Roman" w:cs="Times New Roman"/>
        </w:rPr>
        <w:lastRenderedPageBreak/>
        <w:t>From a strategic alignment point of view, this initiative is an extension of the company’s strengths in a digital platform, customer base, automated dispensing as well as transformational innovation. It capitalises on telemedicine, IoT health, and AI-enabled tailored interaction. It resolves the pain points and design principles already defined: through a coordinated and flexible set of digital tools</w:t>
      </w:r>
      <w:r w:rsidR="0025787E" w:rsidRPr="00E34F71">
        <w:rPr>
          <w:rFonts w:ascii="Times New Roman" w:hAnsi="Times New Roman" w:cs="Times New Roman"/>
        </w:rPr>
        <w:t xml:space="preserve"> </w:t>
      </w:r>
      <w:r w:rsidRPr="003338FF">
        <w:rPr>
          <w:rFonts w:ascii="Times New Roman" w:hAnsi="Times New Roman" w:cs="Times New Roman"/>
        </w:rPr>
        <w:t>diagnosis, monitoring, coaching, communication designed around patient need in real time</w:t>
      </w:r>
      <w:r w:rsidR="0025787E" w:rsidRPr="00E34F71">
        <w:rPr>
          <w:rFonts w:ascii="Times New Roman" w:hAnsi="Times New Roman" w:cs="Times New Roman"/>
        </w:rPr>
        <w:t xml:space="preserve"> (Loughnane et al., 2025)</w:t>
      </w:r>
      <w:r w:rsidRPr="003338FF">
        <w:rPr>
          <w:rFonts w:ascii="Times New Roman" w:hAnsi="Times New Roman" w:cs="Times New Roman"/>
        </w:rPr>
        <w:t>. Rather than pharmacy as a transactional service, it shifts to a continuous care partner.</w:t>
      </w:r>
    </w:p>
    <w:p w14:paraId="77F255B5" w14:textId="40A05EF8" w:rsidR="00487EC3" w:rsidRPr="00E34F71" w:rsidRDefault="00487EC3" w:rsidP="00533174">
      <w:pPr>
        <w:pStyle w:val="Heading2"/>
        <w:spacing w:before="100" w:beforeAutospacing="1" w:after="100" w:afterAutospacing="1" w:line="480" w:lineRule="auto"/>
        <w:rPr>
          <w:rFonts w:ascii="Times New Roman" w:hAnsi="Times New Roman" w:cs="Times New Roman"/>
          <w:b/>
          <w:bCs/>
          <w:color w:val="auto"/>
          <w:sz w:val="24"/>
          <w:szCs w:val="24"/>
        </w:rPr>
      </w:pPr>
      <w:r w:rsidRPr="00E34F71">
        <w:rPr>
          <w:rFonts w:ascii="Times New Roman" w:hAnsi="Times New Roman" w:cs="Times New Roman"/>
          <w:color w:val="auto"/>
          <w:sz w:val="24"/>
          <w:szCs w:val="24"/>
        </w:rPr>
        <w:t xml:space="preserve"> </w:t>
      </w:r>
      <w:bookmarkStart w:id="9" w:name="_Toc215488603"/>
      <w:r w:rsidRPr="00E34F71">
        <w:rPr>
          <w:rFonts w:ascii="Times New Roman" w:hAnsi="Times New Roman" w:cs="Times New Roman"/>
          <w:b/>
          <w:bCs/>
          <w:color w:val="auto"/>
          <w:sz w:val="24"/>
          <w:szCs w:val="24"/>
        </w:rPr>
        <w:t>New customer journey</w:t>
      </w:r>
      <w:bookmarkEnd w:id="9"/>
      <w:r w:rsidRPr="00E34F71">
        <w:rPr>
          <w:rFonts w:ascii="Times New Roman" w:hAnsi="Times New Roman" w:cs="Times New Roman"/>
          <w:b/>
          <w:bCs/>
          <w:color w:val="auto"/>
          <w:sz w:val="24"/>
          <w:szCs w:val="24"/>
        </w:rPr>
        <w:t xml:space="preserve"> </w:t>
      </w:r>
    </w:p>
    <w:p w14:paraId="7AE214AF" w14:textId="77777777" w:rsidR="00641B6E" w:rsidRPr="00DF7024" w:rsidRDefault="00641B6E" w:rsidP="00641B6E">
      <w:pPr>
        <w:spacing w:before="100" w:beforeAutospacing="1" w:after="100" w:afterAutospacing="1" w:line="480" w:lineRule="auto"/>
        <w:jc w:val="both"/>
        <w:rPr>
          <w:rFonts w:ascii="Times New Roman" w:hAnsi="Times New Roman" w:cs="Times New Roman"/>
        </w:rPr>
      </w:pPr>
      <w:r w:rsidRPr="00DF7024">
        <w:rPr>
          <w:rFonts w:ascii="Times New Roman" w:hAnsi="Times New Roman" w:cs="Times New Roman"/>
        </w:rPr>
        <w:t xml:space="preserve">The enhanced customer journey would introduce new steps in the journey providing more value due to the additional features and services offered therein. The new customer journey encompasses additional components that include digital capabilities and value-added services that are all designed to support patients throughout their healthcare experience from the initial onboarding phase to the long-term well-being management and care. Unlike the conventional format that is mainly focused on prescriptions, ordering, dispensing and delivery, the proposed one positions the company not just as a viable pharmacy but as an integrated digital health provider that provides a wide range of services that users can rely on for enhanced healthcare outcomes. The embedding of remote monitoring and personalised alerts, educational content and professional support </w:t>
      </w:r>
      <w:proofErr w:type="gramStart"/>
      <w:r w:rsidRPr="00DF7024">
        <w:rPr>
          <w:rFonts w:ascii="Times New Roman" w:hAnsi="Times New Roman" w:cs="Times New Roman"/>
        </w:rPr>
        <w:t>aims</w:t>
      </w:r>
      <w:proofErr w:type="gramEnd"/>
      <w:r w:rsidRPr="00DF7024">
        <w:rPr>
          <w:rFonts w:ascii="Times New Roman" w:hAnsi="Times New Roman" w:cs="Times New Roman"/>
        </w:rPr>
        <w:t xml:space="preserve"> to provide patients with a more holistic and long-lasting health experience.</w:t>
      </w:r>
    </w:p>
    <w:p w14:paraId="4E407AA1" w14:textId="77777777" w:rsidR="00641B6E" w:rsidRPr="00DF7024" w:rsidRDefault="00641B6E" w:rsidP="00641B6E">
      <w:pPr>
        <w:spacing w:before="100" w:beforeAutospacing="1" w:after="100" w:afterAutospacing="1" w:line="480" w:lineRule="auto"/>
        <w:jc w:val="both"/>
        <w:rPr>
          <w:rFonts w:ascii="Times New Roman" w:hAnsi="Times New Roman" w:cs="Times New Roman"/>
        </w:rPr>
      </w:pPr>
      <w:r w:rsidRPr="00DF7024">
        <w:rPr>
          <w:rFonts w:ascii="Times New Roman" w:hAnsi="Times New Roman" w:cs="Times New Roman"/>
          <w:b/>
          <w:bCs/>
        </w:rPr>
        <w:t>Device setup</w:t>
      </w:r>
      <w:r w:rsidRPr="00DF7024">
        <w:rPr>
          <w:rFonts w:ascii="Times New Roman" w:hAnsi="Times New Roman" w:cs="Times New Roman"/>
        </w:rPr>
        <w:t xml:space="preserve">: The application can prompt patients or users to set up any linked devices with the Pharmacy2U applications. For instance, this could be a blood pressure cuff procured from third parties or those recommended through the company platforms. For example, patients could have access to step-by-step instructions that include video guides and live chat assistance on different scenarios. This ensures that even the less tech-savvy users can confidently use the </w:t>
      </w:r>
      <w:r w:rsidRPr="00DF7024">
        <w:rPr>
          <w:rFonts w:ascii="Times New Roman" w:hAnsi="Times New Roman" w:cs="Times New Roman"/>
        </w:rPr>
        <w:lastRenderedPageBreak/>
        <w:t>technology and handle the devices comfortably. This is important as it allows for the application to capture, process and store health information for progressive and seamless monitoring and personalisation.</w:t>
      </w:r>
    </w:p>
    <w:p w14:paraId="1AAD5279" w14:textId="77777777" w:rsidR="00641B6E" w:rsidRPr="00DF7024" w:rsidRDefault="00641B6E" w:rsidP="00641B6E">
      <w:pPr>
        <w:spacing w:before="100" w:beforeAutospacing="1" w:after="100" w:afterAutospacing="1" w:line="480" w:lineRule="auto"/>
        <w:jc w:val="both"/>
        <w:rPr>
          <w:rFonts w:ascii="Times New Roman" w:hAnsi="Times New Roman" w:cs="Times New Roman"/>
        </w:rPr>
      </w:pPr>
      <w:r w:rsidRPr="00DF7024">
        <w:rPr>
          <w:rFonts w:ascii="Times New Roman" w:hAnsi="Times New Roman" w:cs="Times New Roman"/>
          <w:b/>
          <w:bCs/>
        </w:rPr>
        <w:t>Monitoring</w:t>
      </w:r>
      <w:r w:rsidRPr="00DF7024">
        <w:rPr>
          <w:rFonts w:ascii="Times New Roman" w:hAnsi="Times New Roman" w:cs="Times New Roman"/>
        </w:rPr>
        <w:t>: Ongoing monitoring would also be made possible through patient use of devices and real-time sharing of data with practitioners who are strategically positioned remotely to provide the necessary support and medication advice. This can also be through periodic upload of results from progressive monitoring. With the help of a caregiver or close family member, manual entry of information is also permitted. This was the monitoring process aimed to change the platforms from being just a reactive dispensing service to a more proactive health status checking and tracking solution for millions across the country.</w:t>
      </w:r>
    </w:p>
    <w:p w14:paraId="0641B996" w14:textId="77777777" w:rsidR="00641B6E" w:rsidRPr="00DF7024" w:rsidRDefault="00641B6E" w:rsidP="00641B6E">
      <w:pPr>
        <w:spacing w:before="100" w:beforeAutospacing="1" w:after="100" w:afterAutospacing="1" w:line="480" w:lineRule="auto"/>
        <w:jc w:val="both"/>
        <w:rPr>
          <w:rFonts w:ascii="Times New Roman" w:hAnsi="Times New Roman" w:cs="Times New Roman"/>
        </w:rPr>
      </w:pPr>
      <w:r w:rsidRPr="00DF7024">
        <w:rPr>
          <w:rFonts w:ascii="Times New Roman" w:hAnsi="Times New Roman" w:cs="Times New Roman"/>
          <w:b/>
          <w:bCs/>
        </w:rPr>
        <w:t>Feedback loop</w:t>
      </w:r>
      <w:r w:rsidRPr="00DF7024">
        <w:rPr>
          <w:rFonts w:ascii="Times New Roman" w:hAnsi="Times New Roman" w:cs="Times New Roman"/>
        </w:rPr>
        <w:t>: In addition, the new customer journey would also have a feedback loop that would have readings from different devices interpreted and shared for corrective or preventive action. For instance, users can get messages on their recent blood pressure information accompanied by actions that could be taken to have better or improved healthcare outcomes. The approach would help users with knowledge and access to resources that can enhance behaviour change and health-seeking capabilities. This is important in the reduction of risk of undiscovered health complications.</w:t>
      </w:r>
    </w:p>
    <w:p w14:paraId="227969DD" w14:textId="77777777" w:rsidR="00641B6E" w:rsidRPr="00DF7024" w:rsidRDefault="00641B6E" w:rsidP="00641B6E">
      <w:pPr>
        <w:spacing w:before="100" w:beforeAutospacing="1" w:after="100" w:afterAutospacing="1" w:line="480" w:lineRule="auto"/>
        <w:jc w:val="both"/>
        <w:rPr>
          <w:rFonts w:ascii="Times New Roman" w:hAnsi="Times New Roman" w:cs="Times New Roman"/>
        </w:rPr>
      </w:pPr>
      <w:r w:rsidRPr="00DF7024">
        <w:rPr>
          <w:rFonts w:ascii="Times New Roman" w:hAnsi="Times New Roman" w:cs="Times New Roman"/>
          <w:b/>
          <w:bCs/>
        </w:rPr>
        <w:t>Data consolidation and alerts</w:t>
      </w:r>
      <w:r w:rsidRPr="00DF7024">
        <w:rPr>
          <w:rFonts w:ascii="Times New Roman" w:hAnsi="Times New Roman" w:cs="Times New Roman"/>
        </w:rPr>
        <w:t xml:space="preserve">: The application would also </w:t>
      </w:r>
      <w:proofErr w:type="gramStart"/>
      <w:r w:rsidRPr="00DF7024">
        <w:rPr>
          <w:rFonts w:ascii="Times New Roman" w:hAnsi="Times New Roman" w:cs="Times New Roman"/>
        </w:rPr>
        <w:t>have the ability to</w:t>
      </w:r>
      <w:proofErr w:type="gramEnd"/>
      <w:r w:rsidRPr="00DF7024">
        <w:rPr>
          <w:rFonts w:ascii="Times New Roman" w:hAnsi="Times New Roman" w:cs="Times New Roman"/>
        </w:rPr>
        <w:t xml:space="preserve"> give alerts if the data collected notes any abnormalities that would therefore require immediate action or prompt intervention. This can also inform the need for further follow-ups with professional advice and support always available to users. In cases of emergency, the platform can act as an intermediary between users and healthcare facilities. Given the resources available, healthcare professionals can respond in a timely manner with necessary interventions which can greatly reduce emergency admissions and avoidable healthcare complications.</w:t>
      </w:r>
    </w:p>
    <w:p w14:paraId="26DF09DF" w14:textId="77777777" w:rsidR="00641B6E" w:rsidRPr="00DF7024" w:rsidRDefault="00641B6E" w:rsidP="00641B6E">
      <w:pPr>
        <w:spacing w:before="100" w:beforeAutospacing="1" w:after="100" w:afterAutospacing="1" w:line="480" w:lineRule="auto"/>
        <w:jc w:val="both"/>
        <w:rPr>
          <w:rFonts w:ascii="Times New Roman" w:hAnsi="Times New Roman" w:cs="Times New Roman"/>
        </w:rPr>
      </w:pPr>
      <w:r w:rsidRPr="00DF7024">
        <w:rPr>
          <w:rFonts w:ascii="Times New Roman" w:hAnsi="Times New Roman" w:cs="Times New Roman"/>
          <w:b/>
          <w:bCs/>
        </w:rPr>
        <w:lastRenderedPageBreak/>
        <w:t>Service scheduling</w:t>
      </w:r>
      <w:r w:rsidRPr="00DF7024">
        <w:rPr>
          <w:rFonts w:ascii="Times New Roman" w:hAnsi="Times New Roman" w:cs="Times New Roman"/>
        </w:rPr>
        <w:t>: With regards to interventions, the new journey would reference having immediate schedules with consultants either remotely or physically depending on the severity or seriousness of the issues at hand. This can either be through remote means like chatbots or tele-consult services. With integrating booking functionalities, a seamless pathway based on data insights can be beneficial for effective planning and action.</w:t>
      </w:r>
    </w:p>
    <w:p w14:paraId="558A6788" w14:textId="77777777" w:rsidR="00641B6E" w:rsidRPr="00DF7024" w:rsidRDefault="00641B6E" w:rsidP="00641B6E">
      <w:pPr>
        <w:spacing w:before="100" w:beforeAutospacing="1" w:after="100" w:afterAutospacing="1" w:line="480" w:lineRule="auto"/>
        <w:jc w:val="both"/>
        <w:rPr>
          <w:rFonts w:ascii="Times New Roman" w:hAnsi="Times New Roman" w:cs="Times New Roman"/>
        </w:rPr>
      </w:pPr>
      <w:r w:rsidRPr="00DF7024">
        <w:rPr>
          <w:rFonts w:ascii="Times New Roman" w:hAnsi="Times New Roman" w:cs="Times New Roman"/>
          <w:b/>
          <w:bCs/>
        </w:rPr>
        <w:t>Preventive care:</w:t>
      </w:r>
      <w:r w:rsidRPr="00DF7024">
        <w:rPr>
          <w:rFonts w:ascii="Times New Roman" w:hAnsi="Times New Roman" w:cs="Times New Roman"/>
        </w:rPr>
        <w:t xml:space="preserve"> The new journey would also integrate preventive healthcare practices with the ability to schedule follow-ups and provide educational content on different topics of interest. For instance, users can be advised on critical issues like diet and exercise. For patients with different conditions like diabetes, hypertension, or obesity, they would be subjected to additional services to help with coping and healthy lifestyles given their pre-existing conditions. Based on the data on the platform, long-term preventive measures can be taken for users and their families. This seeks to identify areas that could benefit from preventive care and </w:t>
      </w:r>
      <w:proofErr w:type="gramStart"/>
      <w:r w:rsidRPr="00DF7024">
        <w:rPr>
          <w:rFonts w:ascii="Times New Roman" w:hAnsi="Times New Roman" w:cs="Times New Roman"/>
        </w:rPr>
        <w:t>take action</w:t>
      </w:r>
      <w:proofErr w:type="gramEnd"/>
      <w:r w:rsidRPr="00DF7024">
        <w:rPr>
          <w:rFonts w:ascii="Times New Roman" w:hAnsi="Times New Roman" w:cs="Times New Roman"/>
        </w:rPr>
        <w:t xml:space="preserve"> accordingly in collaboration with other healthcare providers and professionals.</w:t>
      </w:r>
    </w:p>
    <w:p w14:paraId="03901048" w14:textId="32B33841" w:rsidR="008D3B52" w:rsidRPr="00E34F71" w:rsidRDefault="003338FF" w:rsidP="00533174">
      <w:pPr>
        <w:spacing w:before="100" w:beforeAutospacing="1" w:after="100" w:afterAutospacing="1" w:line="480" w:lineRule="auto"/>
        <w:jc w:val="both"/>
        <w:rPr>
          <w:rFonts w:ascii="Times New Roman" w:hAnsi="Times New Roman" w:cs="Times New Roman"/>
        </w:rPr>
      </w:pPr>
      <w:r w:rsidRPr="003338FF">
        <w:rPr>
          <w:rFonts w:ascii="Times New Roman" w:hAnsi="Times New Roman" w:cs="Times New Roman"/>
        </w:rPr>
        <w:t xml:space="preserve">A repeat cycle would also be included where all user data can be reviewed either automatically </w:t>
      </w:r>
      <w:r w:rsidR="00DF7024" w:rsidRPr="003338FF">
        <w:rPr>
          <w:rFonts w:ascii="Times New Roman" w:hAnsi="Times New Roman" w:cs="Times New Roman"/>
        </w:rPr>
        <w:t>or</w:t>
      </w:r>
      <w:r w:rsidRPr="003338FF">
        <w:rPr>
          <w:rFonts w:ascii="Times New Roman" w:hAnsi="Times New Roman" w:cs="Times New Roman"/>
        </w:rPr>
        <w:t xml:space="preserve"> with the help of health professionals for optimal outcomes.</w:t>
      </w:r>
    </w:p>
    <w:p w14:paraId="78F2552D" w14:textId="77777777" w:rsidR="00B86C23" w:rsidRDefault="003338FF" w:rsidP="00533174">
      <w:pPr>
        <w:spacing w:before="100" w:beforeAutospacing="1" w:after="100" w:afterAutospacing="1" w:line="480" w:lineRule="auto"/>
        <w:jc w:val="both"/>
        <w:rPr>
          <w:rFonts w:ascii="Times New Roman" w:hAnsi="Times New Roman" w:cs="Times New Roman"/>
        </w:rPr>
      </w:pPr>
      <w:r w:rsidRPr="003338FF">
        <w:rPr>
          <w:rFonts w:ascii="Times New Roman" w:hAnsi="Times New Roman" w:cs="Times New Roman"/>
        </w:rPr>
        <w:t xml:space="preserve">Based on the new initiative, the new customer journey would entail more than just refilling pills but having a cohesive loop for monitoring and feedback. The primary areas of concern include having proactive care where data is used for decision-making between patient visits. Personalisation would also allow for better healthcare management with enhanced outcomes as opposed to just standard schedules. The engagement between users, practitioners, and the system would also create trust based on observed outcomes which can also be evaluated based on data collected. The new initiative is also outcome-focused aiming for accuracy instead of bland design of medications. This is achievable through system tracks that ensure that patient </w:t>
      </w:r>
      <w:r w:rsidRPr="003338FF">
        <w:rPr>
          <w:rFonts w:ascii="Times New Roman" w:hAnsi="Times New Roman" w:cs="Times New Roman"/>
        </w:rPr>
        <w:lastRenderedPageBreak/>
        <w:t>outcomes improve and additional action is taken where necessary and in a prompt and professional way.</w:t>
      </w:r>
    </w:p>
    <w:p w14:paraId="113DEB56" w14:textId="6D6C908D" w:rsidR="009852DD" w:rsidRPr="009852DD" w:rsidRDefault="003338FF" w:rsidP="00533174">
      <w:pPr>
        <w:spacing w:before="100" w:beforeAutospacing="1" w:after="100" w:afterAutospacing="1" w:line="480" w:lineRule="auto"/>
        <w:jc w:val="center"/>
        <w:rPr>
          <w:rFonts w:ascii="Times New Roman" w:hAnsi="Times New Roman" w:cs="Times New Roman"/>
        </w:rPr>
      </w:pPr>
      <w:r w:rsidRPr="003338FF">
        <w:rPr>
          <w:rFonts w:ascii="Times New Roman" w:hAnsi="Times New Roman" w:cs="Times New Roman"/>
          <w:b/>
          <w:bCs/>
        </w:rPr>
        <w:t>Conclusion</w:t>
      </w:r>
    </w:p>
    <w:p w14:paraId="50BDB33E" w14:textId="38C6C29E" w:rsidR="009852DD" w:rsidRPr="009852DD" w:rsidRDefault="009852DD" w:rsidP="00533174">
      <w:pPr>
        <w:spacing w:before="100" w:beforeAutospacing="1" w:after="100" w:afterAutospacing="1" w:line="480" w:lineRule="auto"/>
        <w:rPr>
          <w:rFonts w:ascii="Times New Roman" w:hAnsi="Times New Roman" w:cs="Times New Roman"/>
        </w:rPr>
      </w:pPr>
      <w:r w:rsidRPr="009852DD">
        <w:rPr>
          <w:rFonts w:ascii="Times New Roman" w:hAnsi="Times New Roman" w:cs="Times New Roman"/>
        </w:rPr>
        <w:t>Pharmacy2U is a leader in the UK’s digital pharmacy industry with a proven automated dispensing model that focuses on patient‐centric convenience Pharmacy2U’s current innovation strategy optim</w:t>
      </w:r>
      <w:r w:rsidR="00B86C23">
        <w:rPr>
          <w:rFonts w:ascii="Times New Roman" w:hAnsi="Times New Roman" w:cs="Times New Roman"/>
        </w:rPr>
        <w:t xml:space="preserve">ises its </w:t>
      </w:r>
      <w:r w:rsidRPr="009852DD">
        <w:rPr>
          <w:rFonts w:ascii="Times New Roman" w:hAnsi="Times New Roman" w:cs="Times New Roman"/>
        </w:rPr>
        <w:t xml:space="preserve"> core efficiency </w:t>
      </w:r>
      <w:r w:rsidR="00B86C23">
        <w:rPr>
          <w:rFonts w:ascii="Times New Roman" w:hAnsi="Times New Roman" w:cs="Times New Roman"/>
        </w:rPr>
        <w:t xml:space="preserve">in </w:t>
      </w:r>
      <w:r w:rsidRPr="009852DD">
        <w:rPr>
          <w:rFonts w:ascii="Times New Roman" w:hAnsi="Times New Roman" w:cs="Times New Roman"/>
        </w:rPr>
        <w:t>robotics, EPS</w:t>
      </w:r>
      <w:r w:rsidR="00B86C23">
        <w:rPr>
          <w:rFonts w:ascii="Times New Roman" w:hAnsi="Times New Roman" w:cs="Times New Roman"/>
        </w:rPr>
        <w:t xml:space="preserve">, </w:t>
      </w:r>
      <w:r w:rsidRPr="009852DD">
        <w:rPr>
          <w:rFonts w:ascii="Times New Roman" w:hAnsi="Times New Roman" w:cs="Times New Roman"/>
        </w:rPr>
        <w:t xml:space="preserve">and adjacent expansion </w:t>
      </w:r>
      <w:r w:rsidR="00B86C23">
        <w:rPr>
          <w:rFonts w:ascii="Times New Roman" w:hAnsi="Times New Roman" w:cs="Times New Roman"/>
        </w:rPr>
        <w:t xml:space="preserve">to </w:t>
      </w:r>
      <w:r w:rsidRPr="009852DD">
        <w:rPr>
          <w:rFonts w:ascii="Times New Roman" w:hAnsi="Times New Roman" w:cs="Times New Roman"/>
        </w:rPr>
        <w:t>digital services and wellness</w:t>
      </w:r>
      <w:r w:rsidR="00B86C23">
        <w:rPr>
          <w:rFonts w:ascii="Times New Roman" w:hAnsi="Times New Roman" w:cs="Times New Roman"/>
        </w:rPr>
        <w:t xml:space="preserve"> programs</w:t>
      </w:r>
      <w:r w:rsidRPr="009852DD">
        <w:rPr>
          <w:rFonts w:ascii="Times New Roman" w:hAnsi="Times New Roman" w:cs="Times New Roman"/>
        </w:rPr>
        <w:t>. However, the rapid digital health evolution defined by patient needs for integrated and preventive services necessitates more bold moves. Shifting to a SmartCare Ecosystem would allow Pharmacy2U to redesign its data-centric customer journey and maximize the health value offered. This not only strengthens Pharmacy2U’s competitive edge, but also supports the NHS’s digital-first, community-focused, preventive goals. In summary, Pharmacy2U’s continued success hinges on its ability to monitor industry trends (aging populations, telehealth, AI) alongside all three innovation ambition horizons, ensuring it sustains the “expert and innovative leader” position in UK online pharmacy.</w:t>
      </w:r>
    </w:p>
    <w:p w14:paraId="58A2D9AC" w14:textId="77777777" w:rsidR="009852DD" w:rsidRPr="003338FF" w:rsidRDefault="009852DD" w:rsidP="00533174">
      <w:pPr>
        <w:spacing w:before="100" w:beforeAutospacing="1" w:after="100" w:afterAutospacing="1" w:line="480" w:lineRule="auto"/>
      </w:pPr>
    </w:p>
    <w:p w14:paraId="72FFD668" w14:textId="77777777" w:rsidR="003338FF" w:rsidRDefault="003338FF" w:rsidP="00533174">
      <w:pPr>
        <w:spacing w:before="100" w:beforeAutospacing="1" w:after="100" w:afterAutospacing="1" w:line="480" w:lineRule="auto"/>
        <w:jc w:val="both"/>
        <w:rPr>
          <w:rFonts w:ascii="Times New Roman" w:hAnsi="Times New Roman" w:cs="Times New Roman"/>
        </w:rPr>
      </w:pPr>
    </w:p>
    <w:p w14:paraId="2593E37E" w14:textId="77777777" w:rsidR="00B86C23" w:rsidRDefault="00B86C23" w:rsidP="00533174">
      <w:pPr>
        <w:spacing w:before="100" w:beforeAutospacing="1" w:after="100" w:afterAutospacing="1" w:line="480" w:lineRule="auto"/>
        <w:jc w:val="both"/>
        <w:rPr>
          <w:rFonts w:ascii="Times New Roman" w:hAnsi="Times New Roman" w:cs="Times New Roman"/>
        </w:rPr>
      </w:pPr>
    </w:p>
    <w:p w14:paraId="3807A3DF" w14:textId="77777777" w:rsidR="00B86C23" w:rsidRDefault="00B86C23" w:rsidP="00533174">
      <w:pPr>
        <w:spacing w:before="100" w:beforeAutospacing="1" w:after="100" w:afterAutospacing="1" w:line="480" w:lineRule="auto"/>
        <w:jc w:val="both"/>
        <w:rPr>
          <w:rFonts w:ascii="Times New Roman" w:hAnsi="Times New Roman" w:cs="Times New Roman"/>
        </w:rPr>
      </w:pPr>
    </w:p>
    <w:p w14:paraId="7E21D067" w14:textId="77777777" w:rsidR="00720802" w:rsidRPr="00E34F71" w:rsidRDefault="00720802" w:rsidP="00533174">
      <w:pPr>
        <w:spacing w:before="100" w:beforeAutospacing="1" w:after="100" w:afterAutospacing="1" w:line="480" w:lineRule="auto"/>
        <w:jc w:val="both"/>
        <w:rPr>
          <w:rFonts w:ascii="Times New Roman" w:hAnsi="Times New Roman" w:cs="Times New Roman"/>
        </w:rPr>
      </w:pPr>
    </w:p>
    <w:p w14:paraId="2C4FCFE0" w14:textId="5D8CCC57" w:rsidR="00E34F71" w:rsidRDefault="00E34F71" w:rsidP="00533174">
      <w:pPr>
        <w:pStyle w:val="Heading1"/>
        <w:spacing w:before="100" w:beforeAutospacing="1" w:after="100" w:afterAutospacing="1" w:line="480" w:lineRule="auto"/>
        <w:jc w:val="center"/>
        <w:rPr>
          <w:rFonts w:ascii="Times New Roman" w:hAnsi="Times New Roman" w:cs="Times New Roman"/>
          <w:b/>
          <w:bCs/>
          <w:color w:val="auto"/>
          <w:sz w:val="24"/>
          <w:szCs w:val="24"/>
        </w:rPr>
      </w:pPr>
      <w:bookmarkStart w:id="10" w:name="_Toc215488604"/>
      <w:r w:rsidRPr="00E34F71">
        <w:rPr>
          <w:rFonts w:ascii="Times New Roman" w:hAnsi="Times New Roman" w:cs="Times New Roman"/>
          <w:b/>
          <w:bCs/>
          <w:color w:val="auto"/>
          <w:sz w:val="24"/>
          <w:szCs w:val="24"/>
        </w:rPr>
        <w:lastRenderedPageBreak/>
        <w:t>References</w:t>
      </w:r>
      <w:bookmarkEnd w:id="10"/>
    </w:p>
    <w:p w14:paraId="51CC68C1"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Allcock, J.A., Zhuang, M., Li, S. and Zhao, X., (2024). Landscape of digital technologies used in the national health service in England: content analysis. </w:t>
      </w:r>
      <w:r w:rsidRPr="00D711A9">
        <w:rPr>
          <w:rFonts w:ascii="Times New Roman" w:hAnsi="Times New Roman" w:cs="Times New Roman"/>
          <w:i/>
          <w:iCs/>
        </w:rPr>
        <w:t>JMIR Formative Research</w:t>
      </w:r>
      <w:r w:rsidRPr="00D711A9">
        <w:rPr>
          <w:rFonts w:ascii="Times New Roman" w:hAnsi="Times New Roman" w:cs="Times New Roman"/>
        </w:rPr>
        <w:t>, </w:t>
      </w:r>
      <w:r w:rsidRPr="00D711A9">
        <w:rPr>
          <w:rFonts w:ascii="Times New Roman" w:hAnsi="Times New Roman" w:cs="Times New Roman"/>
          <w:i/>
          <w:iCs/>
        </w:rPr>
        <w:t>8</w:t>
      </w:r>
      <w:r w:rsidRPr="00D711A9">
        <w:rPr>
          <w:rFonts w:ascii="Times New Roman" w:hAnsi="Times New Roman" w:cs="Times New Roman"/>
        </w:rPr>
        <w:t>, p.e51859.</w:t>
      </w:r>
    </w:p>
    <w:p w14:paraId="29DB8B68"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De la Torre, K., Min, S., Lee, H. and Kang, D., (2025). The Application of Preventive Medicine in the Future Digital Health Era. </w:t>
      </w:r>
      <w:r w:rsidRPr="00D711A9">
        <w:rPr>
          <w:rFonts w:ascii="Times New Roman" w:hAnsi="Times New Roman" w:cs="Times New Roman"/>
          <w:i/>
          <w:iCs/>
        </w:rPr>
        <w:t>Journal of Medical Internet Research</w:t>
      </w:r>
      <w:r w:rsidRPr="00D711A9">
        <w:rPr>
          <w:rFonts w:ascii="Times New Roman" w:hAnsi="Times New Roman" w:cs="Times New Roman"/>
        </w:rPr>
        <w:t>, </w:t>
      </w:r>
      <w:r w:rsidRPr="00D711A9">
        <w:rPr>
          <w:rFonts w:ascii="Times New Roman" w:hAnsi="Times New Roman" w:cs="Times New Roman"/>
          <w:i/>
          <w:iCs/>
        </w:rPr>
        <w:t>27</w:t>
      </w:r>
      <w:r w:rsidRPr="00D711A9">
        <w:rPr>
          <w:rFonts w:ascii="Times New Roman" w:hAnsi="Times New Roman" w:cs="Times New Roman"/>
        </w:rPr>
        <w:t>, p.e59165.</w:t>
      </w:r>
    </w:p>
    <w:p w14:paraId="667FDFB5"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 xml:space="preserve">de </w:t>
      </w:r>
      <w:proofErr w:type="spellStart"/>
      <w:r w:rsidRPr="00D711A9">
        <w:rPr>
          <w:rFonts w:ascii="Times New Roman" w:hAnsi="Times New Roman" w:cs="Times New Roman"/>
        </w:rPr>
        <w:t>Mooij</w:t>
      </w:r>
      <w:proofErr w:type="spellEnd"/>
      <w:r w:rsidRPr="00D711A9">
        <w:rPr>
          <w:rFonts w:ascii="Times New Roman" w:hAnsi="Times New Roman" w:cs="Times New Roman"/>
        </w:rPr>
        <w:t xml:space="preserve">, M., (2022) </w:t>
      </w:r>
      <w:r w:rsidRPr="00D711A9">
        <w:rPr>
          <w:rFonts w:ascii="Times New Roman" w:hAnsi="Times New Roman" w:cs="Times New Roman"/>
          <w:i/>
          <w:iCs/>
        </w:rPr>
        <w:t>“Principles for digital transformation across the patient journey”</w:t>
      </w:r>
      <w:r w:rsidRPr="00D711A9">
        <w:rPr>
          <w:rFonts w:ascii="Times New Roman" w:hAnsi="Times New Roman" w:cs="Times New Roman"/>
        </w:rPr>
        <w:t>, PMC (PubMed Central). Available at: https://www.ncbi.nlm.nih.gov/pmc/articles/PMC8980412/ (Accessed: 30 Oct 2025).</w:t>
      </w:r>
    </w:p>
    <w:p w14:paraId="52B6152B"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 xml:space="preserve">Digital Health (2024) </w:t>
      </w:r>
      <w:r w:rsidRPr="00D711A9">
        <w:rPr>
          <w:rFonts w:ascii="Times New Roman" w:hAnsi="Times New Roman" w:cs="Times New Roman"/>
          <w:i/>
          <w:iCs/>
        </w:rPr>
        <w:t>“Pharmacy2U joins the NHS Pharmacy First service”</w:t>
      </w:r>
      <w:r w:rsidRPr="00D711A9">
        <w:rPr>
          <w:rFonts w:ascii="Times New Roman" w:hAnsi="Times New Roman" w:cs="Times New Roman"/>
        </w:rPr>
        <w:t>, 15 June. Available at: https://www.digitalhealth.net/2024/02/pharmacy2u-joins-the-nhs-pharmacy-first-service/#:~:text=NHS%20Pharmacy%20First … (Accessed: 28 October 2025).</w:t>
      </w:r>
    </w:p>
    <w:p w14:paraId="2E56FA79"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 xml:space="preserve">Glover, R.E., Lalani, M., </w:t>
      </w:r>
      <w:proofErr w:type="spellStart"/>
      <w:r w:rsidRPr="00D711A9">
        <w:rPr>
          <w:rFonts w:ascii="Times New Roman" w:hAnsi="Times New Roman" w:cs="Times New Roman"/>
        </w:rPr>
        <w:t>Sonnex</w:t>
      </w:r>
      <w:proofErr w:type="spellEnd"/>
      <w:r w:rsidRPr="00D711A9">
        <w:rPr>
          <w:rFonts w:ascii="Times New Roman" w:hAnsi="Times New Roman" w:cs="Times New Roman"/>
        </w:rPr>
        <w:t>, K., Allen, T., Anderson, C., Ashiru-</w:t>
      </w:r>
      <w:proofErr w:type="spellStart"/>
      <w:r w:rsidRPr="00D711A9">
        <w:rPr>
          <w:rFonts w:ascii="Times New Roman" w:hAnsi="Times New Roman" w:cs="Times New Roman"/>
        </w:rPr>
        <w:t>Oredope</w:t>
      </w:r>
      <w:proofErr w:type="spellEnd"/>
      <w:r w:rsidRPr="00D711A9">
        <w:rPr>
          <w:rFonts w:ascii="Times New Roman" w:hAnsi="Times New Roman" w:cs="Times New Roman"/>
        </w:rPr>
        <w:t>, D., Avery, A., Coupland, C., Elliott, R., Goulding, J. and Higgins, H., (2025). A mixed methods protocol for an impact and implementation evaluation of the Pharmacy First Services for management of common conditions in England. </w:t>
      </w:r>
      <w:r w:rsidRPr="00D711A9">
        <w:rPr>
          <w:rFonts w:ascii="Times New Roman" w:hAnsi="Times New Roman" w:cs="Times New Roman"/>
          <w:i/>
          <w:iCs/>
        </w:rPr>
        <w:t>International Journal of Pharmacy Practice</w:t>
      </w:r>
      <w:r w:rsidRPr="00D711A9">
        <w:rPr>
          <w:rFonts w:ascii="Times New Roman" w:hAnsi="Times New Roman" w:cs="Times New Roman"/>
        </w:rPr>
        <w:t>, </w:t>
      </w:r>
      <w:r w:rsidRPr="00D711A9">
        <w:rPr>
          <w:rFonts w:ascii="Times New Roman" w:hAnsi="Times New Roman" w:cs="Times New Roman"/>
          <w:i/>
          <w:iCs/>
        </w:rPr>
        <w:t>33</w:t>
      </w:r>
      <w:r w:rsidRPr="00D711A9">
        <w:rPr>
          <w:rFonts w:ascii="Times New Roman" w:hAnsi="Times New Roman" w:cs="Times New Roman"/>
        </w:rPr>
        <w:t>(2), pp.152-161.</w:t>
      </w:r>
    </w:p>
    <w:p w14:paraId="59D3C45B"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 xml:space="preserve">Ibeh, C.V., </w:t>
      </w:r>
      <w:proofErr w:type="spellStart"/>
      <w:r w:rsidRPr="00D711A9">
        <w:rPr>
          <w:rFonts w:ascii="Times New Roman" w:hAnsi="Times New Roman" w:cs="Times New Roman"/>
        </w:rPr>
        <w:t>Elufioye</w:t>
      </w:r>
      <w:proofErr w:type="spellEnd"/>
      <w:r w:rsidRPr="00D711A9">
        <w:rPr>
          <w:rFonts w:ascii="Times New Roman" w:hAnsi="Times New Roman" w:cs="Times New Roman"/>
        </w:rPr>
        <w:t xml:space="preserve">, O.A., </w:t>
      </w:r>
      <w:proofErr w:type="spellStart"/>
      <w:r w:rsidRPr="00D711A9">
        <w:rPr>
          <w:rFonts w:ascii="Times New Roman" w:hAnsi="Times New Roman" w:cs="Times New Roman"/>
        </w:rPr>
        <w:t>Olorunsogo</w:t>
      </w:r>
      <w:proofErr w:type="spellEnd"/>
      <w:r w:rsidRPr="00D711A9">
        <w:rPr>
          <w:rFonts w:ascii="Times New Roman" w:hAnsi="Times New Roman" w:cs="Times New Roman"/>
        </w:rPr>
        <w:t xml:space="preserve">, T., </w:t>
      </w:r>
      <w:proofErr w:type="spellStart"/>
      <w:r w:rsidRPr="00D711A9">
        <w:rPr>
          <w:rFonts w:ascii="Times New Roman" w:hAnsi="Times New Roman" w:cs="Times New Roman"/>
        </w:rPr>
        <w:t>Asuzu</w:t>
      </w:r>
      <w:proofErr w:type="spellEnd"/>
      <w:r w:rsidRPr="00D711A9">
        <w:rPr>
          <w:rFonts w:ascii="Times New Roman" w:hAnsi="Times New Roman" w:cs="Times New Roman"/>
        </w:rPr>
        <w:t xml:space="preserve">, O.F., </w:t>
      </w:r>
      <w:proofErr w:type="spellStart"/>
      <w:r w:rsidRPr="00D711A9">
        <w:rPr>
          <w:rFonts w:ascii="Times New Roman" w:hAnsi="Times New Roman" w:cs="Times New Roman"/>
        </w:rPr>
        <w:t>Nduubuisi</w:t>
      </w:r>
      <w:proofErr w:type="spellEnd"/>
      <w:r w:rsidRPr="00D711A9">
        <w:rPr>
          <w:rFonts w:ascii="Times New Roman" w:hAnsi="Times New Roman" w:cs="Times New Roman"/>
        </w:rPr>
        <w:t xml:space="preserve">, N.L. and </w:t>
      </w:r>
      <w:proofErr w:type="spellStart"/>
      <w:r w:rsidRPr="00D711A9">
        <w:rPr>
          <w:rFonts w:ascii="Times New Roman" w:hAnsi="Times New Roman" w:cs="Times New Roman"/>
        </w:rPr>
        <w:t>Daraojimba</w:t>
      </w:r>
      <w:proofErr w:type="spellEnd"/>
      <w:r w:rsidRPr="00D711A9">
        <w:rPr>
          <w:rFonts w:ascii="Times New Roman" w:hAnsi="Times New Roman" w:cs="Times New Roman"/>
        </w:rPr>
        <w:t xml:space="preserve">, A.I., (2024). Data analytics in healthcare: A review of patient-centric approaches and </w:t>
      </w:r>
      <w:r w:rsidRPr="00D711A9">
        <w:rPr>
          <w:rFonts w:ascii="Times New Roman" w:hAnsi="Times New Roman" w:cs="Times New Roman"/>
        </w:rPr>
        <w:lastRenderedPageBreak/>
        <w:t>healthcare delivery. </w:t>
      </w:r>
      <w:r w:rsidRPr="00D711A9">
        <w:rPr>
          <w:rFonts w:ascii="Times New Roman" w:hAnsi="Times New Roman" w:cs="Times New Roman"/>
          <w:i/>
          <w:iCs/>
        </w:rPr>
        <w:t>World Journal of Advanced Research and Reviews</w:t>
      </w:r>
      <w:r w:rsidRPr="00D711A9">
        <w:rPr>
          <w:rFonts w:ascii="Times New Roman" w:hAnsi="Times New Roman" w:cs="Times New Roman"/>
        </w:rPr>
        <w:t>, </w:t>
      </w:r>
      <w:r w:rsidRPr="00D711A9">
        <w:rPr>
          <w:rFonts w:ascii="Times New Roman" w:hAnsi="Times New Roman" w:cs="Times New Roman"/>
          <w:i/>
          <w:iCs/>
        </w:rPr>
        <w:t>21</w:t>
      </w:r>
      <w:r w:rsidRPr="00D711A9">
        <w:rPr>
          <w:rFonts w:ascii="Times New Roman" w:hAnsi="Times New Roman" w:cs="Times New Roman"/>
        </w:rPr>
        <w:t>(02), pp.1750-1760.</w:t>
      </w:r>
    </w:p>
    <w:p w14:paraId="2C20AD14"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Loughnane, C., Laiti, J., O’Donovan, R. and Dunne, P.J., (2025). Systematic review exploring human, AI, and hybrid health coaching in digital health interventions: trends, engagement, and lifestyle outcomes. </w:t>
      </w:r>
      <w:r w:rsidRPr="00D711A9">
        <w:rPr>
          <w:rFonts w:ascii="Times New Roman" w:hAnsi="Times New Roman" w:cs="Times New Roman"/>
          <w:i/>
          <w:iCs/>
        </w:rPr>
        <w:t>Frontiers in Digital Health</w:t>
      </w:r>
      <w:r w:rsidRPr="00D711A9">
        <w:rPr>
          <w:rFonts w:ascii="Times New Roman" w:hAnsi="Times New Roman" w:cs="Times New Roman"/>
        </w:rPr>
        <w:t>, </w:t>
      </w:r>
      <w:r w:rsidRPr="00D711A9">
        <w:rPr>
          <w:rFonts w:ascii="Times New Roman" w:hAnsi="Times New Roman" w:cs="Times New Roman"/>
          <w:i/>
          <w:iCs/>
        </w:rPr>
        <w:t>7</w:t>
      </w:r>
      <w:r w:rsidRPr="00D711A9">
        <w:rPr>
          <w:rFonts w:ascii="Times New Roman" w:hAnsi="Times New Roman" w:cs="Times New Roman"/>
        </w:rPr>
        <w:t>, p.1536416.</w:t>
      </w:r>
    </w:p>
    <w:p w14:paraId="7C9C9FD2"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Ludwiczak, A., (2021). Using customer journey mapping to improve public services: A critical analysis of the literature. </w:t>
      </w:r>
      <w:r w:rsidRPr="00D711A9">
        <w:rPr>
          <w:rFonts w:ascii="Times New Roman" w:hAnsi="Times New Roman" w:cs="Times New Roman"/>
          <w:i/>
          <w:iCs/>
        </w:rPr>
        <w:t>Management</w:t>
      </w:r>
      <w:r w:rsidRPr="00D711A9">
        <w:rPr>
          <w:rFonts w:ascii="Times New Roman" w:hAnsi="Times New Roman" w:cs="Times New Roman"/>
        </w:rPr>
        <w:t>, </w:t>
      </w:r>
      <w:r w:rsidRPr="00D711A9">
        <w:rPr>
          <w:rFonts w:ascii="Times New Roman" w:hAnsi="Times New Roman" w:cs="Times New Roman"/>
          <w:i/>
          <w:iCs/>
        </w:rPr>
        <w:t>25</w:t>
      </w:r>
      <w:r w:rsidRPr="00D711A9">
        <w:rPr>
          <w:rFonts w:ascii="Times New Roman" w:hAnsi="Times New Roman" w:cs="Times New Roman"/>
        </w:rPr>
        <w:t>(2), pp.22-35.</w:t>
      </w:r>
    </w:p>
    <w:p w14:paraId="1FAC270A"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McCurtin, A., Collins, L., Doody, O., Kelly, D., Lazenby-Paterson, T., Lisiecka, D., Smith, A. and O’Keeffe, S., (2025). Trends in GP dispensing of thickeners in the NHS England, 2019-24. </w:t>
      </w:r>
      <w:proofErr w:type="spellStart"/>
      <w:r w:rsidRPr="00D711A9">
        <w:rPr>
          <w:rFonts w:ascii="Times New Roman" w:hAnsi="Times New Roman" w:cs="Times New Roman"/>
          <w:i/>
          <w:iCs/>
        </w:rPr>
        <w:t>medRxiv</w:t>
      </w:r>
      <w:proofErr w:type="spellEnd"/>
      <w:r w:rsidRPr="00D711A9">
        <w:rPr>
          <w:rFonts w:ascii="Times New Roman" w:hAnsi="Times New Roman" w:cs="Times New Roman"/>
        </w:rPr>
        <w:t>, pp.2025-09.</w:t>
      </w:r>
    </w:p>
    <w:p w14:paraId="2A6265E7"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Motta-</w:t>
      </w:r>
      <w:proofErr w:type="spellStart"/>
      <w:r w:rsidRPr="00D711A9">
        <w:rPr>
          <w:rFonts w:ascii="Times New Roman" w:hAnsi="Times New Roman" w:cs="Times New Roman"/>
        </w:rPr>
        <w:t>Yanac</w:t>
      </w:r>
      <w:proofErr w:type="spellEnd"/>
      <w:r w:rsidRPr="00D711A9">
        <w:rPr>
          <w:rFonts w:ascii="Times New Roman" w:hAnsi="Times New Roman" w:cs="Times New Roman"/>
        </w:rPr>
        <w:t xml:space="preserve">, E., Riley, V., Ellis, N.J., </w:t>
      </w:r>
      <w:proofErr w:type="spellStart"/>
      <w:r w:rsidRPr="00D711A9">
        <w:rPr>
          <w:rFonts w:ascii="Times New Roman" w:hAnsi="Times New Roman" w:cs="Times New Roman"/>
        </w:rPr>
        <w:t>Mankoo</w:t>
      </w:r>
      <w:proofErr w:type="spellEnd"/>
      <w:r w:rsidRPr="00D711A9">
        <w:rPr>
          <w:rFonts w:ascii="Times New Roman" w:hAnsi="Times New Roman" w:cs="Times New Roman"/>
        </w:rPr>
        <w:t>, A. and Gidlow, C.J., (2024). The digital prescription: A systematic review and meta-analysis of smartphone apps for blood pressure control. </w:t>
      </w:r>
      <w:r w:rsidRPr="00D711A9">
        <w:rPr>
          <w:rFonts w:ascii="Times New Roman" w:hAnsi="Times New Roman" w:cs="Times New Roman"/>
          <w:i/>
          <w:iCs/>
        </w:rPr>
        <w:t>International journal of medical informatics</w:t>
      </w:r>
      <w:r w:rsidRPr="00D711A9">
        <w:rPr>
          <w:rFonts w:ascii="Times New Roman" w:hAnsi="Times New Roman" w:cs="Times New Roman"/>
        </w:rPr>
        <w:t>, p.105755.</w:t>
      </w:r>
    </w:p>
    <w:p w14:paraId="1BEC1C65"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proofErr w:type="spellStart"/>
      <w:r w:rsidRPr="00D711A9">
        <w:rPr>
          <w:rFonts w:ascii="Times New Roman" w:hAnsi="Times New Roman" w:cs="Times New Roman"/>
        </w:rPr>
        <w:t>Paloumpi</w:t>
      </w:r>
      <w:proofErr w:type="spellEnd"/>
      <w:r w:rsidRPr="00D711A9">
        <w:rPr>
          <w:rFonts w:ascii="Times New Roman" w:hAnsi="Times New Roman" w:cs="Times New Roman"/>
        </w:rPr>
        <w:t>, E., Ozieranski, P., Watson, M.C. and Jones, M.D., 2024. Pharmacy users’ perceptions, awareness and future expectations of community pharmacy in England: a focus group study. </w:t>
      </w:r>
      <w:r w:rsidRPr="00D711A9">
        <w:rPr>
          <w:rFonts w:ascii="Times New Roman" w:hAnsi="Times New Roman" w:cs="Times New Roman"/>
          <w:i/>
          <w:iCs/>
        </w:rPr>
        <w:t>International Journal of Pharmacy Practice</w:t>
      </w:r>
      <w:r w:rsidRPr="00D711A9">
        <w:rPr>
          <w:rFonts w:ascii="Times New Roman" w:hAnsi="Times New Roman" w:cs="Times New Roman"/>
        </w:rPr>
        <w:t>, </w:t>
      </w:r>
      <w:r w:rsidRPr="00D711A9">
        <w:rPr>
          <w:rFonts w:ascii="Times New Roman" w:hAnsi="Times New Roman" w:cs="Times New Roman"/>
          <w:i/>
          <w:iCs/>
        </w:rPr>
        <w:t>32</w:t>
      </w:r>
      <w:r w:rsidRPr="00D711A9">
        <w:rPr>
          <w:rFonts w:ascii="Times New Roman" w:hAnsi="Times New Roman" w:cs="Times New Roman"/>
        </w:rPr>
        <w:t>(1), pp.39-45.</w:t>
      </w:r>
    </w:p>
    <w:p w14:paraId="4C0A217D"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Peckham, S., (2023). Evaluation of Government Commitments made on the digitisation of the NHS.</w:t>
      </w:r>
    </w:p>
    <w:p w14:paraId="3BB3873C"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 xml:space="preserve">Pharmacy Magazine (2024) </w:t>
      </w:r>
      <w:r w:rsidRPr="00D711A9">
        <w:rPr>
          <w:rFonts w:ascii="Times New Roman" w:hAnsi="Times New Roman" w:cs="Times New Roman"/>
          <w:i/>
          <w:iCs/>
        </w:rPr>
        <w:t>“Pharmacy2U goes back to making a loss after two-year blip”</w:t>
      </w:r>
      <w:r w:rsidRPr="00D711A9">
        <w:rPr>
          <w:rFonts w:ascii="Times New Roman" w:hAnsi="Times New Roman" w:cs="Times New Roman"/>
        </w:rPr>
        <w:t>, 08 February. Available at: https://www.pharmacymagazine.co.uk/retailer-news/pharmacy2u-goes-back-to-making-a-loss-after-two-year-blip (Accessed: 28 October 2025)</w:t>
      </w:r>
    </w:p>
    <w:p w14:paraId="7157E5EE"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lastRenderedPageBreak/>
        <w:t xml:space="preserve">Pharmacy2U (2023) </w:t>
      </w:r>
      <w:r w:rsidRPr="00D711A9">
        <w:rPr>
          <w:rFonts w:ascii="Times New Roman" w:hAnsi="Times New Roman" w:cs="Times New Roman"/>
          <w:i/>
          <w:iCs/>
        </w:rPr>
        <w:t>“Pharmacy2U launches UK first combined health digital platform”</w:t>
      </w:r>
      <w:r w:rsidRPr="00D711A9">
        <w:rPr>
          <w:rFonts w:ascii="Times New Roman" w:hAnsi="Times New Roman" w:cs="Times New Roman"/>
        </w:rPr>
        <w:t>, Pharmacy2U Media Centre, 15 May. Available at: https://www.pharmacy2u.co.uk/about/media-centre/news/pharmacy2u-launches-uk-first-combined-health-digital-platform (Accessed: 28 October 2025).</w:t>
      </w:r>
    </w:p>
    <w:p w14:paraId="541CD332"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 xml:space="preserve">Pharmacy2U (2025) </w:t>
      </w:r>
      <w:r w:rsidRPr="00D711A9">
        <w:rPr>
          <w:rFonts w:ascii="Times New Roman" w:hAnsi="Times New Roman" w:cs="Times New Roman"/>
          <w:i/>
          <w:iCs/>
        </w:rPr>
        <w:t>“Pharmacy2U launches the UK’s first digital platform combining pharmacy, GP, NHS, vet and wellness services in a single app”</w:t>
      </w:r>
      <w:r w:rsidRPr="00D711A9">
        <w:rPr>
          <w:rFonts w:ascii="Times New Roman" w:hAnsi="Times New Roman" w:cs="Times New Roman"/>
        </w:rPr>
        <w:t>, Pharmacy2U Media Centre, 25 February. Available at: https://www.pharmacy2u.co.uk/about/media-centre/news/pharmacy2u-launches-uk-first-combined-health-digital-platform (Accessed: 28 October 2025</w:t>
      </w:r>
    </w:p>
    <w:p w14:paraId="70DF0931"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 xml:space="preserve">Pharmacy2U (2025) </w:t>
      </w:r>
      <w:r w:rsidRPr="00D711A9">
        <w:rPr>
          <w:rFonts w:ascii="Times New Roman" w:hAnsi="Times New Roman" w:cs="Times New Roman"/>
          <w:i/>
          <w:iCs/>
        </w:rPr>
        <w:t>Written evidence from Pharmacy2U (MED0035)</w:t>
      </w:r>
      <w:r w:rsidRPr="00D711A9">
        <w:rPr>
          <w:rFonts w:ascii="Times New Roman" w:hAnsi="Times New Roman" w:cs="Times New Roman"/>
        </w:rPr>
        <w:t>. Health and Social Care Committee, UK Parliament. Available at: https://committees.parliament.uk/writtenevidence/148811/pdf/ (Accessed: 28 October 2025)</w:t>
      </w:r>
    </w:p>
    <w:p w14:paraId="37708973"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 xml:space="preserve">Pichler, R. (2025) </w:t>
      </w:r>
      <w:r w:rsidRPr="00D711A9">
        <w:rPr>
          <w:rFonts w:ascii="Times New Roman" w:hAnsi="Times New Roman" w:cs="Times New Roman"/>
          <w:i/>
          <w:iCs/>
        </w:rPr>
        <w:t>‘The Innovation Ambition Matrix’</w:t>
      </w:r>
      <w:r w:rsidRPr="00D711A9">
        <w:rPr>
          <w:rFonts w:ascii="Times New Roman" w:hAnsi="Times New Roman" w:cs="Times New Roman"/>
        </w:rPr>
        <w:t>, Roman Pichler blog, 12 May. Available at: https://www.romanpichler.com/blog/innovation-ambition-matrix/ (Accessed: 28 October 2025).</w:t>
      </w:r>
    </w:p>
    <w:p w14:paraId="7355C2F0"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Sukriti, K.C., Tewolde, S., Laverty, A.A., Costelloe, C., Papoutsi, C., Reidy, C., Gudgin, B., Shenton, C., Majeed, A., Powell, J. and Greaves, F., (2023). Uptake and adoption of the NHS App in England: an observational study. </w:t>
      </w:r>
      <w:r w:rsidRPr="00D711A9">
        <w:rPr>
          <w:rFonts w:ascii="Times New Roman" w:hAnsi="Times New Roman" w:cs="Times New Roman"/>
          <w:i/>
          <w:iCs/>
        </w:rPr>
        <w:t>British Journal of General Practice</w:t>
      </w:r>
      <w:r w:rsidRPr="00D711A9">
        <w:rPr>
          <w:rFonts w:ascii="Times New Roman" w:hAnsi="Times New Roman" w:cs="Times New Roman"/>
        </w:rPr>
        <w:t>.</w:t>
      </w:r>
    </w:p>
    <w:p w14:paraId="3C2459F0"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proofErr w:type="spellStart"/>
      <w:r w:rsidRPr="00D711A9">
        <w:rPr>
          <w:rFonts w:ascii="Times New Roman" w:hAnsi="Times New Roman" w:cs="Times New Roman"/>
        </w:rPr>
        <w:t>Tantray</w:t>
      </w:r>
      <w:proofErr w:type="spellEnd"/>
      <w:r w:rsidRPr="00D711A9">
        <w:rPr>
          <w:rFonts w:ascii="Times New Roman" w:hAnsi="Times New Roman" w:cs="Times New Roman"/>
        </w:rPr>
        <w:t>, J., Patel, A., Wani, S.N., Kosey, S. and Prajapati, B.G., (2024). Prescription precision: a comprehensive review of intelligent prescription systems. </w:t>
      </w:r>
      <w:r w:rsidRPr="00D711A9">
        <w:rPr>
          <w:rFonts w:ascii="Times New Roman" w:hAnsi="Times New Roman" w:cs="Times New Roman"/>
          <w:i/>
          <w:iCs/>
        </w:rPr>
        <w:t>Current pharmaceutical design</w:t>
      </w:r>
      <w:r w:rsidRPr="00D711A9">
        <w:rPr>
          <w:rFonts w:ascii="Times New Roman" w:hAnsi="Times New Roman" w:cs="Times New Roman"/>
        </w:rPr>
        <w:t>, </w:t>
      </w:r>
      <w:r w:rsidRPr="00D711A9">
        <w:rPr>
          <w:rFonts w:ascii="Times New Roman" w:hAnsi="Times New Roman" w:cs="Times New Roman"/>
          <w:i/>
          <w:iCs/>
        </w:rPr>
        <w:t>30</w:t>
      </w:r>
      <w:r w:rsidRPr="00D711A9">
        <w:rPr>
          <w:rFonts w:ascii="Times New Roman" w:hAnsi="Times New Roman" w:cs="Times New Roman"/>
        </w:rPr>
        <w:t>(34), pp.2671-2684.</w:t>
      </w:r>
    </w:p>
    <w:p w14:paraId="599B23A1"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proofErr w:type="spellStart"/>
      <w:r w:rsidRPr="00D711A9">
        <w:rPr>
          <w:rFonts w:ascii="Times New Roman" w:hAnsi="Times New Roman" w:cs="Times New Roman"/>
        </w:rPr>
        <w:lastRenderedPageBreak/>
        <w:t>TechSci</w:t>
      </w:r>
      <w:proofErr w:type="spellEnd"/>
      <w:r w:rsidRPr="00D711A9">
        <w:rPr>
          <w:rFonts w:ascii="Times New Roman" w:hAnsi="Times New Roman" w:cs="Times New Roman"/>
        </w:rPr>
        <w:t xml:space="preserve"> Research (2025) </w:t>
      </w:r>
      <w:r w:rsidRPr="00D711A9">
        <w:rPr>
          <w:rFonts w:ascii="Times New Roman" w:hAnsi="Times New Roman" w:cs="Times New Roman"/>
          <w:i/>
          <w:iCs/>
        </w:rPr>
        <w:t>“United Kingdom E-Pharmacy Market Size, Report 2030F”</w:t>
      </w:r>
      <w:r w:rsidRPr="00D711A9">
        <w:rPr>
          <w:rFonts w:ascii="Times New Roman" w:hAnsi="Times New Roman" w:cs="Times New Roman"/>
        </w:rPr>
        <w:t>. Available at: https://www.techsciresearch.com/report/united-kingdom-e-pharmacy-market/10537.html (Accessed: 28 October 2025)</w:t>
      </w:r>
    </w:p>
    <w:p w14:paraId="2FB2B05B" w14:textId="77777777" w:rsidR="00D711A9" w:rsidRPr="00D711A9" w:rsidRDefault="00D711A9" w:rsidP="00533174">
      <w:pPr>
        <w:spacing w:before="100" w:beforeAutospacing="1" w:after="100" w:afterAutospacing="1" w:line="480" w:lineRule="auto"/>
        <w:ind w:left="567" w:hanging="567"/>
        <w:rPr>
          <w:rFonts w:ascii="Times New Roman" w:hAnsi="Times New Roman" w:cs="Times New Roman"/>
        </w:rPr>
      </w:pPr>
      <w:r w:rsidRPr="00D711A9">
        <w:rPr>
          <w:rFonts w:ascii="Times New Roman" w:hAnsi="Times New Roman" w:cs="Times New Roman"/>
        </w:rPr>
        <w:t xml:space="preserve">UK Parliament (2025) </w:t>
      </w:r>
      <w:r w:rsidRPr="00D711A9">
        <w:rPr>
          <w:rFonts w:ascii="Times New Roman" w:hAnsi="Times New Roman" w:cs="Times New Roman"/>
          <w:i/>
          <w:iCs/>
        </w:rPr>
        <w:t>Written evidence to the Health and Social Care Committee – submission 113240</w:t>
      </w:r>
      <w:r w:rsidRPr="00D711A9">
        <w:rPr>
          <w:rFonts w:ascii="Times New Roman" w:hAnsi="Times New Roman" w:cs="Times New Roman"/>
        </w:rPr>
        <w:t>. Available at: https://committees.parliament.uk/writtenevidence/113240/pdf/ (Accessed: 28 October 2025).</w:t>
      </w:r>
    </w:p>
    <w:p w14:paraId="16450190" w14:textId="77777777" w:rsidR="00E34F71" w:rsidRPr="00E34F71" w:rsidRDefault="00E34F71" w:rsidP="00533174">
      <w:pPr>
        <w:spacing w:before="100" w:beforeAutospacing="1" w:after="100" w:afterAutospacing="1" w:line="480" w:lineRule="auto"/>
      </w:pPr>
    </w:p>
    <w:p w14:paraId="56BB5962" w14:textId="77777777" w:rsidR="00E34F71" w:rsidRPr="00E34F71" w:rsidRDefault="00E34F71" w:rsidP="00533174">
      <w:pPr>
        <w:spacing w:before="100" w:beforeAutospacing="1" w:after="100" w:afterAutospacing="1" w:line="480" w:lineRule="auto"/>
        <w:jc w:val="both"/>
        <w:rPr>
          <w:rFonts w:ascii="Times New Roman" w:hAnsi="Times New Roman" w:cs="Times New Roman"/>
        </w:rPr>
      </w:pPr>
    </w:p>
    <w:p w14:paraId="6142ADF1" w14:textId="77777777" w:rsidR="006200AE" w:rsidRPr="00E34F71" w:rsidRDefault="006200AE" w:rsidP="00533174">
      <w:pPr>
        <w:spacing w:before="100" w:beforeAutospacing="1" w:after="100" w:afterAutospacing="1" w:line="480" w:lineRule="auto"/>
        <w:jc w:val="both"/>
        <w:rPr>
          <w:rFonts w:ascii="Times New Roman" w:hAnsi="Times New Roman" w:cs="Times New Roman"/>
        </w:rPr>
      </w:pPr>
    </w:p>
    <w:sectPr w:rsidR="006200AE" w:rsidRPr="00E34F71" w:rsidSect="00C94593">
      <w:head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4091F" w14:textId="77777777" w:rsidR="00E11798" w:rsidRDefault="00E11798" w:rsidP="00C94593">
      <w:pPr>
        <w:spacing w:after="0" w:line="240" w:lineRule="auto"/>
      </w:pPr>
      <w:r>
        <w:separator/>
      </w:r>
    </w:p>
  </w:endnote>
  <w:endnote w:type="continuationSeparator" w:id="0">
    <w:p w14:paraId="2E31540C" w14:textId="77777777" w:rsidR="00E11798" w:rsidRDefault="00E11798" w:rsidP="00C94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3395285"/>
      <w:docPartObj>
        <w:docPartGallery w:val="Page Numbers (Bottom of Page)"/>
        <w:docPartUnique/>
      </w:docPartObj>
    </w:sdtPr>
    <w:sdtEndPr>
      <w:rPr>
        <w:noProof/>
      </w:rPr>
    </w:sdtEndPr>
    <w:sdtContent>
      <w:p w14:paraId="1479D8D2" w14:textId="38AC0886" w:rsidR="00D8023A" w:rsidRDefault="00D802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332BCC" w14:textId="77777777" w:rsidR="00D8023A" w:rsidRDefault="00D802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AB0D6" w14:textId="77777777" w:rsidR="00E11798" w:rsidRDefault="00E11798" w:rsidP="00C94593">
      <w:pPr>
        <w:spacing w:after="0" w:line="240" w:lineRule="auto"/>
      </w:pPr>
      <w:r>
        <w:separator/>
      </w:r>
    </w:p>
  </w:footnote>
  <w:footnote w:type="continuationSeparator" w:id="0">
    <w:p w14:paraId="77DB77A5" w14:textId="77777777" w:rsidR="00E11798" w:rsidRDefault="00E11798" w:rsidP="00C945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7336687"/>
      <w:docPartObj>
        <w:docPartGallery w:val="Page Numbers (Top of Page)"/>
        <w:docPartUnique/>
      </w:docPartObj>
    </w:sdtPr>
    <w:sdtEndPr>
      <w:rPr>
        <w:noProof/>
      </w:rPr>
    </w:sdtEndPr>
    <w:sdtContent>
      <w:p w14:paraId="0245361C" w14:textId="4D3B0591" w:rsidR="00C94593" w:rsidRDefault="00C94593" w:rsidP="00533174">
        <w:pPr>
          <w:pStyle w:val="Header"/>
          <w:jc w:val="right"/>
        </w:pPr>
        <w:r>
          <w:fldChar w:fldCharType="begin"/>
        </w:r>
        <w:r>
          <w:instrText xml:space="preserve"> PAGE   \* MERGEFORMAT </w:instrText>
        </w:r>
        <w:r>
          <w:fldChar w:fldCharType="separate"/>
        </w:r>
        <w:r>
          <w:rPr>
            <w:noProof/>
          </w:rPr>
          <w:t>2</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A2116" w14:textId="20E60ECB" w:rsidR="00D8023A" w:rsidRPr="00D8023A" w:rsidRDefault="00D8023A" w:rsidP="00D8023A">
    <w:pPr>
      <w:pStyle w:val="Header"/>
      <w:jc w:val="right"/>
      <w:rPr>
        <w:rFonts w:ascii="Times New Roman" w:hAnsi="Times New Roman" w:cs="Times New Roman"/>
      </w:rPr>
    </w:pPr>
    <w:r w:rsidRPr="00D8023A">
      <w:rPr>
        <w:rFonts w:ascii="Times New Roman" w:hAnsi="Times New Roman" w:cs="Times New Roman"/>
      </w:rPr>
      <w:t xml:space="preserve">Design Thinking </w:t>
    </w:r>
    <w:r w:rsidR="003917E8" w:rsidRPr="00D8023A">
      <w:rPr>
        <w:rFonts w:ascii="Times New Roman" w:hAnsi="Times New Roman" w:cs="Times New Roman"/>
      </w:rPr>
      <w:t>and</w:t>
    </w:r>
    <w:r w:rsidRPr="00D8023A">
      <w:rPr>
        <w:rFonts w:ascii="Times New Roman" w:hAnsi="Times New Roman" w:cs="Times New Roman"/>
      </w:rPr>
      <w:t xml:space="preserve"> Innovation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59D"/>
    <w:rsid w:val="00011E2E"/>
    <w:rsid w:val="00027125"/>
    <w:rsid w:val="00043820"/>
    <w:rsid w:val="00075173"/>
    <w:rsid w:val="000808EA"/>
    <w:rsid w:val="000A4C39"/>
    <w:rsid w:val="000C7A77"/>
    <w:rsid w:val="000E24FC"/>
    <w:rsid w:val="000E65CF"/>
    <w:rsid w:val="000F6D5B"/>
    <w:rsid w:val="001023E2"/>
    <w:rsid w:val="0010580F"/>
    <w:rsid w:val="00107D67"/>
    <w:rsid w:val="00162894"/>
    <w:rsid w:val="00163680"/>
    <w:rsid w:val="001826A8"/>
    <w:rsid w:val="001B1EA4"/>
    <w:rsid w:val="001C4C56"/>
    <w:rsid w:val="001E7266"/>
    <w:rsid w:val="001E79E8"/>
    <w:rsid w:val="00205179"/>
    <w:rsid w:val="00251D63"/>
    <w:rsid w:val="0025787E"/>
    <w:rsid w:val="00291D3E"/>
    <w:rsid w:val="002D4DE7"/>
    <w:rsid w:val="00310D8D"/>
    <w:rsid w:val="00325DB0"/>
    <w:rsid w:val="003338FF"/>
    <w:rsid w:val="0035452D"/>
    <w:rsid w:val="00355B44"/>
    <w:rsid w:val="00370B51"/>
    <w:rsid w:val="00375853"/>
    <w:rsid w:val="00376B82"/>
    <w:rsid w:val="00384282"/>
    <w:rsid w:val="003917E8"/>
    <w:rsid w:val="003B3680"/>
    <w:rsid w:val="003E48D3"/>
    <w:rsid w:val="003F1FD6"/>
    <w:rsid w:val="003F3A8D"/>
    <w:rsid w:val="003F5542"/>
    <w:rsid w:val="0041094F"/>
    <w:rsid w:val="004126AD"/>
    <w:rsid w:val="004142CC"/>
    <w:rsid w:val="004231E4"/>
    <w:rsid w:val="00424B1B"/>
    <w:rsid w:val="0044282E"/>
    <w:rsid w:val="00487EC3"/>
    <w:rsid w:val="004B38A0"/>
    <w:rsid w:val="004C1A83"/>
    <w:rsid w:val="004D42A6"/>
    <w:rsid w:val="004D63E4"/>
    <w:rsid w:val="005054B0"/>
    <w:rsid w:val="00533174"/>
    <w:rsid w:val="00540B5E"/>
    <w:rsid w:val="00546483"/>
    <w:rsid w:val="00572879"/>
    <w:rsid w:val="00583DC2"/>
    <w:rsid w:val="00586AA8"/>
    <w:rsid w:val="006026F8"/>
    <w:rsid w:val="00607F86"/>
    <w:rsid w:val="006200AE"/>
    <w:rsid w:val="00641B6E"/>
    <w:rsid w:val="006540C3"/>
    <w:rsid w:val="0067759D"/>
    <w:rsid w:val="00680206"/>
    <w:rsid w:val="0068545E"/>
    <w:rsid w:val="006979C0"/>
    <w:rsid w:val="006A733F"/>
    <w:rsid w:val="006B2B2C"/>
    <w:rsid w:val="006C37B1"/>
    <w:rsid w:val="006D1A50"/>
    <w:rsid w:val="00713039"/>
    <w:rsid w:val="00717D4D"/>
    <w:rsid w:val="00720802"/>
    <w:rsid w:val="00736946"/>
    <w:rsid w:val="00742D89"/>
    <w:rsid w:val="00760554"/>
    <w:rsid w:val="007A01AD"/>
    <w:rsid w:val="007F1567"/>
    <w:rsid w:val="00816007"/>
    <w:rsid w:val="00832F59"/>
    <w:rsid w:val="00834D45"/>
    <w:rsid w:val="00835EF0"/>
    <w:rsid w:val="00846344"/>
    <w:rsid w:val="0088091C"/>
    <w:rsid w:val="00893D50"/>
    <w:rsid w:val="00893DCA"/>
    <w:rsid w:val="008A5CDC"/>
    <w:rsid w:val="008B7E58"/>
    <w:rsid w:val="008C417C"/>
    <w:rsid w:val="008C53AA"/>
    <w:rsid w:val="008D3B52"/>
    <w:rsid w:val="008D6F32"/>
    <w:rsid w:val="008E739C"/>
    <w:rsid w:val="008F4E86"/>
    <w:rsid w:val="008F6655"/>
    <w:rsid w:val="00953655"/>
    <w:rsid w:val="009852DD"/>
    <w:rsid w:val="0099751A"/>
    <w:rsid w:val="009A529E"/>
    <w:rsid w:val="009A5565"/>
    <w:rsid w:val="00A01B43"/>
    <w:rsid w:val="00A34413"/>
    <w:rsid w:val="00A35831"/>
    <w:rsid w:val="00A52F3C"/>
    <w:rsid w:val="00A77D0C"/>
    <w:rsid w:val="00A82D9E"/>
    <w:rsid w:val="00A931DC"/>
    <w:rsid w:val="00AA3AC7"/>
    <w:rsid w:val="00AA599A"/>
    <w:rsid w:val="00AB0093"/>
    <w:rsid w:val="00AB0850"/>
    <w:rsid w:val="00AC6283"/>
    <w:rsid w:val="00AF1D1B"/>
    <w:rsid w:val="00B02B48"/>
    <w:rsid w:val="00B81FA6"/>
    <w:rsid w:val="00B86C23"/>
    <w:rsid w:val="00B97ACB"/>
    <w:rsid w:val="00BA19FE"/>
    <w:rsid w:val="00BD7804"/>
    <w:rsid w:val="00C81CE4"/>
    <w:rsid w:val="00C8482B"/>
    <w:rsid w:val="00C91C02"/>
    <w:rsid w:val="00C92AB3"/>
    <w:rsid w:val="00C94593"/>
    <w:rsid w:val="00CA19A8"/>
    <w:rsid w:val="00CA382E"/>
    <w:rsid w:val="00CD78E1"/>
    <w:rsid w:val="00CF3A13"/>
    <w:rsid w:val="00D07C0E"/>
    <w:rsid w:val="00D35144"/>
    <w:rsid w:val="00D43299"/>
    <w:rsid w:val="00D5140E"/>
    <w:rsid w:val="00D533F4"/>
    <w:rsid w:val="00D711A9"/>
    <w:rsid w:val="00D8023A"/>
    <w:rsid w:val="00D84438"/>
    <w:rsid w:val="00DB67F6"/>
    <w:rsid w:val="00DC19B1"/>
    <w:rsid w:val="00DC1BA5"/>
    <w:rsid w:val="00DD2B94"/>
    <w:rsid w:val="00DF7024"/>
    <w:rsid w:val="00E026F3"/>
    <w:rsid w:val="00E11798"/>
    <w:rsid w:val="00E21D2F"/>
    <w:rsid w:val="00E238D2"/>
    <w:rsid w:val="00E34F71"/>
    <w:rsid w:val="00E5471A"/>
    <w:rsid w:val="00E81246"/>
    <w:rsid w:val="00F90C54"/>
    <w:rsid w:val="00FA1E32"/>
    <w:rsid w:val="00FB3770"/>
    <w:rsid w:val="00FB62D5"/>
    <w:rsid w:val="00FC12A7"/>
    <w:rsid w:val="00FD784D"/>
    <w:rsid w:val="00FF1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16AA3"/>
  <w15:chartTrackingRefBased/>
  <w15:docId w15:val="{905E834E-4741-4F39-BE3A-C5DB6B571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75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75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759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75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75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75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75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75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75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59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75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759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75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75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75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75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75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759D"/>
    <w:rPr>
      <w:rFonts w:eastAsiaTheme="majorEastAsia" w:cstheme="majorBidi"/>
      <w:color w:val="272727" w:themeColor="text1" w:themeTint="D8"/>
    </w:rPr>
  </w:style>
  <w:style w:type="paragraph" w:styleId="Title">
    <w:name w:val="Title"/>
    <w:basedOn w:val="Normal"/>
    <w:next w:val="Normal"/>
    <w:link w:val="TitleChar"/>
    <w:uiPriority w:val="10"/>
    <w:qFormat/>
    <w:rsid w:val="006775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5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5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5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759D"/>
    <w:pPr>
      <w:spacing w:before="160"/>
      <w:jc w:val="center"/>
    </w:pPr>
    <w:rPr>
      <w:i/>
      <w:iCs/>
      <w:color w:val="404040" w:themeColor="text1" w:themeTint="BF"/>
    </w:rPr>
  </w:style>
  <w:style w:type="character" w:customStyle="1" w:styleId="QuoteChar">
    <w:name w:val="Quote Char"/>
    <w:basedOn w:val="DefaultParagraphFont"/>
    <w:link w:val="Quote"/>
    <w:uiPriority w:val="29"/>
    <w:rsid w:val="0067759D"/>
    <w:rPr>
      <w:i/>
      <w:iCs/>
      <w:color w:val="404040" w:themeColor="text1" w:themeTint="BF"/>
    </w:rPr>
  </w:style>
  <w:style w:type="paragraph" w:styleId="ListParagraph">
    <w:name w:val="List Paragraph"/>
    <w:basedOn w:val="Normal"/>
    <w:uiPriority w:val="34"/>
    <w:qFormat/>
    <w:rsid w:val="0067759D"/>
    <w:pPr>
      <w:ind w:left="720"/>
      <w:contextualSpacing/>
    </w:pPr>
  </w:style>
  <w:style w:type="character" w:styleId="IntenseEmphasis">
    <w:name w:val="Intense Emphasis"/>
    <w:basedOn w:val="DefaultParagraphFont"/>
    <w:uiPriority w:val="21"/>
    <w:qFormat/>
    <w:rsid w:val="0067759D"/>
    <w:rPr>
      <w:i/>
      <w:iCs/>
      <w:color w:val="2F5496" w:themeColor="accent1" w:themeShade="BF"/>
    </w:rPr>
  </w:style>
  <w:style w:type="paragraph" w:styleId="IntenseQuote">
    <w:name w:val="Intense Quote"/>
    <w:basedOn w:val="Normal"/>
    <w:next w:val="Normal"/>
    <w:link w:val="IntenseQuoteChar"/>
    <w:uiPriority w:val="30"/>
    <w:qFormat/>
    <w:rsid w:val="006775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759D"/>
    <w:rPr>
      <w:i/>
      <w:iCs/>
      <w:color w:val="2F5496" w:themeColor="accent1" w:themeShade="BF"/>
    </w:rPr>
  </w:style>
  <w:style w:type="character" w:styleId="IntenseReference">
    <w:name w:val="Intense Reference"/>
    <w:basedOn w:val="DefaultParagraphFont"/>
    <w:uiPriority w:val="32"/>
    <w:qFormat/>
    <w:rsid w:val="0067759D"/>
    <w:rPr>
      <w:b/>
      <w:bCs/>
      <w:smallCaps/>
      <w:color w:val="2F5496" w:themeColor="accent1" w:themeShade="BF"/>
      <w:spacing w:val="5"/>
    </w:rPr>
  </w:style>
  <w:style w:type="character" w:styleId="Hyperlink">
    <w:name w:val="Hyperlink"/>
    <w:basedOn w:val="DefaultParagraphFont"/>
    <w:uiPriority w:val="99"/>
    <w:unhideWhenUsed/>
    <w:rsid w:val="0067759D"/>
    <w:rPr>
      <w:color w:val="0563C1" w:themeColor="hyperlink"/>
      <w:u w:val="single"/>
    </w:rPr>
  </w:style>
  <w:style w:type="character" w:styleId="UnresolvedMention">
    <w:name w:val="Unresolved Mention"/>
    <w:basedOn w:val="DefaultParagraphFont"/>
    <w:uiPriority w:val="99"/>
    <w:semiHidden/>
    <w:unhideWhenUsed/>
    <w:rsid w:val="0067759D"/>
    <w:rPr>
      <w:color w:val="605E5C"/>
      <w:shd w:val="clear" w:color="auto" w:fill="E1DFDD"/>
    </w:rPr>
  </w:style>
  <w:style w:type="table" w:styleId="TableGrid">
    <w:name w:val="Table Grid"/>
    <w:basedOn w:val="TableNormal"/>
    <w:uiPriority w:val="39"/>
    <w:rsid w:val="00C84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86AA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86AA8"/>
    <w:pPr>
      <w:spacing w:after="100"/>
    </w:pPr>
  </w:style>
  <w:style w:type="paragraph" w:styleId="TOC2">
    <w:name w:val="toc 2"/>
    <w:basedOn w:val="Normal"/>
    <w:next w:val="Normal"/>
    <w:autoRedefine/>
    <w:uiPriority w:val="39"/>
    <w:unhideWhenUsed/>
    <w:rsid w:val="00586AA8"/>
    <w:pPr>
      <w:spacing w:after="100"/>
      <w:ind w:left="240"/>
    </w:pPr>
  </w:style>
  <w:style w:type="paragraph" w:styleId="NormalWeb">
    <w:name w:val="Normal (Web)"/>
    <w:basedOn w:val="Normal"/>
    <w:uiPriority w:val="99"/>
    <w:semiHidden/>
    <w:unhideWhenUsed/>
    <w:rsid w:val="00586A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86AA8"/>
    <w:rPr>
      <w:b/>
      <w:bCs/>
    </w:rPr>
  </w:style>
  <w:style w:type="paragraph" w:styleId="Header">
    <w:name w:val="header"/>
    <w:basedOn w:val="Normal"/>
    <w:link w:val="HeaderChar"/>
    <w:uiPriority w:val="99"/>
    <w:unhideWhenUsed/>
    <w:rsid w:val="00C945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593"/>
  </w:style>
  <w:style w:type="paragraph" w:styleId="Footer">
    <w:name w:val="footer"/>
    <w:basedOn w:val="Normal"/>
    <w:link w:val="FooterChar"/>
    <w:uiPriority w:val="99"/>
    <w:unhideWhenUsed/>
    <w:rsid w:val="00C945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593"/>
  </w:style>
  <w:style w:type="character" w:styleId="CommentReference">
    <w:name w:val="annotation reference"/>
    <w:basedOn w:val="DefaultParagraphFont"/>
    <w:uiPriority w:val="99"/>
    <w:semiHidden/>
    <w:unhideWhenUsed/>
    <w:rsid w:val="006B2B2C"/>
    <w:rPr>
      <w:sz w:val="16"/>
      <w:szCs w:val="16"/>
    </w:rPr>
  </w:style>
  <w:style w:type="paragraph" w:styleId="CommentText">
    <w:name w:val="annotation text"/>
    <w:basedOn w:val="Normal"/>
    <w:link w:val="CommentTextChar"/>
    <w:uiPriority w:val="99"/>
    <w:semiHidden/>
    <w:unhideWhenUsed/>
    <w:rsid w:val="006B2B2C"/>
    <w:pPr>
      <w:spacing w:line="240" w:lineRule="auto"/>
    </w:pPr>
    <w:rPr>
      <w:sz w:val="20"/>
      <w:szCs w:val="20"/>
    </w:rPr>
  </w:style>
  <w:style w:type="character" w:customStyle="1" w:styleId="CommentTextChar">
    <w:name w:val="Comment Text Char"/>
    <w:basedOn w:val="DefaultParagraphFont"/>
    <w:link w:val="CommentText"/>
    <w:uiPriority w:val="99"/>
    <w:semiHidden/>
    <w:rsid w:val="006B2B2C"/>
    <w:rPr>
      <w:sz w:val="20"/>
      <w:szCs w:val="20"/>
    </w:rPr>
  </w:style>
  <w:style w:type="paragraph" w:styleId="CommentSubject">
    <w:name w:val="annotation subject"/>
    <w:basedOn w:val="CommentText"/>
    <w:next w:val="CommentText"/>
    <w:link w:val="CommentSubjectChar"/>
    <w:uiPriority w:val="99"/>
    <w:semiHidden/>
    <w:unhideWhenUsed/>
    <w:rsid w:val="006B2B2C"/>
    <w:rPr>
      <w:b/>
      <w:bCs/>
    </w:rPr>
  </w:style>
  <w:style w:type="character" w:customStyle="1" w:styleId="CommentSubjectChar">
    <w:name w:val="Comment Subject Char"/>
    <w:basedOn w:val="CommentTextChar"/>
    <w:link w:val="CommentSubject"/>
    <w:uiPriority w:val="99"/>
    <w:semiHidden/>
    <w:rsid w:val="006B2B2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header" Target="header1.xml"/></Relationships>
</file>

<file path=word/diagrams/_rels/data1.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g"/><Relationship Id="rId1" Type="http://schemas.openxmlformats.org/officeDocument/2006/relationships/image" Target="../media/image3.jpg"/><Relationship Id="rId5" Type="http://schemas.openxmlformats.org/officeDocument/2006/relationships/image" Target="../media/image7.jpg"/><Relationship Id="rId4" Type="http://schemas.openxmlformats.org/officeDocument/2006/relationships/image" Target="../media/image6.jpg"/></Relationships>
</file>

<file path=word/diagrams/_rels/drawing1.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g"/><Relationship Id="rId1" Type="http://schemas.openxmlformats.org/officeDocument/2006/relationships/image" Target="../media/image3.jpg"/><Relationship Id="rId5" Type="http://schemas.openxmlformats.org/officeDocument/2006/relationships/image" Target="../media/image7.jpg"/><Relationship Id="rId4" Type="http://schemas.openxmlformats.org/officeDocument/2006/relationships/image" Target="../media/image6.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DAE8DA-53E8-4D38-914C-D7BABF7C7958}" type="doc">
      <dgm:prSet loTypeId="urn:microsoft.com/office/officeart/2005/8/layout/hProcess10" loCatId="process" qsTypeId="urn:microsoft.com/office/officeart/2005/8/quickstyle/simple1" qsCatId="simple" csTypeId="urn:microsoft.com/office/officeart/2005/8/colors/accent1_2" csCatId="accent1" phldr="1"/>
      <dgm:spPr/>
      <dgm:t>
        <a:bodyPr/>
        <a:lstStyle/>
        <a:p>
          <a:endParaRPr lang="en-GB"/>
        </a:p>
      </dgm:t>
    </dgm:pt>
    <dgm:pt modelId="{D3730B3A-F141-4315-9D72-4BFB06B2C41C}">
      <dgm:prSet phldrT="[Text]" custT="1"/>
      <dgm:spPr/>
      <dgm:t>
        <a:bodyPr/>
        <a:lstStyle/>
        <a:p>
          <a:pPr algn="ctr"/>
          <a:r>
            <a:rPr lang="en-GB" sz="1100" i="1"/>
            <a:t>Awareness &amp; Consideration </a:t>
          </a:r>
          <a:endParaRPr lang="en-GB" sz="1100"/>
        </a:p>
      </dgm:t>
    </dgm:pt>
    <dgm:pt modelId="{C1ACD1DE-20EB-4406-802B-F6B8DBAD9141}" type="parTrans" cxnId="{FB5F7D75-5DFF-45BA-8C7D-3B8C4CDF80E5}">
      <dgm:prSet/>
      <dgm:spPr/>
      <dgm:t>
        <a:bodyPr/>
        <a:lstStyle/>
        <a:p>
          <a:pPr algn="ctr"/>
          <a:endParaRPr lang="en-GB" sz="1100"/>
        </a:p>
      </dgm:t>
    </dgm:pt>
    <dgm:pt modelId="{2F16077F-F93F-4E78-8BF7-A3A0AD5B6870}" type="sibTrans" cxnId="{FB5F7D75-5DFF-45BA-8C7D-3B8C4CDF80E5}">
      <dgm:prSet custT="1"/>
      <dgm:spPr/>
      <dgm:t>
        <a:bodyPr/>
        <a:lstStyle/>
        <a:p>
          <a:pPr algn="ctr"/>
          <a:endParaRPr lang="en-GB" sz="1100"/>
        </a:p>
      </dgm:t>
    </dgm:pt>
    <dgm:pt modelId="{198438E3-ED7E-42E6-8437-FC5E62EB003E}">
      <dgm:prSet phldrT="[Text]" custT="1"/>
      <dgm:spPr/>
      <dgm:t>
        <a:bodyPr/>
        <a:lstStyle/>
        <a:p>
          <a:pPr algn="ctr">
            <a:buNone/>
          </a:pPr>
          <a:r>
            <a:rPr lang="en-GB" sz="1100" i="1"/>
            <a:t>Registration, Nomination and Setup </a:t>
          </a:r>
          <a:endParaRPr lang="en-GB" sz="1100"/>
        </a:p>
      </dgm:t>
    </dgm:pt>
    <dgm:pt modelId="{B64A01DE-585B-44B1-8DB8-2B17C099E41C}" type="parTrans" cxnId="{58D94AE9-A346-467C-A387-8EFE472C0867}">
      <dgm:prSet/>
      <dgm:spPr/>
      <dgm:t>
        <a:bodyPr/>
        <a:lstStyle/>
        <a:p>
          <a:pPr algn="ctr"/>
          <a:endParaRPr lang="en-GB" sz="1100"/>
        </a:p>
      </dgm:t>
    </dgm:pt>
    <dgm:pt modelId="{527C334E-608E-4D75-865C-13BF7E0A99E3}" type="sibTrans" cxnId="{58D94AE9-A346-467C-A387-8EFE472C0867}">
      <dgm:prSet custT="1"/>
      <dgm:spPr/>
      <dgm:t>
        <a:bodyPr/>
        <a:lstStyle/>
        <a:p>
          <a:pPr algn="ctr"/>
          <a:endParaRPr lang="en-GB" sz="1100"/>
        </a:p>
      </dgm:t>
    </dgm:pt>
    <dgm:pt modelId="{09B758BD-D41B-4526-A5BB-CCAE1C224AF9}">
      <dgm:prSet phldrT="[Text]" custT="1"/>
      <dgm:spPr/>
      <dgm:t>
        <a:bodyPr/>
        <a:lstStyle/>
        <a:p>
          <a:pPr algn="ctr">
            <a:buNone/>
          </a:pPr>
          <a:r>
            <a:rPr lang="en-GB" sz="1100" i="1"/>
            <a:t>Prescription Management and  Dispatch</a:t>
          </a:r>
          <a:endParaRPr lang="en-GB" sz="1100"/>
        </a:p>
      </dgm:t>
    </dgm:pt>
    <dgm:pt modelId="{AD123BBB-02B9-427A-BD86-1A43B6128C88}" type="parTrans" cxnId="{3779B5C3-4A77-4F4E-9207-38AE981C8449}">
      <dgm:prSet/>
      <dgm:spPr/>
      <dgm:t>
        <a:bodyPr/>
        <a:lstStyle/>
        <a:p>
          <a:pPr algn="ctr"/>
          <a:endParaRPr lang="en-GB" sz="1100"/>
        </a:p>
      </dgm:t>
    </dgm:pt>
    <dgm:pt modelId="{E793B2F2-0840-4A06-AC3D-1D4B00CB600B}" type="sibTrans" cxnId="{3779B5C3-4A77-4F4E-9207-38AE981C8449}">
      <dgm:prSet custT="1"/>
      <dgm:spPr/>
      <dgm:t>
        <a:bodyPr/>
        <a:lstStyle/>
        <a:p>
          <a:pPr algn="ctr"/>
          <a:endParaRPr lang="en-GB" sz="1100"/>
        </a:p>
      </dgm:t>
    </dgm:pt>
    <dgm:pt modelId="{FCAEDAD9-ABB0-4BCB-A874-40C7C20D84EE}">
      <dgm:prSet phldrT="[Text]" custT="1"/>
      <dgm:spPr/>
      <dgm:t>
        <a:bodyPr/>
        <a:lstStyle/>
        <a:p>
          <a:pPr algn="ctr"/>
          <a:endParaRPr lang="en-GB" sz="1100"/>
        </a:p>
      </dgm:t>
    </dgm:pt>
    <dgm:pt modelId="{DB40788E-00FB-42EC-A710-A07DCE67C0C8}" type="parTrans" cxnId="{7AE44BA4-B62B-4C00-B017-7F52CB77A6E6}">
      <dgm:prSet/>
      <dgm:spPr/>
      <dgm:t>
        <a:bodyPr/>
        <a:lstStyle/>
        <a:p>
          <a:pPr algn="ctr"/>
          <a:endParaRPr lang="en-GB" sz="1100"/>
        </a:p>
      </dgm:t>
    </dgm:pt>
    <dgm:pt modelId="{576F4F6E-086E-40C4-B61C-BCE5C9E1A0B9}" type="sibTrans" cxnId="{7AE44BA4-B62B-4C00-B017-7F52CB77A6E6}">
      <dgm:prSet/>
      <dgm:spPr/>
      <dgm:t>
        <a:bodyPr/>
        <a:lstStyle/>
        <a:p>
          <a:pPr algn="ctr"/>
          <a:endParaRPr lang="en-GB" sz="1100"/>
        </a:p>
      </dgm:t>
    </dgm:pt>
    <dgm:pt modelId="{6AF0F7BE-6631-4BAA-BCD4-957F49AABA31}">
      <dgm:prSet phldrT="[Text]" custT="1"/>
      <dgm:spPr/>
      <dgm:t>
        <a:bodyPr/>
        <a:lstStyle/>
        <a:p>
          <a:pPr algn="ctr">
            <a:buNone/>
          </a:pPr>
          <a:r>
            <a:rPr lang="en-GB" sz="1100" i="1"/>
            <a:t>Support, Retention, and Follow Up</a:t>
          </a:r>
          <a:endParaRPr lang="en-GB" sz="1100"/>
        </a:p>
      </dgm:t>
    </dgm:pt>
    <dgm:pt modelId="{C52F40E0-4191-49D7-B2D2-8447D4AF3692}" type="parTrans" cxnId="{2D10DF76-D1B3-4612-A948-39EFF29D1B8D}">
      <dgm:prSet/>
      <dgm:spPr/>
      <dgm:t>
        <a:bodyPr/>
        <a:lstStyle/>
        <a:p>
          <a:pPr algn="ctr"/>
          <a:endParaRPr lang="en-GB" sz="1100"/>
        </a:p>
      </dgm:t>
    </dgm:pt>
    <dgm:pt modelId="{150A8F93-C4FF-438E-9F33-B538DE2CE01E}" type="sibTrans" cxnId="{2D10DF76-D1B3-4612-A948-39EFF29D1B8D}">
      <dgm:prSet/>
      <dgm:spPr/>
      <dgm:t>
        <a:bodyPr/>
        <a:lstStyle/>
        <a:p>
          <a:pPr algn="ctr"/>
          <a:endParaRPr lang="en-GB" sz="1100"/>
        </a:p>
      </dgm:t>
    </dgm:pt>
    <dgm:pt modelId="{677E8394-A4E0-4F66-B676-BB56CAC6B643}">
      <dgm:prSet custT="1"/>
      <dgm:spPr/>
      <dgm:t>
        <a:bodyPr/>
        <a:lstStyle/>
        <a:p>
          <a:pPr algn="ctr"/>
          <a:r>
            <a:rPr lang="en-GB" sz="1100" i="1"/>
            <a:t>Delivery and Receipt</a:t>
          </a:r>
        </a:p>
      </dgm:t>
    </dgm:pt>
    <dgm:pt modelId="{25A866ED-9CA1-477E-9988-1E07ECFDCD7B}" type="parTrans" cxnId="{056E56DF-74BC-4240-952F-AF2E9769870D}">
      <dgm:prSet/>
      <dgm:spPr/>
      <dgm:t>
        <a:bodyPr/>
        <a:lstStyle/>
        <a:p>
          <a:pPr algn="ctr"/>
          <a:endParaRPr lang="en-GB" sz="1100"/>
        </a:p>
      </dgm:t>
    </dgm:pt>
    <dgm:pt modelId="{C690BB4D-8E0C-4799-9176-4C2528481891}" type="sibTrans" cxnId="{056E56DF-74BC-4240-952F-AF2E9769870D}">
      <dgm:prSet custT="1"/>
      <dgm:spPr/>
      <dgm:t>
        <a:bodyPr/>
        <a:lstStyle/>
        <a:p>
          <a:pPr algn="ctr"/>
          <a:endParaRPr lang="en-GB" sz="1100"/>
        </a:p>
      </dgm:t>
    </dgm:pt>
    <dgm:pt modelId="{3DED8B7B-168D-46A3-A8BF-BAD356016AC0}" type="pres">
      <dgm:prSet presAssocID="{9EDAE8DA-53E8-4D38-914C-D7BABF7C7958}" presName="Name0" presStyleCnt="0">
        <dgm:presLayoutVars>
          <dgm:dir/>
          <dgm:resizeHandles val="exact"/>
        </dgm:presLayoutVars>
      </dgm:prSet>
      <dgm:spPr/>
    </dgm:pt>
    <dgm:pt modelId="{09F99B36-FC24-4A89-93D8-665C7DF38A6B}" type="pres">
      <dgm:prSet presAssocID="{D3730B3A-F141-4315-9D72-4BFB06B2C41C}" presName="composite" presStyleCnt="0"/>
      <dgm:spPr/>
    </dgm:pt>
    <dgm:pt modelId="{0A00D763-E5BE-40BF-BF63-121A289C1308}" type="pres">
      <dgm:prSet presAssocID="{D3730B3A-F141-4315-9D72-4BFB06B2C41C}" presName="imagSh" presStyleLbl="bgImgPlace1" presStyleIdx="0" presStyleCnt="5"/>
      <dgm:spPr>
        <a:blipFill>
          <a:blip xmlns:r="http://schemas.openxmlformats.org/officeDocument/2006/relationships" r:embed="rId1"/>
          <a:srcRect/>
          <a:stretch>
            <a:fillRect l="-39000" r="-39000"/>
          </a:stretch>
        </a:blipFill>
      </dgm:spPr>
      <dgm:extLst>
        <a:ext uri="{E40237B7-FDA0-4F09-8148-C483321AD2D9}">
          <dgm14:cNvPr xmlns:dgm14="http://schemas.microsoft.com/office/drawing/2010/diagram" id="0" name="" descr="Woman wearing mask on the streets"/>
        </a:ext>
      </dgm:extLst>
    </dgm:pt>
    <dgm:pt modelId="{26420BDC-E0CD-4FED-8E2E-37715E970D85}" type="pres">
      <dgm:prSet presAssocID="{D3730B3A-F141-4315-9D72-4BFB06B2C41C}" presName="txNode" presStyleLbl="node1" presStyleIdx="0" presStyleCnt="5" custScaleX="135630" custLinFactNeighborX="6811" custLinFactNeighborY="5297">
        <dgm:presLayoutVars>
          <dgm:bulletEnabled val="1"/>
        </dgm:presLayoutVars>
      </dgm:prSet>
      <dgm:spPr/>
    </dgm:pt>
    <dgm:pt modelId="{42E5F688-60F3-47CF-8425-5B47639FAC92}" type="pres">
      <dgm:prSet presAssocID="{2F16077F-F93F-4E78-8BF7-A3A0AD5B6870}" presName="sibTrans" presStyleLbl="sibTrans2D1" presStyleIdx="0" presStyleCnt="4"/>
      <dgm:spPr/>
    </dgm:pt>
    <dgm:pt modelId="{76D83F6A-3DA0-4084-86D3-FE9EA3A3605A}" type="pres">
      <dgm:prSet presAssocID="{2F16077F-F93F-4E78-8BF7-A3A0AD5B6870}" presName="connTx" presStyleLbl="sibTrans2D1" presStyleIdx="0" presStyleCnt="4"/>
      <dgm:spPr/>
    </dgm:pt>
    <dgm:pt modelId="{1AC21CB4-5484-4EDE-9B6F-8F1919A07457}" type="pres">
      <dgm:prSet presAssocID="{198438E3-ED7E-42E6-8437-FC5E62EB003E}" presName="composite" presStyleCnt="0"/>
      <dgm:spPr/>
    </dgm:pt>
    <dgm:pt modelId="{1CE86CE2-B674-4217-88AD-193A47B3E699}" type="pres">
      <dgm:prSet presAssocID="{198438E3-ED7E-42E6-8437-FC5E62EB003E}" presName="imagSh" presStyleLbl="bgImgPlace1" presStyleIdx="1" presStyleCnt="5"/>
      <dgm:spPr>
        <a:blipFill>
          <a:blip xmlns:r="http://schemas.openxmlformats.org/officeDocument/2006/relationships" r:embed="rId2"/>
          <a:srcRect/>
          <a:stretch>
            <a:fillRect l="-25000" r="-25000"/>
          </a:stretch>
        </a:blipFill>
      </dgm:spPr>
      <dgm:extLst>
        <a:ext uri="{E40237B7-FDA0-4F09-8148-C483321AD2D9}">
          <dgm14:cNvPr xmlns:dgm14="http://schemas.microsoft.com/office/drawing/2010/diagram" id="0" name="" descr="Pen placed on top of a signature line"/>
        </a:ext>
      </dgm:extLst>
    </dgm:pt>
    <dgm:pt modelId="{4A0863FD-BD28-4FA5-B689-6C155EBCF85E}" type="pres">
      <dgm:prSet presAssocID="{198438E3-ED7E-42E6-8437-FC5E62EB003E}" presName="txNode" presStyleLbl="node1" presStyleIdx="1" presStyleCnt="5" custScaleX="106189" custLinFactNeighborX="-12926" custLinFactNeighborY="8364">
        <dgm:presLayoutVars>
          <dgm:bulletEnabled val="1"/>
        </dgm:presLayoutVars>
      </dgm:prSet>
      <dgm:spPr/>
    </dgm:pt>
    <dgm:pt modelId="{B1BE8F95-0C9F-4BD0-961F-B8BE1E990211}" type="pres">
      <dgm:prSet presAssocID="{527C334E-608E-4D75-865C-13BF7E0A99E3}" presName="sibTrans" presStyleLbl="sibTrans2D1" presStyleIdx="1" presStyleCnt="4"/>
      <dgm:spPr/>
    </dgm:pt>
    <dgm:pt modelId="{6179B955-0486-4E84-9F93-F03946DAA456}" type="pres">
      <dgm:prSet presAssocID="{527C334E-608E-4D75-865C-13BF7E0A99E3}" presName="connTx" presStyleLbl="sibTrans2D1" presStyleIdx="1" presStyleCnt="4"/>
      <dgm:spPr/>
    </dgm:pt>
    <dgm:pt modelId="{3BB2DA20-B441-44EA-921C-3E2F7397AD4E}" type="pres">
      <dgm:prSet presAssocID="{09B758BD-D41B-4526-A5BB-CCAE1C224AF9}" presName="composite" presStyleCnt="0"/>
      <dgm:spPr/>
    </dgm:pt>
    <dgm:pt modelId="{1D036216-BF1F-4E43-857C-2D42EA5D8143}" type="pres">
      <dgm:prSet presAssocID="{09B758BD-D41B-4526-A5BB-CCAE1C224AF9}" presName="imagSh" presStyleLbl="bgImgPlace1" presStyleIdx="2" presStyleCnt="5"/>
      <dgm:spPr>
        <a:blipFill>
          <a:blip xmlns:r="http://schemas.openxmlformats.org/officeDocument/2006/relationships" r:embed="rId3"/>
          <a:srcRect/>
          <a:stretch>
            <a:fillRect l="-25000" r="-25000"/>
          </a:stretch>
        </a:blipFill>
      </dgm:spPr>
      <dgm:extLst>
        <a:ext uri="{E40237B7-FDA0-4F09-8148-C483321AD2D9}">
          <dgm14:cNvPr xmlns:dgm14="http://schemas.microsoft.com/office/drawing/2010/diagram" id="0" name="" descr="Man carrying packages"/>
        </a:ext>
      </dgm:extLst>
    </dgm:pt>
    <dgm:pt modelId="{E45DE321-05FF-454B-A2F8-6D56A9F74E62}" type="pres">
      <dgm:prSet presAssocID="{09B758BD-D41B-4526-A5BB-CCAE1C224AF9}" presName="txNode" presStyleLbl="node1" presStyleIdx="2" presStyleCnt="5" custScaleX="115103" custLinFactNeighborX="-3071" custLinFactNeighborY="9980">
        <dgm:presLayoutVars>
          <dgm:bulletEnabled val="1"/>
        </dgm:presLayoutVars>
      </dgm:prSet>
      <dgm:spPr/>
    </dgm:pt>
    <dgm:pt modelId="{AC1D40C9-912E-442B-89D6-A2E00CDF1D41}" type="pres">
      <dgm:prSet presAssocID="{E793B2F2-0840-4A06-AC3D-1D4B00CB600B}" presName="sibTrans" presStyleLbl="sibTrans2D1" presStyleIdx="2" presStyleCnt="4"/>
      <dgm:spPr/>
    </dgm:pt>
    <dgm:pt modelId="{19367EAA-AEC2-4710-AC65-F45C82B77F41}" type="pres">
      <dgm:prSet presAssocID="{E793B2F2-0840-4A06-AC3D-1D4B00CB600B}" presName="connTx" presStyleLbl="sibTrans2D1" presStyleIdx="2" presStyleCnt="4"/>
      <dgm:spPr/>
    </dgm:pt>
    <dgm:pt modelId="{990293BD-C4A4-4196-8FDC-364B3553370D}" type="pres">
      <dgm:prSet presAssocID="{677E8394-A4E0-4F66-B676-BB56CAC6B643}" presName="composite" presStyleCnt="0"/>
      <dgm:spPr/>
    </dgm:pt>
    <dgm:pt modelId="{7E29644F-4AFC-415D-BF82-02EB604DBF42}" type="pres">
      <dgm:prSet presAssocID="{677E8394-A4E0-4F66-B676-BB56CAC6B643}" presName="imagSh" presStyleLbl="bgImgPlace1" presStyleIdx="3" presStyleCnt="5"/>
      <dgm:spPr>
        <a:blipFill>
          <a:blip xmlns:r="http://schemas.openxmlformats.org/officeDocument/2006/relationships" r:embed="rId4"/>
          <a:srcRect/>
          <a:stretch>
            <a:fillRect l="-25000" r="-25000"/>
          </a:stretch>
        </a:blipFill>
      </dgm:spPr>
      <dgm:extLst>
        <a:ext uri="{E40237B7-FDA0-4F09-8148-C483321AD2D9}">
          <dgm14:cNvPr xmlns:dgm14="http://schemas.microsoft.com/office/drawing/2010/diagram" id="0" name="" descr="Hands of person using credit card reader"/>
        </a:ext>
      </dgm:extLst>
    </dgm:pt>
    <dgm:pt modelId="{F4BAF968-0317-48D8-9522-F7F47DAFA1C8}" type="pres">
      <dgm:prSet presAssocID="{677E8394-A4E0-4F66-B676-BB56CAC6B643}" presName="txNode" presStyleLbl="node1" presStyleIdx="3" presStyleCnt="5" custLinFactNeighborX="-10748" custLinFactNeighborY="17658">
        <dgm:presLayoutVars>
          <dgm:bulletEnabled val="1"/>
        </dgm:presLayoutVars>
      </dgm:prSet>
      <dgm:spPr/>
    </dgm:pt>
    <dgm:pt modelId="{67608F8F-F058-4957-94CE-55CB1BA5C5CA}" type="pres">
      <dgm:prSet presAssocID="{C690BB4D-8E0C-4799-9176-4C2528481891}" presName="sibTrans" presStyleLbl="sibTrans2D1" presStyleIdx="3" presStyleCnt="4"/>
      <dgm:spPr/>
    </dgm:pt>
    <dgm:pt modelId="{39770C75-BFB6-4380-821A-769AC180DEA4}" type="pres">
      <dgm:prSet presAssocID="{C690BB4D-8E0C-4799-9176-4C2528481891}" presName="connTx" presStyleLbl="sibTrans2D1" presStyleIdx="3" presStyleCnt="4"/>
      <dgm:spPr/>
    </dgm:pt>
    <dgm:pt modelId="{4E4427DF-C142-4C15-AF3A-3219CF29D81C}" type="pres">
      <dgm:prSet presAssocID="{6AF0F7BE-6631-4BAA-BCD4-957F49AABA31}" presName="composite" presStyleCnt="0"/>
      <dgm:spPr/>
    </dgm:pt>
    <dgm:pt modelId="{152D2AED-CEF8-41DC-9C25-2DFFE50D5DB2}" type="pres">
      <dgm:prSet presAssocID="{6AF0F7BE-6631-4BAA-BCD4-957F49AABA31}" presName="imagSh" presStyleLbl="bgImgPlace1" presStyleIdx="4" presStyleCnt="5"/>
      <dgm:spPr>
        <a:blipFill>
          <a:blip xmlns:r="http://schemas.openxmlformats.org/officeDocument/2006/relationships" r:embed="rId5"/>
          <a:srcRect/>
          <a:stretch>
            <a:fillRect l="-39000" r="-39000"/>
          </a:stretch>
        </a:blipFill>
      </dgm:spPr>
      <dgm:extLst>
        <a:ext uri="{E40237B7-FDA0-4F09-8148-C483321AD2D9}">
          <dgm14:cNvPr xmlns:dgm14="http://schemas.microsoft.com/office/drawing/2010/diagram" id="0" name="" descr="Team of four people using computer in call center"/>
        </a:ext>
      </dgm:extLst>
    </dgm:pt>
    <dgm:pt modelId="{7DD8CB00-F325-495F-99F7-538F31A21C67}" type="pres">
      <dgm:prSet presAssocID="{6AF0F7BE-6631-4BAA-BCD4-957F49AABA31}" presName="txNode" presStyleLbl="node1" presStyleIdx="4" presStyleCnt="5" custScaleX="119027" custLinFactNeighborX="-13051" custLinFactNeighborY="22264">
        <dgm:presLayoutVars>
          <dgm:bulletEnabled val="1"/>
        </dgm:presLayoutVars>
      </dgm:prSet>
      <dgm:spPr/>
    </dgm:pt>
  </dgm:ptLst>
  <dgm:cxnLst>
    <dgm:cxn modelId="{6AF42F11-1756-4655-AF15-121428561744}" type="presOf" srcId="{C690BB4D-8E0C-4799-9176-4C2528481891}" destId="{67608F8F-F058-4957-94CE-55CB1BA5C5CA}" srcOrd="0" destOrd="0" presId="urn:microsoft.com/office/officeart/2005/8/layout/hProcess10"/>
    <dgm:cxn modelId="{C40CBD19-24AA-4B9D-80A4-F4E896FC57FA}" type="presOf" srcId="{09B758BD-D41B-4526-A5BB-CCAE1C224AF9}" destId="{E45DE321-05FF-454B-A2F8-6D56A9F74E62}" srcOrd="0" destOrd="0" presId="urn:microsoft.com/office/officeart/2005/8/layout/hProcess10"/>
    <dgm:cxn modelId="{5DE07C3E-FE2C-438B-9982-ABE442D3DFE3}" type="presOf" srcId="{6AF0F7BE-6631-4BAA-BCD4-957F49AABA31}" destId="{7DD8CB00-F325-495F-99F7-538F31A21C67}" srcOrd="0" destOrd="0" presId="urn:microsoft.com/office/officeart/2005/8/layout/hProcess10"/>
    <dgm:cxn modelId="{C24CBF42-A5B6-4797-88ED-CD8550B6010F}" type="presOf" srcId="{E793B2F2-0840-4A06-AC3D-1D4B00CB600B}" destId="{19367EAA-AEC2-4710-AC65-F45C82B77F41}" srcOrd="1" destOrd="0" presId="urn:microsoft.com/office/officeart/2005/8/layout/hProcess10"/>
    <dgm:cxn modelId="{DE55A070-B4B1-4B31-AE4E-399D06833625}" type="presOf" srcId="{D3730B3A-F141-4315-9D72-4BFB06B2C41C}" destId="{26420BDC-E0CD-4FED-8E2E-37715E970D85}" srcOrd="0" destOrd="0" presId="urn:microsoft.com/office/officeart/2005/8/layout/hProcess10"/>
    <dgm:cxn modelId="{24078152-4619-44F2-85C8-10FF2B95A1B2}" type="presOf" srcId="{FCAEDAD9-ABB0-4BCB-A874-40C7C20D84EE}" destId="{E45DE321-05FF-454B-A2F8-6D56A9F74E62}" srcOrd="0" destOrd="1" presId="urn:microsoft.com/office/officeart/2005/8/layout/hProcess10"/>
    <dgm:cxn modelId="{FB5F7D75-5DFF-45BA-8C7D-3B8C4CDF80E5}" srcId="{9EDAE8DA-53E8-4D38-914C-D7BABF7C7958}" destId="{D3730B3A-F141-4315-9D72-4BFB06B2C41C}" srcOrd="0" destOrd="0" parTransId="{C1ACD1DE-20EB-4406-802B-F6B8DBAD9141}" sibTransId="{2F16077F-F93F-4E78-8BF7-A3A0AD5B6870}"/>
    <dgm:cxn modelId="{2D10DF76-D1B3-4612-A948-39EFF29D1B8D}" srcId="{9EDAE8DA-53E8-4D38-914C-D7BABF7C7958}" destId="{6AF0F7BE-6631-4BAA-BCD4-957F49AABA31}" srcOrd="4" destOrd="0" parTransId="{C52F40E0-4191-49D7-B2D2-8447D4AF3692}" sibTransId="{150A8F93-C4FF-438E-9F33-B538DE2CE01E}"/>
    <dgm:cxn modelId="{DA3E8F58-72B0-437E-B325-0BE4F5915760}" type="presOf" srcId="{527C334E-608E-4D75-865C-13BF7E0A99E3}" destId="{B1BE8F95-0C9F-4BD0-961F-B8BE1E990211}" srcOrd="0" destOrd="0" presId="urn:microsoft.com/office/officeart/2005/8/layout/hProcess10"/>
    <dgm:cxn modelId="{C804667B-0FDE-413C-A8CF-30CB6BFAFA7A}" type="presOf" srcId="{9EDAE8DA-53E8-4D38-914C-D7BABF7C7958}" destId="{3DED8B7B-168D-46A3-A8BF-BAD356016AC0}" srcOrd="0" destOrd="0" presId="urn:microsoft.com/office/officeart/2005/8/layout/hProcess10"/>
    <dgm:cxn modelId="{7E629889-65C6-4039-B611-13556983C852}" type="presOf" srcId="{677E8394-A4E0-4F66-B676-BB56CAC6B643}" destId="{F4BAF968-0317-48D8-9522-F7F47DAFA1C8}" srcOrd="0" destOrd="0" presId="urn:microsoft.com/office/officeart/2005/8/layout/hProcess10"/>
    <dgm:cxn modelId="{25A44391-F5DC-4BD4-AF44-2B6460B04DCE}" type="presOf" srcId="{527C334E-608E-4D75-865C-13BF7E0A99E3}" destId="{6179B955-0486-4E84-9F93-F03946DAA456}" srcOrd="1" destOrd="0" presId="urn:microsoft.com/office/officeart/2005/8/layout/hProcess10"/>
    <dgm:cxn modelId="{7AE44BA4-B62B-4C00-B017-7F52CB77A6E6}" srcId="{09B758BD-D41B-4526-A5BB-CCAE1C224AF9}" destId="{FCAEDAD9-ABB0-4BCB-A874-40C7C20D84EE}" srcOrd="0" destOrd="0" parTransId="{DB40788E-00FB-42EC-A710-A07DCE67C0C8}" sibTransId="{576F4F6E-086E-40C4-B61C-BCE5C9E1A0B9}"/>
    <dgm:cxn modelId="{132146AF-60D5-4248-B24F-0D7E382AB3FC}" type="presOf" srcId="{2F16077F-F93F-4E78-8BF7-A3A0AD5B6870}" destId="{42E5F688-60F3-47CF-8425-5B47639FAC92}" srcOrd="0" destOrd="0" presId="urn:microsoft.com/office/officeart/2005/8/layout/hProcess10"/>
    <dgm:cxn modelId="{D24555B7-A940-4656-B34D-B37771504666}" type="presOf" srcId="{198438E3-ED7E-42E6-8437-FC5E62EB003E}" destId="{4A0863FD-BD28-4FA5-B689-6C155EBCF85E}" srcOrd="0" destOrd="0" presId="urn:microsoft.com/office/officeart/2005/8/layout/hProcess10"/>
    <dgm:cxn modelId="{3779B5C3-4A77-4F4E-9207-38AE981C8449}" srcId="{9EDAE8DA-53E8-4D38-914C-D7BABF7C7958}" destId="{09B758BD-D41B-4526-A5BB-CCAE1C224AF9}" srcOrd="2" destOrd="0" parTransId="{AD123BBB-02B9-427A-BD86-1A43B6128C88}" sibTransId="{E793B2F2-0840-4A06-AC3D-1D4B00CB600B}"/>
    <dgm:cxn modelId="{918DD2C6-1DF4-4782-8270-0A7E12C4E06C}" type="presOf" srcId="{C690BB4D-8E0C-4799-9176-4C2528481891}" destId="{39770C75-BFB6-4380-821A-769AC180DEA4}" srcOrd="1" destOrd="0" presId="urn:microsoft.com/office/officeart/2005/8/layout/hProcess10"/>
    <dgm:cxn modelId="{056E56DF-74BC-4240-952F-AF2E9769870D}" srcId="{9EDAE8DA-53E8-4D38-914C-D7BABF7C7958}" destId="{677E8394-A4E0-4F66-B676-BB56CAC6B643}" srcOrd="3" destOrd="0" parTransId="{25A866ED-9CA1-477E-9988-1E07ECFDCD7B}" sibTransId="{C690BB4D-8E0C-4799-9176-4C2528481891}"/>
    <dgm:cxn modelId="{58D94AE9-A346-467C-A387-8EFE472C0867}" srcId="{9EDAE8DA-53E8-4D38-914C-D7BABF7C7958}" destId="{198438E3-ED7E-42E6-8437-FC5E62EB003E}" srcOrd="1" destOrd="0" parTransId="{B64A01DE-585B-44B1-8DB8-2B17C099E41C}" sibTransId="{527C334E-608E-4D75-865C-13BF7E0A99E3}"/>
    <dgm:cxn modelId="{5685FCFB-E544-4417-954D-E62DC830BF10}" type="presOf" srcId="{E793B2F2-0840-4A06-AC3D-1D4B00CB600B}" destId="{AC1D40C9-912E-442B-89D6-A2E00CDF1D41}" srcOrd="0" destOrd="0" presId="urn:microsoft.com/office/officeart/2005/8/layout/hProcess10"/>
    <dgm:cxn modelId="{2E976AFE-6F60-4E36-A2FE-7CA9155B85BB}" type="presOf" srcId="{2F16077F-F93F-4E78-8BF7-A3A0AD5B6870}" destId="{76D83F6A-3DA0-4084-86D3-FE9EA3A3605A}" srcOrd="1" destOrd="0" presId="urn:microsoft.com/office/officeart/2005/8/layout/hProcess10"/>
    <dgm:cxn modelId="{D0A4FCA6-F346-4A52-84D4-2317CF93170D}" type="presParOf" srcId="{3DED8B7B-168D-46A3-A8BF-BAD356016AC0}" destId="{09F99B36-FC24-4A89-93D8-665C7DF38A6B}" srcOrd="0" destOrd="0" presId="urn:microsoft.com/office/officeart/2005/8/layout/hProcess10"/>
    <dgm:cxn modelId="{1748C69E-D225-45AC-A7BB-67A2FD9BB705}" type="presParOf" srcId="{09F99B36-FC24-4A89-93D8-665C7DF38A6B}" destId="{0A00D763-E5BE-40BF-BF63-121A289C1308}" srcOrd="0" destOrd="0" presId="urn:microsoft.com/office/officeart/2005/8/layout/hProcess10"/>
    <dgm:cxn modelId="{BCB0AFBD-EB2C-48DA-8D25-E73B8ADFDDFD}" type="presParOf" srcId="{09F99B36-FC24-4A89-93D8-665C7DF38A6B}" destId="{26420BDC-E0CD-4FED-8E2E-37715E970D85}" srcOrd="1" destOrd="0" presId="urn:microsoft.com/office/officeart/2005/8/layout/hProcess10"/>
    <dgm:cxn modelId="{CBF060C1-2C1F-41F9-BFBA-E37AD0283611}" type="presParOf" srcId="{3DED8B7B-168D-46A3-A8BF-BAD356016AC0}" destId="{42E5F688-60F3-47CF-8425-5B47639FAC92}" srcOrd="1" destOrd="0" presId="urn:microsoft.com/office/officeart/2005/8/layout/hProcess10"/>
    <dgm:cxn modelId="{B1FDC59C-6DBA-41A0-9969-257F71A697F0}" type="presParOf" srcId="{42E5F688-60F3-47CF-8425-5B47639FAC92}" destId="{76D83F6A-3DA0-4084-86D3-FE9EA3A3605A}" srcOrd="0" destOrd="0" presId="urn:microsoft.com/office/officeart/2005/8/layout/hProcess10"/>
    <dgm:cxn modelId="{BBCDBA61-BA9A-4005-9DF6-B407EE999C42}" type="presParOf" srcId="{3DED8B7B-168D-46A3-A8BF-BAD356016AC0}" destId="{1AC21CB4-5484-4EDE-9B6F-8F1919A07457}" srcOrd="2" destOrd="0" presId="urn:microsoft.com/office/officeart/2005/8/layout/hProcess10"/>
    <dgm:cxn modelId="{C6DCC369-795A-4C53-83F1-04AD0E7F1623}" type="presParOf" srcId="{1AC21CB4-5484-4EDE-9B6F-8F1919A07457}" destId="{1CE86CE2-B674-4217-88AD-193A47B3E699}" srcOrd="0" destOrd="0" presId="urn:microsoft.com/office/officeart/2005/8/layout/hProcess10"/>
    <dgm:cxn modelId="{CCED0DF1-0E07-496D-92E9-2ED1B3263D54}" type="presParOf" srcId="{1AC21CB4-5484-4EDE-9B6F-8F1919A07457}" destId="{4A0863FD-BD28-4FA5-B689-6C155EBCF85E}" srcOrd="1" destOrd="0" presId="urn:microsoft.com/office/officeart/2005/8/layout/hProcess10"/>
    <dgm:cxn modelId="{965F930E-327D-42CD-B5B8-ECA2E785E8A0}" type="presParOf" srcId="{3DED8B7B-168D-46A3-A8BF-BAD356016AC0}" destId="{B1BE8F95-0C9F-4BD0-961F-B8BE1E990211}" srcOrd="3" destOrd="0" presId="urn:microsoft.com/office/officeart/2005/8/layout/hProcess10"/>
    <dgm:cxn modelId="{5AA9A819-6F43-48A3-9BAF-1AA0B116C667}" type="presParOf" srcId="{B1BE8F95-0C9F-4BD0-961F-B8BE1E990211}" destId="{6179B955-0486-4E84-9F93-F03946DAA456}" srcOrd="0" destOrd="0" presId="urn:microsoft.com/office/officeart/2005/8/layout/hProcess10"/>
    <dgm:cxn modelId="{A52B1DC6-5BB4-4234-A0CD-6E006767F032}" type="presParOf" srcId="{3DED8B7B-168D-46A3-A8BF-BAD356016AC0}" destId="{3BB2DA20-B441-44EA-921C-3E2F7397AD4E}" srcOrd="4" destOrd="0" presId="urn:microsoft.com/office/officeart/2005/8/layout/hProcess10"/>
    <dgm:cxn modelId="{9DDF1A26-D3BB-48EB-BA35-DBC29AAD7BEA}" type="presParOf" srcId="{3BB2DA20-B441-44EA-921C-3E2F7397AD4E}" destId="{1D036216-BF1F-4E43-857C-2D42EA5D8143}" srcOrd="0" destOrd="0" presId="urn:microsoft.com/office/officeart/2005/8/layout/hProcess10"/>
    <dgm:cxn modelId="{A95493C7-3941-4B08-BD8D-A98D7344CBFF}" type="presParOf" srcId="{3BB2DA20-B441-44EA-921C-3E2F7397AD4E}" destId="{E45DE321-05FF-454B-A2F8-6D56A9F74E62}" srcOrd="1" destOrd="0" presId="urn:microsoft.com/office/officeart/2005/8/layout/hProcess10"/>
    <dgm:cxn modelId="{8231BF48-EB16-4C59-B694-B5C887CB4154}" type="presParOf" srcId="{3DED8B7B-168D-46A3-A8BF-BAD356016AC0}" destId="{AC1D40C9-912E-442B-89D6-A2E00CDF1D41}" srcOrd="5" destOrd="0" presId="urn:microsoft.com/office/officeart/2005/8/layout/hProcess10"/>
    <dgm:cxn modelId="{23A3422D-E002-4C3A-B973-DF88B7A68728}" type="presParOf" srcId="{AC1D40C9-912E-442B-89D6-A2E00CDF1D41}" destId="{19367EAA-AEC2-4710-AC65-F45C82B77F41}" srcOrd="0" destOrd="0" presId="urn:microsoft.com/office/officeart/2005/8/layout/hProcess10"/>
    <dgm:cxn modelId="{E8211BBB-D882-4B7A-BAC1-BFDD218DBB1F}" type="presParOf" srcId="{3DED8B7B-168D-46A3-A8BF-BAD356016AC0}" destId="{990293BD-C4A4-4196-8FDC-364B3553370D}" srcOrd="6" destOrd="0" presId="urn:microsoft.com/office/officeart/2005/8/layout/hProcess10"/>
    <dgm:cxn modelId="{DA1BF89F-FCCD-4212-93B6-955E663850D8}" type="presParOf" srcId="{990293BD-C4A4-4196-8FDC-364B3553370D}" destId="{7E29644F-4AFC-415D-BF82-02EB604DBF42}" srcOrd="0" destOrd="0" presId="urn:microsoft.com/office/officeart/2005/8/layout/hProcess10"/>
    <dgm:cxn modelId="{8EB02851-397A-4AF1-A3A1-E3B7325565DF}" type="presParOf" srcId="{990293BD-C4A4-4196-8FDC-364B3553370D}" destId="{F4BAF968-0317-48D8-9522-F7F47DAFA1C8}" srcOrd="1" destOrd="0" presId="urn:microsoft.com/office/officeart/2005/8/layout/hProcess10"/>
    <dgm:cxn modelId="{F1F3050E-1267-4E4B-987A-845A67B8EA7C}" type="presParOf" srcId="{3DED8B7B-168D-46A3-A8BF-BAD356016AC0}" destId="{67608F8F-F058-4957-94CE-55CB1BA5C5CA}" srcOrd="7" destOrd="0" presId="urn:microsoft.com/office/officeart/2005/8/layout/hProcess10"/>
    <dgm:cxn modelId="{7771D0D8-F509-45D5-8964-16939BF791DF}" type="presParOf" srcId="{67608F8F-F058-4957-94CE-55CB1BA5C5CA}" destId="{39770C75-BFB6-4380-821A-769AC180DEA4}" srcOrd="0" destOrd="0" presId="urn:microsoft.com/office/officeart/2005/8/layout/hProcess10"/>
    <dgm:cxn modelId="{CE16AF2F-EBA1-40EE-94D0-E3A593368ACE}" type="presParOf" srcId="{3DED8B7B-168D-46A3-A8BF-BAD356016AC0}" destId="{4E4427DF-C142-4C15-AF3A-3219CF29D81C}" srcOrd="8" destOrd="0" presId="urn:microsoft.com/office/officeart/2005/8/layout/hProcess10"/>
    <dgm:cxn modelId="{36E480B6-1C6B-439D-BBA8-72F32C7C7AC4}" type="presParOf" srcId="{4E4427DF-C142-4C15-AF3A-3219CF29D81C}" destId="{152D2AED-CEF8-41DC-9C25-2DFFE50D5DB2}" srcOrd="0" destOrd="0" presId="urn:microsoft.com/office/officeart/2005/8/layout/hProcess10"/>
    <dgm:cxn modelId="{B25BBA1F-CA22-4A78-9B39-856F765510D3}" type="presParOf" srcId="{4E4427DF-C142-4C15-AF3A-3219CF29D81C}" destId="{7DD8CB00-F325-495F-99F7-538F31A21C67}" srcOrd="1" destOrd="0" presId="urn:microsoft.com/office/officeart/2005/8/layout/hProcess10"/>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00D763-E5BE-40BF-BF63-121A289C1308}">
      <dsp:nvSpPr>
        <dsp:cNvPr id="0" name=""/>
        <dsp:cNvSpPr/>
      </dsp:nvSpPr>
      <dsp:spPr>
        <a:xfrm>
          <a:off x="16244" y="795891"/>
          <a:ext cx="791073" cy="791073"/>
        </a:xfrm>
        <a:prstGeom prst="roundRect">
          <a:avLst>
            <a:gd name="adj" fmla="val 10000"/>
          </a:avLst>
        </a:prstGeom>
        <a:blipFill>
          <a:blip xmlns:r="http://schemas.openxmlformats.org/officeDocument/2006/relationships" r:embed="rId1"/>
          <a:srcRect/>
          <a:stretch>
            <a:fillRect l="-39000" r="-39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6420BDC-E0CD-4FED-8E2E-37715E970D85}">
      <dsp:nvSpPr>
        <dsp:cNvPr id="0" name=""/>
        <dsp:cNvSpPr/>
      </dsp:nvSpPr>
      <dsp:spPr>
        <a:xfrm>
          <a:off x="57974" y="1312438"/>
          <a:ext cx="1072932" cy="79107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i="1" kern="1200"/>
            <a:t>Awareness &amp; Consideration </a:t>
          </a:r>
          <a:endParaRPr lang="en-GB" sz="1100" kern="1200"/>
        </a:p>
      </dsp:txBody>
      <dsp:txXfrm>
        <a:off x="81144" y="1335608"/>
        <a:ext cx="1026592" cy="744733"/>
      </dsp:txXfrm>
    </dsp:sp>
    <dsp:sp modelId="{42E5F688-60F3-47CF-8425-5B47639FAC92}">
      <dsp:nvSpPr>
        <dsp:cNvPr id="0" name=""/>
        <dsp:cNvSpPr/>
      </dsp:nvSpPr>
      <dsp:spPr>
        <a:xfrm>
          <a:off x="1009022" y="1096385"/>
          <a:ext cx="201703" cy="19008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009022" y="1134402"/>
        <a:ext cx="144678" cy="114049"/>
      </dsp:txXfrm>
    </dsp:sp>
    <dsp:sp modelId="{1CE86CE2-B674-4217-88AD-193A47B3E699}">
      <dsp:nvSpPr>
        <dsp:cNvPr id="0" name=""/>
        <dsp:cNvSpPr/>
      </dsp:nvSpPr>
      <dsp:spPr>
        <a:xfrm>
          <a:off x="1383614" y="795891"/>
          <a:ext cx="791073" cy="791073"/>
        </a:xfrm>
        <a:prstGeom prst="roundRect">
          <a:avLst>
            <a:gd name="adj" fmla="val 10000"/>
          </a:avLst>
        </a:prstGeom>
        <a:blipFill>
          <a:blip xmlns:r="http://schemas.openxmlformats.org/officeDocument/2006/relationships" r:embed="rId2"/>
          <a:srcRect/>
          <a:stretch>
            <a:fillRect l="-25000" r="-25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A0863FD-BD28-4FA5-B689-6C155EBCF85E}">
      <dsp:nvSpPr>
        <dsp:cNvPr id="0" name=""/>
        <dsp:cNvSpPr/>
      </dsp:nvSpPr>
      <dsp:spPr>
        <a:xfrm>
          <a:off x="1385659" y="1336700"/>
          <a:ext cx="840033" cy="79107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i="1" kern="1200"/>
            <a:t>Registration, Nomination and Setup </a:t>
          </a:r>
          <a:endParaRPr lang="en-GB" sz="1100" kern="1200"/>
        </a:p>
      </dsp:txBody>
      <dsp:txXfrm>
        <a:off x="1408829" y="1359870"/>
        <a:ext cx="793693" cy="744733"/>
      </dsp:txXfrm>
    </dsp:sp>
    <dsp:sp modelId="{B1BE8F95-0C9F-4BD0-961F-B8BE1E990211}">
      <dsp:nvSpPr>
        <dsp:cNvPr id="0" name=""/>
        <dsp:cNvSpPr/>
      </dsp:nvSpPr>
      <dsp:spPr>
        <a:xfrm>
          <a:off x="2335634" y="1096385"/>
          <a:ext cx="160946" cy="19008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2335634" y="1134402"/>
        <a:ext cx="112662" cy="114049"/>
      </dsp:txXfrm>
    </dsp:sp>
    <dsp:sp modelId="{1D036216-BF1F-4E43-857C-2D42EA5D8143}">
      <dsp:nvSpPr>
        <dsp:cNvPr id="0" name=""/>
        <dsp:cNvSpPr/>
      </dsp:nvSpPr>
      <dsp:spPr>
        <a:xfrm>
          <a:off x="2634534" y="795891"/>
          <a:ext cx="791073" cy="791073"/>
        </a:xfrm>
        <a:prstGeom prst="roundRect">
          <a:avLst>
            <a:gd name="adj" fmla="val 10000"/>
          </a:avLst>
        </a:prstGeom>
        <a:blipFill>
          <a:blip xmlns:r="http://schemas.openxmlformats.org/officeDocument/2006/relationships" r:embed="rId3"/>
          <a:srcRect/>
          <a:stretch>
            <a:fillRect l="-25000" r="-25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45DE321-05FF-454B-A2F8-6D56A9F74E62}">
      <dsp:nvSpPr>
        <dsp:cNvPr id="0" name=""/>
        <dsp:cNvSpPr/>
      </dsp:nvSpPr>
      <dsp:spPr>
        <a:xfrm>
          <a:off x="2679281" y="1349484"/>
          <a:ext cx="910549" cy="79107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ctr" defTabSz="488950">
            <a:lnSpc>
              <a:spcPct val="90000"/>
            </a:lnSpc>
            <a:spcBef>
              <a:spcPct val="0"/>
            </a:spcBef>
            <a:spcAft>
              <a:spcPct val="35000"/>
            </a:spcAft>
            <a:buNone/>
          </a:pPr>
          <a:r>
            <a:rPr lang="en-GB" sz="1100" i="1" kern="1200"/>
            <a:t>Prescription Management and  Dispatch</a:t>
          </a:r>
          <a:endParaRPr lang="en-GB" sz="1100" kern="1200"/>
        </a:p>
        <a:p>
          <a:pPr marL="57150" lvl="1" indent="-57150" algn="ctr" defTabSz="488950">
            <a:lnSpc>
              <a:spcPct val="90000"/>
            </a:lnSpc>
            <a:spcBef>
              <a:spcPct val="0"/>
            </a:spcBef>
            <a:spcAft>
              <a:spcPct val="15000"/>
            </a:spcAft>
            <a:buChar char="•"/>
          </a:pPr>
          <a:endParaRPr lang="en-GB" sz="1100" kern="1200"/>
        </a:p>
      </dsp:txBody>
      <dsp:txXfrm>
        <a:off x="2702451" y="1372654"/>
        <a:ext cx="864209" cy="744733"/>
      </dsp:txXfrm>
    </dsp:sp>
    <dsp:sp modelId="{AC1D40C9-912E-442B-89D6-A2E00CDF1D41}">
      <dsp:nvSpPr>
        <dsp:cNvPr id="0" name=""/>
        <dsp:cNvSpPr/>
      </dsp:nvSpPr>
      <dsp:spPr>
        <a:xfrm>
          <a:off x="3598894" y="1096385"/>
          <a:ext cx="173286" cy="19008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3598894" y="1134402"/>
        <a:ext cx="121300" cy="114049"/>
      </dsp:txXfrm>
    </dsp:sp>
    <dsp:sp modelId="{7E29644F-4AFC-415D-BF82-02EB604DBF42}">
      <dsp:nvSpPr>
        <dsp:cNvPr id="0" name=""/>
        <dsp:cNvSpPr/>
      </dsp:nvSpPr>
      <dsp:spPr>
        <a:xfrm>
          <a:off x="3920711" y="795891"/>
          <a:ext cx="791073" cy="791073"/>
        </a:xfrm>
        <a:prstGeom prst="roundRect">
          <a:avLst>
            <a:gd name="adj" fmla="val 10000"/>
          </a:avLst>
        </a:prstGeom>
        <a:blipFill>
          <a:blip xmlns:r="http://schemas.openxmlformats.org/officeDocument/2006/relationships" r:embed="rId4"/>
          <a:srcRect/>
          <a:stretch>
            <a:fillRect l="-25000" r="-25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4BAF968-0317-48D8-9522-F7F47DAFA1C8}">
      <dsp:nvSpPr>
        <dsp:cNvPr id="0" name=""/>
        <dsp:cNvSpPr/>
      </dsp:nvSpPr>
      <dsp:spPr>
        <a:xfrm>
          <a:off x="3964466" y="1410223"/>
          <a:ext cx="791073" cy="79107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i="1" kern="1200"/>
            <a:t>Delivery and Receipt</a:t>
          </a:r>
        </a:p>
      </dsp:txBody>
      <dsp:txXfrm>
        <a:off x="3987636" y="1433393"/>
        <a:ext cx="744733" cy="744733"/>
      </dsp:txXfrm>
    </dsp:sp>
    <dsp:sp modelId="{67608F8F-F058-4957-94CE-55CB1BA5C5CA}">
      <dsp:nvSpPr>
        <dsp:cNvPr id="0" name=""/>
        <dsp:cNvSpPr/>
      </dsp:nvSpPr>
      <dsp:spPr>
        <a:xfrm>
          <a:off x="4864163" y="1096385"/>
          <a:ext cx="152378" cy="19008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4864163" y="1134402"/>
        <a:ext cx="106665" cy="114049"/>
      </dsp:txXfrm>
    </dsp:sp>
    <dsp:sp modelId="{152D2AED-CEF8-41DC-9C25-2DFFE50D5DB2}">
      <dsp:nvSpPr>
        <dsp:cNvPr id="0" name=""/>
        <dsp:cNvSpPr/>
      </dsp:nvSpPr>
      <dsp:spPr>
        <a:xfrm>
          <a:off x="5147151" y="795891"/>
          <a:ext cx="791073" cy="791073"/>
        </a:xfrm>
        <a:prstGeom prst="roundRect">
          <a:avLst>
            <a:gd name="adj" fmla="val 10000"/>
          </a:avLst>
        </a:prstGeom>
        <a:blipFill>
          <a:blip xmlns:r="http://schemas.openxmlformats.org/officeDocument/2006/relationships" r:embed="rId5"/>
          <a:srcRect/>
          <a:stretch>
            <a:fillRect l="-39000" r="-39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DD8CB00-F325-495F-99F7-538F31A21C67}">
      <dsp:nvSpPr>
        <dsp:cNvPr id="0" name=""/>
        <dsp:cNvSpPr/>
      </dsp:nvSpPr>
      <dsp:spPr>
        <a:xfrm>
          <a:off x="5097429" y="1446659"/>
          <a:ext cx="941591" cy="79107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i="1" kern="1200"/>
            <a:t>Support, Retention, and Follow Up</a:t>
          </a:r>
          <a:endParaRPr lang="en-GB" sz="1100" kern="1200"/>
        </a:p>
      </dsp:txBody>
      <dsp:txXfrm>
        <a:off x="5120599" y="1469829"/>
        <a:ext cx="895251" cy="744733"/>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10">
  <dgm:title val=""/>
  <dgm:desc val=""/>
  <dgm:catLst>
    <dgm:cat type="process" pri="3000"/>
    <dgm:cat type="picture" pri="30000"/>
    <dgm:cat type="pictureconvert" pri="3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op="equ" fact="0.3333"/>
      <dgm:constr type="primFontSz" for="des" forName="txNode" op="equ" val="65"/>
      <dgm:constr type="primFontSz" for="des" forName="connTx" op="equ" val="55"/>
      <dgm:constr type="primFontSz" for="des" forName="connTx" refType="primFontSz" refFor="des" refForName="txNode" op="lte" fact="0.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imagSh"/>
              <dgm:constr type="w" for="ch" forName="imagSh" refType="w" fact="0.86"/>
              <dgm:constr type="t" for="ch" forName="imagSh"/>
              <dgm:constr type="h" for="ch" forName="imagSh" refType="w" refFor="ch" refForName="imagSh"/>
              <dgm:constr type="l" for="ch" forName="txNode" refType="w" fact="0.14"/>
              <dgm:constr type="w" for="ch" forName="txNode" refType="w" refFor="ch" refForName="imagSh"/>
              <dgm:constr type="t" for="ch" forName="txNode" refType="h" refFor="ch" refForName="imagSh" fact="0.6"/>
              <dgm:constr type="h" for="ch" forName="txNode" refType="h" refFor="ch" refForName="imagSh"/>
            </dgm:constrLst>
          </dgm:if>
          <dgm:else name="Name7">
            <dgm:constrLst>
              <dgm:constr type="l" for="ch" forName="imagSh" refType="w" fact="0.14"/>
              <dgm:constr type="w" for="ch" forName="imagSh" refType="w" fact="0.86"/>
              <dgm:constr type="t" for="ch" forName="imagSh"/>
              <dgm:constr type="h" for="ch" forName="imagSh" refType="w" refFor="ch" refForName="imagSh"/>
              <dgm:constr type="l" for="ch" forName="txNode"/>
              <dgm:constr type="w" for="ch" forName="txNode" refType="w" refFor="ch" refForName="imagSh"/>
              <dgm:constr type="t" for="ch" forName="txNode" refType="h" refFor="ch" refForName="imagSh" fact="0.6"/>
              <dgm:constr type="h" for="ch" forName="txNode" refType="h" refFor="ch" refForName="imagSh"/>
            </dgm:constrLst>
          </dgm:else>
        </dgm:choose>
        <dgm:ruleLst/>
        <dgm:layoutNode name="imagSh" styleLbl="bgImgPlace1">
          <dgm:alg type="sp"/>
          <dgm:shape xmlns:r="http://schemas.openxmlformats.org/officeDocument/2006/relationships" type="roundRect" r:blip="" blipPhldr="1">
            <dgm:adjLst>
              <dgm:adj idx="1" val="0.1"/>
            </dgm:adjLst>
          </dgm:shape>
          <dgm:presOf/>
          <dgm:constrLst/>
          <dgm:ruleLst/>
        </dgm:layoutNode>
        <dgm:layoutNode name="txNode" styleLbl="node1">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sibTransForEach" axis="followSib" ptType="sibTrans" cnt="1">
        <dgm:layoutNode name="sibTrans">
          <dgm:alg type="conn">
            <dgm:param type="begPts" val="auto"/>
            <dgm:param type="endPts" val="auto"/>
            <dgm:param type="srcNode" val="imagSh"/>
            <dgm:param type="dstNode" val="imagSh"/>
          </dgm:alg>
          <dgm:shape xmlns:r="http://schemas.openxmlformats.org/officeDocument/2006/relationships" type="conn" r:blip="">
            <dgm:adjLst/>
          </dgm:shape>
          <dgm:presOf axis="self"/>
          <dgm:constrLst>
            <dgm:constr type="h" refType="w" fact="0.62"/>
            <dgm:constr type="connDist"/>
            <dgm:constr type="begPad" refType="connDist" fact="0.35"/>
            <dgm:constr type="endPad" refType="connDist" fact="0.3"/>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4DD5B-C8BF-4219-AB7E-D789B3CB8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22</Pages>
  <Words>4995</Words>
  <Characters>28473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Wesley Santos Aliprandi (Student)</cp:lastModifiedBy>
  <cp:revision>9</cp:revision>
  <dcterms:created xsi:type="dcterms:W3CDTF">2025-11-16T15:49:00Z</dcterms:created>
  <dcterms:modified xsi:type="dcterms:W3CDTF">2025-12-01T13:41:00Z</dcterms:modified>
</cp:coreProperties>
</file>