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266DB" w14:textId="77777777" w:rsidR="00130439" w:rsidRPr="00E81518" w:rsidRDefault="00130439" w:rsidP="00130439">
      <w:pPr>
        <w:spacing w:line="360" w:lineRule="auto"/>
        <w:jc w:val="center"/>
        <w:rPr>
          <w:rFonts w:ascii="Calibri" w:hAnsi="Calibri" w:cs="Calibri"/>
          <w:b/>
          <w:bCs/>
          <w:sz w:val="24"/>
          <w:szCs w:val="24"/>
        </w:rPr>
      </w:pPr>
      <w:r w:rsidRPr="00E81518">
        <w:rPr>
          <w:rFonts w:ascii="Calibri" w:hAnsi="Calibri" w:cs="Calibri"/>
          <w:b/>
          <w:bCs/>
          <w:sz w:val="24"/>
          <w:szCs w:val="24"/>
        </w:rPr>
        <w:t>Sacred Beasts and Foreign Gods: The Transformation of Egyptian Animal Worship from the Late Pharaonic to the Ptolemaic Era</w:t>
      </w:r>
    </w:p>
    <w:p w14:paraId="4229E590" w14:textId="77777777" w:rsidR="00130439" w:rsidRPr="00E81518" w:rsidRDefault="00130439" w:rsidP="00130439">
      <w:pPr>
        <w:spacing w:line="360" w:lineRule="auto"/>
        <w:jc w:val="center"/>
        <w:rPr>
          <w:rFonts w:ascii="Calibri" w:hAnsi="Calibri" w:cs="Calibri"/>
          <w:b/>
          <w:bCs/>
          <w:sz w:val="24"/>
          <w:szCs w:val="24"/>
        </w:rPr>
      </w:pPr>
    </w:p>
    <w:p w14:paraId="4DDE9859" w14:textId="17D5C99B" w:rsidR="00130439" w:rsidRPr="00E81518" w:rsidRDefault="00130439" w:rsidP="00130439">
      <w:pPr>
        <w:spacing w:line="360" w:lineRule="auto"/>
        <w:jc w:val="center"/>
        <w:rPr>
          <w:rFonts w:ascii="Calibri" w:hAnsi="Calibri" w:cs="Calibri"/>
          <w:sz w:val="24"/>
          <w:szCs w:val="24"/>
        </w:rPr>
      </w:pPr>
      <w:r w:rsidRPr="00E81518">
        <w:rPr>
          <w:rFonts w:ascii="Calibri" w:hAnsi="Calibri" w:cs="Calibri"/>
          <w:noProof/>
        </w:rPr>
        <w:drawing>
          <wp:inline distT="0" distB="0" distL="0" distR="0" wp14:anchorId="40808B18" wp14:editId="798FAC66">
            <wp:extent cx="5715000" cy="3429000"/>
            <wp:effectExtent l="0" t="0" r="0" b="0"/>
            <wp:docPr id="1281661320" name="Picture 1"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429000"/>
                    </a:xfrm>
                    <a:prstGeom prst="rect">
                      <a:avLst/>
                    </a:prstGeom>
                    <a:noFill/>
                    <a:ln>
                      <a:noFill/>
                    </a:ln>
                  </pic:spPr>
                </pic:pic>
              </a:graphicData>
            </a:graphic>
          </wp:inline>
        </w:drawing>
      </w:r>
    </w:p>
    <w:p w14:paraId="4638BD19" w14:textId="77777777" w:rsidR="00BD78C7" w:rsidRPr="00E81518" w:rsidRDefault="00BD78C7" w:rsidP="00130439">
      <w:pPr>
        <w:spacing w:line="360" w:lineRule="auto"/>
        <w:rPr>
          <w:rFonts w:ascii="Calibri" w:hAnsi="Calibri" w:cs="Calibri"/>
        </w:rPr>
      </w:pPr>
    </w:p>
    <w:p w14:paraId="51830539" w14:textId="098D1B65" w:rsidR="00130439" w:rsidRPr="00E81518" w:rsidRDefault="00130439" w:rsidP="00130439">
      <w:pPr>
        <w:spacing w:line="360" w:lineRule="auto"/>
        <w:jc w:val="center"/>
        <w:rPr>
          <w:rFonts w:ascii="Calibri" w:hAnsi="Calibri" w:cs="Calibri"/>
          <w:b/>
          <w:bCs/>
        </w:rPr>
      </w:pPr>
      <w:r w:rsidRPr="00E81518">
        <w:rPr>
          <w:rFonts w:ascii="Calibri" w:hAnsi="Calibri" w:cs="Calibri"/>
          <w:b/>
          <w:bCs/>
        </w:rPr>
        <w:t>Sam Rayer</w:t>
      </w:r>
    </w:p>
    <w:p w14:paraId="680C1006" w14:textId="77777777" w:rsidR="00130439" w:rsidRPr="00E81518" w:rsidRDefault="00130439" w:rsidP="00130439">
      <w:pPr>
        <w:spacing w:line="360" w:lineRule="auto"/>
        <w:jc w:val="center"/>
        <w:rPr>
          <w:rFonts w:ascii="Calibri" w:hAnsi="Calibri" w:cs="Calibri"/>
          <w:b/>
          <w:bCs/>
        </w:rPr>
      </w:pPr>
    </w:p>
    <w:p w14:paraId="05616423" w14:textId="2A3553AD" w:rsidR="00130439" w:rsidRPr="00E81518" w:rsidRDefault="00130439" w:rsidP="00130439">
      <w:pPr>
        <w:spacing w:line="360" w:lineRule="auto"/>
        <w:jc w:val="center"/>
        <w:rPr>
          <w:rFonts w:ascii="Calibri" w:hAnsi="Calibri" w:cs="Calibri"/>
          <w:b/>
          <w:bCs/>
        </w:rPr>
      </w:pPr>
      <w:r w:rsidRPr="00E81518">
        <w:rPr>
          <w:rFonts w:ascii="Calibri" w:hAnsi="Calibri" w:cs="Calibri"/>
          <w:b/>
          <w:bCs/>
        </w:rPr>
        <w:t>2122233</w:t>
      </w:r>
    </w:p>
    <w:p w14:paraId="28FA0849" w14:textId="77777777" w:rsidR="00130439" w:rsidRPr="00E81518" w:rsidRDefault="00130439" w:rsidP="00130439">
      <w:pPr>
        <w:spacing w:line="360" w:lineRule="auto"/>
        <w:jc w:val="center"/>
        <w:rPr>
          <w:rFonts w:ascii="Calibri" w:hAnsi="Calibri" w:cs="Calibri"/>
          <w:b/>
          <w:bCs/>
        </w:rPr>
      </w:pPr>
    </w:p>
    <w:p w14:paraId="318403B0" w14:textId="0955FF50" w:rsidR="00130439" w:rsidRPr="00E81518" w:rsidRDefault="00130439" w:rsidP="00130439">
      <w:pPr>
        <w:spacing w:line="360" w:lineRule="auto"/>
        <w:jc w:val="center"/>
        <w:rPr>
          <w:rFonts w:ascii="Calibri" w:hAnsi="Calibri" w:cs="Calibri"/>
          <w:b/>
          <w:bCs/>
        </w:rPr>
      </w:pPr>
      <w:r w:rsidRPr="00E81518">
        <w:rPr>
          <w:rFonts w:ascii="Calibri" w:hAnsi="Calibri" w:cs="Calibri"/>
          <w:b/>
          <w:bCs/>
        </w:rPr>
        <w:t>January 2026</w:t>
      </w:r>
    </w:p>
    <w:p w14:paraId="302CC4DE" w14:textId="77777777" w:rsidR="00130439" w:rsidRPr="00E81518" w:rsidRDefault="00130439" w:rsidP="00130439">
      <w:pPr>
        <w:spacing w:line="360" w:lineRule="auto"/>
        <w:jc w:val="center"/>
        <w:rPr>
          <w:rFonts w:ascii="Calibri" w:hAnsi="Calibri" w:cs="Calibri"/>
          <w:b/>
          <w:bCs/>
        </w:rPr>
      </w:pPr>
    </w:p>
    <w:p w14:paraId="6B996056" w14:textId="77777777" w:rsidR="00130439" w:rsidRPr="00E81518" w:rsidRDefault="00130439" w:rsidP="00130439">
      <w:pPr>
        <w:spacing w:line="360" w:lineRule="auto"/>
        <w:jc w:val="center"/>
        <w:rPr>
          <w:rFonts w:ascii="Calibri" w:hAnsi="Calibri" w:cs="Calibri"/>
          <w:b/>
          <w:bCs/>
        </w:rPr>
      </w:pPr>
    </w:p>
    <w:p w14:paraId="1E3C8F83" w14:textId="7034E1D1" w:rsidR="00130439" w:rsidRPr="00E81518" w:rsidRDefault="00130439" w:rsidP="00130439">
      <w:pPr>
        <w:spacing w:line="360" w:lineRule="auto"/>
        <w:jc w:val="center"/>
        <w:rPr>
          <w:rFonts w:ascii="Calibri" w:hAnsi="Calibri" w:cs="Calibri"/>
          <w:b/>
          <w:bCs/>
        </w:rPr>
      </w:pPr>
      <w:r w:rsidRPr="00E81518">
        <w:rPr>
          <w:rFonts w:ascii="Calibri" w:hAnsi="Calibri" w:cs="Calibri"/>
          <w:b/>
          <w:bCs/>
        </w:rPr>
        <w:t>Dissertation submitted to the University of Wales Trinity Saint David for the degree of MA Ancient Religions</w:t>
      </w:r>
    </w:p>
    <w:p w14:paraId="743D71FE" w14:textId="77777777" w:rsidR="00130439" w:rsidRDefault="00130439" w:rsidP="00130439">
      <w:pPr>
        <w:spacing w:line="360" w:lineRule="auto"/>
        <w:jc w:val="center"/>
        <w:rPr>
          <w:rFonts w:ascii="Calibri" w:hAnsi="Calibri" w:cs="Calibri"/>
          <w:b/>
          <w:bCs/>
        </w:rPr>
      </w:pPr>
    </w:p>
    <w:p w14:paraId="6D227949" w14:textId="77777777" w:rsidR="001B4601" w:rsidRDefault="001B4601" w:rsidP="00130439">
      <w:pPr>
        <w:spacing w:line="360" w:lineRule="auto"/>
        <w:jc w:val="center"/>
        <w:rPr>
          <w:rFonts w:ascii="Calibri" w:hAnsi="Calibri" w:cs="Calibri"/>
          <w:b/>
          <w:bCs/>
        </w:rPr>
      </w:pPr>
    </w:p>
    <w:p w14:paraId="3B05C80A" w14:textId="77777777" w:rsidR="001B4601" w:rsidRPr="00951BBF" w:rsidRDefault="001B4601" w:rsidP="001B4601">
      <w:pPr>
        <w:spacing w:after="120"/>
        <w:ind w:left="720"/>
        <w:jc w:val="center"/>
        <w:rPr>
          <w:rFonts w:ascii="Arial" w:hAnsi="Arial" w:cs="Arial"/>
        </w:rPr>
      </w:pPr>
      <w:r>
        <w:rPr>
          <w:rFonts w:ascii="Arial" w:hAnsi="Arial" w:cs="Arial"/>
          <w:noProof/>
        </w:rPr>
        <w:lastRenderedPageBreak/>
        <w:drawing>
          <wp:inline distT="0" distB="0" distL="0" distR="0" wp14:anchorId="27591564" wp14:editId="1F96659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67D7F123"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24AACD2"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5D4DDB6"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324A7EC3"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Sam Rayer</w:t>
      </w:r>
      <w:r w:rsidRPr="00951BBF">
        <w:rPr>
          <w:rFonts w:ascii="Arial" w:hAnsi="Arial" w:cs="Arial"/>
        </w:rPr>
        <w:t>…………………………………………………...</w:t>
      </w:r>
    </w:p>
    <w:p w14:paraId="6EEDCB0A"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31/01/2026</w:t>
      </w:r>
      <w:r w:rsidRPr="00951BBF">
        <w:rPr>
          <w:rFonts w:ascii="Arial" w:hAnsi="Arial" w:cs="Arial"/>
        </w:rPr>
        <w:t>………………………………………………………………...</w:t>
      </w:r>
    </w:p>
    <w:p w14:paraId="3393346C"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14EDB64"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39436219"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Sam Rayer</w:t>
      </w:r>
      <w:r w:rsidRPr="00951BBF">
        <w:rPr>
          <w:rFonts w:ascii="Arial" w:hAnsi="Arial" w:cs="Arial"/>
        </w:rPr>
        <w:t>…………………………………………………………….</w:t>
      </w:r>
    </w:p>
    <w:p w14:paraId="69171998"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31/01/2026</w:t>
      </w:r>
      <w:r w:rsidRPr="00951BBF">
        <w:rPr>
          <w:rFonts w:ascii="Arial" w:hAnsi="Arial" w:cs="Arial"/>
        </w:rPr>
        <w:t>………………………………………….…………..…………...</w:t>
      </w:r>
    </w:p>
    <w:p w14:paraId="363DC51F"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ABFF520"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12BB5AD"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4E57ACC"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22A4D2DB"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Sam Rayer</w:t>
      </w:r>
      <w:r w:rsidRPr="00951BBF">
        <w:rPr>
          <w:rFonts w:ascii="Arial" w:hAnsi="Arial" w:cs="Arial"/>
        </w:rPr>
        <w:t>…………………………………….……………….</w:t>
      </w:r>
    </w:p>
    <w:p w14:paraId="2839E105"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31/01/2026</w:t>
      </w:r>
      <w:r w:rsidRPr="00951BBF">
        <w:rPr>
          <w:rFonts w:ascii="Arial" w:hAnsi="Arial" w:cs="Arial"/>
        </w:rPr>
        <w:t>…………………………………...……………………….</w:t>
      </w:r>
    </w:p>
    <w:p w14:paraId="4F7A3EE7"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1FCC05B4"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71037F70"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Sam Rayer</w:t>
      </w:r>
      <w:r w:rsidRPr="00951BBF">
        <w:rPr>
          <w:rFonts w:ascii="Arial" w:hAnsi="Arial" w:cs="Arial"/>
        </w:rPr>
        <w:t>……………………………………………………….</w:t>
      </w:r>
    </w:p>
    <w:p w14:paraId="2E3CDC9B"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31/01/2026</w:t>
      </w:r>
      <w:r w:rsidRPr="00951BBF">
        <w:rPr>
          <w:rFonts w:ascii="Arial" w:hAnsi="Arial" w:cs="Arial"/>
        </w:rPr>
        <w:t>………………………………….……………………………..</w:t>
      </w:r>
    </w:p>
    <w:p w14:paraId="6FE7F5F4"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0D39511"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400A77BB" w14:textId="77777777" w:rsidR="001B4601" w:rsidRPr="00951BBF" w:rsidRDefault="001B4601" w:rsidP="001B4601">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6CA01081" w14:textId="77777777" w:rsidR="001B4601" w:rsidRDefault="001B4601" w:rsidP="001B4601">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53A62151" w14:textId="77777777" w:rsidR="001B4601" w:rsidRDefault="001B4601" w:rsidP="001B4601"/>
    <w:p w14:paraId="2AAE2657" w14:textId="77777777" w:rsidR="001B4601" w:rsidRDefault="001B4601" w:rsidP="00130439">
      <w:pPr>
        <w:spacing w:line="360" w:lineRule="auto"/>
        <w:jc w:val="center"/>
        <w:rPr>
          <w:rFonts w:ascii="Calibri" w:hAnsi="Calibri" w:cs="Calibri"/>
          <w:b/>
          <w:bCs/>
        </w:rPr>
      </w:pPr>
    </w:p>
    <w:p w14:paraId="04B19DD5" w14:textId="43FBB727" w:rsidR="00725147" w:rsidRPr="00E81518" w:rsidRDefault="00725147" w:rsidP="00130439">
      <w:pPr>
        <w:spacing w:line="360" w:lineRule="auto"/>
        <w:jc w:val="center"/>
        <w:rPr>
          <w:rFonts w:ascii="Calibri" w:hAnsi="Calibri" w:cs="Calibri"/>
          <w:b/>
          <w:bCs/>
        </w:rPr>
      </w:pPr>
      <w:r w:rsidRPr="00E81518">
        <w:rPr>
          <w:rFonts w:ascii="Calibri" w:hAnsi="Calibri" w:cs="Calibri"/>
          <w:b/>
          <w:bCs/>
        </w:rPr>
        <w:lastRenderedPageBreak/>
        <w:t>Abstract</w:t>
      </w:r>
    </w:p>
    <w:p w14:paraId="2C10A79A" w14:textId="77777777" w:rsidR="00C07A2D" w:rsidRPr="00E81518" w:rsidRDefault="00C07A2D" w:rsidP="00C07A2D">
      <w:pPr>
        <w:spacing w:line="240" w:lineRule="auto"/>
        <w:rPr>
          <w:rFonts w:ascii="Calibri" w:hAnsi="Calibri" w:cs="Calibri"/>
          <w:sz w:val="24"/>
          <w:szCs w:val="24"/>
        </w:rPr>
      </w:pPr>
      <w:r w:rsidRPr="00E81518">
        <w:rPr>
          <w:rFonts w:ascii="Calibri" w:hAnsi="Calibri" w:cs="Calibri"/>
          <w:sz w:val="24"/>
          <w:szCs w:val="24"/>
        </w:rPr>
        <w:t>Animal worship was a defining and enduring feature of ancient Egyptian religion, rooted in the belief that animals could embody or mediate divine power. From the Late Pharaonic period (c. 664–332 BCE) to the Greek (Ptolemaic) period (332–30 BCE), this religious practice underwent significant transformation while retaining its central role within Egyptian religious life. This study examines the continuities and changes in animal worship across this transitional era, analysing shifts in theological emphasis, the impact of Hellenistic syncretism, and the socio-political functions of religious practice under foreign rule.</w:t>
      </w:r>
    </w:p>
    <w:p w14:paraId="15FA89E0" w14:textId="77777777" w:rsidR="00C07A2D" w:rsidRPr="00E81518" w:rsidRDefault="00C07A2D" w:rsidP="00C07A2D">
      <w:pPr>
        <w:spacing w:line="240" w:lineRule="auto"/>
        <w:rPr>
          <w:rFonts w:ascii="Calibri" w:hAnsi="Calibri" w:cs="Calibri"/>
          <w:sz w:val="24"/>
          <w:szCs w:val="24"/>
        </w:rPr>
      </w:pPr>
      <w:r w:rsidRPr="00E81518">
        <w:rPr>
          <w:rFonts w:ascii="Calibri" w:hAnsi="Calibri" w:cs="Calibri"/>
          <w:sz w:val="24"/>
          <w:szCs w:val="24"/>
        </w:rPr>
        <w:t>During the Late Period, animal cults became highly institutionalised, closely tied to temple economies, state authority, and popular piety. Sacred animals such as the Apis bull were venerated as living manifestations of gods, while mass votive cults involving ibises, cats, crocodiles, and falcons flourished through large-scale mummification industries. These practices reflect both an intensification of personal devotion and the growing economic and political power of temple institutions.</w:t>
      </w:r>
    </w:p>
    <w:p w14:paraId="4788226D" w14:textId="77777777" w:rsidR="00C07A2D" w:rsidRPr="00E81518" w:rsidRDefault="00C07A2D" w:rsidP="00C07A2D">
      <w:pPr>
        <w:spacing w:line="240" w:lineRule="auto"/>
        <w:rPr>
          <w:rFonts w:ascii="Calibri" w:hAnsi="Calibri" w:cs="Calibri"/>
          <w:sz w:val="24"/>
          <w:szCs w:val="24"/>
        </w:rPr>
      </w:pPr>
      <w:r w:rsidRPr="00E81518">
        <w:rPr>
          <w:rFonts w:ascii="Calibri" w:hAnsi="Calibri" w:cs="Calibri"/>
          <w:sz w:val="24"/>
          <w:szCs w:val="24"/>
        </w:rPr>
        <w:t>Under the Ptolemies, animal worship was neither abolished nor marginalised; rather, it was preserved, expanded, and reinterpreted. Greek rulers adopted traditional religious forms to legitimise their authority, while simultaneously introducing syncretic deities such as Serapis to bridge Egyptian and Hellenistic belief systems. Although traditional animal cults remained vibrant at local levels, their meanings and contexts shifted as commercialization increased and theological interpretations became more diverse. Animal worship thus functioned as both a tool of imperial governance and a marker of cultural identity.</w:t>
      </w:r>
    </w:p>
    <w:p w14:paraId="4C9D9773" w14:textId="77777777" w:rsidR="00C07A2D" w:rsidRPr="00E81518" w:rsidRDefault="00C07A2D" w:rsidP="00C07A2D">
      <w:pPr>
        <w:spacing w:line="240" w:lineRule="auto"/>
        <w:rPr>
          <w:rFonts w:ascii="Calibri" w:hAnsi="Calibri" w:cs="Calibri"/>
          <w:sz w:val="24"/>
          <w:szCs w:val="24"/>
        </w:rPr>
      </w:pPr>
      <w:r w:rsidRPr="00E81518">
        <w:rPr>
          <w:rFonts w:ascii="Calibri" w:hAnsi="Calibri" w:cs="Calibri"/>
          <w:sz w:val="24"/>
          <w:szCs w:val="24"/>
        </w:rPr>
        <w:t>This thesis argues that the transformation of animal worship in Ptolemaic Egypt represents not religious decline, but adaptive resilience. Through coexistence, reconfiguration, and selective syncretism, animal cults continued to mediate relationships between humans, gods, and rulers, illustrating the flexibility of Egyptian religion in response to cultural contact and political change.</w:t>
      </w:r>
    </w:p>
    <w:p w14:paraId="4314FF81" w14:textId="77777777" w:rsidR="00725147" w:rsidRPr="00E81518" w:rsidRDefault="00725147" w:rsidP="00C07A2D">
      <w:pPr>
        <w:spacing w:line="360" w:lineRule="auto"/>
        <w:rPr>
          <w:rFonts w:ascii="Calibri" w:hAnsi="Calibri" w:cs="Calibri"/>
          <w:b/>
          <w:bCs/>
        </w:rPr>
      </w:pPr>
    </w:p>
    <w:p w14:paraId="2ADE8762" w14:textId="77777777" w:rsidR="00725147" w:rsidRPr="00E81518" w:rsidRDefault="00725147" w:rsidP="00130439">
      <w:pPr>
        <w:spacing w:line="360" w:lineRule="auto"/>
        <w:jc w:val="center"/>
        <w:rPr>
          <w:rFonts w:ascii="Calibri" w:hAnsi="Calibri" w:cs="Calibri"/>
          <w:b/>
          <w:bCs/>
        </w:rPr>
      </w:pPr>
    </w:p>
    <w:p w14:paraId="30D85E46" w14:textId="77777777" w:rsidR="00725147" w:rsidRPr="00E81518" w:rsidRDefault="00725147" w:rsidP="00130439">
      <w:pPr>
        <w:spacing w:line="360" w:lineRule="auto"/>
        <w:jc w:val="center"/>
        <w:rPr>
          <w:rFonts w:ascii="Calibri" w:hAnsi="Calibri" w:cs="Calibri"/>
          <w:b/>
          <w:bCs/>
        </w:rPr>
      </w:pPr>
    </w:p>
    <w:p w14:paraId="218FFF94" w14:textId="77777777" w:rsidR="00725147" w:rsidRPr="00E81518" w:rsidRDefault="00725147" w:rsidP="00130439">
      <w:pPr>
        <w:spacing w:line="360" w:lineRule="auto"/>
        <w:jc w:val="center"/>
        <w:rPr>
          <w:rFonts w:ascii="Calibri" w:hAnsi="Calibri" w:cs="Calibri"/>
          <w:b/>
          <w:bCs/>
        </w:rPr>
      </w:pPr>
    </w:p>
    <w:p w14:paraId="1142F020" w14:textId="77777777" w:rsidR="00725147" w:rsidRPr="00E81518" w:rsidRDefault="00725147" w:rsidP="00130439">
      <w:pPr>
        <w:spacing w:line="360" w:lineRule="auto"/>
        <w:jc w:val="center"/>
        <w:rPr>
          <w:rFonts w:ascii="Calibri" w:hAnsi="Calibri" w:cs="Calibri"/>
          <w:b/>
          <w:bCs/>
        </w:rPr>
      </w:pPr>
    </w:p>
    <w:p w14:paraId="1403F31A" w14:textId="77777777" w:rsidR="00725147" w:rsidRPr="00E81518" w:rsidRDefault="00725147" w:rsidP="00130439">
      <w:pPr>
        <w:spacing w:line="360" w:lineRule="auto"/>
        <w:jc w:val="center"/>
        <w:rPr>
          <w:rFonts w:ascii="Calibri" w:hAnsi="Calibri" w:cs="Calibri"/>
          <w:b/>
          <w:bCs/>
        </w:rPr>
      </w:pPr>
    </w:p>
    <w:p w14:paraId="5484BB33" w14:textId="77777777" w:rsidR="00725147" w:rsidRPr="00E81518" w:rsidRDefault="00725147" w:rsidP="00130439">
      <w:pPr>
        <w:spacing w:line="360" w:lineRule="auto"/>
        <w:jc w:val="center"/>
        <w:rPr>
          <w:rFonts w:ascii="Calibri" w:hAnsi="Calibri" w:cs="Calibri"/>
          <w:b/>
          <w:bCs/>
        </w:rPr>
      </w:pPr>
    </w:p>
    <w:p w14:paraId="5D3B6D29" w14:textId="77777777" w:rsidR="00725147" w:rsidRPr="00E81518" w:rsidRDefault="00725147" w:rsidP="00130439">
      <w:pPr>
        <w:spacing w:line="360" w:lineRule="auto"/>
        <w:jc w:val="center"/>
        <w:rPr>
          <w:rFonts w:ascii="Calibri" w:hAnsi="Calibri" w:cs="Calibri"/>
          <w:b/>
          <w:bCs/>
        </w:rPr>
      </w:pPr>
    </w:p>
    <w:p w14:paraId="728BBEEE" w14:textId="77777777" w:rsidR="00725147" w:rsidRPr="00E81518" w:rsidRDefault="00725147" w:rsidP="001528C2">
      <w:pPr>
        <w:spacing w:line="360" w:lineRule="auto"/>
        <w:rPr>
          <w:rFonts w:ascii="Calibri" w:hAnsi="Calibri" w:cs="Calibri"/>
          <w:b/>
          <w:bCs/>
        </w:rPr>
      </w:pPr>
    </w:p>
    <w:p w14:paraId="079040B2" w14:textId="77777777" w:rsidR="00E81518" w:rsidRDefault="00E81518" w:rsidP="00130439">
      <w:pPr>
        <w:spacing w:line="360" w:lineRule="auto"/>
        <w:jc w:val="center"/>
        <w:rPr>
          <w:rFonts w:ascii="Calibri" w:hAnsi="Calibri" w:cs="Calibri"/>
          <w:b/>
          <w:bCs/>
        </w:rPr>
      </w:pPr>
    </w:p>
    <w:p w14:paraId="0D7F3004" w14:textId="6AE252D2" w:rsidR="00725147" w:rsidRPr="00E81518" w:rsidRDefault="00725147" w:rsidP="00130439">
      <w:pPr>
        <w:spacing w:line="360" w:lineRule="auto"/>
        <w:jc w:val="center"/>
        <w:rPr>
          <w:rFonts w:ascii="Calibri" w:hAnsi="Calibri" w:cs="Calibri"/>
          <w:b/>
          <w:bCs/>
        </w:rPr>
      </w:pPr>
      <w:r w:rsidRPr="00E81518">
        <w:rPr>
          <w:rFonts w:ascii="Calibri" w:hAnsi="Calibri" w:cs="Calibri"/>
          <w:b/>
          <w:bCs/>
        </w:rPr>
        <w:lastRenderedPageBreak/>
        <w:t>Contents</w:t>
      </w:r>
    </w:p>
    <w:p w14:paraId="0199D7B8" w14:textId="20DAE9CA" w:rsidR="00F97E49" w:rsidRPr="00E81518" w:rsidRDefault="00F97E49" w:rsidP="00F97E49">
      <w:pPr>
        <w:pStyle w:val="ListParagraph"/>
        <w:numPr>
          <w:ilvl w:val="0"/>
          <w:numId w:val="1"/>
        </w:numPr>
        <w:spacing w:line="360" w:lineRule="auto"/>
        <w:rPr>
          <w:rFonts w:ascii="Calibri" w:hAnsi="Calibri" w:cs="Calibri"/>
          <w:b/>
          <w:bCs/>
        </w:rPr>
      </w:pPr>
      <w:r w:rsidRPr="00E81518">
        <w:rPr>
          <w:rFonts w:ascii="Calibri" w:hAnsi="Calibri" w:cs="Calibri"/>
          <w:b/>
          <w:bCs/>
        </w:rPr>
        <w:t>Title Page</w:t>
      </w:r>
    </w:p>
    <w:p w14:paraId="1B438C51" w14:textId="782D54C1" w:rsidR="00F97E49" w:rsidRPr="00E81518" w:rsidRDefault="00F97E49" w:rsidP="00F97E49">
      <w:pPr>
        <w:pStyle w:val="ListParagraph"/>
        <w:numPr>
          <w:ilvl w:val="0"/>
          <w:numId w:val="1"/>
        </w:numPr>
        <w:spacing w:line="360" w:lineRule="auto"/>
        <w:rPr>
          <w:rFonts w:ascii="Calibri" w:hAnsi="Calibri" w:cs="Calibri"/>
          <w:b/>
          <w:bCs/>
        </w:rPr>
      </w:pPr>
      <w:r w:rsidRPr="00E81518">
        <w:rPr>
          <w:rFonts w:ascii="Calibri" w:hAnsi="Calibri" w:cs="Calibri"/>
          <w:b/>
          <w:bCs/>
        </w:rPr>
        <w:t>Declaration</w:t>
      </w:r>
    </w:p>
    <w:p w14:paraId="2FD7321B" w14:textId="5BB18784" w:rsidR="00F97E49" w:rsidRPr="00E81518" w:rsidRDefault="00F97E49" w:rsidP="00F97E49">
      <w:pPr>
        <w:pStyle w:val="ListParagraph"/>
        <w:numPr>
          <w:ilvl w:val="0"/>
          <w:numId w:val="1"/>
        </w:numPr>
        <w:spacing w:line="360" w:lineRule="auto"/>
        <w:rPr>
          <w:rFonts w:ascii="Calibri" w:hAnsi="Calibri" w:cs="Calibri"/>
          <w:b/>
          <w:bCs/>
        </w:rPr>
      </w:pPr>
      <w:r w:rsidRPr="00E81518">
        <w:rPr>
          <w:rFonts w:ascii="Calibri" w:hAnsi="Calibri" w:cs="Calibri"/>
          <w:b/>
          <w:bCs/>
        </w:rPr>
        <w:t>Abstract</w:t>
      </w:r>
    </w:p>
    <w:p w14:paraId="3DA74A74" w14:textId="5ED40C63" w:rsidR="00F97E49" w:rsidRPr="00E81518" w:rsidRDefault="00F97E49" w:rsidP="00F97E49">
      <w:pPr>
        <w:pStyle w:val="ListParagraph"/>
        <w:numPr>
          <w:ilvl w:val="0"/>
          <w:numId w:val="1"/>
        </w:numPr>
        <w:spacing w:line="360" w:lineRule="auto"/>
        <w:rPr>
          <w:rFonts w:ascii="Calibri" w:hAnsi="Calibri" w:cs="Calibri"/>
          <w:b/>
          <w:bCs/>
        </w:rPr>
      </w:pPr>
      <w:r w:rsidRPr="00E81518">
        <w:rPr>
          <w:rFonts w:ascii="Calibri" w:hAnsi="Calibri" w:cs="Calibri"/>
          <w:b/>
          <w:bCs/>
        </w:rPr>
        <w:t>Contents</w:t>
      </w:r>
    </w:p>
    <w:p w14:paraId="13AE0254" w14:textId="3AC97A57" w:rsidR="00F97E49" w:rsidRPr="00E81518" w:rsidRDefault="00F97E49" w:rsidP="00F97E49">
      <w:pPr>
        <w:pStyle w:val="ListParagraph"/>
        <w:numPr>
          <w:ilvl w:val="0"/>
          <w:numId w:val="1"/>
        </w:numPr>
        <w:spacing w:line="360" w:lineRule="auto"/>
        <w:rPr>
          <w:rFonts w:ascii="Calibri" w:hAnsi="Calibri" w:cs="Calibri"/>
          <w:b/>
          <w:bCs/>
        </w:rPr>
      </w:pPr>
      <w:r w:rsidRPr="00E81518">
        <w:rPr>
          <w:rFonts w:ascii="Calibri" w:hAnsi="Calibri" w:cs="Calibri"/>
          <w:b/>
          <w:bCs/>
        </w:rPr>
        <w:t>Introduction</w:t>
      </w:r>
    </w:p>
    <w:p w14:paraId="36E7BA31" w14:textId="3F8C1B60" w:rsidR="00F97E49" w:rsidRPr="00E81518" w:rsidRDefault="00F97E49" w:rsidP="00F97E49">
      <w:pPr>
        <w:pStyle w:val="ListParagraph"/>
        <w:numPr>
          <w:ilvl w:val="0"/>
          <w:numId w:val="2"/>
        </w:numPr>
        <w:spacing w:line="360" w:lineRule="auto"/>
        <w:rPr>
          <w:rFonts w:ascii="Calibri" w:hAnsi="Calibri" w:cs="Calibri"/>
          <w:b/>
          <w:bCs/>
        </w:rPr>
      </w:pPr>
      <w:r w:rsidRPr="00E81518">
        <w:rPr>
          <w:rFonts w:ascii="Calibri" w:hAnsi="Calibri" w:cs="Calibri"/>
          <w:b/>
          <w:bCs/>
        </w:rPr>
        <w:t>Chapter 1 – Late Pharaonic Animal Worship: Institutionalisation and Popular Piety</w:t>
      </w:r>
    </w:p>
    <w:p w14:paraId="2459946E" w14:textId="77777777" w:rsidR="00561299" w:rsidRPr="00E81518" w:rsidRDefault="00F97E49" w:rsidP="00561299">
      <w:pPr>
        <w:pStyle w:val="ListParagraph"/>
        <w:numPr>
          <w:ilvl w:val="0"/>
          <w:numId w:val="3"/>
        </w:numPr>
        <w:spacing w:line="360" w:lineRule="auto"/>
        <w:rPr>
          <w:rFonts w:ascii="Calibri" w:hAnsi="Calibri" w:cs="Calibri"/>
          <w:b/>
          <w:bCs/>
        </w:rPr>
      </w:pPr>
      <w:r w:rsidRPr="00E81518">
        <w:rPr>
          <w:rFonts w:ascii="Calibri" w:hAnsi="Calibri" w:cs="Calibri"/>
          <w:b/>
          <w:bCs/>
        </w:rPr>
        <w:t>Chapter 2 – The Macedonian Conquest and the Rise of the Ptolemies: A New Religious Order?</w:t>
      </w:r>
    </w:p>
    <w:p w14:paraId="30560136" w14:textId="07F3859D" w:rsidR="00561299" w:rsidRPr="00E81518" w:rsidRDefault="00561299" w:rsidP="00561299">
      <w:pPr>
        <w:pStyle w:val="ListParagraph"/>
        <w:numPr>
          <w:ilvl w:val="0"/>
          <w:numId w:val="5"/>
        </w:numPr>
        <w:spacing w:line="360" w:lineRule="auto"/>
        <w:rPr>
          <w:rFonts w:ascii="Calibri" w:hAnsi="Calibri" w:cs="Calibri"/>
          <w:b/>
          <w:bCs/>
        </w:rPr>
      </w:pPr>
      <w:r w:rsidRPr="00E81518">
        <w:rPr>
          <w:rFonts w:ascii="Calibri" w:hAnsi="Calibri" w:cs="Calibri"/>
          <w:b/>
          <w:bCs/>
        </w:rPr>
        <w:t>Chapter 3 – Continuity and Transformation: Sacred Animals under the Ptolemies</w:t>
      </w:r>
    </w:p>
    <w:p w14:paraId="734079B6" w14:textId="5070B6FB" w:rsidR="00D76B24" w:rsidRDefault="00D76B24" w:rsidP="00E81518">
      <w:pPr>
        <w:pStyle w:val="ListParagraph"/>
        <w:numPr>
          <w:ilvl w:val="0"/>
          <w:numId w:val="7"/>
        </w:numPr>
        <w:spacing w:line="360" w:lineRule="auto"/>
        <w:rPr>
          <w:rFonts w:ascii="Calibri" w:hAnsi="Calibri" w:cs="Calibri"/>
          <w:b/>
          <w:bCs/>
        </w:rPr>
      </w:pPr>
      <w:r w:rsidRPr="00E81518">
        <w:rPr>
          <w:rFonts w:ascii="Calibri" w:hAnsi="Calibri" w:cs="Calibri"/>
          <w:b/>
          <w:bCs/>
        </w:rPr>
        <w:t>Chapter 4 – Socio-Political Implications of Religious Syncretism</w:t>
      </w:r>
    </w:p>
    <w:p w14:paraId="37844646" w14:textId="67275485" w:rsidR="00E81518" w:rsidRDefault="00E81518" w:rsidP="00E81518">
      <w:pPr>
        <w:pStyle w:val="ListParagraph"/>
        <w:numPr>
          <w:ilvl w:val="0"/>
          <w:numId w:val="8"/>
        </w:numPr>
        <w:spacing w:line="360" w:lineRule="auto"/>
        <w:rPr>
          <w:rFonts w:ascii="Calibri" w:hAnsi="Calibri" w:cs="Calibri"/>
          <w:b/>
          <w:bCs/>
        </w:rPr>
      </w:pPr>
      <w:r>
        <w:rPr>
          <w:rFonts w:ascii="Calibri" w:hAnsi="Calibri" w:cs="Calibri"/>
          <w:b/>
          <w:bCs/>
        </w:rPr>
        <w:t>Conclusion</w:t>
      </w:r>
    </w:p>
    <w:p w14:paraId="4B31A728" w14:textId="5818A6F4" w:rsidR="009266F8" w:rsidRPr="00E81518" w:rsidRDefault="009266F8" w:rsidP="009266F8">
      <w:pPr>
        <w:pStyle w:val="ListParagraph"/>
        <w:numPr>
          <w:ilvl w:val="0"/>
          <w:numId w:val="9"/>
        </w:numPr>
        <w:spacing w:line="360" w:lineRule="auto"/>
        <w:rPr>
          <w:rFonts w:ascii="Calibri" w:hAnsi="Calibri" w:cs="Calibri"/>
          <w:b/>
          <w:bCs/>
        </w:rPr>
      </w:pPr>
      <w:r>
        <w:rPr>
          <w:rFonts w:ascii="Calibri" w:hAnsi="Calibri" w:cs="Calibri"/>
          <w:b/>
          <w:bCs/>
        </w:rPr>
        <w:t>Bibliography</w:t>
      </w:r>
    </w:p>
    <w:p w14:paraId="75230A7B" w14:textId="77777777" w:rsidR="00561299" w:rsidRPr="00E81518" w:rsidRDefault="00561299" w:rsidP="00561299">
      <w:pPr>
        <w:spacing w:line="360" w:lineRule="auto"/>
        <w:ind w:left="360"/>
        <w:rPr>
          <w:rFonts w:ascii="Calibri" w:hAnsi="Calibri" w:cs="Calibri"/>
          <w:b/>
          <w:bCs/>
        </w:rPr>
      </w:pPr>
    </w:p>
    <w:p w14:paraId="66D4ED18" w14:textId="77777777" w:rsidR="00D671AD" w:rsidRPr="00E81518" w:rsidRDefault="00D671AD" w:rsidP="00130439">
      <w:pPr>
        <w:spacing w:line="360" w:lineRule="auto"/>
        <w:jc w:val="center"/>
        <w:rPr>
          <w:rFonts w:ascii="Calibri" w:hAnsi="Calibri" w:cs="Calibri"/>
          <w:b/>
          <w:bCs/>
        </w:rPr>
      </w:pPr>
    </w:p>
    <w:p w14:paraId="2961A2BF" w14:textId="77777777" w:rsidR="00D671AD" w:rsidRPr="00E81518" w:rsidRDefault="00D671AD" w:rsidP="00130439">
      <w:pPr>
        <w:spacing w:line="360" w:lineRule="auto"/>
        <w:jc w:val="center"/>
        <w:rPr>
          <w:rFonts w:ascii="Calibri" w:hAnsi="Calibri" w:cs="Calibri"/>
          <w:b/>
          <w:bCs/>
        </w:rPr>
      </w:pPr>
    </w:p>
    <w:p w14:paraId="0D11BB47" w14:textId="77777777" w:rsidR="00D671AD" w:rsidRPr="00E81518" w:rsidRDefault="00D671AD" w:rsidP="00130439">
      <w:pPr>
        <w:spacing w:line="360" w:lineRule="auto"/>
        <w:jc w:val="center"/>
        <w:rPr>
          <w:rFonts w:ascii="Calibri" w:hAnsi="Calibri" w:cs="Calibri"/>
          <w:b/>
          <w:bCs/>
        </w:rPr>
      </w:pPr>
    </w:p>
    <w:p w14:paraId="49372E13" w14:textId="77777777" w:rsidR="00D671AD" w:rsidRPr="00E81518" w:rsidRDefault="00D671AD" w:rsidP="00130439">
      <w:pPr>
        <w:spacing w:line="360" w:lineRule="auto"/>
        <w:jc w:val="center"/>
        <w:rPr>
          <w:rFonts w:ascii="Calibri" w:hAnsi="Calibri" w:cs="Calibri"/>
          <w:b/>
          <w:bCs/>
        </w:rPr>
      </w:pPr>
    </w:p>
    <w:p w14:paraId="4E616067" w14:textId="77777777" w:rsidR="00D671AD" w:rsidRPr="00E81518" w:rsidRDefault="00D671AD" w:rsidP="00130439">
      <w:pPr>
        <w:spacing w:line="360" w:lineRule="auto"/>
        <w:jc w:val="center"/>
        <w:rPr>
          <w:rFonts w:ascii="Calibri" w:hAnsi="Calibri" w:cs="Calibri"/>
          <w:b/>
          <w:bCs/>
        </w:rPr>
      </w:pPr>
    </w:p>
    <w:p w14:paraId="37AF81D2" w14:textId="77777777" w:rsidR="00D671AD" w:rsidRPr="00E81518" w:rsidRDefault="00D671AD" w:rsidP="00130439">
      <w:pPr>
        <w:spacing w:line="360" w:lineRule="auto"/>
        <w:jc w:val="center"/>
        <w:rPr>
          <w:rFonts w:ascii="Calibri" w:hAnsi="Calibri" w:cs="Calibri"/>
          <w:b/>
          <w:bCs/>
        </w:rPr>
      </w:pPr>
    </w:p>
    <w:p w14:paraId="14B7C0D3" w14:textId="77777777" w:rsidR="00D671AD" w:rsidRPr="00E81518" w:rsidRDefault="00D671AD" w:rsidP="00130439">
      <w:pPr>
        <w:spacing w:line="360" w:lineRule="auto"/>
        <w:jc w:val="center"/>
        <w:rPr>
          <w:rFonts w:ascii="Calibri" w:hAnsi="Calibri" w:cs="Calibri"/>
          <w:b/>
          <w:bCs/>
        </w:rPr>
      </w:pPr>
    </w:p>
    <w:p w14:paraId="3B68CD25" w14:textId="77777777" w:rsidR="00D671AD" w:rsidRPr="00E81518" w:rsidRDefault="00D671AD" w:rsidP="00130439">
      <w:pPr>
        <w:spacing w:line="360" w:lineRule="auto"/>
        <w:jc w:val="center"/>
        <w:rPr>
          <w:rFonts w:ascii="Calibri" w:hAnsi="Calibri" w:cs="Calibri"/>
          <w:b/>
          <w:bCs/>
        </w:rPr>
      </w:pPr>
    </w:p>
    <w:p w14:paraId="20DC9F0F" w14:textId="77777777" w:rsidR="00D671AD" w:rsidRPr="00E81518" w:rsidRDefault="00D671AD" w:rsidP="00130439">
      <w:pPr>
        <w:spacing w:line="360" w:lineRule="auto"/>
        <w:jc w:val="center"/>
        <w:rPr>
          <w:rFonts w:ascii="Calibri" w:hAnsi="Calibri" w:cs="Calibri"/>
          <w:b/>
          <w:bCs/>
        </w:rPr>
      </w:pPr>
    </w:p>
    <w:p w14:paraId="78AD052E" w14:textId="77777777" w:rsidR="00D671AD" w:rsidRPr="00E81518" w:rsidRDefault="00D671AD" w:rsidP="00130439">
      <w:pPr>
        <w:spacing w:line="360" w:lineRule="auto"/>
        <w:jc w:val="center"/>
        <w:rPr>
          <w:rFonts w:ascii="Calibri" w:hAnsi="Calibri" w:cs="Calibri"/>
          <w:b/>
          <w:bCs/>
        </w:rPr>
      </w:pPr>
    </w:p>
    <w:p w14:paraId="19398CE2" w14:textId="77777777" w:rsidR="00D671AD" w:rsidRPr="00E81518" w:rsidRDefault="00D671AD" w:rsidP="00130439">
      <w:pPr>
        <w:spacing w:line="360" w:lineRule="auto"/>
        <w:jc w:val="center"/>
        <w:rPr>
          <w:rFonts w:ascii="Calibri" w:hAnsi="Calibri" w:cs="Calibri"/>
          <w:b/>
          <w:bCs/>
        </w:rPr>
      </w:pPr>
    </w:p>
    <w:p w14:paraId="25046295" w14:textId="77777777" w:rsidR="00D671AD" w:rsidRPr="00E81518" w:rsidRDefault="00D671AD" w:rsidP="00130439">
      <w:pPr>
        <w:spacing w:line="360" w:lineRule="auto"/>
        <w:jc w:val="center"/>
        <w:rPr>
          <w:rFonts w:ascii="Calibri" w:hAnsi="Calibri" w:cs="Calibri"/>
          <w:b/>
          <w:bCs/>
        </w:rPr>
      </w:pPr>
    </w:p>
    <w:p w14:paraId="4A2309E0" w14:textId="77777777" w:rsidR="00D671AD" w:rsidRPr="00E81518" w:rsidRDefault="00D671AD" w:rsidP="001A53FA">
      <w:pPr>
        <w:spacing w:line="360" w:lineRule="auto"/>
        <w:rPr>
          <w:rFonts w:ascii="Calibri" w:hAnsi="Calibri" w:cs="Calibri"/>
          <w:b/>
          <w:bCs/>
        </w:rPr>
      </w:pPr>
    </w:p>
    <w:p w14:paraId="1CDE7E02" w14:textId="77777777" w:rsidR="00E81518" w:rsidRDefault="00E81518" w:rsidP="00D671AD">
      <w:pPr>
        <w:spacing w:line="360" w:lineRule="auto"/>
        <w:rPr>
          <w:rFonts w:ascii="Calibri" w:hAnsi="Calibri" w:cs="Calibri"/>
          <w:sz w:val="24"/>
          <w:szCs w:val="24"/>
        </w:rPr>
      </w:pPr>
    </w:p>
    <w:p w14:paraId="4DE05AEA" w14:textId="3AB24A22" w:rsidR="00E81518" w:rsidRPr="00E81518" w:rsidRDefault="00E81518" w:rsidP="00D671AD">
      <w:pPr>
        <w:spacing w:line="360" w:lineRule="auto"/>
        <w:rPr>
          <w:rFonts w:ascii="Calibri" w:hAnsi="Calibri" w:cs="Calibri"/>
          <w:b/>
          <w:bCs/>
          <w:sz w:val="24"/>
          <w:szCs w:val="24"/>
        </w:rPr>
      </w:pPr>
      <w:r w:rsidRPr="00E81518">
        <w:rPr>
          <w:rFonts w:ascii="Calibri" w:hAnsi="Calibri" w:cs="Calibri"/>
          <w:b/>
          <w:bCs/>
          <w:sz w:val="24"/>
          <w:szCs w:val="24"/>
        </w:rPr>
        <w:lastRenderedPageBreak/>
        <w:t>Introduction</w:t>
      </w:r>
    </w:p>
    <w:p w14:paraId="61FFCA56" w14:textId="1E94CF45"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religious landscape of ancient Egypt was rich with symbolism, myth, and a profound connection between the divine and the natural world. One of its most enduring and unique features was the worship and veneration of animals - a religious expression where animals were not merely associated with gods but, in many cases, were seen as physical manifestations of them. From the sacred Apis bull to the revered cats of Bastet, animals were central to religious life.</w:t>
      </w:r>
      <w:r w:rsidRPr="00E81518">
        <w:rPr>
          <w:rStyle w:val="FootnoteReference"/>
          <w:rFonts w:ascii="Calibri" w:hAnsi="Calibri" w:cs="Calibri"/>
          <w:sz w:val="24"/>
          <w:szCs w:val="24"/>
        </w:rPr>
        <w:footnoteReference w:id="1"/>
      </w:r>
      <w:r w:rsidRPr="00E81518">
        <w:rPr>
          <w:rFonts w:ascii="Calibri" w:hAnsi="Calibri" w:cs="Calibri"/>
          <w:sz w:val="24"/>
          <w:szCs w:val="24"/>
        </w:rPr>
        <w:t xml:space="preserve"> However, the continuity of this practice was challenged and transformed during the profound cultural and political shift from the Late Pharaonic period (c. 664–332 BCE) to the Greek (Ptolemaic) period (332–30 BCE).</w:t>
      </w:r>
      <w:r w:rsidRPr="00E81518">
        <w:rPr>
          <w:rStyle w:val="FootnoteReference"/>
          <w:rFonts w:ascii="Calibri" w:hAnsi="Calibri" w:cs="Calibri"/>
          <w:sz w:val="24"/>
          <w:szCs w:val="24"/>
        </w:rPr>
        <w:footnoteReference w:id="2"/>
      </w:r>
      <w:r w:rsidRPr="00E81518">
        <w:rPr>
          <w:rFonts w:ascii="Calibri" w:hAnsi="Calibri" w:cs="Calibri"/>
          <w:sz w:val="24"/>
          <w:szCs w:val="24"/>
        </w:rPr>
        <w:t xml:space="preserve"> This essay will explore the transformation in animal worship during this transitional era, analysing the continuities, shifts in theological emphasis, the role of Hellenistic syncretism, and the socio-political implications of Greco-Egyptian religious integration.</w:t>
      </w:r>
    </w:p>
    <w:p w14:paraId="2D0220F5"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By the Late Period of Egyptian history (c. 664–332 BCE), animal worship had evolved into a highly formalised and economically significant component of Egyptian religious life, closely intertwined with state authority, temple administration, and popular piety.</w:t>
      </w:r>
      <w:r w:rsidRPr="00E81518">
        <w:rPr>
          <w:rStyle w:val="FootnoteReference"/>
          <w:rFonts w:ascii="Calibri" w:hAnsi="Calibri" w:cs="Calibri"/>
          <w:sz w:val="24"/>
          <w:szCs w:val="24"/>
        </w:rPr>
        <w:footnoteReference w:id="3"/>
      </w:r>
      <w:r w:rsidRPr="00E81518">
        <w:rPr>
          <w:rFonts w:ascii="Calibri" w:hAnsi="Calibri" w:cs="Calibri"/>
          <w:sz w:val="24"/>
          <w:szCs w:val="24"/>
        </w:rPr>
        <w:t xml:space="preserve"> While reverence for animals had deep roots in earlier periods, the Late Period saw the unprecedented institutionalisation and expansion of specific animal cults, each centred on a species believed to embody or mediate the power of a particular deity. Prominent among these were the Apis bull of Ptah at Memphis and the Mnevis bull of Ra at Heliopolis.</w:t>
      </w:r>
      <w:r w:rsidRPr="00E81518">
        <w:rPr>
          <w:rStyle w:val="FootnoteReference"/>
          <w:rFonts w:ascii="Calibri" w:hAnsi="Calibri" w:cs="Calibri"/>
          <w:sz w:val="24"/>
          <w:szCs w:val="24"/>
        </w:rPr>
        <w:footnoteReference w:id="4"/>
      </w:r>
      <w:r w:rsidRPr="00E81518">
        <w:rPr>
          <w:rFonts w:ascii="Calibri" w:hAnsi="Calibri" w:cs="Calibri"/>
          <w:sz w:val="24"/>
          <w:szCs w:val="24"/>
        </w:rPr>
        <w:t xml:space="preserve"> These sacred bulls were not merely symbolic but were regarded as living manifestations of the god, selected according to precise physical criteria and maintained within temple precincts under the supervision of elite priesthoods.</w:t>
      </w:r>
      <w:r w:rsidRPr="00E81518">
        <w:rPr>
          <w:rStyle w:val="FootnoteReference"/>
          <w:rFonts w:ascii="Calibri" w:hAnsi="Calibri" w:cs="Calibri"/>
          <w:sz w:val="24"/>
          <w:szCs w:val="24"/>
        </w:rPr>
        <w:footnoteReference w:id="5"/>
      </w:r>
      <w:r w:rsidRPr="00E81518">
        <w:rPr>
          <w:rFonts w:ascii="Calibri" w:hAnsi="Calibri" w:cs="Calibri"/>
          <w:sz w:val="24"/>
          <w:szCs w:val="24"/>
        </w:rPr>
        <w:t xml:space="preserve"> Upon death, the bulls received funerary rites comparable to those of royalty: embalming with costly resins, placement in massive stone sarcophagi, and interment in monumental underground complexes such as the Serapeum at Saqqara.</w:t>
      </w:r>
      <w:r w:rsidRPr="00E81518">
        <w:rPr>
          <w:rStyle w:val="FootnoteReference"/>
          <w:rFonts w:ascii="Calibri" w:hAnsi="Calibri" w:cs="Calibri"/>
          <w:sz w:val="24"/>
          <w:szCs w:val="24"/>
        </w:rPr>
        <w:footnoteReference w:id="6"/>
      </w:r>
      <w:r w:rsidRPr="00E81518">
        <w:rPr>
          <w:rFonts w:ascii="Calibri" w:hAnsi="Calibri" w:cs="Calibri"/>
          <w:sz w:val="24"/>
          <w:szCs w:val="24"/>
        </w:rPr>
        <w:t xml:space="preserve"> Royal patronage and state resources supported these rituals, underscoring the political as well as religious significance of the cults.</w:t>
      </w:r>
      <w:r w:rsidRPr="00E81518">
        <w:rPr>
          <w:rStyle w:val="FootnoteReference"/>
          <w:rFonts w:ascii="Calibri" w:hAnsi="Calibri" w:cs="Calibri"/>
          <w:sz w:val="24"/>
          <w:szCs w:val="24"/>
        </w:rPr>
        <w:footnoteReference w:id="7"/>
      </w:r>
    </w:p>
    <w:p w14:paraId="45B71711"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lastRenderedPageBreak/>
        <w:t>Alongside these singular divine animals, mass cults dedicated to species associated with particular gods flourished. The Ibis and Baboon sacred to Thoth at Hermopolis, cats linked to Bastet at Bubastis, crocodiles associated with Sobek in the Fayum, and falcons connected to Horus across multiple sites became the focus of large-scale devotional activity.</w:t>
      </w:r>
      <w:r w:rsidRPr="00E81518">
        <w:rPr>
          <w:rStyle w:val="FootnoteReference"/>
          <w:rFonts w:ascii="Calibri" w:hAnsi="Calibri" w:cs="Calibri"/>
          <w:sz w:val="24"/>
          <w:szCs w:val="24"/>
        </w:rPr>
        <w:footnoteReference w:id="8"/>
      </w:r>
      <w:r w:rsidRPr="00E81518">
        <w:rPr>
          <w:rFonts w:ascii="Calibri" w:hAnsi="Calibri" w:cs="Calibri"/>
          <w:sz w:val="24"/>
          <w:szCs w:val="24"/>
        </w:rPr>
        <w:t xml:space="preserve"> At necropolises such as Tuna el-Gebel, Saqqara, and Abydos, vast subterranean galleries were constructed to house the mummified remains of millions of animals.</w:t>
      </w:r>
      <w:r w:rsidRPr="00E81518">
        <w:rPr>
          <w:rStyle w:val="FootnoteReference"/>
          <w:rFonts w:ascii="Calibri" w:hAnsi="Calibri" w:cs="Calibri"/>
          <w:sz w:val="24"/>
          <w:szCs w:val="24"/>
        </w:rPr>
        <w:footnoteReference w:id="9"/>
      </w:r>
      <w:r w:rsidRPr="00E81518">
        <w:rPr>
          <w:rFonts w:ascii="Calibri" w:hAnsi="Calibri" w:cs="Calibri"/>
          <w:sz w:val="24"/>
          <w:szCs w:val="24"/>
        </w:rPr>
        <w:t xml:space="preserve"> These sites functioned not only as burial grounds but also as pilgrimage centres that attracted worshippers from across Egypt. As scholars such as Salima Ikram have demonstrated, the overwhelming majority of these animal mummies were not incarnations of the gods themselves but votive offerings.</w:t>
      </w:r>
      <w:r w:rsidRPr="00E81518">
        <w:rPr>
          <w:rStyle w:val="FootnoteReference"/>
          <w:rFonts w:ascii="Calibri" w:hAnsi="Calibri" w:cs="Calibri"/>
          <w:sz w:val="24"/>
          <w:szCs w:val="24"/>
        </w:rPr>
        <w:footnoteReference w:id="10"/>
      </w:r>
      <w:r w:rsidRPr="00E81518">
        <w:rPr>
          <w:rFonts w:ascii="Calibri" w:hAnsi="Calibri" w:cs="Calibri"/>
          <w:sz w:val="24"/>
          <w:szCs w:val="24"/>
        </w:rPr>
        <w:t xml:space="preserve"> Worshippers purchased mummified animals from temple workshops as tangible prayers, dedicating them in hopes of securing divine favour, healing, fertility, or protection.</w:t>
      </w:r>
      <w:r w:rsidRPr="00E81518">
        <w:rPr>
          <w:rStyle w:val="FootnoteReference"/>
          <w:rFonts w:ascii="Calibri" w:hAnsi="Calibri" w:cs="Calibri"/>
          <w:sz w:val="24"/>
          <w:szCs w:val="24"/>
        </w:rPr>
        <w:footnoteReference w:id="11"/>
      </w:r>
      <w:r w:rsidRPr="00E81518">
        <w:rPr>
          <w:rFonts w:ascii="Calibri" w:hAnsi="Calibri" w:cs="Calibri"/>
          <w:sz w:val="24"/>
          <w:szCs w:val="24"/>
        </w:rPr>
        <w:t xml:space="preserve"> This practice gave rise to a complex religious economy involving animal breeding farms, embalmers, artisans, scribes, and priests, all operating under temple control. Standardized mummification techniques, ranging from carefully prepared specimens to symbolic “pseudo-mummies” containing minimal remains, reflect both the scale of demand and the commercialization of devotion.</w:t>
      </w:r>
      <w:r w:rsidRPr="00E81518">
        <w:rPr>
          <w:rStyle w:val="FootnoteReference"/>
          <w:rFonts w:ascii="Calibri" w:hAnsi="Calibri" w:cs="Calibri"/>
          <w:sz w:val="24"/>
          <w:szCs w:val="24"/>
        </w:rPr>
        <w:footnoteReference w:id="12"/>
      </w:r>
    </w:p>
    <w:p w14:paraId="1BFCCCA2"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institutionalization of animal cults during the Late Period thus reflects broader cultural dynamics: an increased emphasis on personal piety, the growing power of temple institutions, and Egypt’s response to political fragmentation and foreign rule. Animal worship offered a means of accessing the divine that was both intimate and communal, reinforcing traditional beliefs while adapting them to new social and economic realities.</w:t>
      </w:r>
      <w:r w:rsidRPr="00E81518">
        <w:rPr>
          <w:rStyle w:val="FootnoteReference"/>
          <w:rFonts w:ascii="Calibri" w:hAnsi="Calibri" w:cs="Calibri"/>
          <w:sz w:val="24"/>
          <w:szCs w:val="24"/>
        </w:rPr>
        <w:footnoteReference w:id="13"/>
      </w:r>
      <w:r w:rsidRPr="00E81518">
        <w:rPr>
          <w:rFonts w:ascii="Calibri" w:hAnsi="Calibri" w:cs="Calibri"/>
          <w:sz w:val="24"/>
          <w:szCs w:val="24"/>
        </w:rPr>
        <w:t xml:space="preserve"> Far from being a sign of religious decline, the elaborate animal cults of the Late Period reveal a resilient and highly organized religious system deeply embedded in everyday life. Animal worship in this period was marked by a dual focus: theological symbolism - where animals embodied divine qualities - and popular religiosity, with animal cults providing an accessible means of engaging with the divine.</w:t>
      </w:r>
      <w:r w:rsidRPr="00E81518">
        <w:rPr>
          <w:rStyle w:val="FootnoteReference"/>
          <w:rFonts w:ascii="Calibri" w:hAnsi="Calibri" w:cs="Calibri"/>
          <w:sz w:val="24"/>
          <w:szCs w:val="24"/>
        </w:rPr>
        <w:footnoteReference w:id="14"/>
      </w:r>
      <w:r w:rsidRPr="00E81518">
        <w:rPr>
          <w:rStyle w:val="FootnoteReference"/>
          <w:rFonts w:ascii="Calibri" w:hAnsi="Calibri" w:cs="Calibri"/>
          <w:sz w:val="24"/>
          <w:szCs w:val="24"/>
        </w:rPr>
        <w:footnoteReference w:id="15"/>
      </w:r>
      <w:r w:rsidRPr="00E81518">
        <w:rPr>
          <w:rFonts w:ascii="Calibri" w:hAnsi="Calibri" w:cs="Calibri"/>
          <w:sz w:val="24"/>
          <w:szCs w:val="24"/>
        </w:rPr>
        <w:t xml:space="preserve"> This dual nature underscores how animal </w:t>
      </w:r>
      <w:r w:rsidRPr="00E81518">
        <w:rPr>
          <w:rFonts w:ascii="Calibri" w:hAnsi="Calibri" w:cs="Calibri"/>
          <w:sz w:val="24"/>
          <w:szCs w:val="24"/>
        </w:rPr>
        <w:lastRenderedPageBreak/>
        <w:t>worship was not a marginal practice but central to both elite and popular religious expression.</w:t>
      </w:r>
      <w:r w:rsidRPr="00E81518">
        <w:rPr>
          <w:rStyle w:val="FootnoteReference"/>
          <w:rFonts w:ascii="Calibri" w:hAnsi="Calibri" w:cs="Calibri"/>
          <w:sz w:val="24"/>
          <w:szCs w:val="24"/>
        </w:rPr>
        <w:footnoteReference w:id="16"/>
      </w:r>
    </w:p>
    <w:p w14:paraId="4C431414"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Although the Ptolemaic period, which ruled for over 300 years from 332-30BCE, followed the conquest of Egypt, led by Alexander the Great was distinctly ruled by a Macedonian Greek dynasty, it is often still referred to as a “Pharaonic” era in multiple contexts; religious, cultural and institutional. This thesis will use this view throughout. This view has been discussed and supported by scholars like Lesley Jackson and Geraldine Pinch throughout the study of Egypt.</w:t>
      </w:r>
      <w:r w:rsidRPr="00E81518">
        <w:rPr>
          <w:rStyle w:val="FootnoteReference"/>
          <w:rFonts w:ascii="Calibri" w:hAnsi="Calibri" w:cs="Calibri"/>
          <w:sz w:val="24"/>
          <w:szCs w:val="24"/>
        </w:rPr>
        <w:footnoteReference w:id="17"/>
      </w:r>
      <w:r w:rsidRPr="00E81518">
        <w:rPr>
          <w:rStyle w:val="FootnoteReference"/>
          <w:rFonts w:ascii="Calibri" w:hAnsi="Calibri" w:cs="Calibri"/>
          <w:sz w:val="24"/>
          <w:szCs w:val="24"/>
        </w:rPr>
        <w:footnoteReference w:id="18"/>
      </w:r>
      <w:r w:rsidRPr="00E81518">
        <w:rPr>
          <w:rFonts w:ascii="Calibri" w:hAnsi="Calibri" w:cs="Calibri"/>
          <w:sz w:val="24"/>
          <w:szCs w:val="24"/>
        </w:rPr>
        <w:t xml:space="preserve"> The argument is initially supported by the facts that the Ptolemies ruled Egypt as pharaohs and not as kings or emperors ruling from a distant land – the Ptolemies fully adopted the ritualistic traditions of the land and bolstered the Egyptian religiosity. Art of the Ptolemies in Egypt always depict them wearing the traditional regalia, positioning themselves as legitimate successors of the previous rulers, ultimately keeping and upholding </w:t>
      </w:r>
      <w:r w:rsidRPr="00E81518">
        <w:rPr>
          <w:rFonts w:ascii="Calibri" w:hAnsi="Calibri" w:cs="Calibri"/>
          <w:i/>
          <w:iCs/>
          <w:sz w:val="24"/>
          <w:szCs w:val="24"/>
        </w:rPr>
        <w:t>ma’at.</w:t>
      </w:r>
      <w:r w:rsidRPr="00E81518">
        <w:rPr>
          <w:rStyle w:val="FootnoteReference"/>
          <w:rFonts w:ascii="Calibri" w:hAnsi="Calibri" w:cs="Calibri"/>
          <w:i/>
          <w:iCs/>
          <w:sz w:val="24"/>
          <w:szCs w:val="24"/>
        </w:rPr>
        <w:footnoteReference w:id="19"/>
      </w:r>
      <w:r w:rsidRPr="00E81518">
        <w:rPr>
          <w:rFonts w:ascii="Calibri" w:hAnsi="Calibri" w:cs="Calibri"/>
          <w:i/>
          <w:iCs/>
          <w:sz w:val="24"/>
          <w:szCs w:val="24"/>
        </w:rPr>
        <w:t xml:space="preserve"> </w:t>
      </w:r>
      <w:r w:rsidRPr="00E81518">
        <w:rPr>
          <w:rFonts w:ascii="Calibri" w:hAnsi="Calibri" w:cs="Calibri"/>
          <w:sz w:val="24"/>
          <w:szCs w:val="24"/>
        </w:rPr>
        <w:t>The continuation and reliance on the rituals of religious institutions of traditional Egypt were also upheld during the Ptolemaic period. Most of the temple administration, priesthoods, animal cult worship and mummification practices were still largely unchanged from the Late Period. Notably, animal cults – specifically those which venerated ibises, cats, bulls and crocodiles, didn’t just flourish under Ptolemaic rule, but actually expanded in Egypt. This is seen through sites such as Saqqara and Tuna el-Gebel.</w:t>
      </w:r>
      <w:r w:rsidRPr="00E81518">
        <w:rPr>
          <w:rStyle w:val="FootnoteReference"/>
          <w:rFonts w:ascii="Calibri" w:hAnsi="Calibri" w:cs="Calibri"/>
          <w:sz w:val="24"/>
          <w:szCs w:val="24"/>
        </w:rPr>
        <w:footnoteReference w:id="20"/>
      </w:r>
    </w:p>
    <w:p w14:paraId="44662A11"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conquest of Egypt by Alexander the Great in 332 BCE and the subsequent establishment of the Ptolemaic dynasty marked a profound cultural and religious transformation. The new Greek rulers, while foreign, were astute in adopting Egyptian religious customs to legitimize their rule.</w:t>
      </w:r>
      <w:r w:rsidRPr="00E81518">
        <w:rPr>
          <w:rStyle w:val="FootnoteReference"/>
          <w:rFonts w:ascii="Calibri" w:hAnsi="Calibri" w:cs="Calibri"/>
          <w:sz w:val="24"/>
          <w:szCs w:val="24"/>
        </w:rPr>
        <w:footnoteReference w:id="21"/>
      </w:r>
      <w:r w:rsidRPr="00E81518">
        <w:rPr>
          <w:rStyle w:val="FootnoteReference"/>
          <w:rFonts w:ascii="Calibri" w:hAnsi="Calibri" w:cs="Calibri"/>
          <w:sz w:val="24"/>
          <w:szCs w:val="24"/>
        </w:rPr>
        <w:footnoteReference w:id="22"/>
      </w:r>
      <w:r w:rsidRPr="00E81518">
        <w:rPr>
          <w:rFonts w:ascii="Calibri" w:hAnsi="Calibri" w:cs="Calibri"/>
          <w:sz w:val="24"/>
          <w:szCs w:val="24"/>
        </w:rPr>
        <w:t xml:space="preserve"> They styled themselves as successors to the pharaohs and often took part in traditional religious ceremonies, although an undertone of Greek dislike was common amongst Egyptians.</w:t>
      </w:r>
      <w:r w:rsidRPr="00E81518">
        <w:rPr>
          <w:rStyle w:val="FootnoteReference"/>
          <w:rFonts w:ascii="Calibri" w:hAnsi="Calibri" w:cs="Calibri"/>
          <w:sz w:val="24"/>
          <w:szCs w:val="24"/>
        </w:rPr>
        <w:footnoteReference w:id="23"/>
      </w:r>
      <w:r w:rsidRPr="00E81518">
        <w:rPr>
          <w:rFonts w:ascii="Calibri" w:hAnsi="Calibri" w:cs="Calibri"/>
          <w:sz w:val="24"/>
          <w:szCs w:val="24"/>
        </w:rPr>
        <w:t xml:space="preserve"> Ptolemy I Soter, for example, promoted the cult of Serapis; a Greco-</w:t>
      </w:r>
      <w:r w:rsidRPr="00E81518">
        <w:rPr>
          <w:rFonts w:ascii="Calibri" w:hAnsi="Calibri" w:cs="Calibri"/>
          <w:sz w:val="24"/>
          <w:szCs w:val="24"/>
        </w:rPr>
        <w:lastRenderedPageBreak/>
        <w:t>Egyptian deity created to bridge Greek and Egyptian religious sensibilities. Serapis combined aspects of Osiris and Apis with Hellenistic deities such as Zeus and Hades.</w:t>
      </w:r>
      <w:r w:rsidRPr="00E81518">
        <w:rPr>
          <w:rStyle w:val="FootnoteReference"/>
          <w:rFonts w:ascii="Calibri" w:hAnsi="Calibri" w:cs="Calibri"/>
          <w:sz w:val="24"/>
          <w:szCs w:val="24"/>
        </w:rPr>
        <w:footnoteReference w:id="24"/>
      </w:r>
    </w:p>
    <w:p w14:paraId="1E68B01C"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This syncretic effort did not erase existing animal cults but transformed their function and theological significance. While traditional animal worship continued, often in monumentalized form, the Ptolemies reoriented the practice to align with Hellenistic tastes and political strategies.</w:t>
      </w:r>
      <w:r w:rsidRPr="00E81518">
        <w:rPr>
          <w:rStyle w:val="FootnoteReference"/>
          <w:rFonts w:ascii="Calibri" w:hAnsi="Calibri" w:cs="Calibri"/>
          <w:sz w:val="24"/>
          <w:szCs w:val="24"/>
        </w:rPr>
        <w:footnoteReference w:id="25"/>
      </w:r>
      <w:r w:rsidRPr="00E81518">
        <w:rPr>
          <w:rFonts w:ascii="Calibri" w:hAnsi="Calibri" w:cs="Calibri"/>
          <w:sz w:val="24"/>
          <w:szCs w:val="24"/>
        </w:rPr>
        <w:t xml:space="preserve"> As Dorothy Thompson argues, “Ptolemaic religion was a tool of political cohesion as much as spiritual expression”.</w:t>
      </w:r>
      <w:r w:rsidRPr="00E81518">
        <w:rPr>
          <w:rStyle w:val="FootnoteReference"/>
          <w:rFonts w:ascii="Calibri" w:hAnsi="Calibri" w:cs="Calibri"/>
          <w:sz w:val="24"/>
          <w:szCs w:val="24"/>
        </w:rPr>
        <w:footnoteReference w:id="26"/>
      </w:r>
      <w:r w:rsidRPr="00E81518">
        <w:rPr>
          <w:rFonts w:ascii="Calibri" w:hAnsi="Calibri" w:cs="Calibri"/>
          <w:sz w:val="24"/>
          <w:szCs w:val="24"/>
        </w:rPr>
        <w:t xml:space="preserve"> This thesis will explore the varying, and often contrasting methods that the Ptolemies took to hold control over the traditional and robust Egyptian people.</w:t>
      </w:r>
    </w:p>
    <w:p w14:paraId="3138E529"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worship of sacred animals continued robustly under the Ptolemies, with some cults even expanding. The Serapeum at Saqqara, the burial site of the Apis bulls, was maintained and embellished.</w:t>
      </w:r>
      <w:r w:rsidRPr="00E81518">
        <w:rPr>
          <w:rStyle w:val="FootnoteReference"/>
          <w:rFonts w:ascii="Calibri" w:hAnsi="Calibri" w:cs="Calibri"/>
          <w:sz w:val="24"/>
          <w:szCs w:val="24"/>
        </w:rPr>
        <w:footnoteReference w:id="27"/>
      </w:r>
      <w:r w:rsidRPr="00E81518">
        <w:rPr>
          <w:rStyle w:val="FootnoteReference"/>
          <w:rFonts w:ascii="Calibri" w:hAnsi="Calibri" w:cs="Calibri"/>
          <w:sz w:val="24"/>
          <w:szCs w:val="24"/>
        </w:rPr>
        <w:footnoteReference w:id="28"/>
      </w:r>
      <w:r w:rsidRPr="00E81518">
        <w:rPr>
          <w:rFonts w:ascii="Calibri" w:hAnsi="Calibri" w:cs="Calibri"/>
          <w:sz w:val="24"/>
          <w:szCs w:val="24"/>
        </w:rPr>
        <w:t xml:space="preserve"> The proliferation of animal mummies, particularly cats, ibises, falcons, and crocodiles, also increased during this time. However, the meaning and context of these practices began to shift.</w:t>
      </w:r>
      <w:r w:rsidRPr="00E81518">
        <w:rPr>
          <w:rStyle w:val="FootnoteReference"/>
          <w:rFonts w:ascii="Calibri" w:hAnsi="Calibri" w:cs="Calibri"/>
          <w:sz w:val="24"/>
          <w:szCs w:val="24"/>
        </w:rPr>
        <w:footnoteReference w:id="29"/>
      </w:r>
    </w:p>
    <w:p w14:paraId="6EBC1834"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Firstly, the commercialization of animal mummification increased dramatically. Excavations at sites like Tuna el-Gebel reveal a mass-production of votive animal mummies, often of poor quality, suggesting that economic incentives had begun to outweigh theological rigor.</w:t>
      </w:r>
      <w:r w:rsidRPr="00E81518">
        <w:rPr>
          <w:rStyle w:val="FootnoteReference"/>
          <w:rFonts w:ascii="Calibri" w:hAnsi="Calibri" w:cs="Calibri"/>
          <w:sz w:val="24"/>
          <w:szCs w:val="24"/>
        </w:rPr>
        <w:footnoteReference w:id="30"/>
      </w:r>
      <w:r w:rsidRPr="00E81518">
        <w:rPr>
          <w:rStyle w:val="FootnoteReference"/>
          <w:rFonts w:ascii="Calibri" w:hAnsi="Calibri" w:cs="Calibri"/>
          <w:sz w:val="24"/>
          <w:szCs w:val="24"/>
        </w:rPr>
        <w:footnoteReference w:id="31"/>
      </w:r>
      <w:r w:rsidRPr="00E81518">
        <w:rPr>
          <w:rFonts w:ascii="Calibri" w:hAnsi="Calibri" w:cs="Calibri"/>
          <w:sz w:val="24"/>
          <w:szCs w:val="24"/>
        </w:rPr>
        <w:t xml:space="preserve"> Secondly, syncretic reinterpretations of animal deities emerged. The crocodile god Sobek, for instance, took on greater prominence during the Ptolemaic period and was increasingly associated with royal power, reflecting both traditional Egyptian theology and Hellenistic notions of kingship and divine favour.</w:t>
      </w:r>
      <w:r w:rsidRPr="00E81518">
        <w:rPr>
          <w:rStyle w:val="FootnoteReference"/>
          <w:rFonts w:ascii="Calibri" w:hAnsi="Calibri" w:cs="Calibri"/>
          <w:sz w:val="24"/>
          <w:szCs w:val="24"/>
        </w:rPr>
        <w:footnoteReference w:id="32"/>
      </w:r>
    </w:p>
    <w:p w14:paraId="40F97994"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 xml:space="preserve">The increased role of Greek-speaking elites in religious institutions also introduced shifts in interpretation. While many Greeks viewed Egyptian animal worship as exotic or even absurd (as noted in some writings of Herodotus and later Roman sources), the Ptolemaic </w:t>
      </w:r>
      <w:r w:rsidRPr="00E81518">
        <w:rPr>
          <w:rFonts w:ascii="Calibri" w:hAnsi="Calibri" w:cs="Calibri"/>
          <w:sz w:val="24"/>
          <w:szCs w:val="24"/>
        </w:rPr>
        <w:lastRenderedPageBreak/>
        <w:t>administration tactically embraced animal cults to reinforce their rule over a deeply religious population.</w:t>
      </w:r>
      <w:r w:rsidRPr="00E81518">
        <w:rPr>
          <w:rStyle w:val="FootnoteReference"/>
          <w:rFonts w:ascii="Calibri" w:hAnsi="Calibri" w:cs="Calibri"/>
          <w:sz w:val="24"/>
          <w:szCs w:val="24"/>
        </w:rPr>
        <w:footnoteReference w:id="33"/>
      </w:r>
      <w:r w:rsidRPr="00E81518">
        <w:rPr>
          <w:rFonts w:ascii="Calibri" w:hAnsi="Calibri" w:cs="Calibri"/>
          <w:sz w:val="24"/>
          <w:szCs w:val="24"/>
        </w:rPr>
        <w:t xml:space="preserve"> Some Greeks participated in these cults, though often through a Hellenized lens that prioritized philosophical abstraction over literal belief in animal divinity.</w:t>
      </w:r>
      <w:r w:rsidRPr="00E81518">
        <w:rPr>
          <w:rStyle w:val="FootnoteReference"/>
          <w:rFonts w:ascii="Calibri" w:hAnsi="Calibri" w:cs="Calibri"/>
          <w:sz w:val="24"/>
          <w:szCs w:val="24"/>
        </w:rPr>
        <w:footnoteReference w:id="34"/>
      </w:r>
    </w:p>
    <w:p w14:paraId="3DB9F1D1"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transformation of animal worship under the Ptolemies cannot be understood solely in religious terms; it must be seen within the broader socio-political matrix of imperial governance and cultural negotiation.</w:t>
      </w:r>
      <w:r w:rsidRPr="00E81518">
        <w:rPr>
          <w:rStyle w:val="FootnoteReference"/>
          <w:rFonts w:ascii="Calibri" w:hAnsi="Calibri" w:cs="Calibri"/>
          <w:sz w:val="24"/>
          <w:szCs w:val="24"/>
        </w:rPr>
        <w:footnoteReference w:id="35"/>
      </w:r>
      <w:r w:rsidRPr="00E81518">
        <w:rPr>
          <w:rFonts w:ascii="Calibri" w:hAnsi="Calibri" w:cs="Calibri"/>
          <w:sz w:val="24"/>
          <w:szCs w:val="24"/>
        </w:rPr>
        <w:t xml:space="preserve"> The Ptolemaic rulers faced the challenge of maintaining authority over a predominantly Egyptian population while simultaneously appealing to a Hellenistic elite.</w:t>
      </w:r>
      <w:r w:rsidRPr="00E81518">
        <w:rPr>
          <w:rStyle w:val="FootnoteReference"/>
          <w:rFonts w:ascii="Calibri" w:hAnsi="Calibri" w:cs="Calibri"/>
          <w:sz w:val="24"/>
          <w:szCs w:val="24"/>
        </w:rPr>
        <w:footnoteReference w:id="36"/>
      </w:r>
      <w:r w:rsidRPr="00E81518">
        <w:rPr>
          <w:rFonts w:ascii="Calibri" w:hAnsi="Calibri" w:cs="Calibri"/>
          <w:sz w:val="24"/>
          <w:szCs w:val="24"/>
        </w:rPr>
        <w:t xml:space="preserve"> Religion, and specifically the incorporation and reimagining of animal worship, became a powerful tool in this balancing act.</w:t>
      </w:r>
    </w:p>
    <w:p w14:paraId="217EAA9B"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cult of Serapis, with its lack of animal associations, was emblematic of this shift - a strategic move to create a “universal” deity palatable to both Greeks and Egyptians. Described by Richard H. Wilkinson as ‘…. an Egypto-Hellenistic deity who personified the aspects of divine majesty, the sun, fertility, the underworld and afterlife, as well as healing.’</w:t>
      </w:r>
      <w:r w:rsidRPr="00E81518">
        <w:rPr>
          <w:rStyle w:val="FootnoteReference"/>
          <w:rFonts w:ascii="Calibri" w:hAnsi="Calibri" w:cs="Calibri"/>
          <w:sz w:val="24"/>
          <w:szCs w:val="24"/>
        </w:rPr>
        <w:footnoteReference w:id="37"/>
      </w:r>
      <w:r w:rsidRPr="00E81518">
        <w:rPr>
          <w:rFonts w:ascii="Calibri" w:hAnsi="Calibri" w:cs="Calibri"/>
          <w:sz w:val="24"/>
          <w:szCs w:val="24"/>
        </w:rPr>
        <w:t xml:space="preserve"> Serapis was the Greek attempt to slowly amalgamate the countless numbers of both minor and major Egyptian deities into an all-encompassing, almost utilitarian super-god. Nevertheless, traditional animal cults remained vibrant in local contexts, indicating that the religious landscape of Ptolemaic Egypt was not a story of replacement, but of coexistence and reconfiguration.</w:t>
      </w:r>
    </w:p>
    <w:p w14:paraId="1363C152"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Furthermore, the transformation of animal worship served to demarcate ethnic and cultural boundaries. While Egyptians continued to participate in traditional rites, Greeks and other foreigners often engaged with these practices selectively or viewed them through a lens of exoticism.</w:t>
      </w:r>
      <w:r w:rsidRPr="00E81518">
        <w:rPr>
          <w:rStyle w:val="FootnoteReference"/>
          <w:rFonts w:ascii="Calibri" w:hAnsi="Calibri" w:cs="Calibri"/>
          <w:sz w:val="24"/>
          <w:szCs w:val="24"/>
        </w:rPr>
        <w:footnoteReference w:id="38"/>
      </w:r>
      <w:r w:rsidRPr="00E81518">
        <w:rPr>
          <w:rFonts w:ascii="Calibri" w:hAnsi="Calibri" w:cs="Calibri"/>
          <w:sz w:val="24"/>
          <w:szCs w:val="24"/>
        </w:rPr>
        <w:t xml:space="preserve"> This dynamic contributed to both cultural integration and enduring societal divisions, which would later become more pronounced under Roman rule.</w:t>
      </w:r>
      <w:r w:rsidRPr="00E81518">
        <w:rPr>
          <w:rStyle w:val="FootnoteReference"/>
          <w:rFonts w:ascii="Calibri" w:hAnsi="Calibri" w:cs="Calibri"/>
          <w:sz w:val="24"/>
          <w:szCs w:val="24"/>
        </w:rPr>
        <w:footnoteReference w:id="39"/>
      </w:r>
      <w:r w:rsidRPr="00E81518">
        <w:rPr>
          <w:rStyle w:val="FootnoteReference"/>
          <w:rFonts w:ascii="Calibri" w:hAnsi="Calibri" w:cs="Calibri"/>
          <w:sz w:val="24"/>
          <w:szCs w:val="24"/>
        </w:rPr>
        <w:footnoteReference w:id="40"/>
      </w:r>
    </w:p>
    <w:p w14:paraId="1D27285A" w14:textId="7E8C78A8"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lastRenderedPageBreak/>
        <w:t>The transformation of Egyptian animal worship from the Late Pharaonic eras to the Greek (Ptolemaic) rule reflects the complex interplay of continuity, adaptation, and syncretism.</w:t>
      </w:r>
      <w:r w:rsidRPr="00E81518">
        <w:rPr>
          <w:rStyle w:val="FootnoteReference"/>
          <w:rFonts w:ascii="Calibri" w:hAnsi="Calibri" w:cs="Calibri"/>
          <w:sz w:val="24"/>
          <w:szCs w:val="24"/>
        </w:rPr>
        <w:footnoteReference w:id="41"/>
      </w:r>
      <w:r w:rsidRPr="00E81518">
        <w:rPr>
          <w:rFonts w:ascii="Calibri" w:hAnsi="Calibri" w:cs="Calibri"/>
          <w:sz w:val="24"/>
          <w:szCs w:val="24"/>
        </w:rPr>
        <w:t xml:space="preserve"> While core elements of animal veneration persisted, especially at the popular level - the meanings, contexts, and functions of these practices evolved significantly.</w:t>
      </w:r>
      <w:r w:rsidRPr="00E81518">
        <w:rPr>
          <w:rStyle w:val="FootnoteReference"/>
          <w:rFonts w:ascii="Calibri" w:hAnsi="Calibri" w:cs="Calibri"/>
          <w:sz w:val="24"/>
          <w:szCs w:val="24"/>
        </w:rPr>
        <w:footnoteReference w:id="42"/>
      </w:r>
      <w:r w:rsidRPr="00E81518">
        <w:rPr>
          <w:rFonts w:ascii="Calibri" w:hAnsi="Calibri" w:cs="Calibri"/>
          <w:sz w:val="24"/>
          <w:szCs w:val="24"/>
        </w:rPr>
        <w:t xml:space="preserve"> Under the Ptolemies, animal cults were both preserved and reframed, reflecting the dual imperatives of religious legitimacy and political control. This transformation underscores a broader pattern in ancient religions: the malleability of belief systems in the face of cultural contact and imperial rule.</w:t>
      </w:r>
      <w:r w:rsidRPr="00E81518">
        <w:rPr>
          <w:rStyle w:val="FootnoteReference"/>
          <w:rFonts w:ascii="Calibri" w:hAnsi="Calibri" w:cs="Calibri"/>
          <w:sz w:val="24"/>
          <w:szCs w:val="24"/>
        </w:rPr>
        <w:footnoteReference w:id="43"/>
      </w:r>
      <w:r w:rsidRPr="00E81518">
        <w:rPr>
          <w:rFonts w:ascii="Calibri" w:hAnsi="Calibri" w:cs="Calibri"/>
          <w:sz w:val="24"/>
          <w:szCs w:val="24"/>
        </w:rPr>
        <w:t xml:space="preserve"> Far from disappearing, Egyptian animal worship endured by adapting to new theological frameworks and social realities, proving the resilience of traditional piety even in the face of radical change.</w:t>
      </w:r>
      <w:r w:rsidRPr="00E81518">
        <w:rPr>
          <w:rStyle w:val="FootnoteReference"/>
          <w:rFonts w:ascii="Calibri" w:hAnsi="Calibri" w:cs="Calibri"/>
          <w:sz w:val="24"/>
          <w:szCs w:val="24"/>
        </w:rPr>
        <w:footnoteReference w:id="44"/>
      </w:r>
    </w:p>
    <w:p w14:paraId="27CC00C3" w14:textId="77777777" w:rsidR="002E5252" w:rsidRPr="00E81518" w:rsidRDefault="002E5252" w:rsidP="00E81518">
      <w:pPr>
        <w:spacing w:line="360" w:lineRule="auto"/>
        <w:rPr>
          <w:rFonts w:ascii="Calibri" w:hAnsi="Calibri" w:cs="Calibri"/>
          <w:sz w:val="24"/>
          <w:szCs w:val="24"/>
        </w:rPr>
      </w:pPr>
    </w:p>
    <w:p w14:paraId="1283F7AE" w14:textId="77777777" w:rsidR="002E5252" w:rsidRPr="00E81518" w:rsidRDefault="002E5252" w:rsidP="00E81518">
      <w:pPr>
        <w:spacing w:line="360" w:lineRule="auto"/>
        <w:rPr>
          <w:rFonts w:ascii="Calibri" w:hAnsi="Calibri" w:cs="Calibri"/>
          <w:sz w:val="24"/>
          <w:szCs w:val="24"/>
        </w:rPr>
      </w:pPr>
    </w:p>
    <w:p w14:paraId="7B483B35" w14:textId="77777777" w:rsidR="002E5252" w:rsidRPr="00E81518" w:rsidRDefault="002E5252" w:rsidP="00E81518">
      <w:pPr>
        <w:spacing w:line="360" w:lineRule="auto"/>
        <w:rPr>
          <w:rFonts w:ascii="Calibri" w:hAnsi="Calibri" w:cs="Calibri"/>
          <w:sz w:val="24"/>
          <w:szCs w:val="24"/>
        </w:rPr>
      </w:pPr>
    </w:p>
    <w:p w14:paraId="310D4287" w14:textId="77777777" w:rsidR="002E5252" w:rsidRPr="00E81518" w:rsidRDefault="002E5252" w:rsidP="00E81518">
      <w:pPr>
        <w:spacing w:line="360" w:lineRule="auto"/>
        <w:rPr>
          <w:rFonts w:ascii="Calibri" w:hAnsi="Calibri" w:cs="Calibri"/>
          <w:sz w:val="24"/>
          <w:szCs w:val="24"/>
        </w:rPr>
      </w:pPr>
    </w:p>
    <w:p w14:paraId="6A8FE2CC" w14:textId="77777777" w:rsidR="002E5252" w:rsidRPr="00E81518" w:rsidRDefault="002E5252" w:rsidP="00E81518">
      <w:pPr>
        <w:spacing w:line="360" w:lineRule="auto"/>
        <w:rPr>
          <w:rFonts w:ascii="Calibri" w:hAnsi="Calibri" w:cs="Calibri"/>
          <w:sz w:val="24"/>
          <w:szCs w:val="24"/>
        </w:rPr>
      </w:pPr>
    </w:p>
    <w:p w14:paraId="71A54AAD" w14:textId="77777777" w:rsidR="002E5252" w:rsidRPr="00E81518" w:rsidRDefault="002E5252" w:rsidP="00E81518">
      <w:pPr>
        <w:spacing w:line="360" w:lineRule="auto"/>
        <w:rPr>
          <w:rFonts w:ascii="Calibri" w:hAnsi="Calibri" w:cs="Calibri"/>
          <w:sz w:val="24"/>
          <w:szCs w:val="24"/>
        </w:rPr>
      </w:pPr>
    </w:p>
    <w:p w14:paraId="3509B73B" w14:textId="77777777" w:rsidR="002E5252" w:rsidRPr="00E81518" w:rsidRDefault="002E5252" w:rsidP="00E81518">
      <w:pPr>
        <w:spacing w:line="360" w:lineRule="auto"/>
        <w:rPr>
          <w:rFonts w:ascii="Calibri" w:hAnsi="Calibri" w:cs="Calibri"/>
          <w:sz w:val="24"/>
          <w:szCs w:val="24"/>
        </w:rPr>
      </w:pPr>
    </w:p>
    <w:p w14:paraId="021760D5" w14:textId="77777777" w:rsidR="002E5252" w:rsidRPr="00E81518" w:rsidRDefault="002E5252" w:rsidP="00E81518">
      <w:pPr>
        <w:spacing w:line="360" w:lineRule="auto"/>
        <w:rPr>
          <w:rFonts w:ascii="Calibri" w:hAnsi="Calibri" w:cs="Calibri"/>
          <w:sz w:val="24"/>
          <w:szCs w:val="24"/>
        </w:rPr>
      </w:pPr>
    </w:p>
    <w:p w14:paraId="204526E8" w14:textId="77777777" w:rsidR="002E5252" w:rsidRPr="00E81518" w:rsidRDefault="002E5252" w:rsidP="00E81518">
      <w:pPr>
        <w:spacing w:line="360" w:lineRule="auto"/>
        <w:rPr>
          <w:rFonts w:ascii="Calibri" w:hAnsi="Calibri" w:cs="Calibri"/>
          <w:sz w:val="24"/>
          <w:szCs w:val="24"/>
        </w:rPr>
      </w:pPr>
    </w:p>
    <w:p w14:paraId="482DE9D3" w14:textId="77777777" w:rsidR="002E5252" w:rsidRPr="00E81518" w:rsidRDefault="002E5252" w:rsidP="00E81518">
      <w:pPr>
        <w:spacing w:line="360" w:lineRule="auto"/>
        <w:rPr>
          <w:rFonts w:ascii="Calibri" w:hAnsi="Calibri" w:cs="Calibri"/>
          <w:sz w:val="24"/>
          <w:szCs w:val="24"/>
        </w:rPr>
      </w:pPr>
    </w:p>
    <w:p w14:paraId="57B6F90C" w14:textId="77777777" w:rsidR="00E81518" w:rsidRDefault="00E81518" w:rsidP="00E81518">
      <w:pPr>
        <w:spacing w:line="360" w:lineRule="auto"/>
        <w:rPr>
          <w:rFonts w:ascii="Calibri" w:hAnsi="Calibri" w:cs="Calibri"/>
          <w:b/>
          <w:bCs/>
          <w:sz w:val="24"/>
          <w:szCs w:val="24"/>
        </w:rPr>
      </w:pPr>
    </w:p>
    <w:p w14:paraId="5A04889E" w14:textId="77777777" w:rsidR="00E81518" w:rsidRDefault="00E81518" w:rsidP="00E81518">
      <w:pPr>
        <w:spacing w:line="360" w:lineRule="auto"/>
        <w:rPr>
          <w:rFonts w:ascii="Calibri" w:hAnsi="Calibri" w:cs="Calibri"/>
          <w:b/>
          <w:bCs/>
          <w:sz w:val="24"/>
          <w:szCs w:val="24"/>
        </w:rPr>
      </w:pPr>
    </w:p>
    <w:p w14:paraId="62C8D868" w14:textId="77777777" w:rsidR="00E81518" w:rsidRDefault="00E81518" w:rsidP="00E81518">
      <w:pPr>
        <w:spacing w:line="360" w:lineRule="auto"/>
        <w:rPr>
          <w:rFonts w:ascii="Calibri" w:hAnsi="Calibri" w:cs="Calibri"/>
          <w:b/>
          <w:bCs/>
          <w:sz w:val="24"/>
          <w:szCs w:val="24"/>
        </w:rPr>
      </w:pPr>
    </w:p>
    <w:p w14:paraId="1ED1B4F5" w14:textId="7AF9F8C0" w:rsidR="00D671AD" w:rsidRPr="00E81518" w:rsidRDefault="00D671AD" w:rsidP="00E81518">
      <w:pPr>
        <w:spacing w:line="360" w:lineRule="auto"/>
        <w:rPr>
          <w:rFonts w:ascii="Calibri" w:hAnsi="Calibri" w:cs="Calibri"/>
          <w:sz w:val="24"/>
          <w:szCs w:val="24"/>
        </w:rPr>
      </w:pPr>
      <w:r w:rsidRPr="00E81518">
        <w:rPr>
          <w:rFonts w:ascii="Calibri" w:hAnsi="Calibri" w:cs="Calibri"/>
          <w:b/>
          <w:bCs/>
          <w:sz w:val="24"/>
          <w:szCs w:val="24"/>
        </w:rPr>
        <w:lastRenderedPageBreak/>
        <w:t>CHAPTER 1</w:t>
      </w:r>
      <w:r w:rsidRPr="00E81518">
        <w:rPr>
          <w:rFonts w:ascii="Calibri" w:hAnsi="Calibri" w:cs="Calibri"/>
          <w:sz w:val="24"/>
          <w:szCs w:val="24"/>
        </w:rPr>
        <w:t xml:space="preserve">- </w:t>
      </w:r>
      <w:bookmarkStart w:id="5" w:name="_Hlk219650216"/>
      <w:r w:rsidRPr="00E81518">
        <w:rPr>
          <w:rFonts w:ascii="Calibri" w:hAnsi="Calibri" w:cs="Calibri"/>
          <w:b/>
          <w:bCs/>
          <w:sz w:val="24"/>
          <w:szCs w:val="24"/>
        </w:rPr>
        <w:t>Late Pharaonic Animal Worship: Institutionali</w:t>
      </w:r>
      <w:r w:rsidR="00F97E49" w:rsidRPr="00E81518">
        <w:rPr>
          <w:rFonts w:ascii="Calibri" w:hAnsi="Calibri" w:cs="Calibri"/>
          <w:b/>
          <w:bCs/>
          <w:sz w:val="24"/>
          <w:szCs w:val="24"/>
        </w:rPr>
        <w:t>s</w:t>
      </w:r>
      <w:r w:rsidRPr="00E81518">
        <w:rPr>
          <w:rFonts w:ascii="Calibri" w:hAnsi="Calibri" w:cs="Calibri"/>
          <w:b/>
          <w:bCs/>
          <w:sz w:val="24"/>
          <w:szCs w:val="24"/>
        </w:rPr>
        <w:t>ation and Popular Piety</w:t>
      </w:r>
      <w:bookmarkEnd w:id="5"/>
    </w:p>
    <w:p w14:paraId="6E17DDC3"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This chapter explores the religious, social, and political dimensions of animal worship and mummification in Late Period Egypt. Drawing on archaeological evidence, religious texts, and recent scholarship, it argues that animal mummification during this period was not merely a religious expression but also a reflection of broader socio-economic transformations and the growing institutional complexity of Egyptian temple life, and ultimately the identity of the country itself.</w:t>
      </w:r>
    </w:p>
    <w:p w14:paraId="24A37BFA"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Animal worship in ancient Egypt represents one of the most distinctive features of its religious and cultural identity. While veneration of animals existed throughout the history of Egypt, even spanning the pre-dynastic period, where sites like Badari and Nagarda have found dedicated animal ritual burials. With the Badarian period being confirmed by Ian Shaw to have existed around 5000BCE, it is clear that the subject of animal worship is a somewhat extensive and clearly of Egyptian identity.</w:t>
      </w:r>
      <w:r w:rsidRPr="00E81518">
        <w:rPr>
          <w:rStyle w:val="FootnoteReference"/>
          <w:rFonts w:ascii="Calibri" w:hAnsi="Calibri" w:cs="Calibri"/>
          <w:sz w:val="24"/>
          <w:szCs w:val="24"/>
        </w:rPr>
        <w:footnoteReference w:id="45"/>
      </w:r>
      <w:r w:rsidRPr="00E81518">
        <w:rPr>
          <w:rStyle w:val="FootnoteReference"/>
          <w:rFonts w:ascii="Calibri" w:hAnsi="Calibri" w:cs="Calibri"/>
          <w:sz w:val="24"/>
          <w:szCs w:val="24"/>
        </w:rPr>
        <w:footnoteReference w:id="46"/>
      </w:r>
      <w:r w:rsidRPr="00E81518">
        <w:rPr>
          <w:rFonts w:ascii="Calibri" w:hAnsi="Calibri" w:cs="Calibri"/>
          <w:sz w:val="24"/>
          <w:szCs w:val="24"/>
        </w:rPr>
        <w:t xml:space="preserve"> With over 5000 years of ritualistic practices and the eventual state-led veneration of animals, scholars like Toby Wilkinson would argue that it reached its most elaborate and institutionalised form during the Late Pharaonic Period (circa 664–332 BCE).</w:t>
      </w:r>
      <w:r w:rsidRPr="00E81518">
        <w:rPr>
          <w:rStyle w:val="FootnoteReference"/>
          <w:rFonts w:ascii="Calibri" w:hAnsi="Calibri" w:cs="Calibri"/>
          <w:sz w:val="24"/>
          <w:szCs w:val="24"/>
        </w:rPr>
        <w:footnoteReference w:id="47"/>
      </w:r>
      <w:r w:rsidRPr="00E81518">
        <w:rPr>
          <w:rFonts w:ascii="Calibri" w:hAnsi="Calibri" w:cs="Calibri"/>
          <w:sz w:val="24"/>
          <w:szCs w:val="24"/>
        </w:rPr>
        <w:t xml:space="preserve"> This era, spanning the 26th to the 30th Dynasties and concluding with the conquest of Alexander the Great, witnessed an unprecedented proliferation of animal cults, the rise of specialised priesthoods, and the mass production of animal mummies for votive, symbolic, and ritual purposes.</w:t>
      </w:r>
      <w:r w:rsidRPr="00E81518">
        <w:rPr>
          <w:rStyle w:val="FootnoteReference"/>
          <w:rFonts w:ascii="Calibri" w:hAnsi="Calibri" w:cs="Calibri"/>
          <w:sz w:val="24"/>
          <w:szCs w:val="24"/>
        </w:rPr>
        <w:footnoteReference w:id="48"/>
      </w:r>
      <w:r w:rsidRPr="00E81518">
        <w:rPr>
          <w:rStyle w:val="FootnoteReference"/>
          <w:rFonts w:ascii="Calibri" w:hAnsi="Calibri" w:cs="Calibri"/>
          <w:sz w:val="24"/>
          <w:szCs w:val="24"/>
        </w:rPr>
        <w:footnoteReference w:id="49"/>
      </w:r>
    </w:p>
    <w:p w14:paraId="2ED7DC4B"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Ancient Egyptian theology was deeply symbolic and frequently expressed divinity through non-human forms. Animals were not worshipped for their own sake, but as earthly manifestations (</w:t>
      </w:r>
      <w:r w:rsidRPr="00E81518">
        <w:rPr>
          <w:rFonts w:ascii="Calibri" w:hAnsi="Calibri" w:cs="Calibri"/>
          <w:i/>
          <w:iCs/>
          <w:sz w:val="24"/>
          <w:szCs w:val="24"/>
        </w:rPr>
        <w:t>ba</w:t>
      </w:r>
      <w:r w:rsidRPr="00E81518">
        <w:rPr>
          <w:rFonts w:ascii="Calibri" w:hAnsi="Calibri" w:cs="Calibri"/>
          <w:sz w:val="24"/>
          <w:szCs w:val="24"/>
        </w:rPr>
        <w:t>) of specific gods, whose qualities they were believed to embody.</w:t>
      </w:r>
      <w:r w:rsidRPr="00E81518">
        <w:rPr>
          <w:rStyle w:val="FootnoteReference"/>
          <w:rFonts w:ascii="Calibri" w:hAnsi="Calibri" w:cs="Calibri"/>
          <w:sz w:val="24"/>
          <w:szCs w:val="24"/>
        </w:rPr>
        <w:footnoteReference w:id="50"/>
      </w:r>
      <w:r w:rsidRPr="00E81518">
        <w:rPr>
          <w:rFonts w:ascii="Calibri" w:hAnsi="Calibri" w:cs="Calibri"/>
          <w:sz w:val="24"/>
          <w:szCs w:val="24"/>
        </w:rPr>
        <w:t xml:space="preserve"> This animistic conception of divine presence was ancient, but the Late Period witnessed a theological intensification of animal cults. Specific animals that were often unique individuals chosen based on physical markings or behaviours were revered as living gods. For example, The Apis bull, associated with Ptah and later Osiris, was housed in a dedicated </w:t>
      </w:r>
      <w:r w:rsidRPr="00E81518">
        <w:rPr>
          <w:rFonts w:ascii="Calibri" w:hAnsi="Calibri" w:cs="Calibri"/>
          <w:sz w:val="24"/>
          <w:szCs w:val="24"/>
        </w:rPr>
        <w:lastRenderedPageBreak/>
        <w:t>temple in Memphis and buried with state honours at the Serapeum of Saqqara.</w:t>
      </w:r>
      <w:r w:rsidRPr="00E81518">
        <w:rPr>
          <w:rStyle w:val="FootnoteReference"/>
          <w:rFonts w:ascii="Calibri" w:hAnsi="Calibri" w:cs="Calibri"/>
          <w:sz w:val="24"/>
          <w:szCs w:val="24"/>
        </w:rPr>
        <w:footnoteReference w:id="51"/>
      </w:r>
      <w:r w:rsidRPr="00E81518">
        <w:rPr>
          <w:rFonts w:ascii="Calibri" w:hAnsi="Calibri" w:cs="Calibri"/>
          <w:sz w:val="24"/>
          <w:szCs w:val="24"/>
        </w:rPr>
        <w:t xml:space="preserve"> The Bennu bird, symbolic of rebirth and associated with the sun god Ra, was venerated at Heliopolis.</w:t>
      </w:r>
      <w:r w:rsidRPr="00E81518">
        <w:rPr>
          <w:rStyle w:val="FootnoteReference"/>
          <w:rFonts w:ascii="Calibri" w:hAnsi="Calibri" w:cs="Calibri"/>
          <w:sz w:val="24"/>
          <w:szCs w:val="24"/>
        </w:rPr>
        <w:footnoteReference w:id="52"/>
      </w:r>
      <w:r w:rsidRPr="00E81518">
        <w:rPr>
          <w:rFonts w:ascii="Calibri" w:hAnsi="Calibri" w:cs="Calibri"/>
          <w:sz w:val="24"/>
          <w:szCs w:val="24"/>
        </w:rPr>
        <w:t xml:space="preserve"> The ibis, representing Thoth, the god of wisdom and writing, was kept and mummified at Hermopolis.</w:t>
      </w:r>
      <w:r w:rsidRPr="00E81518">
        <w:rPr>
          <w:rStyle w:val="FootnoteReference"/>
          <w:rFonts w:ascii="Calibri" w:hAnsi="Calibri" w:cs="Calibri"/>
          <w:sz w:val="24"/>
          <w:szCs w:val="24"/>
        </w:rPr>
        <w:footnoteReference w:id="53"/>
      </w:r>
    </w:p>
    <w:p w14:paraId="2A2B051C"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In the Late Period, this veneration took on a more codified and political form. Sacred animal cults were increasingly tied to temple economies, with elaborate administrative and ritual systems to care for, identify, and ritually bury divine animals.</w:t>
      </w:r>
      <w:r w:rsidRPr="00E81518">
        <w:rPr>
          <w:rStyle w:val="FootnoteReference"/>
          <w:rFonts w:ascii="Calibri" w:hAnsi="Calibri" w:cs="Calibri"/>
          <w:sz w:val="24"/>
          <w:szCs w:val="24"/>
        </w:rPr>
        <w:footnoteReference w:id="54"/>
      </w:r>
      <w:r w:rsidRPr="00E81518">
        <w:rPr>
          <w:rFonts w:ascii="Calibri" w:hAnsi="Calibri" w:cs="Calibri"/>
          <w:sz w:val="24"/>
          <w:szCs w:val="24"/>
        </w:rPr>
        <w:t xml:space="preserve"> The Late Period marked a significant expansion of regional cult centres; each associated with specific sacred animals. The political decentralisation and periodic foreign domination of this era, particularly by the Nubians (25th Dynasty) and later Persians, likely contributed to a resurgence of traditional religious forms as a means of asserting cultural identity.</w:t>
      </w:r>
      <w:r w:rsidRPr="00E81518">
        <w:rPr>
          <w:rStyle w:val="FootnoteReference"/>
          <w:rFonts w:ascii="Calibri" w:hAnsi="Calibri" w:cs="Calibri"/>
          <w:sz w:val="24"/>
          <w:szCs w:val="24"/>
        </w:rPr>
        <w:footnoteReference w:id="55"/>
      </w:r>
      <w:r w:rsidRPr="00E81518">
        <w:rPr>
          <w:rFonts w:ascii="Calibri" w:hAnsi="Calibri" w:cs="Calibri"/>
          <w:sz w:val="24"/>
          <w:szCs w:val="24"/>
        </w:rPr>
        <w:t xml:space="preserve"> It could be argued that the slow shift of traditional, personal worship into state-led spectacles was a signal of the creeping transition and the eventual downfall of anthropomorphic veneration into the whitewash of Christianity in the first century AD.</w:t>
      </w:r>
    </w:p>
    <w:p w14:paraId="4F6FD12C"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At the same time, the consolidation of power by local priesthoods, particularly in temples like those at Saqqara, Bubastis, Tuna el-Gebel and Crocodilopolis allowed for the growth of animal cults as major religious institutions.</w:t>
      </w:r>
      <w:r w:rsidRPr="00E81518">
        <w:rPr>
          <w:rStyle w:val="FootnoteReference"/>
          <w:rFonts w:ascii="Calibri" w:hAnsi="Calibri" w:cs="Calibri"/>
          <w:sz w:val="24"/>
          <w:szCs w:val="24"/>
        </w:rPr>
        <w:footnoteReference w:id="56"/>
      </w:r>
      <w:r w:rsidRPr="00E81518">
        <w:rPr>
          <w:rFonts w:ascii="Calibri" w:hAnsi="Calibri" w:cs="Calibri"/>
          <w:sz w:val="24"/>
          <w:szCs w:val="24"/>
        </w:rPr>
        <w:t xml:space="preserve"> These cults offered spiritual access to the divine for common people through votive offerings, in the form of animal mummies, a practice that dramatically increased in scale and complexity during this period.</w:t>
      </w:r>
      <w:r w:rsidRPr="00E81518">
        <w:rPr>
          <w:rStyle w:val="FootnoteReference"/>
          <w:rFonts w:ascii="Calibri" w:hAnsi="Calibri" w:cs="Calibri"/>
          <w:sz w:val="24"/>
          <w:szCs w:val="24"/>
        </w:rPr>
        <w:footnoteReference w:id="57"/>
      </w:r>
      <w:r w:rsidRPr="00E81518">
        <w:rPr>
          <w:rFonts w:ascii="Calibri" w:hAnsi="Calibri" w:cs="Calibri"/>
          <w:sz w:val="24"/>
          <w:szCs w:val="24"/>
        </w:rPr>
        <w:t xml:space="preserve"> According to Ikram, this period saw the institutionalisation of animal cults into a “mass phenomenon,” where temples became centres not only of worship but of economic production, including the breeding, keeping, and embalming of animals on an industrial scale.</w:t>
      </w:r>
      <w:r w:rsidRPr="00E81518">
        <w:rPr>
          <w:rStyle w:val="FootnoteReference"/>
          <w:rFonts w:ascii="Calibri" w:hAnsi="Calibri" w:cs="Calibri"/>
          <w:sz w:val="24"/>
          <w:szCs w:val="24"/>
        </w:rPr>
        <w:footnoteReference w:id="58"/>
      </w:r>
      <w:r w:rsidRPr="00E81518">
        <w:rPr>
          <w:rFonts w:ascii="Calibri" w:hAnsi="Calibri" w:cs="Calibri"/>
          <w:sz w:val="24"/>
          <w:szCs w:val="24"/>
        </w:rPr>
        <w:t xml:space="preserve"> One could correlate the phenomenon of animal cult worship and obsession with buying offerings to appease the gods with today’s mass hysteria of football scarves, rugby shirts and merchandise associated with huge musicians.</w:t>
      </w:r>
    </w:p>
    <w:p w14:paraId="0FB86233"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lastRenderedPageBreak/>
        <w:t>Animal mummification in the Late Period varied significantly depending on the species, the intended function of the mummy, and the resources available. Unlike human mummification, which was largely reserved for the elite, animal mummification was both a sacred and commercial practice. There were generally three categories of mummified animals: Sacred Animals were rare, ritually selected animals regarded as the living embodiment of a god, examples of the Apis bulls, Buchis bulls, or Mnevis bulls are an iconic sacrificial animal through the Egyptian lens.</w:t>
      </w:r>
      <w:r w:rsidRPr="00E81518">
        <w:rPr>
          <w:rStyle w:val="FootnoteReference"/>
          <w:rFonts w:ascii="Calibri" w:hAnsi="Calibri" w:cs="Calibri"/>
          <w:sz w:val="24"/>
          <w:szCs w:val="24"/>
        </w:rPr>
        <w:footnoteReference w:id="59"/>
      </w:r>
      <w:r w:rsidRPr="00E81518">
        <w:rPr>
          <w:rFonts w:ascii="Calibri" w:hAnsi="Calibri" w:cs="Calibri"/>
          <w:sz w:val="24"/>
          <w:szCs w:val="24"/>
        </w:rPr>
        <w:t xml:space="preserve"> They were treated with great reverence, often housed in temples, adorned with jewels, and mummified with high-quality materials and techniques. Their burials included inscribed sarcophagi and underground tombs. Votive Mummies made up the vast majority of animal mummies and were offered by pilgrims seeking favour from the gods. These animals; cats, ibises, crocodiles, falcons, dogs, and more were bred, killed, and embalmed by temple staff in massive numbers.</w:t>
      </w:r>
      <w:r w:rsidRPr="00E81518">
        <w:rPr>
          <w:rStyle w:val="FootnoteReference"/>
          <w:rFonts w:ascii="Calibri" w:hAnsi="Calibri" w:cs="Calibri"/>
          <w:sz w:val="24"/>
          <w:szCs w:val="24"/>
        </w:rPr>
        <w:footnoteReference w:id="60"/>
      </w:r>
      <w:r w:rsidRPr="00E81518">
        <w:rPr>
          <w:rFonts w:ascii="Calibri" w:hAnsi="Calibri" w:cs="Calibri"/>
          <w:sz w:val="24"/>
          <w:szCs w:val="24"/>
        </w:rPr>
        <w:t xml:space="preserve"> The quality of mummification varied widely, with some mummies containing only partial remains or even substituted materials like reeds or bones to meet demand. Pet and companion animals were occasionally mummified and buried alongside their owners, usually at the feet of the deceased human. These mummies were often elaborately prepared, reflecting the emotional bond between humans and animals in ancient Egypt.</w:t>
      </w:r>
      <w:r w:rsidRPr="00E81518">
        <w:rPr>
          <w:rStyle w:val="FootnoteReference"/>
          <w:rFonts w:ascii="Calibri" w:hAnsi="Calibri" w:cs="Calibri"/>
          <w:sz w:val="24"/>
          <w:szCs w:val="24"/>
        </w:rPr>
        <w:footnoteReference w:id="61"/>
      </w:r>
    </w:p>
    <w:p w14:paraId="2F9BF081"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 xml:space="preserve">Egyptian embalming procedures were highly systematised ritual and technical processes designed to preserve the body and facilitate the deceased’s transformation into an effective </w:t>
      </w:r>
      <w:r w:rsidRPr="00E81518">
        <w:rPr>
          <w:rFonts w:ascii="Calibri" w:hAnsi="Calibri" w:cs="Calibri"/>
          <w:i/>
          <w:iCs/>
          <w:sz w:val="24"/>
          <w:szCs w:val="24"/>
        </w:rPr>
        <w:t>akh</w:t>
      </w:r>
      <w:r w:rsidRPr="00E81518">
        <w:rPr>
          <w:rFonts w:ascii="Calibri" w:hAnsi="Calibri" w:cs="Calibri"/>
          <w:sz w:val="24"/>
          <w:szCs w:val="24"/>
        </w:rPr>
        <w:t xml:space="preserve"> in the afterlife. Core stages included desiccation using natron - a naturally occurring mixture of sodium salts which dehydrated soft tissues and inhibited bacterial decay. Evisceration removed organs most susceptible to decomposition, with the treatment of viscera varying according to period, status, and species.</w:t>
      </w:r>
      <w:r w:rsidRPr="00E81518">
        <w:rPr>
          <w:rStyle w:val="FootnoteReference"/>
          <w:rFonts w:ascii="Calibri" w:hAnsi="Calibri" w:cs="Calibri"/>
          <w:sz w:val="24"/>
          <w:szCs w:val="24"/>
        </w:rPr>
        <w:footnoteReference w:id="62"/>
      </w:r>
      <w:r w:rsidRPr="00E81518">
        <w:rPr>
          <w:rFonts w:ascii="Calibri" w:hAnsi="Calibri" w:cs="Calibri"/>
          <w:sz w:val="24"/>
          <w:szCs w:val="24"/>
        </w:rPr>
        <w:t xml:space="preserve"> In human mummification, organs were often separately embalmed and deposited in canopic jars, whereas in animal mummification they were frequently discarded, retained within the body, or bundled externally, reflecting both theological considerations and economic pragmatism.</w:t>
      </w:r>
      <w:r w:rsidRPr="00E81518">
        <w:rPr>
          <w:rStyle w:val="FootnoteReference"/>
          <w:rFonts w:ascii="Calibri" w:hAnsi="Calibri" w:cs="Calibri"/>
          <w:sz w:val="24"/>
          <w:szCs w:val="24"/>
        </w:rPr>
        <w:footnoteReference w:id="63"/>
      </w:r>
      <w:r w:rsidRPr="00E81518">
        <w:rPr>
          <w:rStyle w:val="FootnoteReference"/>
          <w:rFonts w:ascii="Calibri" w:hAnsi="Calibri" w:cs="Calibri"/>
          <w:sz w:val="24"/>
          <w:szCs w:val="24"/>
        </w:rPr>
        <w:footnoteReference w:id="64"/>
      </w:r>
      <w:r w:rsidRPr="00E81518">
        <w:rPr>
          <w:rFonts w:ascii="Calibri" w:hAnsi="Calibri" w:cs="Calibri"/>
          <w:sz w:val="24"/>
          <w:szCs w:val="24"/>
        </w:rPr>
        <w:t xml:space="preserve"> Following dehydration, the body was anointed with resins, oils, and aromatic substances </w:t>
      </w:r>
      <w:r w:rsidRPr="00E81518">
        <w:rPr>
          <w:rFonts w:ascii="Calibri" w:hAnsi="Calibri" w:cs="Calibri"/>
          <w:sz w:val="24"/>
          <w:szCs w:val="24"/>
        </w:rPr>
        <w:lastRenderedPageBreak/>
        <w:t>that functioned simultaneously as preservatives, ritual purifiers, and sensory markers of sanctity. The wrapping of bodies in linen, which were often recycled textiles, was not merely protective but symbolically charged, with patterns, knots, and layers reflecting cosmological and mythological associations. Amulets were strategically placed to activate divine protection, and cartonnage masks or casings, sometimes inscribed with prayers or divine iconography, visually transformed the deceased into an idealized, eternal form.</w:t>
      </w:r>
      <w:r w:rsidRPr="00E81518">
        <w:rPr>
          <w:rStyle w:val="FootnoteReference"/>
          <w:rFonts w:ascii="Calibri" w:hAnsi="Calibri" w:cs="Calibri"/>
          <w:sz w:val="24"/>
          <w:szCs w:val="24"/>
        </w:rPr>
        <w:footnoteReference w:id="65"/>
      </w:r>
      <w:r w:rsidRPr="00E81518">
        <w:rPr>
          <w:rStyle w:val="FootnoteReference"/>
          <w:rFonts w:ascii="Calibri" w:hAnsi="Calibri" w:cs="Calibri"/>
          <w:sz w:val="24"/>
          <w:szCs w:val="24"/>
        </w:rPr>
        <w:footnoteReference w:id="66"/>
      </w:r>
    </w:p>
    <w:p w14:paraId="0C6664A0"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Animal necropoleis such as Tuna el-Gebel, dedicated primarily to ibises and baboons sacred to Thoth, Saqqara, notably the Serapeum for the Apis bulls and galleries for falcons, and Bubastis which is mainly associated with the cult of Bastet and vast cat burials, testify to the immense scale, geographic spread, and institutional organization of animal mummification. These sites reveal a striking diversity in embalming quality, ranging from carefully prepared votive offerings to expediently produced specimens, underscoring the mass-production character of many Late Period deposits.</w:t>
      </w:r>
      <w:r w:rsidRPr="00E81518">
        <w:rPr>
          <w:rStyle w:val="FootnoteReference"/>
          <w:rFonts w:ascii="Calibri" w:hAnsi="Calibri" w:cs="Calibri"/>
          <w:sz w:val="24"/>
          <w:szCs w:val="24"/>
        </w:rPr>
        <w:footnoteReference w:id="67"/>
      </w:r>
      <w:r w:rsidRPr="00E81518">
        <w:rPr>
          <w:rFonts w:ascii="Calibri" w:hAnsi="Calibri" w:cs="Calibri"/>
          <w:sz w:val="24"/>
          <w:szCs w:val="24"/>
        </w:rPr>
        <w:t xml:space="preserve"> Archaeological and radiographic studies have demonstrated that not all bundles contained complete animals; some held partial remains, multiple individuals, or even symbolic substitutes, highlighting the ritual efficacy of representation over biological completeness.</w:t>
      </w:r>
      <w:r w:rsidRPr="00E81518">
        <w:rPr>
          <w:rStyle w:val="FootnoteReference"/>
          <w:rFonts w:ascii="Calibri" w:hAnsi="Calibri" w:cs="Calibri"/>
          <w:sz w:val="24"/>
          <w:szCs w:val="24"/>
        </w:rPr>
        <w:footnoteReference w:id="68"/>
      </w:r>
    </w:p>
    <w:p w14:paraId="4F2F06D8"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dramatic increase in animal mummification during the Late Period (c. 664–332 BCE) reflects not merely heightened religious devotion but a fundamental restructuring of temple economies and cultic practice. As access to state resources fluctuated under foreign rule, temples increasingly relied on animal cults as engines of economic sustainability. Temple institutions, which controlled extensive agricultural land, labour forces, and administrative infrastructures, developed vertically integrated systems to support these cults.</w:t>
      </w:r>
      <w:r w:rsidRPr="00E81518">
        <w:rPr>
          <w:rStyle w:val="FootnoteReference"/>
          <w:rFonts w:ascii="Calibri" w:hAnsi="Calibri" w:cs="Calibri"/>
          <w:sz w:val="24"/>
          <w:szCs w:val="24"/>
        </w:rPr>
        <w:footnoteReference w:id="69"/>
      </w:r>
      <w:r w:rsidRPr="00E81518">
        <w:rPr>
          <w:rFonts w:ascii="Calibri" w:hAnsi="Calibri" w:cs="Calibri"/>
          <w:sz w:val="24"/>
          <w:szCs w:val="24"/>
        </w:rPr>
        <w:t xml:space="preserve"> These included purpose-built animal breeding and rearing facilities, professional embalming workshops staffed by specialised practitioners, and standardised production methods designed to meet high demand. Pilgrimage to cult centres became a central feature of religious life, with devotees purchasing mummified animals as votive intermediaries to the gods. Donation systems, pricing structures, and distribution networks transformed piety </w:t>
      </w:r>
      <w:r w:rsidRPr="00E81518">
        <w:rPr>
          <w:rFonts w:ascii="Calibri" w:hAnsi="Calibri" w:cs="Calibri"/>
          <w:sz w:val="24"/>
          <w:szCs w:val="24"/>
        </w:rPr>
        <w:lastRenderedPageBreak/>
        <w:t>into a monetised exchange, embedding religious practice within broader economic frameworks.</w:t>
      </w:r>
      <w:r w:rsidRPr="00E81518">
        <w:rPr>
          <w:rStyle w:val="FootnoteReference"/>
          <w:rFonts w:ascii="Calibri" w:hAnsi="Calibri" w:cs="Calibri"/>
          <w:sz w:val="24"/>
          <w:szCs w:val="24"/>
        </w:rPr>
        <w:footnoteReference w:id="70"/>
      </w:r>
      <w:r w:rsidRPr="00E81518">
        <w:rPr>
          <w:rFonts w:ascii="Calibri" w:hAnsi="Calibri" w:cs="Calibri"/>
          <w:sz w:val="24"/>
          <w:szCs w:val="24"/>
        </w:rPr>
        <w:t xml:space="preserve"> With this, animal mummification in the Late Period should be understood not as a degeneration of earlier traditions but as an adaptive response to shifting political, social, and economic conditions. It represents a convergence of theology, ritual practice, and institutional pragmatism, in which the sacred and the commercial were not opposed but mutually reinforcing. This phenomenon illuminates the dynamic capacity of Egyptian religion to accommodate mass participation while maintaining doctrinal coherence and ritual authority.</w:t>
      </w:r>
      <w:r w:rsidRPr="00E81518">
        <w:rPr>
          <w:rStyle w:val="FootnoteReference"/>
          <w:rFonts w:ascii="Calibri" w:hAnsi="Calibri" w:cs="Calibri"/>
          <w:sz w:val="24"/>
          <w:szCs w:val="24"/>
        </w:rPr>
        <w:footnoteReference w:id="71"/>
      </w:r>
    </w:p>
    <w:p w14:paraId="5A267990"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As R.J. Legge notes, these industries created a kind of "sacred economy" where religious devotion fuelled a cycle of production and consumption. Pilgrims visiting a temple would purchase a votive animal mummy as an offering, contributing to temple wealth and employment. This religious economy further entrenched the power of temple priesthoods in an era of political instability.</w:t>
      </w:r>
      <w:r w:rsidRPr="00E81518">
        <w:rPr>
          <w:rStyle w:val="FootnoteReference"/>
          <w:rFonts w:ascii="Calibri" w:hAnsi="Calibri" w:cs="Calibri"/>
          <w:sz w:val="24"/>
          <w:szCs w:val="24"/>
        </w:rPr>
        <w:footnoteReference w:id="72"/>
      </w:r>
      <w:r w:rsidRPr="00E81518">
        <w:rPr>
          <w:rFonts w:ascii="Calibri" w:hAnsi="Calibri" w:cs="Calibri"/>
          <w:sz w:val="24"/>
          <w:szCs w:val="24"/>
        </w:rPr>
        <w:t xml:space="preserve">  However, there is also evidence of corruption and commodification. Scientific analyses that are used extensively in the study of Ancient Egypt with methods such as x-rays and CT scans, have revealed that many votive mummies did not contain whole animals, but only feathers, bones, or even mud - raising questions about the integrity of the practice and its exploitation for profit.</w:t>
      </w:r>
      <w:r w:rsidRPr="00E81518">
        <w:rPr>
          <w:rStyle w:val="FootnoteReference"/>
          <w:rFonts w:ascii="Calibri" w:hAnsi="Calibri" w:cs="Calibri"/>
          <w:sz w:val="24"/>
          <w:szCs w:val="24"/>
        </w:rPr>
        <w:footnoteReference w:id="73"/>
      </w:r>
    </w:p>
    <w:p w14:paraId="11127523"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Beyond the institutional framework, the symbolic potency of animal mummification in the Late Period was profound. Mummified animals acted as mediators between worshippers and the gods, forming a material link to the divine realm. In offering a votive mummy, a person symbolically aligned themselves with the divine cycle of death and rebirth.</w:t>
      </w:r>
      <w:r w:rsidRPr="00E81518">
        <w:rPr>
          <w:rStyle w:val="FootnoteReference"/>
          <w:rFonts w:ascii="Calibri" w:hAnsi="Calibri" w:cs="Calibri"/>
          <w:sz w:val="24"/>
          <w:szCs w:val="24"/>
        </w:rPr>
        <w:footnoteReference w:id="74"/>
      </w:r>
      <w:r w:rsidRPr="00E81518">
        <w:rPr>
          <w:rFonts w:ascii="Calibri" w:hAnsi="Calibri" w:cs="Calibri"/>
          <w:sz w:val="24"/>
          <w:szCs w:val="24"/>
        </w:rPr>
        <w:t xml:space="preserve"> Particularly in the context of increasing foreign control and cultural anxiety, animal mummification served as a ritual act of preservation, a means to safeguard traditional beliefs and maintain </w:t>
      </w:r>
      <w:r w:rsidRPr="00E81518">
        <w:rPr>
          <w:rFonts w:ascii="Calibri" w:hAnsi="Calibri" w:cs="Calibri"/>
          <w:i/>
          <w:iCs/>
          <w:sz w:val="24"/>
          <w:szCs w:val="24"/>
        </w:rPr>
        <w:t>ma’at</w:t>
      </w:r>
      <w:r w:rsidRPr="00E81518">
        <w:rPr>
          <w:rFonts w:ascii="Calibri" w:hAnsi="Calibri" w:cs="Calibri"/>
          <w:sz w:val="24"/>
          <w:szCs w:val="24"/>
        </w:rPr>
        <w:t xml:space="preserve"> in an unstable and fluctuating world. As Jan Assmann suggests, the funerary and votive rituals of this period were also acts of cultural memory, seeking to stabilise identity through ritualised forms.</w:t>
      </w:r>
      <w:r w:rsidRPr="00E81518">
        <w:rPr>
          <w:rStyle w:val="FootnoteReference"/>
          <w:rFonts w:ascii="Calibri" w:hAnsi="Calibri" w:cs="Calibri"/>
          <w:sz w:val="24"/>
          <w:szCs w:val="24"/>
        </w:rPr>
        <w:footnoteReference w:id="75"/>
      </w:r>
    </w:p>
    <w:p w14:paraId="0C2481CE"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lastRenderedPageBreak/>
        <w:t>Animal worship and mummification in Late Pharaonic Egypt were not secondary or idiosyncratic elements of religious life; they were central to how Egyptians conceptualised the divine, engaged with their gods, and maintained religious and social cohesion. The Late Period saw the culmination of millennia of religious thought, institutionalised into temple economies and popular practices that made divine interaction accessible across class lines. Yet these practices were also susceptible to the dynamics of economics, politics, and cultural change. The mass production of votive mummies, the rise of professional embalming industries, and the role of temples as economic hubs reflect a moment when religion and economy were deeply intertwined.</w:t>
      </w:r>
      <w:r w:rsidRPr="00E81518">
        <w:rPr>
          <w:rStyle w:val="FootnoteReference"/>
          <w:rFonts w:ascii="Calibri" w:hAnsi="Calibri" w:cs="Calibri"/>
          <w:sz w:val="24"/>
          <w:szCs w:val="24"/>
        </w:rPr>
        <w:footnoteReference w:id="76"/>
      </w:r>
    </w:p>
    <w:p w14:paraId="6F947740" w14:textId="77777777" w:rsidR="00D671AD" w:rsidRPr="00E81518" w:rsidRDefault="00D671AD" w:rsidP="00E81518">
      <w:pPr>
        <w:spacing w:line="360" w:lineRule="auto"/>
        <w:rPr>
          <w:rFonts w:ascii="Calibri" w:hAnsi="Calibri" w:cs="Calibri"/>
          <w:sz w:val="24"/>
          <w:szCs w:val="24"/>
        </w:rPr>
      </w:pPr>
      <w:r w:rsidRPr="00E81518">
        <w:rPr>
          <w:rFonts w:ascii="Calibri" w:hAnsi="Calibri" w:cs="Calibri"/>
          <w:sz w:val="24"/>
          <w:szCs w:val="24"/>
        </w:rPr>
        <w:t>The sacred animal, therefore, functioned as far more than a passive religious symbol; it operated as a living connection in which theology, economy, politics, and collective identity converged. Through its ritual care, state sponsorship, and popular veneration, the animal became a medium through which divine presence was rendered tangible and authority was publicly performed. In the twilight centuries of native Egyptian rule, when political autonomy was increasingly fragile, these sacred creatures assumed heightened significance as stabilising agents of continuity, anchoring traditional cosmologies within rapidly changing power structures.</w:t>
      </w:r>
      <w:r w:rsidRPr="00E81518">
        <w:rPr>
          <w:rStyle w:val="FootnoteReference"/>
          <w:rFonts w:ascii="Calibri" w:hAnsi="Calibri" w:cs="Calibri"/>
          <w:sz w:val="24"/>
          <w:szCs w:val="24"/>
        </w:rPr>
        <w:footnoteReference w:id="77"/>
      </w:r>
      <w:r w:rsidRPr="00E81518">
        <w:rPr>
          <w:rFonts w:ascii="Calibri" w:hAnsi="Calibri" w:cs="Calibri"/>
          <w:sz w:val="24"/>
          <w:szCs w:val="24"/>
        </w:rPr>
        <w:t xml:space="preserve"> Their enduring impact lay not only in their theological meaning, but in their capacity to articulate Egyptian identity itself - binding the sacred to the social and the symbolic to the material at a moment when both were under sustained pressure.</w:t>
      </w:r>
    </w:p>
    <w:p w14:paraId="7170FF72" w14:textId="77777777" w:rsidR="00A63749" w:rsidRPr="00E81518" w:rsidRDefault="00A63749" w:rsidP="00E81518">
      <w:pPr>
        <w:spacing w:line="360" w:lineRule="auto"/>
        <w:rPr>
          <w:rFonts w:ascii="Calibri" w:hAnsi="Calibri" w:cs="Calibri"/>
          <w:sz w:val="24"/>
          <w:szCs w:val="24"/>
        </w:rPr>
      </w:pPr>
    </w:p>
    <w:p w14:paraId="28EC7103" w14:textId="77777777" w:rsidR="00A63749" w:rsidRPr="00E81518" w:rsidRDefault="00A63749" w:rsidP="00E81518">
      <w:pPr>
        <w:spacing w:line="360" w:lineRule="auto"/>
        <w:rPr>
          <w:rFonts w:ascii="Calibri" w:hAnsi="Calibri" w:cs="Calibri"/>
          <w:sz w:val="24"/>
          <w:szCs w:val="24"/>
        </w:rPr>
      </w:pPr>
    </w:p>
    <w:p w14:paraId="66620805" w14:textId="77777777" w:rsidR="00A63749" w:rsidRPr="00E81518" w:rsidRDefault="00A63749" w:rsidP="00E81518">
      <w:pPr>
        <w:spacing w:line="360" w:lineRule="auto"/>
        <w:rPr>
          <w:rFonts w:ascii="Calibri" w:hAnsi="Calibri" w:cs="Calibri"/>
          <w:sz w:val="24"/>
          <w:szCs w:val="24"/>
        </w:rPr>
      </w:pPr>
    </w:p>
    <w:p w14:paraId="346F795C" w14:textId="77777777" w:rsidR="00A63749" w:rsidRPr="00E81518" w:rsidRDefault="00A63749" w:rsidP="00E81518">
      <w:pPr>
        <w:spacing w:line="360" w:lineRule="auto"/>
        <w:rPr>
          <w:rFonts w:ascii="Calibri" w:hAnsi="Calibri" w:cs="Calibri"/>
          <w:sz w:val="24"/>
          <w:szCs w:val="24"/>
        </w:rPr>
      </w:pPr>
    </w:p>
    <w:p w14:paraId="2621BBE7" w14:textId="77777777" w:rsidR="00A63749" w:rsidRPr="00E81518" w:rsidRDefault="00A63749" w:rsidP="00E81518">
      <w:pPr>
        <w:spacing w:line="360" w:lineRule="auto"/>
        <w:rPr>
          <w:rFonts w:ascii="Calibri" w:hAnsi="Calibri" w:cs="Calibri"/>
          <w:sz w:val="24"/>
          <w:szCs w:val="24"/>
        </w:rPr>
      </w:pPr>
    </w:p>
    <w:p w14:paraId="60F9708A" w14:textId="77777777" w:rsidR="00A63749" w:rsidRPr="00E81518" w:rsidRDefault="00A63749" w:rsidP="00E81518">
      <w:pPr>
        <w:spacing w:line="360" w:lineRule="auto"/>
        <w:rPr>
          <w:rFonts w:ascii="Calibri" w:hAnsi="Calibri" w:cs="Calibri"/>
          <w:sz w:val="24"/>
          <w:szCs w:val="24"/>
        </w:rPr>
      </w:pPr>
    </w:p>
    <w:p w14:paraId="5C9D2BA5" w14:textId="5B58F889" w:rsidR="00A63749" w:rsidRPr="00E81518" w:rsidRDefault="00A63749" w:rsidP="00E81518">
      <w:pPr>
        <w:spacing w:line="360" w:lineRule="auto"/>
        <w:rPr>
          <w:rFonts w:ascii="Calibri" w:hAnsi="Calibri" w:cs="Calibri"/>
          <w:b/>
          <w:bCs/>
          <w:sz w:val="24"/>
          <w:szCs w:val="24"/>
        </w:rPr>
      </w:pPr>
      <w:r w:rsidRPr="00E81518">
        <w:rPr>
          <w:rFonts w:ascii="Calibri" w:hAnsi="Calibri" w:cs="Calibri"/>
          <w:b/>
          <w:bCs/>
          <w:sz w:val="24"/>
          <w:szCs w:val="24"/>
        </w:rPr>
        <w:lastRenderedPageBreak/>
        <w:t>CHAPTER 2 - The Macedonian Conquest and the Rise of the Ptolemies: A New Religious Order</w:t>
      </w:r>
      <w:r w:rsidR="00F97E49" w:rsidRPr="00E81518">
        <w:rPr>
          <w:rFonts w:ascii="Calibri" w:hAnsi="Calibri" w:cs="Calibri"/>
          <w:b/>
          <w:bCs/>
          <w:sz w:val="24"/>
          <w:szCs w:val="24"/>
        </w:rPr>
        <w:t>?</w:t>
      </w:r>
    </w:p>
    <w:p w14:paraId="14A04ECE"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The conquest of Egypt by Alexander the Great in 332 BCE and the subsequent establishment of the Ptolemaic dynasty (305–30 BCE) marked a profound transformation in Egyptian religious life. Among the most distinctive and deeply rooted traditions of ancient Egypt was the worship and ritual mummification of animals, practices that had reached unparalleled institutional, theological, and economic sophistication during the Late Period (664–332 BCE).</w:t>
      </w:r>
      <w:r w:rsidRPr="00E81518">
        <w:rPr>
          <w:rStyle w:val="FootnoteReference"/>
          <w:rFonts w:ascii="Calibri" w:hAnsi="Calibri" w:cs="Calibri"/>
          <w:sz w:val="24"/>
          <w:szCs w:val="24"/>
        </w:rPr>
        <w:footnoteReference w:id="78"/>
      </w:r>
      <w:r w:rsidRPr="00E81518">
        <w:rPr>
          <w:rFonts w:ascii="Calibri" w:hAnsi="Calibri" w:cs="Calibri"/>
          <w:sz w:val="24"/>
          <w:szCs w:val="24"/>
        </w:rPr>
        <w:t xml:space="preserve"> These animal cults were not merely expressions of popular piety but formed integral components of temple economies, priestly authority, and conceptions of divine embodiment, in which specific animals were understood as living manifestations or symbolic intermediaries of particular deities.</w:t>
      </w:r>
    </w:p>
    <w:p w14:paraId="64FC03F5"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The arrival of Macedonian and later Hellenistic rulers, however, introduced new political structures, religious ideologies, and cultural paradigms that reshaped the traditional relationship between cult, state, and society.</w:t>
      </w:r>
      <w:r w:rsidRPr="00E81518">
        <w:rPr>
          <w:rStyle w:val="FootnoteReference"/>
          <w:rFonts w:ascii="Calibri" w:hAnsi="Calibri" w:cs="Calibri"/>
          <w:sz w:val="24"/>
          <w:szCs w:val="24"/>
        </w:rPr>
        <w:footnoteReference w:id="79"/>
      </w:r>
      <w:r w:rsidRPr="00E81518">
        <w:rPr>
          <w:rFonts w:ascii="Calibri" w:hAnsi="Calibri" w:cs="Calibri"/>
          <w:sz w:val="24"/>
          <w:szCs w:val="24"/>
        </w:rPr>
        <w:t xml:space="preserve"> While the Ptolemies largely preserved Egyptian religious institutions in order to legitimise their rule, they also reframed them within a broader Hellenistic context, promoting syncretic deities such as Serapis and encouraging new modes of religious representation and patronage.</w:t>
      </w:r>
      <w:r w:rsidRPr="00E81518">
        <w:rPr>
          <w:rStyle w:val="FootnoteReference"/>
          <w:rFonts w:ascii="Calibri" w:hAnsi="Calibri" w:cs="Calibri"/>
          <w:sz w:val="24"/>
          <w:szCs w:val="24"/>
        </w:rPr>
        <w:footnoteReference w:id="80"/>
      </w:r>
      <w:r w:rsidRPr="00E81518">
        <w:rPr>
          <w:rFonts w:ascii="Calibri" w:hAnsi="Calibri" w:cs="Calibri"/>
          <w:sz w:val="24"/>
          <w:szCs w:val="24"/>
        </w:rPr>
        <w:t xml:space="preserve"> As a result, animal worship and mummification practices did not disappear but were subtly transformed in their scale, symbolism, and social function, increasingly responding to changing patterns of royal sponsorship, intercultural exchange, and economic demand.</w:t>
      </w:r>
      <w:r w:rsidRPr="00E81518">
        <w:rPr>
          <w:rStyle w:val="FootnoteReference"/>
          <w:rFonts w:ascii="Calibri" w:hAnsi="Calibri" w:cs="Calibri"/>
          <w:sz w:val="24"/>
          <w:szCs w:val="24"/>
        </w:rPr>
        <w:footnoteReference w:id="81"/>
      </w:r>
      <w:r w:rsidRPr="00E81518">
        <w:rPr>
          <w:rFonts w:ascii="Calibri" w:hAnsi="Calibri" w:cs="Calibri"/>
          <w:sz w:val="24"/>
          <w:szCs w:val="24"/>
        </w:rPr>
        <w:t xml:space="preserve"> This period therefore represents not a simple decline or continuity of animal cults, but a dynamic phase of adaptation in which traditional Egyptian religious practices were renegotiated under foreign rule. Examining animal worship and mummification during the Ptolemaic era offers valuable insight into how indigenous religious traditions could persist, evolve, and acquire new meanings within a Hellenistic imperial framework.</w:t>
      </w:r>
      <w:r w:rsidRPr="00E81518">
        <w:rPr>
          <w:rStyle w:val="FootnoteReference"/>
          <w:rFonts w:ascii="Calibri" w:hAnsi="Calibri" w:cs="Calibri"/>
          <w:sz w:val="24"/>
          <w:szCs w:val="24"/>
        </w:rPr>
        <w:footnoteReference w:id="82"/>
      </w:r>
      <w:r w:rsidRPr="00E81518">
        <w:rPr>
          <w:rStyle w:val="FootnoteReference"/>
          <w:rFonts w:ascii="Calibri" w:hAnsi="Calibri" w:cs="Calibri"/>
          <w:sz w:val="24"/>
          <w:szCs w:val="24"/>
        </w:rPr>
        <w:footnoteReference w:id="83"/>
      </w:r>
    </w:p>
    <w:p w14:paraId="3330C704"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lastRenderedPageBreak/>
        <w:t>This chapter examines the changes in animal worship and animal mummification from the Macedonian conquest through the early Ptolemaic period. It argues that while many traditions were preserved, often for strategic reasons of political legitimacy, that animal cults were increasingly commercialised, bureaucratised, and, in some cases, syncretised with Greek religious thought. The resulting transformation reflected both the adaptability of Egyptian religion and the subtle pressures of Hellenistic governance and cultural exchange.</w:t>
      </w:r>
      <w:r w:rsidRPr="00E81518">
        <w:rPr>
          <w:rStyle w:val="FootnoteReference"/>
          <w:rFonts w:ascii="Calibri" w:hAnsi="Calibri" w:cs="Calibri"/>
          <w:sz w:val="24"/>
          <w:szCs w:val="24"/>
        </w:rPr>
        <w:footnoteReference w:id="84"/>
      </w:r>
    </w:p>
    <w:p w14:paraId="714FA557"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When Alexander the Great entered Egypt, he was not met with resistance but with religious and political accommodation. Aware of the power of Egypt’s religious institutions, Alexander styled himself as a pharaoh and visited key cult centres, including the oracle of Amun at Siwa, to establish his divine legitimacy.</w:t>
      </w:r>
      <w:r w:rsidRPr="00E81518">
        <w:rPr>
          <w:rStyle w:val="FootnoteReference"/>
          <w:rFonts w:ascii="Calibri" w:hAnsi="Calibri" w:cs="Calibri"/>
          <w:sz w:val="24"/>
          <w:szCs w:val="24"/>
        </w:rPr>
        <w:footnoteReference w:id="85"/>
      </w:r>
      <w:r w:rsidRPr="00E81518">
        <w:rPr>
          <w:rFonts w:ascii="Calibri" w:hAnsi="Calibri" w:cs="Calibri"/>
          <w:sz w:val="24"/>
          <w:szCs w:val="24"/>
        </w:rPr>
        <w:t xml:space="preserve"> His successors, the Ptolemies, continued this strategy, adopting Egyptian titles and participating in temple rituals. Rather than abolish animal worship, the Ptolemies preserved and even supported the cults of sacred animals, particularly those that served to consolidate their authority over the indigenous population, with an example of The Apis bull cult at Memphis, for example, continued to receive royal patronage.</w:t>
      </w:r>
      <w:r w:rsidRPr="00E81518">
        <w:rPr>
          <w:rStyle w:val="FootnoteReference"/>
          <w:rFonts w:ascii="Calibri" w:hAnsi="Calibri" w:cs="Calibri"/>
          <w:sz w:val="24"/>
          <w:szCs w:val="24"/>
        </w:rPr>
        <w:footnoteReference w:id="86"/>
      </w:r>
      <w:r w:rsidRPr="00E81518">
        <w:rPr>
          <w:rFonts w:ascii="Calibri" w:hAnsi="Calibri" w:cs="Calibri"/>
          <w:sz w:val="24"/>
          <w:szCs w:val="24"/>
        </w:rPr>
        <w:t xml:space="preserve"> According to inscriptions and archaeological evidence from the Serapeum at Saqqara, Ptolemaic kings contributed to the burial and ritual care of Apis bulls, recognising their political utility as symbols of pharaonic legitimacy.</w:t>
      </w:r>
      <w:r w:rsidRPr="00E81518">
        <w:rPr>
          <w:rStyle w:val="FootnoteReference"/>
          <w:rFonts w:ascii="Calibri" w:hAnsi="Calibri" w:cs="Calibri"/>
          <w:sz w:val="24"/>
          <w:szCs w:val="24"/>
        </w:rPr>
        <w:footnoteReference w:id="87"/>
      </w:r>
    </w:p>
    <w:p w14:paraId="1786DFFC"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Thus, the early Ptolemies engaged in a policy of religious continuity, maintaining traditional practices as a form of imperial diplomacy and symbolic control. However, while the outward forms remained, the cultural context and internal meanings of these practices began to shift.</w:t>
      </w:r>
      <w:r w:rsidRPr="00E81518">
        <w:rPr>
          <w:rStyle w:val="FootnoteReference"/>
          <w:rFonts w:ascii="Calibri" w:hAnsi="Calibri" w:cs="Calibri"/>
          <w:sz w:val="24"/>
          <w:szCs w:val="24"/>
        </w:rPr>
        <w:footnoteReference w:id="88"/>
      </w:r>
      <w:r w:rsidRPr="00E81518">
        <w:rPr>
          <w:rFonts w:ascii="Calibri" w:hAnsi="Calibri" w:cs="Calibri"/>
          <w:sz w:val="24"/>
          <w:szCs w:val="24"/>
        </w:rPr>
        <w:t xml:space="preserve"> The Ptolemies did not simply adopt Egyptian religion, they also transformed it. One of the most telling developments was the creation of Serapis, a hybrid deity combining aspects of Osiris-Apis, Zeus, Hades, and Asklepios. Serapis was introduced by Ptolemy I Soter as part of a deliberate effort to develop a deity that would appeal to both Greeks and Egyptians.</w:t>
      </w:r>
      <w:r w:rsidRPr="00E81518">
        <w:rPr>
          <w:rStyle w:val="FootnoteReference"/>
          <w:rFonts w:ascii="Calibri" w:hAnsi="Calibri" w:cs="Calibri"/>
          <w:sz w:val="24"/>
          <w:szCs w:val="24"/>
        </w:rPr>
        <w:footnoteReference w:id="89"/>
      </w:r>
      <w:r w:rsidRPr="00E81518">
        <w:rPr>
          <w:rStyle w:val="FootnoteReference"/>
          <w:rFonts w:ascii="Calibri" w:hAnsi="Calibri" w:cs="Calibri"/>
          <w:sz w:val="24"/>
          <w:szCs w:val="24"/>
        </w:rPr>
        <w:footnoteReference w:id="90"/>
      </w:r>
    </w:p>
    <w:p w14:paraId="2C4B973F"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lastRenderedPageBreak/>
        <w:t>Crucially, Serapis was not represented in animal form, marking a departure from traditional Egyptian iconography. His cult centred on philosophical abstraction, anthropomorphism, and universal salvation, reflecting Greek theological and aesthetic preferences.</w:t>
      </w:r>
      <w:r w:rsidRPr="00E81518">
        <w:rPr>
          <w:rStyle w:val="FootnoteReference"/>
          <w:rFonts w:ascii="Calibri" w:hAnsi="Calibri" w:cs="Calibri"/>
          <w:sz w:val="24"/>
          <w:szCs w:val="24"/>
        </w:rPr>
        <w:footnoteReference w:id="91"/>
      </w:r>
      <w:r w:rsidRPr="00E81518">
        <w:rPr>
          <w:rFonts w:ascii="Calibri" w:hAnsi="Calibri" w:cs="Calibri"/>
          <w:sz w:val="24"/>
          <w:szCs w:val="24"/>
        </w:rPr>
        <w:t xml:space="preserve"> The popularity of Serapis, especially in Alexandria, did not replace traditional animal cults, but it introduced a competing model of divinity, especially one that subtly undermined the centrality of animal forms in religious life.</w:t>
      </w:r>
      <w:r w:rsidRPr="00E81518">
        <w:rPr>
          <w:rStyle w:val="FootnoteReference"/>
          <w:rFonts w:ascii="Calibri" w:hAnsi="Calibri" w:cs="Calibri"/>
          <w:sz w:val="24"/>
          <w:szCs w:val="24"/>
        </w:rPr>
        <w:footnoteReference w:id="92"/>
      </w:r>
      <w:r w:rsidRPr="00E81518">
        <w:rPr>
          <w:rFonts w:ascii="Calibri" w:hAnsi="Calibri" w:cs="Calibri"/>
          <w:sz w:val="24"/>
          <w:szCs w:val="24"/>
        </w:rPr>
        <w:t xml:space="preserve"> The creation and dissemination of Serapis represents one of the most deliberate and intellectually ambitious experiments in religious synthesis in the ancient Mediterranean. Conceived in the early Ptolemaic period, Serapis was not merely an imported Greek god imposed upon Egypt, but a carefully engineered divine figure designed to mediate between Greek and Egyptian religious worlds.</w:t>
      </w:r>
      <w:r w:rsidRPr="00E81518">
        <w:rPr>
          <w:rStyle w:val="FootnoteReference"/>
          <w:rFonts w:ascii="Calibri" w:hAnsi="Calibri" w:cs="Calibri"/>
          <w:sz w:val="24"/>
          <w:szCs w:val="24"/>
        </w:rPr>
        <w:footnoteReference w:id="93"/>
      </w:r>
      <w:r w:rsidRPr="00E81518">
        <w:rPr>
          <w:rFonts w:ascii="Calibri" w:hAnsi="Calibri" w:cs="Calibri"/>
          <w:sz w:val="24"/>
          <w:szCs w:val="24"/>
        </w:rPr>
        <w:t xml:space="preserve"> His anthropomorphic form, philosophical overtones, and promise of universal salvation introduced a new theological grammar that both complemented and quietly destabilised traditional Egyptian religious structures.</w:t>
      </w:r>
      <w:r w:rsidRPr="00E81518">
        <w:rPr>
          <w:rStyle w:val="FootnoteReference"/>
          <w:rFonts w:ascii="Calibri" w:hAnsi="Calibri" w:cs="Calibri"/>
          <w:sz w:val="24"/>
          <w:szCs w:val="24"/>
        </w:rPr>
        <w:footnoteReference w:id="94"/>
      </w:r>
    </w:p>
    <w:p w14:paraId="6AF6176A"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At the level of iconography, Serapis marked a striking departure from established Egyptian visual norms. Egyptian gods were typically represented either in fully animal form or as hybrid beings with animal heads and human bodies, a system that expressed divine power through symbolic associations with natural forces.</w:t>
      </w:r>
      <w:r w:rsidRPr="00E81518">
        <w:rPr>
          <w:rStyle w:val="FootnoteReference"/>
          <w:rFonts w:ascii="Calibri" w:hAnsi="Calibri" w:cs="Calibri"/>
          <w:sz w:val="24"/>
          <w:szCs w:val="24"/>
        </w:rPr>
        <w:footnoteReference w:id="95"/>
      </w:r>
      <w:r w:rsidRPr="00E81518">
        <w:rPr>
          <w:rFonts w:ascii="Calibri" w:hAnsi="Calibri" w:cs="Calibri"/>
          <w:sz w:val="24"/>
          <w:szCs w:val="24"/>
        </w:rPr>
        <w:t xml:space="preserve"> Serapis, by contrast, was consistently depicted as fully human: bearded, mature, and enthroned, bearing the modius on his head - a symbol of abundance and cosmic order familiar to Greek viewers. This choice aligned Serapis with Greek ideals of divine rationality and moral authority, privileging anthropomorphism as a marker of intelligence and philosophical depth. Yet the god was not visually alien to Egyptian eyes. His association with Osiris-Apis grounded him in Memphite theology, while his underworld and fertility aspects resonated strongly with Osirian myth. In this way, Serapis visually and conceptually straddled both traditions without fully belonging to either.</w:t>
      </w:r>
      <w:r w:rsidRPr="00E81518">
        <w:rPr>
          <w:rStyle w:val="FootnoteReference"/>
          <w:rFonts w:ascii="Calibri" w:hAnsi="Calibri" w:cs="Calibri"/>
          <w:sz w:val="24"/>
          <w:szCs w:val="24"/>
        </w:rPr>
        <w:footnoteReference w:id="96"/>
      </w:r>
    </w:p>
    <w:p w14:paraId="7DED1AF1"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lastRenderedPageBreak/>
        <w:t>Theologically, Serapis represented a shift from cultic particularism toward abstraction and universality. Traditional Egyptian religion was deeply localised: gods were embedded in specific landscapes, temples, and animal manifestations, and their power was activated through precise ritual performance rather than doctrinal belief. The cult of Serapis, especially as it developed in Alexandria, emphasised instead a more portable and philosophically articulated divinity. Serapis was presented as a cosmic god, ruler of the underworld and guarantor of order, health, and salvation across ethnic and civic boundaries. This universalising tendency reflected Greek religious thought, particularly Platonic and Stoic currents, which increasingly conceived of the divine as a singular, rational principle expressed through multiple forms.</w:t>
      </w:r>
      <w:r w:rsidRPr="00E81518">
        <w:rPr>
          <w:rStyle w:val="FootnoteReference"/>
          <w:rFonts w:ascii="Calibri" w:hAnsi="Calibri" w:cs="Calibri"/>
          <w:sz w:val="24"/>
          <w:szCs w:val="24"/>
        </w:rPr>
        <w:footnoteReference w:id="97"/>
      </w:r>
    </w:p>
    <w:p w14:paraId="0C2F7CE0"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Despite this abstraction, Serapis was not experienced as a purely intellectual god. His cult incorporated traditional Egyptian ritual practices; processions, oracular consultation, dream incubation, and healing rites, many of which were already associated with Osiris and later with Imhotep.</w:t>
      </w:r>
      <w:r w:rsidRPr="00E81518">
        <w:rPr>
          <w:rStyle w:val="FootnoteReference"/>
          <w:rFonts w:ascii="Calibri" w:hAnsi="Calibri" w:cs="Calibri"/>
          <w:sz w:val="24"/>
          <w:szCs w:val="24"/>
        </w:rPr>
        <w:footnoteReference w:id="98"/>
      </w:r>
      <w:r w:rsidRPr="00E81518">
        <w:rPr>
          <w:rFonts w:ascii="Calibri" w:hAnsi="Calibri" w:cs="Calibri"/>
          <w:sz w:val="24"/>
          <w:szCs w:val="24"/>
        </w:rPr>
        <w:t xml:space="preserve"> The Serapeum in Alexandria functioned not only as a philosophical centre but also as a healing sanctuary, drawing devotees seeking personal intervention rather than communal stability alone. This experiential continuity allowed Egyptian worshippers to engage with Serapis without abandoning familiar religious behaviours, even as the theological framing of those behaviours subtly shifted.</w:t>
      </w:r>
      <w:r w:rsidRPr="00E81518">
        <w:rPr>
          <w:rStyle w:val="FootnoteReference"/>
          <w:rFonts w:ascii="Calibri" w:hAnsi="Calibri" w:cs="Calibri"/>
          <w:sz w:val="24"/>
          <w:szCs w:val="24"/>
        </w:rPr>
        <w:footnoteReference w:id="99"/>
      </w:r>
    </w:p>
    <w:p w14:paraId="14D65174"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Crucially, the rise of Serapis did not result in the disappearance of animal cults, which remained vibrant throughout the Ptolemaic and Roman periods. The Apis bull continued to be venerated at Memphis, and animal mummification expanded rather than declined. However, Serapis introduced a competing model of divine presence. One in which sacred power was concentrated in an idealised human form rather than dispersed across animal embodiments, over time, this model exerted a quiet pressure on religious sensibilities, especially in urban and Hellenised contexts. The prestige of anthropomorphic, philosophically framed divinity gradually reshaped elite religious discourse, even when popular practice retained traditional forms.</w:t>
      </w:r>
      <w:r w:rsidRPr="00E81518">
        <w:rPr>
          <w:rStyle w:val="FootnoteReference"/>
          <w:rFonts w:ascii="Calibri" w:hAnsi="Calibri" w:cs="Calibri"/>
          <w:sz w:val="24"/>
          <w:szCs w:val="24"/>
        </w:rPr>
        <w:footnoteReference w:id="100"/>
      </w:r>
    </w:p>
    <w:p w14:paraId="7CFF8BD4"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lastRenderedPageBreak/>
        <w:t>Serapis thus functioned less as a replacement than as a reorientation in Egyptian society and culture. He exemplified how Egyptian religion could be translated into a conceptual language legible to Greek metaphysics without losing its ritual efficacy.</w:t>
      </w:r>
      <w:r w:rsidRPr="00E81518">
        <w:rPr>
          <w:rStyle w:val="FootnoteReference"/>
          <w:rFonts w:ascii="Calibri" w:hAnsi="Calibri" w:cs="Calibri"/>
          <w:sz w:val="24"/>
          <w:szCs w:val="24"/>
        </w:rPr>
        <w:footnoteReference w:id="101"/>
      </w:r>
      <w:r w:rsidRPr="00E81518">
        <w:rPr>
          <w:rFonts w:ascii="Calibri" w:hAnsi="Calibri" w:cs="Calibri"/>
          <w:sz w:val="24"/>
          <w:szCs w:val="24"/>
        </w:rPr>
        <w:t xml:space="preserve"> In doing so, the cult of Serapis anticipated broader transformations in late antique religion, where abstraction, universalism, and personal salvation would increasingly eclipse localised, materially embedded forms of worship. The god’s success lay precisely in this hybridity: by embedding philosophical innovation within familiar cultic structures, Serapis became both a product of Egyptian tradition and an agent of its gradual transformation.</w:t>
      </w:r>
      <w:r w:rsidRPr="00E81518">
        <w:rPr>
          <w:rStyle w:val="FootnoteReference"/>
          <w:rFonts w:ascii="Calibri" w:hAnsi="Calibri" w:cs="Calibri"/>
          <w:sz w:val="24"/>
          <w:szCs w:val="24"/>
        </w:rPr>
        <w:footnoteReference w:id="102"/>
      </w:r>
    </w:p>
    <w:p w14:paraId="72A44929"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This shift demonstrates a deeper cultural tension: for many Greeks, Egyptian animal worship was viewed as exotic or even absurd. While early Ptolemies respected Egyptian traditions publicly, Hellenistic intellectuals—such as Plutarch and Strabo—often expressed scepticism or disdain toward the idea of animals as divine. Even Herodotus, writing earlier, had observed Egyptian animal worship with a mixture of curiosity and bemusement.</w:t>
      </w:r>
      <w:r w:rsidRPr="00E81518">
        <w:rPr>
          <w:rStyle w:val="FootnoteReference"/>
          <w:rFonts w:ascii="Calibri" w:hAnsi="Calibri" w:cs="Calibri"/>
          <w:sz w:val="24"/>
          <w:szCs w:val="24"/>
        </w:rPr>
        <w:footnoteReference w:id="103"/>
      </w:r>
      <w:r w:rsidRPr="00E81518">
        <w:rPr>
          <w:rStyle w:val="FootnoteReference"/>
          <w:rFonts w:ascii="Calibri" w:hAnsi="Calibri" w:cs="Calibri"/>
          <w:sz w:val="24"/>
          <w:szCs w:val="24"/>
        </w:rPr>
        <w:footnoteReference w:id="104"/>
      </w:r>
      <w:r w:rsidRPr="00E81518">
        <w:rPr>
          <w:rFonts w:ascii="Calibri" w:hAnsi="Calibri" w:cs="Calibri"/>
          <w:sz w:val="24"/>
          <w:szCs w:val="24"/>
        </w:rPr>
        <w:t xml:space="preserve"> One of the most striking transformations during the Ptolemaic period was the expansion and commodification of votive animal mummification. Archaeological excavations at sites such as Tuna el-Gebel, Saqqara, and Kom Ombo have uncovered millions of animal mummies; ibises, cats, falcons, crocodiles, and dogs, all dating to the Ptolemaic era.</w:t>
      </w:r>
      <w:r w:rsidRPr="00E81518">
        <w:rPr>
          <w:rStyle w:val="FootnoteReference"/>
          <w:rFonts w:ascii="Calibri" w:hAnsi="Calibri" w:cs="Calibri"/>
          <w:sz w:val="24"/>
          <w:szCs w:val="24"/>
        </w:rPr>
        <w:footnoteReference w:id="105"/>
      </w:r>
    </w:p>
    <w:p w14:paraId="2397A18F" w14:textId="44AC5E5F"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Unlike the selective and symbolic embalming of individual sacred animals in the Late Period, the Ptolemaic practice became massive and industrialised. Temples developed dedicated workshops for breeding, killing, and embalming animals, and votive offerings became a major source of temple income. Pilgrims from across Egypt and the Hellenistic world would purchase mummified animals to offer at temples, expecting spiritual intercession or divine favour.</w:t>
      </w:r>
      <w:r w:rsidRPr="00E81518">
        <w:rPr>
          <w:rStyle w:val="FootnoteReference"/>
          <w:rFonts w:ascii="Calibri" w:hAnsi="Calibri" w:cs="Calibri"/>
          <w:sz w:val="24"/>
          <w:szCs w:val="24"/>
        </w:rPr>
        <w:footnoteReference w:id="106"/>
      </w:r>
      <w:r w:rsidRPr="00E81518">
        <w:rPr>
          <w:rFonts w:ascii="Calibri" w:hAnsi="Calibri" w:cs="Calibri"/>
          <w:sz w:val="24"/>
          <w:szCs w:val="24"/>
        </w:rPr>
        <w:t xml:space="preserve"> This surge in demand led to the decline in quality and authenticity of many mummies. CT scans and x-ray analyses have revealed that many votive animal mummies contained incomplete remains, such as feathers, bones, or even organic substitutes such as </w:t>
      </w:r>
      <w:r w:rsidRPr="00E81518">
        <w:rPr>
          <w:rFonts w:ascii="Calibri" w:hAnsi="Calibri" w:cs="Calibri"/>
          <w:sz w:val="24"/>
          <w:szCs w:val="24"/>
        </w:rPr>
        <w:lastRenderedPageBreak/>
        <w:t xml:space="preserve">mud, or reeds. </w:t>
      </w:r>
      <w:r w:rsidRPr="00E81518">
        <w:rPr>
          <w:rStyle w:val="FootnoteReference"/>
          <w:rFonts w:ascii="Calibri" w:hAnsi="Calibri" w:cs="Calibri"/>
          <w:sz w:val="24"/>
          <w:szCs w:val="24"/>
        </w:rPr>
        <w:footnoteReference w:id="107"/>
      </w:r>
      <w:r w:rsidRPr="00E81518">
        <w:rPr>
          <w:rFonts w:ascii="Calibri" w:hAnsi="Calibri" w:cs="Calibri"/>
          <w:sz w:val="24"/>
          <w:szCs w:val="24"/>
        </w:rPr>
        <w:t xml:space="preserve"> As Salima Ikram notes, “votive mummification in the Ptolemaic period was both a religious act and a business enterprise.” This commercialisation marked a critical shift in the meaning of animal mummification: from a limited, highly sacred rite to a routine and transactional ritual, accessible to the masses but also subject to corruption and commodification.</w:t>
      </w:r>
      <w:r w:rsidRPr="00E81518">
        <w:rPr>
          <w:rStyle w:val="FootnoteReference"/>
          <w:rFonts w:ascii="Calibri" w:hAnsi="Calibri" w:cs="Calibri"/>
          <w:sz w:val="24"/>
          <w:szCs w:val="24"/>
        </w:rPr>
        <w:footnoteReference w:id="108"/>
      </w:r>
    </w:p>
    <w:p w14:paraId="0B1DA193"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The Greek population in Egypt, particularly in urban centres like Alexandria, Memphis, and Ptolemais, they maintained an ambiguous relationship with animal worship. While some Greeks adopted Egyptian religious practices, including animal cults, many viewed them as distinctively Egyptian and maintained a cultural boundary.</w:t>
      </w:r>
      <w:r w:rsidRPr="00E81518">
        <w:rPr>
          <w:rStyle w:val="FootnoteReference"/>
          <w:rFonts w:ascii="Calibri" w:hAnsi="Calibri" w:cs="Calibri"/>
          <w:sz w:val="24"/>
          <w:szCs w:val="24"/>
        </w:rPr>
        <w:footnoteReference w:id="109"/>
      </w:r>
      <w:r w:rsidRPr="00E81518">
        <w:rPr>
          <w:rFonts w:ascii="Calibri" w:hAnsi="Calibri" w:cs="Calibri"/>
          <w:sz w:val="24"/>
          <w:szCs w:val="24"/>
        </w:rPr>
        <w:t xml:space="preserve"> The Greek elite generally favoured anthropomorphic gods, philosophical cults like that of Serapis and mystery religions over traditional animal cults. Temples in Greek-speaking areas were less likely to maintain sacred animal cults in their original forms. That said, animal cults did retain support in more rural and traditional regions, where the Egyptian priesthood continued to wield influence and where the majority of the population remained culturally and religiously Egyptian.</w:t>
      </w:r>
      <w:r w:rsidRPr="00E81518">
        <w:rPr>
          <w:rStyle w:val="FootnoteReference"/>
          <w:rFonts w:ascii="Calibri" w:hAnsi="Calibri" w:cs="Calibri"/>
          <w:sz w:val="24"/>
          <w:szCs w:val="24"/>
        </w:rPr>
        <w:footnoteReference w:id="110"/>
      </w:r>
      <w:r w:rsidRPr="00E81518">
        <w:rPr>
          <w:rFonts w:ascii="Calibri" w:hAnsi="Calibri" w:cs="Calibri"/>
          <w:sz w:val="24"/>
          <w:szCs w:val="24"/>
        </w:rPr>
        <w:t xml:space="preserve"> The dichotomy between Egyptian and Greek religious engagement with animals reflects a broader tension within Ptolemaic society. While the Ptolemaic state used religion to legitimise its rule over Egyptians, it also had to cater to a Hellenistic elite with very different religious sensibilities. Animal cults thus became both a site of religious continuity and cultural distinction.</w:t>
      </w:r>
      <w:r w:rsidRPr="00E81518">
        <w:rPr>
          <w:rStyle w:val="FootnoteReference"/>
          <w:rFonts w:ascii="Calibri" w:hAnsi="Calibri" w:cs="Calibri"/>
          <w:sz w:val="24"/>
          <w:szCs w:val="24"/>
        </w:rPr>
        <w:footnoteReference w:id="111"/>
      </w:r>
    </w:p>
    <w:p w14:paraId="0ACC47D7"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The Ptolemaic monarchy understood the political utility of maintaining Egyptian religious institutions, including animal cults. By associating themselves with traditional deities such as Apis, Sobek, and Bastet, the Ptolemies portrayed themselves as legitimate successors to the pharaohs. The temple of Kom Ombo, for example, expanded significantly under Ptolemaic rule and featured a strong Sobek cult, complete with mummified crocodiles, votive offerings, and sacred pools.</w:t>
      </w:r>
      <w:r w:rsidRPr="00E81518">
        <w:rPr>
          <w:rStyle w:val="FootnoteReference"/>
          <w:rFonts w:ascii="Calibri" w:hAnsi="Calibri" w:cs="Calibri"/>
          <w:sz w:val="24"/>
          <w:szCs w:val="24"/>
        </w:rPr>
        <w:footnoteReference w:id="112"/>
      </w:r>
      <w:r w:rsidRPr="00E81518">
        <w:rPr>
          <w:rFonts w:ascii="Calibri" w:hAnsi="Calibri" w:cs="Calibri"/>
          <w:sz w:val="24"/>
          <w:szCs w:val="24"/>
        </w:rPr>
        <w:t xml:space="preserve"> At the same time, religious innovation under the Ptolemies facilitated syncretism and rebranding. Deities such as Horus were identified with Apollo, Isis with Demeter, and Thoth with Hermes, creating a layered and often ambiguous religious </w:t>
      </w:r>
      <w:r w:rsidRPr="00E81518">
        <w:rPr>
          <w:rFonts w:ascii="Calibri" w:hAnsi="Calibri" w:cs="Calibri"/>
          <w:sz w:val="24"/>
          <w:szCs w:val="24"/>
        </w:rPr>
        <w:lastRenderedPageBreak/>
        <w:t>environment.</w:t>
      </w:r>
      <w:r w:rsidRPr="00E81518">
        <w:rPr>
          <w:rStyle w:val="FootnoteReference"/>
          <w:rFonts w:ascii="Calibri" w:hAnsi="Calibri" w:cs="Calibri"/>
          <w:sz w:val="24"/>
          <w:szCs w:val="24"/>
        </w:rPr>
        <w:footnoteReference w:id="113"/>
      </w:r>
      <w:r w:rsidRPr="00E81518">
        <w:rPr>
          <w:rFonts w:ascii="Calibri" w:hAnsi="Calibri" w:cs="Calibri"/>
          <w:sz w:val="24"/>
          <w:szCs w:val="24"/>
        </w:rPr>
        <w:t xml:space="preserve"> In this context, animal worship persisted, but it increasingly became localised, symbolic, and ritually routinized rather than universally central to the religious imagination.</w:t>
      </w:r>
      <w:r w:rsidRPr="00E81518">
        <w:rPr>
          <w:rStyle w:val="FootnoteReference"/>
          <w:rFonts w:ascii="Calibri" w:hAnsi="Calibri" w:cs="Calibri"/>
          <w:sz w:val="24"/>
          <w:szCs w:val="24"/>
        </w:rPr>
        <w:footnoteReference w:id="114"/>
      </w:r>
    </w:p>
    <w:p w14:paraId="59ECC8DD"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The Macedonian conquest and the rise of the Ptolemaic dynasty brought about both continuity and transformation in Egyptian animal worship and mummification. While sacred animal cults were preserved—often for strategic and political purposes—their religious meanings were reinterpreted, and their ritual practices commodified to an unprecedented degree.</w:t>
      </w:r>
      <w:r w:rsidRPr="00E81518">
        <w:rPr>
          <w:rStyle w:val="FootnoteReference"/>
          <w:rFonts w:ascii="Calibri" w:hAnsi="Calibri" w:cs="Calibri"/>
          <w:sz w:val="24"/>
          <w:szCs w:val="24"/>
        </w:rPr>
        <w:footnoteReference w:id="115"/>
      </w:r>
    </w:p>
    <w:p w14:paraId="6BE2A43E"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Under the Ptolemaic dynasty, animal mummification underwent a profound transformation, becoming increasingly systematised, temple-centred, and embedded within monetised religious economies. What had once been a largely votive and locally embedded practice evolved into a large-scale industry, sustained by pilgrimage, donation, and institutional oversight.</w:t>
      </w:r>
      <w:r w:rsidRPr="00E81518">
        <w:rPr>
          <w:rStyle w:val="FootnoteReference"/>
          <w:rFonts w:ascii="Calibri" w:hAnsi="Calibri" w:cs="Calibri"/>
          <w:sz w:val="24"/>
          <w:szCs w:val="24"/>
        </w:rPr>
        <w:footnoteReference w:id="116"/>
      </w:r>
      <w:r w:rsidRPr="00E81518">
        <w:rPr>
          <w:rFonts w:ascii="Calibri" w:hAnsi="Calibri" w:cs="Calibri"/>
          <w:sz w:val="24"/>
          <w:szCs w:val="24"/>
        </w:rPr>
        <w:t xml:space="preserve"> Temples functioned not only as ritual spaces but also as economic hubs, managing breeding programmes, workshops, and networks of distribution that reflected the broader fiscal and administrative reforms of Hellenistic rule. These developments reveal how traditional religious practices were adapted to accommodate new economic realities without forfeiting their perceived sacred efficacy.</w:t>
      </w:r>
      <w:r w:rsidRPr="00E81518">
        <w:rPr>
          <w:rStyle w:val="FootnoteReference"/>
          <w:rFonts w:ascii="Calibri" w:hAnsi="Calibri" w:cs="Calibri"/>
          <w:sz w:val="24"/>
          <w:szCs w:val="24"/>
        </w:rPr>
        <w:footnoteReference w:id="117"/>
      </w:r>
      <w:r w:rsidRPr="00E81518">
        <w:rPr>
          <w:rFonts w:ascii="Calibri" w:hAnsi="Calibri" w:cs="Calibri"/>
          <w:sz w:val="24"/>
          <w:szCs w:val="24"/>
        </w:rPr>
        <w:t xml:space="preserve"> At the same time, shifting modes of divine representation point to significant theological and cultural recalibration. The promotion of syncretic deities such as Serapis, who combined Egyptian religious concepts with Greek philosophical ideals and anthropomorphic aesthetics—illustrates the Ptolemaic effort to negotiate legitimacy across culturally diverse populations. The increasing prominence of human-formed gods did not displace animal divinities so much as reposition them within a more pluralistic religious landscape, where multiple modes of accessing the divine could coexist.</w:t>
      </w:r>
      <w:r w:rsidRPr="00E81518">
        <w:rPr>
          <w:rStyle w:val="FootnoteReference"/>
          <w:rFonts w:ascii="Calibri" w:hAnsi="Calibri" w:cs="Calibri"/>
          <w:sz w:val="24"/>
          <w:szCs w:val="24"/>
        </w:rPr>
        <w:footnoteReference w:id="118"/>
      </w:r>
    </w:p>
    <w:p w14:paraId="70C3D62E" w14:textId="77777777" w:rsidR="00A63749" w:rsidRPr="00E81518" w:rsidRDefault="00A63749" w:rsidP="00E81518">
      <w:pPr>
        <w:spacing w:line="360" w:lineRule="auto"/>
        <w:rPr>
          <w:rFonts w:ascii="Calibri" w:hAnsi="Calibri" w:cs="Calibri"/>
          <w:sz w:val="24"/>
          <w:szCs w:val="24"/>
        </w:rPr>
      </w:pPr>
      <w:r w:rsidRPr="00E81518">
        <w:rPr>
          <w:rFonts w:ascii="Calibri" w:hAnsi="Calibri" w:cs="Calibri"/>
          <w:sz w:val="24"/>
          <w:szCs w:val="24"/>
        </w:rPr>
        <w:t xml:space="preserve">Despite these structural and ideological changes, animal worship retained its symbolic potency and emotional resonance among the Egyptian population. The mummified ibis, cat, </w:t>
      </w:r>
      <w:r w:rsidRPr="00E81518">
        <w:rPr>
          <w:rFonts w:ascii="Calibri" w:hAnsi="Calibri" w:cs="Calibri"/>
          <w:sz w:val="24"/>
          <w:szCs w:val="24"/>
        </w:rPr>
        <w:lastRenderedPageBreak/>
        <w:t>or crocodile continued to operate as a tangible mediator between human and divine realms, embodying concepts of protection, intercession, and cosmic order that remained intelligible and compelling. Even as the practice became more transactional and its meanings reframed by Hellenistic influence, animal cults endured as a deeply rooted expression of Egyptian religiosity. In this way, animal mummification under the Ptolemies exemplifies both continuity and adaptation: an ancient devotional tradition reshaped, but not diminished, within the hybrid cultural world of Hellenistic Egypt.</w:t>
      </w:r>
    </w:p>
    <w:p w14:paraId="63F4EDE7" w14:textId="77777777" w:rsidR="00561299" w:rsidRPr="00E81518" w:rsidRDefault="00561299" w:rsidP="00E81518">
      <w:pPr>
        <w:spacing w:line="360" w:lineRule="auto"/>
        <w:rPr>
          <w:rFonts w:ascii="Calibri" w:hAnsi="Calibri" w:cs="Calibri"/>
          <w:sz w:val="24"/>
          <w:szCs w:val="24"/>
        </w:rPr>
      </w:pPr>
    </w:p>
    <w:p w14:paraId="05A1EECC" w14:textId="77777777" w:rsidR="00E81518" w:rsidRDefault="00E81518" w:rsidP="00E81518">
      <w:pPr>
        <w:spacing w:line="360" w:lineRule="auto"/>
        <w:rPr>
          <w:rFonts w:ascii="Calibri" w:hAnsi="Calibri" w:cs="Calibri"/>
          <w:sz w:val="24"/>
          <w:szCs w:val="24"/>
        </w:rPr>
      </w:pPr>
    </w:p>
    <w:p w14:paraId="7240AC29" w14:textId="77777777" w:rsidR="00E81518" w:rsidRDefault="00E81518" w:rsidP="00E81518">
      <w:pPr>
        <w:spacing w:line="360" w:lineRule="auto"/>
        <w:rPr>
          <w:rFonts w:ascii="Calibri" w:hAnsi="Calibri" w:cs="Calibri"/>
          <w:sz w:val="24"/>
          <w:szCs w:val="24"/>
        </w:rPr>
      </w:pPr>
    </w:p>
    <w:p w14:paraId="0D8E6D21" w14:textId="77777777" w:rsidR="00E81518" w:rsidRDefault="00E81518" w:rsidP="00E81518">
      <w:pPr>
        <w:spacing w:line="360" w:lineRule="auto"/>
        <w:rPr>
          <w:rFonts w:ascii="Calibri" w:hAnsi="Calibri" w:cs="Calibri"/>
          <w:sz w:val="24"/>
          <w:szCs w:val="24"/>
        </w:rPr>
      </w:pPr>
    </w:p>
    <w:p w14:paraId="2E4681E9" w14:textId="77777777" w:rsidR="00E81518" w:rsidRDefault="00E81518" w:rsidP="00E81518">
      <w:pPr>
        <w:spacing w:line="360" w:lineRule="auto"/>
        <w:rPr>
          <w:rFonts w:ascii="Calibri" w:hAnsi="Calibri" w:cs="Calibri"/>
          <w:sz w:val="24"/>
          <w:szCs w:val="24"/>
        </w:rPr>
      </w:pPr>
    </w:p>
    <w:p w14:paraId="33580D29" w14:textId="77777777" w:rsidR="00E81518" w:rsidRDefault="00E81518" w:rsidP="00E81518">
      <w:pPr>
        <w:spacing w:line="360" w:lineRule="auto"/>
        <w:rPr>
          <w:rFonts w:ascii="Calibri" w:hAnsi="Calibri" w:cs="Calibri"/>
          <w:sz w:val="24"/>
          <w:szCs w:val="24"/>
        </w:rPr>
      </w:pPr>
    </w:p>
    <w:p w14:paraId="46846438" w14:textId="77777777" w:rsidR="00E81518" w:rsidRDefault="00E81518" w:rsidP="00E81518">
      <w:pPr>
        <w:spacing w:line="360" w:lineRule="auto"/>
        <w:rPr>
          <w:rFonts w:ascii="Calibri" w:hAnsi="Calibri" w:cs="Calibri"/>
          <w:sz w:val="24"/>
          <w:szCs w:val="24"/>
        </w:rPr>
      </w:pPr>
    </w:p>
    <w:p w14:paraId="52B170A1" w14:textId="77777777" w:rsidR="00E81518" w:rsidRDefault="00E81518" w:rsidP="00E81518">
      <w:pPr>
        <w:spacing w:line="360" w:lineRule="auto"/>
        <w:rPr>
          <w:rFonts w:ascii="Calibri" w:hAnsi="Calibri" w:cs="Calibri"/>
          <w:sz w:val="24"/>
          <w:szCs w:val="24"/>
        </w:rPr>
      </w:pPr>
    </w:p>
    <w:p w14:paraId="75346130" w14:textId="77777777" w:rsidR="00E81518" w:rsidRDefault="00E81518" w:rsidP="00E81518">
      <w:pPr>
        <w:spacing w:line="360" w:lineRule="auto"/>
        <w:rPr>
          <w:rFonts w:ascii="Calibri" w:hAnsi="Calibri" w:cs="Calibri"/>
          <w:sz w:val="24"/>
          <w:szCs w:val="24"/>
        </w:rPr>
      </w:pPr>
    </w:p>
    <w:p w14:paraId="01225F78" w14:textId="77777777" w:rsidR="00E81518" w:rsidRDefault="00E81518" w:rsidP="00E81518">
      <w:pPr>
        <w:spacing w:line="360" w:lineRule="auto"/>
        <w:rPr>
          <w:rFonts w:ascii="Calibri" w:hAnsi="Calibri" w:cs="Calibri"/>
          <w:sz w:val="24"/>
          <w:szCs w:val="24"/>
        </w:rPr>
      </w:pPr>
    </w:p>
    <w:p w14:paraId="260FC814" w14:textId="77777777" w:rsidR="00E81518" w:rsidRDefault="00E81518" w:rsidP="00E81518">
      <w:pPr>
        <w:spacing w:line="360" w:lineRule="auto"/>
        <w:rPr>
          <w:rFonts w:ascii="Calibri" w:hAnsi="Calibri" w:cs="Calibri"/>
          <w:sz w:val="24"/>
          <w:szCs w:val="24"/>
        </w:rPr>
      </w:pPr>
    </w:p>
    <w:p w14:paraId="09C5D98D" w14:textId="77777777" w:rsidR="00E81518" w:rsidRDefault="00E81518" w:rsidP="00E81518">
      <w:pPr>
        <w:spacing w:line="360" w:lineRule="auto"/>
        <w:rPr>
          <w:rFonts w:ascii="Calibri" w:hAnsi="Calibri" w:cs="Calibri"/>
          <w:sz w:val="24"/>
          <w:szCs w:val="24"/>
        </w:rPr>
      </w:pPr>
    </w:p>
    <w:p w14:paraId="2078E992" w14:textId="77777777" w:rsidR="00E81518" w:rsidRDefault="00E81518" w:rsidP="00E81518">
      <w:pPr>
        <w:spacing w:line="360" w:lineRule="auto"/>
        <w:rPr>
          <w:rFonts w:ascii="Calibri" w:hAnsi="Calibri" w:cs="Calibri"/>
          <w:sz w:val="24"/>
          <w:szCs w:val="24"/>
        </w:rPr>
      </w:pPr>
    </w:p>
    <w:p w14:paraId="37ACB44D" w14:textId="77777777" w:rsidR="00E81518" w:rsidRDefault="00E81518" w:rsidP="00E81518">
      <w:pPr>
        <w:spacing w:line="360" w:lineRule="auto"/>
        <w:rPr>
          <w:rFonts w:ascii="Calibri" w:hAnsi="Calibri" w:cs="Calibri"/>
          <w:sz w:val="24"/>
          <w:szCs w:val="24"/>
        </w:rPr>
      </w:pPr>
    </w:p>
    <w:p w14:paraId="1293C6A1" w14:textId="77777777" w:rsidR="00E81518" w:rsidRDefault="00E81518" w:rsidP="00E81518">
      <w:pPr>
        <w:spacing w:line="360" w:lineRule="auto"/>
        <w:rPr>
          <w:rFonts w:ascii="Calibri" w:hAnsi="Calibri" w:cs="Calibri"/>
          <w:sz w:val="24"/>
          <w:szCs w:val="24"/>
        </w:rPr>
      </w:pPr>
    </w:p>
    <w:p w14:paraId="2E1C396A" w14:textId="77777777" w:rsidR="00E81518" w:rsidRDefault="00E81518" w:rsidP="00E81518">
      <w:pPr>
        <w:spacing w:line="360" w:lineRule="auto"/>
        <w:rPr>
          <w:rFonts w:ascii="Calibri" w:hAnsi="Calibri" w:cs="Calibri"/>
          <w:b/>
          <w:bCs/>
          <w:sz w:val="24"/>
          <w:szCs w:val="24"/>
        </w:rPr>
      </w:pPr>
    </w:p>
    <w:p w14:paraId="48ECBDCC" w14:textId="77777777" w:rsidR="00E81518" w:rsidRDefault="00E81518" w:rsidP="00E81518">
      <w:pPr>
        <w:spacing w:line="360" w:lineRule="auto"/>
        <w:rPr>
          <w:rFonts w:ascii="Calibri" w:hAnsi="Calibri" w:cs="Calibri"/>
          <w:b/>
          <w:bCs/>
          <w:sz w:val="24"/>
          <w:szCs w:val="24"/>
        </w:rPr>
      </w:pPr>
    </w:p>
    <w:p w14:paraId="79F1AC8C" w14:textId="77777777" w:rsidR="00E81518" w:rsidRDefault="00E81518" w:rsidP="00E81518">
      <w:pPr>
        <w:spacing w:line="360" w:lineRule="auto"/>
        <w:rPr>
          <w:rFonts w:ascii="Calibri" w:hAnsi="Calibri" w:cs="Calibri"/>
          <w:b/>
          <w:bCs/>
          <w:sz w:val="24"/>
          <w:szCs w:val="24"/>
        </w:rPr>
      </w:pPr>
    </w:p>
    <w:p w14:paraId="2E49863C" w14:textId="3D3A2030" w:rsidR="00561299" w:rsidRPr="00E81518" w:rsidRDefault="00561299" w:rsidP="00E81518">
      <w:pPr>
        <w:spacing w:line="360" w:lineRule="auto"/>
        <w:rPr>
          <w:rFonts w:ascii="Calibri" w:hAnsi="Calibri" w:cs="Calibri"/>
          <w:b/>
          <w:bCs/>
          <w:sz w:val="24"/>
          <w:szCs w:val="24"/>
        </w:rPr>
      </w:pPr>
      <w:r w:rsidRPr="00E81518">
        <w:rPr>
          <w:rFonts w:ascii="Calibri" w:hAnsi="Calibri" w:cs="Calibri"/>
          <w:b/>
          <w:bCs/>
          <w:sz w:val="24"/>
          <w:szCs w:val="24"/>
        </w:rPr>
        <w:lastRenderedPageBreak/>
        <w:t>CHAPTER 3 - Continuity and Transformation: Sacred Animals under the Ptolemies</w:t>
      </w:r>
    </w:p>
    <w:p w14:paraId="55AF75E6"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When Alexander the Great conquered Egypt in 332 BCE, he inherited a civilisation with deeply entrenched religious traditions, among which animal worship and mummification held a particularly central place. Upon his death, his general Ptolemy I Soter assumed control of Egypt, founding the Ptolemaic dynasty from 305–30 BCE, a foreign Greek ruling house that would reign for nearly three centuries. Despite their Hellenic origins, the Ptolemies did not dismantle Egypt’s animal cults. Instead, they transformed and strategically reinterpreted these deeply rooted practices to legitimise their rule, consolidate control, and forge a syncretic cultural identity. This chapter examines how the Ptolemaic rulers manipulated Egyptian animal worship and mummification practices to serve their political interests and promote a hybrid Greco-Egyptian religious culture. It argues that the Ptolemies simultaneously preserved, commodified, and reinvented animal cults - not as passive inheritors of native traditions, but as active agents of religious innovation, using these practices to mediate between two distinct cultural systems and create a new imperial ideology.</w:t>
      </w:r>
    </w:p>
    <w:p w14:paraId="474AEB0C"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The Ptolemies were foreigners ruling over a culturally and religiously conservative Egyptian majority. To consolidate power, they adopted Pharaonic titles, participated in temple rituals, and publicly aligned themselves with traditional Egyptian religion. The continuation and support of animal cults played a crucial role in this political strategy.</w:t>
      </w:r>
      <w:r w:rsidRPr="00E81518">
        <w:rPr>
          <w:rStyle w:val="FootnoteReference"/>
          <w:rFonts w:ascii="Calibri" w:hAnsi="Calibri" w:cs="Calibri"/>
          <w:sz w:val="24"/>
          <w:szCs w:val="24"/>
        </w:rPr>
        <w:footnoteReference w:id="119"/>
      </w:r>
      <w:r w:rsidRPr="00E81518">
        <w:rPr>
          <w:rFonts w:ascii="Calibri" w:hAnsi="Calibri" w:cs="Calibri"/>
          <w:sz w:val="24"/>
          <w:szCs w:val="24"/>
        </w:rPr>
        <w:t xml:space="preserve"> Major sacred animal cults, such as the Apis bull at Memphis, the Buchis bull at Hermonthis, the ibis of Thoth at Hermopolis, and the crocodile cult of Sobek at Kom Ombo were not only maintained but enhanced during the Ptolemaic period as a way to keep the general masses from either revolt or fear of outsider invasion into their thousands of years of tradition.</w:t>
      </w:r>
      <w:r w:rsidRPr="00E81518">
        <w:rPr>
          <w:rStyle w:val="FootnoteReference"/>
          <w:rFonts w:ascii="Calibri" w:hAnsi="Calibri" w:cs="Calibri"/>
          <w:sz w:val="24"/>
          <w:szCs w:val="24"/>
        </w:rPr>
        <w:footnoteReference w:id="120"/>
      </w:r>
      <w:r w:rsidRPr="00E81518">
        <w:rPr>
          <w:rFonts w:ascii="Calibri" w:hAnsi="Calibri" w:cs="Calibri"/>
          <w:sz w:val="24"/>
          <w:szCs w:val="24"/>
        </w:rPr>
        <w:t xml:space="preserve"> In particular, Apis bulls continued to receive lavish burials in the Serapeum at Saqqara, and Ptolemaic kings are attested in the dedicatory inscriptions as active participants in their veneration.</w:t>
      </w:r>
      <w:r w:rsidRPr="00E81518">
        <w:rPr>
          <w:rStyle w:val="FootnoteReference"/>
          <w:rFonts w:ascii="Calibri" w:hAnsi="Calibri" w:cs="Calibri"/>
          <w:sz w:val="24"/>
          <w:szCs w:val="24"/>
        </w:rPr>
        <w:footnoteReference w:id="121"/>
      </w:r>
    </w:p>
    <w:p w14:paraId="2027F3D1"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lastRenderedPageBreak/>
        <w:t>By preserving and actively participating in ancient Egyptian animal cults, the Ptolemies positioned themselves as legitimate successors to the pharaohs rather than foreign occupiers. Animal cults such as those dedicated to the Apis bull at Memphis, the Buchis bull at Armant, the ram of Khnum at Elephantine, and the sacred cats, ibises, and crocodiles associated with Bastet, Thoth, and Sobek had deep roots in Egyptian religious thought.</w:t>
      </w:r>
      <w:r w:rsidRPr="00E81518">
        <w:rPr>
          <w:rStyle w:val="FootnoteReference"/>
          <w:rFonts w:ascii="Calibri" w:hAnsi="Calibri" w:cs="Calibri"/>
          <w:sz w:val="24"/>
          <w:szCs w:val="24"/>
        </w:rPr>
        <w:footnoteReference w:id="122"/>
      </w:r>
      <w:r w:rsidRPr="00E81518">
        <w:rPr>
          <w:rFonts w:ascii="Calibri" w:hAnsi="Calibri" w:cs="Calibri"/>
          <w:sz w:val="24"/>
          <w:szCs w:val="24"/>
        </w:rPr>
        <w:t xml:space="preserve"> These cults embodied </w:t>
      </w:r>
      <w:r w:rsidRPr="00E81518">
        <w:rPr>
          <w:rFonts w:ascii="Calibri" w:hAnsi="Calibri" w:cs="Calibri"/>
          <w:i/>
          <w:iCs/>
          <w:sz w:val="24"/>
          <w:szCs w:val="24"/>
        </w:rPr>
        <w:t>ma’at</w:t>
      </w:r>
      <w:r w:rsidRPr="00E81518">
        <w:rPr>
          <w:rFonts w:ascii="Calibri" w:hAnsi="Calibri" w:cs="Calibri"/>
          <w:sz w:val="24"/>
          <w:szCs w:val="24"/>
        </w:rPr>
        <w:t>, the cosmic order that sustained harmony between the gods, the king, and the land. Continuity in these practices was therefore not merely religious conservatism, but a political necessity.</w:t>
      </w:r>
      <w:r w:rsidRPr="00E81518">
        <w:rPr>
          <w:rStyle w:val="FootnoteReference"/>
          <w:rFonts w:ascii="Calibri" w:hAnsi="Calibri" w:cs="Calibri"/>
          <w:sz w:val="24"/>
          <w:szCs w:val="24"/>
        </w:rPr>
        <w:footnoteReference w:id="123"/>
      </w:r>
    </w:p>
    <w:p w14:paraId="37C16534"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The Ptolemies ensured continuity by integrating themselves into existing priestly and temple infrastructures rather than replacing them. Egyptian priesthoods retained their traditional roles in animal selection, mummification, burial, and ritual veneration. Royal patronage took the form of temple endowments, tax exemptions, and monumental building programs that explicitly followed pharaonic precedents.</w:t>
      </w:r>
      <w:r w:rsidRPr="00E81518">
        <w:rPr>
          <w:rStyle w:val="FootnoteReference"/>
          <w:rFonts w:ascii="Calibri" w:hAnsi="Calibri" w:cs="Calibri"/>
          <w:sz w:val="24"/>
          <w:szCs w:val="24"/>
        </w:rPr>
        <w:footnoteReference w:id="124"/>
      </w:r>
      <w:r w:rsidRPr="00E81518">
        <w:rPr>
          <w:rFonts w:ascii="Calibri" w:hAnsi="Calibri" w:cs="Calibri"/>
          <w:sz w:val="24"/>
          <w:szCs w:val="24"/>
        </w:rPr>
        <w:t xml:space="preserve"> Ptolemaic rulers were depicted in temple reliefs performing rituals for animal deities in fully Egyptian iconography, wearing traditional regalia and using hieroglyphic titulary.</w:t>
      </w:r>
      <w:r w:rsidRPr="00E81518">
        <w:rPr>
          <w:rStyle w:val="FootnoteReference"/>
          <w:rFonts w:ascii="Calibri" w:hAnsi="Calibri" w:cs="Calibri"/>
          <w:sz w:val="24"/>
          <w:szCs w:val="24"/>
        </w:rPr>
        <w:footnoteReference w:id="125"/>
      </w:r>
      <w:r w:rsidRPr="00E81518">
        <w:rPr>
          <w:rFonts w:ascii="Calibri" w:hAnsi="Calibri" w:cs="Calibri"/>
          <w:sz w:val="24"/>
          <w:szCs w:val="24"/>
        </w:rPr>
        <w:t xml:space="preserve"> These visual and textual strategies reinforced the idea that the king, regardless of ethnic origin, was the divinely chosen mediator between gods and humans. Crucially, the Ptolemies also participated directly in the ceremonial life of animal cults. The burial of sacred animals, particularly the Apis bull became state occasions, with royal involvement paralleling that of earlier dynasties.</w:t>
      </w:r>
      <w:r w:rsidRPr="00E81518">
        <w:rPr>
          <w:rStyle w:val="FootnoteReference"/>
          <w:rFonts w:ascii="Calibri" w:hAnsi="Calibri" w:cs="Calibri"/>
          <w:sz w:val="24"/>
          <w:szCs w:val="24"/>
        </w:rPr>
        <w:footnoteReference w:id="126"/>
      </w:r>
      <w:r w:rsidRPr="00E81518">
        <w:rPr>
          <w:rFonts w:ascii="Calibri" w:hAnsi="Calibri" w:cs="Calibri"/>
          <w:sz w:val="24"/>
          <w:szCs w:val="24"/>
        </w:rPr>
        <w:t xml:space="preserve"> In sponsoring these burials and the associated votive industries, the Ptolemies embedded themselves in long-standing cycles of death, regeneration, and kingship that were central to Egyptian cosmology. Such acts signalled their acceptance of Egyptian theological frameworks rather than an imposition of Hellenistic religious norms.</w:t>
      </w:r>
      <w:r w:rsidRPr="00E81518">
        <w:rPr>
          <w:rStyle w:val="FootnoteReference"/>
          <w:rFonts w:ascii="Calibri" w:hAnsi="Calibri" w:cs="Calibri"/>
          <w:sz w:val="24"/>
          <w:szCs w:val="24"/>
        </w:rPr>
        <w:footnoteReference w:id="127"/>
      </w:r>
    </w:p>
    <w:p w14:paraId="11545249"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 xml:space="preserve">At the same time, continuity was selectively adapted rather than passively inherited. The scale of animal cults expanded dramatically in the Ptolemaic period, especially in the </w:t>
      </w:r>
      <w:r w:rsidRPr="00E81518">
        <w:rPr>
          <w:rFonts w:ascii="Calibri" w:hAnsi="Calibri" w:cs="Calibri"/>
          <w:sz w:val="24"/>
          <w:szCs w:val="24"/>
        </w:rPr>
        <w:lastRenderedPageBreak/>
        <w:t>production of votive animal mummies. This expansion reflects both genuine religious devotion and the economic integration of cults into temple economies supported by royal policy.</w:t>
      </w:r>
      <w:r w:rsidRPr="00E81518">
        <w:rPr>
          <w:rStyle w:val="FootnoteReference"/>
          <w:rFonts w:ascii="Calibri" w:hAnsi="Calibri" w:cs="Calibri"/>
          <w:sz w:val="24"/>
          <w:szCs w:val="24"/>
        </w:rPr>
        <w:footnoteReference w:id="128"/>
      </w:r>
      <w:r w:rsidRPr="00E81518">
        <w:rPr>
          <w:rStyle w:val="FootnoteReference"/>
          <w:rFonts w:ascii="Calibri" w:hAnsi="Calibri" w:cs="Calibri"/>
          <w:sz w:val="24"/>
          <w:szCs w:val="24"/>
        </w:rPr>
        <w:footnoteReference w:id="129"/>
      </w:r>
      <w:r w:rsidRPr="00E81518">
        <w:rPr>
          <w:rFonts w:ascii="Calibri" w:hAnsi="Calibri" w:cs="Calibri"/>
          <w:sz w:val="24"/>
          <w:szCs w:val="24"/>
        </w:rPr>
        <w:t xml:space="preserve"> While this intensification may have altered the lived experience of these cults, it did not undermine their perceived authenticity; instead, it reinforced their visibility and accessibility within Egyptian society.</w:t>
      </w:r>
    </w:p>
    <w:p w14:paraId="6AE57E8D"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The Ptolemies’ approach to animal cults thus functioned as a strategy of cultural legitimacy. By aligning themselves with ancient religious traditions deeply embedded in Egyptian identity, they framed their rule as the continuation of divine kingship rather than a rupture caused by conquest</w:t>
      </w:r>
      <w:r w:rsidRPr="00E81518">
        <w:rPr>
          <w:rStyle w:val="FootnoteReference"/>
          <w:rFonts w:ascii="Calibri" w:hAnsi="Calibri" w:cs="Calibri"/>
          <w:sz w:val="24"/>
          <w:szCs w:val="24"/>
        </w:rPr>
        <w:footnoteReference w:id="130"/>
      </w:r>
      <w:r w:rsidRPr="00E81518">
        <w:rPr>
          <w:rFonts w:ascii="Calibri" w:hAnsi="Calibri" w:cs="Calibri"/>
          <w:sz w:val="24"/>
          <w:szCs w:val="24"/>
        </w:rPr>
        <w:t xml:space="preserve">. In doing so, they upheld </w:t>
      </w:r>
      <w:r w:rsidRPr="00E81518">
        <w:rPr>
          <w:rFonts w:ascii="Calibri" w:hAnsi="Calibri" w:cs="Calibri"/>
          <w:i/>
          <w:iCs/>
          <w:sz w:val="24"/>
          <w:szCs w:val="24"/>
        </w:rPr>
        <w:t>ma’at</w:t>
      </w:r>
      <w:r w:rsidRPr="00E81518">
        <w:rPr>
          <w:rFonts w:ascii="Calibri" w:hAnsi="Calibri" w:cs="Calibri"/>
          <w:sz w:val="24"/>
          <w:szCs w:val="24"/>
        </w:rPr>
        <w:t>, presented their authority as divinely sanctioned, and appealed to the religious sensibilities of the Egyptian populace. Animal cults, far from being peripheral or archaic survivals, became a central medium throughfare which the Ptolemies negotiated power, identity, and belonging in a multicultural kingdom.</w:t>
      </w:r>
      <w:r w:rsidRPr="00E81518">
        <w:rPr>
          <w:rStyle w:val="FootnoteReference"/>
          <w:rFonts w:ascii="Calibri" w:hAnsi="Calibri" w:cs="Calibri"/>
          <w:sz w:val="24"/>
          <w:szCs w:val="24"/>
        </w:rPr>
        <w:footnoteReference w:id="131"/>
      </w:r>
    </w:p>
    <w:p w14:paraId="0134E4BB"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While the Ptolemies preserved core elements of Egyptian animal worship, they also engaged in deliberate religious innovation, crafting a new pantheon and reinterpreting traditional practices through Hellenistic theological and aesthetic frameworks. The most emblematic example of this syncretism is the creation of the god Serapis: a composite deity blending elements of the Egyptian Osiris-Apis with Zeus, Hades, and Asclepius, the Greek counterpart. Crucially, although Serapis had a theological connection to the sacred Apis bull, his iconography was fully anthropomorphic, representing him as a bearded, Hellenic-style god rather than an animal.</w:t>
      </w:r>
      <w:r w:rsidRPr="00E81518">
        <w:rPr>
          <w:rStyle w:val="FootnoteReference"/>
          <w:rFonts w:ascii="Calibri" w:hAnsi="Calibri" w:cs="Calibri"/>
          <w:sz w:val="24"/>
          <w:szCs w:val="24"/>
        </w:rPr>
        <w:footnoteReference w:id="132"/>
      </w:r>
      <w:r w:rsidRPr="00E81518">
        <w:rPr>
          <w:rStyle w:val="FootnoteReference"/>
          <w:rFonts w:ascii="Calibri" w:hAnsi="Calibri" w:cs="Calibri"/>
          <w:sz w:val="24"/>
          <w:szCs w:val="24"/>
        </w:rPr>
        <w:footnoteReference w:id="133"/>
      </w:r>
      <w:r w:rsidRPr="00E81518">
        <w:rPr>
          <w:rFonts w:ascii="Calibri" w:hAnsi="Calibri" w:cs="Calibri"/>
          <w:sz w:val="24"/>
          <w:szCs w:val="24"/>
        </w:rPr>
        <w:t xml:space="preserve"> This abstraction from animal form reflects an intentional shift to accommodate Greek religious sensibilities, which often viewed animal-headed gods and animal worship as alien or even absurd.</w:t>
      </w:r>
    </w:p>
    <w:p w14:paraId="65379700"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Other deities underwent similar Greek-style transformations: Thoth was equated with Hermes, Horus with Apollo, and Isis with Demeter thus creating an associative bridge between Greek and Egyptian religious worldviews.</w:t>
      </w:r>
      <w:r w:rsidRPr="00E81518">
        <w:rPr>
          <w:rStyle w:val="FootnoteReference"/>
          <w:rFonts w:ascii="Calibri" w:hAnsi="Calibri" w:cs="Calibri"/>
          <w:sz w:val="24"/>
          <w:szCs w:val="24"/>
        </w:rPr>
        <w:footnoteReference w:id="134"/>
      </w:r>
      <w:r w:rsidRPr="00E81518">
        <w:rPr>
          <w:rFonts w:ascii="Calibri" w:hAnsi="Calibri" w:cs="Calibri"/>
          <w:sz w:val="24"/>
          <w:szCs w:val="24"/>
        </w:rPr>
        <w:t xml:space="preserve"> Importantly, many of these hybrid </w:t>
      </w:r>
      <w:r w:rsidRPr="00E81518">
        <w:rPr>
          <w:rFonts w:ascii="Calibri" w:hAnsi="Calibri" w:cs="Calibri"/>
          <w:sz w:val="24"/>
          <w:szCs w:val="24"/>
        </w:rPr>
        <w:lastRenderedPageBreak/>
        <w:t>cults retained symbolic links to animal worship with an example of Thoth’s Ibis, but reframed them within broader cosmological systems acceptable to both Greeks and Egyptians. Thus, the Ptolemies did not erase animal cults, but elevated, modified, or hybridised them, using animal worship as a foundation upon which to build a more cosmopolitan and inclusive religious framework.</w:t>
      </w:r>
      <w:r w:rsidRPr="00E81518">
        <w:rPr>
          <w:rStyle w:val="FootnoteReference"/>
          <w:rFonts w:ascii="Calibri" w:hAnsi="Calibri" w:cs="Calibri"/>
          <w:sz w:val="24"/>
          <w:szCs w:val="24"/>
        </w:rPr>
        <w:footnoteReference w:id="135"/>
      </w:r>
    </w:p>
    <w:p w14:paraId="20A8B644"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A key transformation of the Ptolemaic period was the commercialisation of animal mummification, particularly through the mass production of votive mummies. While sacred animals like the Apis bull received individual burial with great ceremony, the vast majority of animal mummies from the Ptolemaic period especially cats, ibises, falcons, dogs, and crocodiles, were produced as votive offerings for lay worshippers.</w:t>
      </w:r>
      <w:r w:rsidRPr="00E81518">
        <w:rPr>
          <w:rStyle w:val="FootnoteReference"/>
          <w:rFonts w:ascii="Calibri" w:hAnsi="Calibri" w:cs="Calibri"/>
          <w:sz w:val="24"/>
          <w:szCs w:val="24"/>
        </w:rPr>
        <w:footnoteReference w:id="136"/>
      </w:r>
      <w:r w:rsidRPr="00E81518">
        <w:rPr>
          <w:rFonts w:ascii="Calibri" w:hAnsi="Calibri" w:cs="Calibri"/>
          <w:sz w:val="24"/>
          <w:szCs w:val="24"/>
        </w:rPr>
        <w:t xml:space="preserve"> Temples became industrial centres, complete with breeding farms, embalming workshops, and tomb galleries. These institutions monetised piety, pilgrims could purchase mummified animals to offer to a deity, hoping for divine intercession in matters of health, fertility, or justice. This system provided a steady income stream for temples, particularly as Hellenistic economic structures matured and monetisation increased.</w:t>
      </w:r>
      <w:r w:rsidRPr="00E81518">
        <w:rPr>
          <w:rStyle w:val="FootnoteReference"/>
          <w:rFonts w:ascii="Calibri" w:hAnsi="Calibri" w:cs="Calibri"/>
          <w:sz w:val="24"/>
          <w:szCs w:val="24"/>
        </w:rPr>
        <w:footnoteReference w:id="137"/>
      </w:r>
    </w:p>
    <w:p w14:paraId="036516CA"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However, the system also led to corruption and decline in ritual quality. X-rays and CT scans of animal mummies from sites like Tuna el-Gebel and Saqqara reveal that many contained partial remains or no remains at all, replaced with mud, straw, or bones.</w:t>
      </w:r>
      <w:r w:rsidRPr="00E81518">
        <w:rPr>
          <w:rStyle w:val="FootnoteReference"/>
          <w:rFonts w:ascii="Calibri" w:hAnsi="Calibri" w:cs="Calibri"/>
          <w:sz w:val="24"/>
          <w:szCs w:val="24"/>
        </w:rPr>
        <w:footnoteReference w:id="138"/>
      </w:r>
      <w:r w:rsidRPr="00E81518">
        <w:rPr>
          <w:rFonts w:ascii="Calibri" w:hAnsi="Calibri" w:cs="Calibri"/>
          <w:sz w:val="24"/>
          <w:szCs w:val="24"/>
        </w:rPr>
        <w:t xml:space="preserve"> This commodification transformed animal mummification from a sacred act into a transactional ritual, reflecting the dual influence of religious devotion and economic opportunism under Ptolemaic administration.</w:t>
      </w:r>
      <w:r w:rsidRPr="00E81518">
        <w:rPr>
          <w:rStyle w:val="FootnoteReference"/>
          <w:rFonts w:ascii="Calibri" w:hAnsi="Calibri" w:cs="Calibri"/>
          <w:sz w:val="24"/>
          <w:szCs w:val="24"/>
        </w:rPr>
        <w:footnoteReference w:id="139"/>
      </w:r>
      <w:r w:rsidRPr="00E81518">
        <w:rPr>
          <w:rFonts w:ascii="Calibri" w:hAnsi="Calibri" w:cs="Calibri"/>
          <w:sz w:val="24"/>
          <w:szCs w:val="24"/>
        </w:rPr>
        <w:t xml:space="preserve"> From a political perspective, however, this transformation worked in the Ptolemies' favour. By allowing and facilitating mass participation in animal cults, the dynasty expanded access to religious life, integrating both native Egyptians and Hellenistic settlers into a shared ritual economy, even if their interpretations of the rituals diverged.</w:t>
      </w:r>
      <w:r w:rsidRPr="00E81518">
        <w:rPr>
          <w:rStyle w:val="FootnoteReference"/>
          <w:rFonts w:ascii="Calibri" w:hAnsi="Calibri" w:cs="Calibri"/>
          <w:sz w:val="24"/>
          <w:szCs w:val="24"/>
        </w:rPr>
        <w:footnoteReference w:id="140"/>
      </w:r>
    </w:p>
    <w:p w14:paraId="5827ECD1"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 xml:space="preserve">The religious environment created by the Ptolemies was one of cultural hybridity, where animal worship operated as both a marker of Egyptian continuity and a site of cultural </w:t>
      </w:r>
      <w:r w:rsidRPr="00E81518">
        <w:rPr>
          <w:rFonts w:ascii="Calibri" w:hAnsi="Calibri" w:cs="Calibri"/>
          <w:sz w:val="24"/>
          <w:szCs w:val="24"/>
        </w:rPr>
        <w:lastRenderedPageBreak/>
        <w:t>negotiation. Greek settlers, particularly in Alexandria and other urban centres, were often sceptical of animal cults, yet they increasingly participated in or adapted them.</w:t>
      </w:r>
      <w:r w:rsidRPr="00E81518">
        <w:rPr>
          <w:rStyle w:val="FootnoteReference"/>
          <w:rFonts w:ascii="Calibri" w:hAnsi="Calibri" w:cs="Calibri"/>
          <w:sz w:val="24"/>
          <w:szCs w:val="24"/>
        </w:rPr>
        <w:footnoteReference w:id="141"/>
      </w:r>
    </w:p>
    <w:p w14:paraId="0EB4F8ED"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Temples in Greco-Egyptian cities began to reflect dual iconographies, combining Greek architecture with Egyptian symbolism, and rituals often incorporated both Greek ceremonial forms and Egyptian religious content. For example, the crocodile cult at Crocodilopolis, known colloquially as Faiyum, drew participation from both Egyptians and Greeks, with Ptolemaic kings promoting Sobek as a protector of kingship, which was a symbol with resonances in both traditions.</w:t>
      </w:r>
      <w:r w:rsidRPr="00E81518">
        <w:rPr>
          <w:rStyle w:val="FootnoteReference"/>
          <w:rFonts w:ascii="Calibri" w:hAnsi="Calibri" w:cs="Calibri"/>
          <w:sz w:val="24"/>
          <w:szCs w:val="24"/>
        </w:rPr>
        <w:footnoteReference w:id="142"/>
      </w:r>
      <w:r w:rsidRPr="00E81518">
        <w:rPr>
          <w:rFonts w:ascii="Calibri" w:hAnsi="Calibri" w:cs="Calibri"/>
          <w:sz w:val="24"/>
          <w:szCs w:val="24"/>
        </w:rPr>
        <w:t xml:space="preserve"> Furthermore, certain animal cults were leveraged for regional unification. The cult of Isis, closely associated with the cow and bird imagery, was promoted across the Mediterranean, becoming a universal goddess within the Hellenistic world.</w:t>
      </w:r>
      <w:r w:rsidRPr="00E81518">
        <w:rPr>
          <w:rStyle w:val="FootnoteReference"/>
          <w:rFonts w:ascii="Calibri" w:hAnsi="Calibri" w:cs="Calibri"/>
          <w:sz w:val="24"/>
          <w:szCs w:val="24"/>
        </w:rPr>
        <w:footnoteReference w:id="143"/>
      </w:r>
      <w:r w:rsidRPr="00E81518">
        <w:rPr>
          <w:rFonts w:ascii="Calibri" w:hAnsi="Calibri" w:cs="Calibri"/>
          <w:sz w:val="24"/>
          <w:szCs w:val="24"/>
        </w:rPr>
        <w:t xml:space="preserve"> The Ptolemies sponsored temples to Isis as far afield as Delos and Athens, effectively exporting a sanitised and Hellenised version of Egyptian animal-linked theology. In this way, the Ptolemies used animal cults as soft power tools, reshaping perceptions of Egypt not as a strange and ancient land, but as a source of mystical wisdom and divine legitimacy within the wider Hellenistic world.</w:t>
      </w:r>
      <w:r w:rsidRPr="00E81518">
        <w:rPr>
          <w:rStyle w:val="FootnoteReference"/>
          <w:rFonts w:ascii="Calibri" w:hAnsi="Calibri" w:cs="Calibri"/>
          <w:sz w:val="24"/>
          <w:szCs w:val="24"/>
        </w:rPr>
        <w:footnoteReference w:id="144"/>
      </w:r>
    </w:p>
    <w:p w14:paraId="4FBE5E42" w14:textId="00730B0A"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By institutionalising and regulating animal cults, the Ptolemies also gained control over Egypt’s powerful temple networks and priesthoods. These institutions, which had held significant autonomy under previous dynasties, were brought into closer relationship with the state through royal patronage and fiscal oversight.</w:t>
      </w:r>
      <w:r w:rsidRPr="00E81518">
        <w:rPr>
          <w:rStyle w:val="FootnoteReference"/>
          <w:rFonts w:ascii="Calibri" w:hAnsi="Calibri" w:cs="Calibri"/>
          <w:sz w:val="24"/>
          <w:szCs w:val="24"/>
        </w:rPr>
        <w:footnoteReference w:id="145"/>
      </w:r>
      <w:r w:rsidRPr="00E81518">
        <w:rPr>
          <w:rStyle w:val="FootnoteReference"/>
          <w:rFonts w:ascii="Calibri" w:hAnsi="Calibri" w:cs="Calibri"/>
          <w:sz w:val="24"/>
          <w:szCs w:val="24"/>
        </w:rPr>
        <w:footnoteReference w:id="146"/>
      </w:r>
      <w:r w:rsidRPr="00E81518">
        <w:rPr>
          <w:rFonts w:ascii="Calibri" w:hAnsi="Calibri" w:cs="Calibri"/>
          <w:sz w:val="24"/>
          <w:szCs w:val="24"/>
        </w:rPr>
        <w:t xml:space="preserve"> Temples that cooperated with the regime were rewarded with land, funding, and political protection; those that resisted could be undermined through state-sanctioned reforms. Animal cults, as key centres of ritual activity, became linchpins in the system of religious centralisation.</w:t>
      </w:r>
      <w:r w:rsidRPr="00E81518">
        <w:rPr>
          <w:rStyle w:val="FootnoteReference"/>
          <w:rFonts w:ascii="Calibri" w:hAnsi="Calibri" w:cs="Calibri"/>
          <w:sz w:val="24"/>
          <w:szCs w:val="24"/>
        </w:rPr>
        <w:footnoteReference w:id="147"/>
      </w:r>
      <w:r w:rsidRPr="00E81518">
        <w:rPr>
          <w:rFonts w:ascii="Calibri" w:hAnsi="Calibri" w:cs="Calibri"/>
          <w:sz w:val="24"/>
          <w:szCs w:val="24"/>
        </w:rPr>
        <w:t xml:space="preserve"> This control also allowed the Ptolemies to use religious festivals, funerals of sacred animals, and the opening of animal necropolis as performative expressions of royal power, cleverly reinforcing their status not only as secular rulers but as living gods in the Egyptian tradition. The funerals of </w:t>
      </w:r>
      <w:r w:rsidRPr="00E81518">
        <w:rPr>
          <w:rFonts w:ascii="Calibri" w:hAnsi="Calibri" w:cs="Calibri"/>
          <w:sz w:val="24"/>
          <w:szCs w:val="24"/>
        </w:rPr>
        <w:lastRenderedPageBreak/>
        <w:t>Apis bulls, for example, became royal spectacles where pharaonic imagery and Hellenistic theatre coexisted.</w:t>
      </w:r>
      <w:r w:rsidRPr="00E81518">
        <w:rPr>
          <w:rStyle w:val="FootnoteReference"/>
          <w:rFonts w:ascii="Calibri" w:hAnsi="Calibri" w:cs="Calibri"/>
          <w:sz w:val="24"/>
          <w:szCs w:val="24"/>
        </w:rPr>
        <w:footnoteReference w:id="148"/>
      </w:r>
    </w:p>
    <w:p w14:paraId="5532F2BA"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The Ptolemaic dynasty’s engagement with Egyptian animal worship and mummification was therefore neither a superficial accommodation nor a simple continuation of pharaonic tradition, but a calculated program of religious transformation.</w:t>
      </w:r>
      <w:r w:rsidRPr="00E81518">
        <w:rPr>
          <w:rStyle w:val="FootnoteReference"/>
          <w:rFonts w:ascii="Calibri" w:hAnsi="Calibri" w:cs="Calibri"/>
          <w:sz w:val="24"/>
          <w:szCs w:val="24"/>
        </w:rPr>
        <w:footnoteReference w:id="149"/>
      </w:r>
      <w:r w:rsidRPr="00E81518">
        <w:rPr>
          <w:rFonts w:ascii="Calibri" w:hAnsi="Calibri" w:cs="Calibri"/>
          <w:sz w:val="24"/>
          <w:szCs w:val="24"/>
        </w:rPr>
        <w:t xml:space="preserve"> By intervening in long-standing cultic practices, the Ptolemies demonstrated a keen awareness of the political capital embedded in Egyptian sacred traditions and an ability to reshape them to serve the needs of a Hellenistic monarchy ruling a culturally diverse population. Their patronage of established animal cults such as those of Apis, Buchis, and the ibis of Thoth, signalled continuity with Egypt’s sacred past, while their active management and expansion of animal necropoleis revealed a new, more centralised and economically driven approach to religious life.</w:t>
      </w:r>
      <w:r w:rsidRPr="00E81518">
        <w:rPr>
          <w:rStyle w:val="FootnoteReference"/>
          <w:rFonts w:ascii="Calibri" w:hAnsi="Calibri" w:cs="Calibri"/>
          <w:sz w:val="24"/>
          <w:szCs w:val="24"/>
        </w:rPr>
        <w:footnoteReference w:id="150"/>
      </w:r>
      <w:r w:rsidRPr="00E81518">
        <w:rPr>
          <w:rFonts w:ascii="Calibri" w:hAnsi="Calibri" w:cs="Calibri"/>
          <w:sz w:val="24"/>
          <w:szCs w:val="24"/>
        </w:rPr>
        <w:t xml:space="preserve"> In this sense, animal mummification became not only a ritual act, but also an administrative and commercial enterprise, reflecting the broader Ptolemaic tendency to bureaucratise and monetise the existing religious institutions.</w:t>
      </w:r>
      <w:r w:rsidRPr="00E81518">
        <w:rPr>
          <w:rStyle w:val="FootnoteReference"/>
          <w:rFonts w:ascii="Calibri" w:hAnsi="Calibri" w:cs="Calibri"/>
          <w:sz w:val="24"/>
          <w:szCs w:val="24"/>
        </w:rPr>
        <w:footnoteReference w:id="151"/>
      </w:r>
    </w:p>
    <w:p w14:paraId="1E96A0DD"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At the same time, the dynasty’s promotion of syncretic deities such as Serapis illustrates how animal symbolism was redeployed to bridge Greek and Egyptian religious frameworks. By selectively incorporating Egyptian iconography, mythic associations, and ritual practices into forms legible to Greek audiences, the Ptolemies crafted a shared religious language that transcended ethnic boundaries without erasing difference.</w:t>
      </w:r>
      <w:r w:rsidRPr="00E81518">
        <w:rPr>
          <w:rStyle w:val="FootnoteReference"/>
          <w:rFonts w:ascii="Calibri" w:hAnsi="Calibri" w:cs="Calibri"/>
          <w:sz w:val="24"/>
          <w:szCs w:val="24"/>
        </w:rPr>
        <w:footnoteReference w:id="152"/>
      </w:r>
      <w:r w:rsidRPr="00E81518">
        <w:rPr>
          <w:rFonts w:ascii="Calibri" w:hAnsi="Calibri" w:cs="Calibri"/>
          <w:sz w:val="24"/>
          <w:szCs w:val="24"/>
        </w:rPr>
        <w:t xml:space="preserve"> Animal cults, deeply rooted in local identities yet capable of reinterpretation, proved especially effective in this process. They allowed the Ptolemies to present themselves simultaneously as legitimate successors to the pharaohs and as Hellenistic kings participating in a cosmopolitan religious world.</w:t>
      </w:r>
      <w:r w:rsidRPr="00E81518">
        <w:rPr>
          <w:rStyle w:val="FootnoteReference"/>
          <w:rFonts w:ascii="Calibri" w:hAnsi="Calibri" w:cs="Calibri"/>
          <w:sz w:val="24"/>
          <w:szCs w:val="24"/>
        </w:rPr>
        <w:footnoteReference w:id="153"/>
      </w:r>
    </w:p>
    <w:p w14:paraId="13A60937"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 xml:space="preserve">The mass production and widespread distribution of votive animal mummies further underscore the transformation of Egyptian religion under Ptolemaic rule. These objects facilitated popular participation in cultic life on an unprecedented scale, enabling individuals across social sphere to engage with the divine through standardised, affordable offerings. </w:t>
      </w:r>
      <w:r w:rsidRPr="00E81518">
        <w:rPr>
          <w:rFonts w:ascii="Calibri" w:hAnsi="Calibri" w:cs="Calibri"/>
          <w:sz w:val="24"/>
          <w:szCs w:val="24"/>
        </w:rPr>
        <w:lastRenderedPageBreak/>
        <w:t>Yet this accessibility also reflects a shift in religious experience, in which traditional notions of divine embodiment and animal sanctity were adapted to new economic realities and devotional practices. In commodifying animal mummification, the Ptolemies did not make these cults out to have lesser sacrality but rather reconfigured them to function within an imperial system that linked piety, profit, and political authority.</w:t>
      </w:r>
      <w:r w:rsidRPr="00E81518">
        <w:rPr>
          <w:rStyle w:val="FootnoteReference"/>
          <w:rFonts w:ascii="Calibri" w:hAnsi="Calibri" w:cs="Calibri"/>
          <w:sz w:val="24"/>
          <w:szCs w:val="24"/>
        </w:rPr>
        <w:footnoteReference w:id="154"/>
      </w:r>
    </w:p>
    <w:p w14:paraId="63BC4F08" w14:textId="77777777" w:rsidR="00561299" w:rsidRPr="00E81518" w:rsidRDefault="00561299" w:rsidP="00E81518">
      <w:pPr>
        <w:spacing w:line="360" w:lineRule="auto"/>
        <w:rPr>
          <w:rFonts w:ascii="Calibri" w:hAnsi="Calibri" w:cs="Calibri"/>
          <w:sz w:val="24"/>
          <w:szCs w:val="24"/>
        </w:rPr>
      </w:pPr>
      <w:r w:rsidRPr="00E81518">
        <w:rPr>
          <w:rFonts w:ascii="Calibri" w:hAnsi="Calibri" w:cs="Calibri"/>
          <w:sz w:val="24"/>
          <w:szCs w:val="24"/>
        </w:rPr>
        <w:t>Finally, the export of Hellenised Egyptian cults throughout the Mediterranean situates Ptolemaic religious policy within the wider dynamics of the Hellenistic world. Animal symbolism, reframed through syncretic theology and Greek aesthetic norms, became a vehicle through which Egypt was imagined and consumed abroad.</w:t>
      </w:r>
      <w:r w:rsidRPr="00E81518">
        <w:rPr>
          <w:rStyle w:val="FootnoteReference"/>
          <w:rFonts w:ascii="Calibri" w:hAnsi="Calibri" w:cs="Calibri"/>
          <w:sz w:val="24"/>
          <w:szCs w:val="24"/>
        </w:rPr>
        <w:footnoteReference w:id="155"/>
      </w:r>
      <w:r w:rsidRPr="00E81518">
        <w:rPr>
          <w:rFonts w:ascii="Calibri" w:hAnsi="Calibri" w:cs="Calibri"/>
          <w:sz w:val="24"/>
          <w:szCs w:val="24"/>
        </w:rPr>
        <w:t xml:space="preserve"> Temples to Isis and Serapis, populated by ritual traditions rooted in Egyptian animal cults, allowed the Ptolemaic kingdom to project cultural influence far beyond the Nile Valley.</w:t>
      </w:r>
      <w:r w:rsidRPr="00E81518">
        <w:rPr>
          <w:rStyle w:val="FootnoteReference"/>
          <w:rFonts w:ascii="Calibri" w:hAnsi="Calibri" w:cs="Calibri"/>
          <w:sz w:val="24"/>
          <w:szCs w:val="24"/>
        </w:rPr>
        <w:footnoteReference w:id="156"/>
      </w:r>
      <w:r w:rsidRPr="00E81518">
        <w:rPr>
          <w:rFonts w:ascii="Calibri" w:hAnsi="Calibri" w:cs="Calibri"/>
          <w:sz w:val="24"/>
          <w:szCs w:val="24"/>
        </w:rPr>
        <w:t xml:space="preserve"> In this way, animal worship functioned not only as an internal strategy of governance, but also as a form of soft power within the Hellenistic world.</w:t>
      </w:r>
      <w:r w:rsidRPr="00E81518">
        <w:rPr>
          <w:rStyle w:val="FootnoteReference"/>
          <w:rFonts w:ascii="Calibri" w:hAnsi="Calibri" w:cs="Calibri"/>
          <w:sz w:val="24"/>
          <w:szCs w:val="24"/>
        </w:rPr>
        <w:footnoteReference w:id="157"/>
      </w:r>
      <w:r w:rsidRPr="00E81518">
        <w:rPr>
          <w:rFonts w:ascii="Calibri" w:hAnsi="Calibri" w:cs="Calibri"/>
          <w:sz w:val="24"/>
          <w:szCs w:val="24"/>
        </w:rPr>
        <w:t xml:space="preserve"> Taken together, these developments reveal that the Ptolemaic use of animal worship and mummification was a dynamic and intentional process, one that exploited the flexibility of Egyptian religious traditions while reshaping them to meet imperial needs.</w:t>
      </w:r>
      <w:r w:rsidRPr="00E81518">
        <w:rPr>
          <w:rStyle w:val="FootnoteReference"/>
          <w:rFonts w:ascii="Calibri" w:hAnsi="Calibri" w:cs="Calibri"/>
          <w:sz w:val="24"/>
          <w:szCs w:val="24"/>
        </w:rPr>
        <w:footnoteReference w:id="158"/>
      </w:r>
      <w:r w:rsidRPr="00E81518">
        <w:rPr>
          <w:rFonts w:ascii="Calibri" w:hAnsi="Calibri" w:cs="Calibri"/>
          <w:sz w:val="24"/>
          <w:szCs w:val="24"/>
        </w:rPr>
        <w:t xml:space="preserve"> The success of this strategy attests both to the resilience of Egyptian religious thought and to the political ingenuity of the Ptolemies, who transformed sacred animals from localised cult objects into instruments of ideological cohesion, economic integration, and imperial self-representation. Through these practices, Egypt was neither wholly Hellenised nor left untouched but reimagined as a hybrid religious landscape in which animal cults stood at the centre of Ptolemaic power. This is ultimately what led to the Ptolemies to succeed in their attempt to subtly ingratiate themselves into the Egyptian cultural sphere.</w:t>
      </w:r>
    </w:p>
    <w:p w14:paraId="7436084F" w14:textId="77777777" w:rsidR="00561299" w:rsidRPr="00E81518" w:rsidRDefault="00561299" w:rsidP="00E81518">
      <w:pPr>
        <w:spacing w:line="360" w:lineRule="auto"/>
        <w:rPr>
          <w:rFonts w:ascii="Calibri" w:hAnsi="Calibri" w:cs="Calibri"/>
          <w:sz w:val="24"/>
          <w:szCs w:val="24"/>
        </w:rPr>
      </w:pPr>
    </w:p>
    <w:p w14:paraId="7FAD7AD5" w14:textId="77777777" w:rsidR="00E81518" w:rsidRDefault="00E81518" w:rsidP="00E81518">
      <w:pPr>
        <w:spacing w:line="360" w:lineRule="auto"/>
        <w:rPr>
          <w:rFonts w:ascii="Calibri" w:hAnsi="Calibri" w:cs="Calibri"/>
          <w:sz w:val="24"/>
          <w:szCs w:val="24"/>
        </w:rPr>
      </w:pPr>
    </w:p>
    <w:p w14:paraId="2D6442AF" w14:textId="47757244" w:rsidR="00D76B24" w:rsidRPr="00E81518" w:rsidRDefault="00D76B24" w:rsidP="00E81518">
      <w:pPr>
        <w:spacing w:line="360" w:lineRule="auto"/>
        <w:rPr>
          <w:rFonts w:ascii="Calibri" w:hAnsi="Calibri" w:cs="Calibri"/>
          <w:b/>
          <w:bCs/>
          <w:sz w:val="24"/>
          <w:szCs w:val="24"/>
        </w:rPr>
      </w:pPr>
      <w:r w:rsidRPr="00E81518">
        <w:rPr>
          <w:rFonts w:ascii="Calibri" w:hAnsi="Calibri" w:cs="Calibri"/>
          <w:b/>
          <w:bCs/>
          <w:sz w:val="24"/>
          <w:szCs w:val="24"/>
        </w:rPr>
        <w:lastRenderedPageBreak/>
        <w:t>CHAPTER 4 - Socio-Political Implications of Religious Syncretism</w:t>
      </w:r>
    </w:p>
    <w:p w14:paraId="7A5F0937"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 xml:space="preserve">The Ptolemaic dynasty, emerging from the Macedonian conquest of Egypt under Alexander the Great, ruled over a land steeped in ancient religious traditions. Among the most enduring and distinctly Egyptian practices were the worship and mummification of sacred animals; rituals that, by the Late Period (664–332 BCE), had become deeply institutionalised and symbolic of cosmic order – known as </w:t>
      </w:r>
      <w:r w:rsidRPr="00E81518">
        <w:rPr>
          <w:rFonts w:ascii="Calibri" w:hAnsi="Calibri" w:cs="Calibri"/>
          <w:i/>
          <w:iCs/>
          <w:sz w:val="24"/>
          <w:szCs w:val="24"/>
        </w:rPr>
        <w:t>ma’at</w:t>
      </w:r>
      <w:r w:rsidRPr="00E81518">
        <w:rPr>
          <w:rFonts w:ascii="Calibri" w:hAnsi="Calibri" w:cs="Calibri"/>
          <w:sz w:val="24"/>
          <w:szCs w:val="24"/>
        </w:rPr>
        <w:t>, divine kingship, and social cohesion.</w:t>
      </w:r>
      <w:r w:rsidRPr="00E81518">
        <w:rPr>
          <w:rStyle w:val="FootnoteReference"/>
          <w:rFonts w:ascii="Calibri" w:hAnsi="Calibri" w:cs="Calibri"/>
          <w:sz w:val="24"/>
          <w:szCs w:val="24"/>
        </w:rPr>
        <w:footnoteReference w:id="159"/>
      </w:r>
      <w:r w:rsidRPr="00E81518">
        <w:rPr>
          <w:rFonts w:ascii="Calibri" w:hAnsi="Calibri" w:cs="Calibri"/>
          <w:sz w:val="24"/>
          <w:szCs w:val="24"/>
        </w:rPr>
        <w:t xml:space="preserve"> The Ptolemies, as foreign rulers, inherited this elaborate religious landscape and chose not to dismantle it but to adapt, appropriate, and synthesise it with their own Hellenistic religious ideologies.</w:t>
      </w:r>
      <w:r w:rsidRPr="00E81518">
        <w:rPr>
          <w:rStyle w:val="FootnoteReference"/>
          <w:rFonts w:ascii="Calibri" w:hAnsi="Calibri" w:cs="Calibri"/>
          <w:sz w:val="24"/>
          <w:szCs w:val="24"/>
        </w:rPr>
        <w:footnoteReference w:id="160"/>
      </w:r>
      <w:r w:rsidRPr="00E81518">
        <w:rPr>
          <w:rFonts w:ascii="Calibri" w:hAnsi="Calibri" w:cs="Calibri"/>
          <w:sz w:val="24"/>
          <w:szCs w:val="24"/>
        </w:rPr>
        <w:t xml:space="preserve"> This essay explores the socio-political implications of this syncretism, with a focus on animal worship and animal mummification, tracing how the blending of Egyptian and Greek religious elements served as a tool of imperial legitimisation, social stratification, and cultural negotiation. It argues that the Ptolemaic strategy of religious syncretism, far from being merely theological was a deliberate mechanism of colonial governance, reshaping sacred practices to navigate a multicultural empire and assert control over both native Egyptian and Greek settler populations.</w:t>
      </w:r>
    </w:p>
    <w:p w14:paraId="2AF1746C"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Before the Macedonian conquest, animal worship in Egypt had evolved over millennia, reaching its zenith in the Late Period. Sacred animals such as the Apis bull, represented by Ptah and Osiris, ibis the image of Thoth, the falcon whom embodied Horus, cats who depicted the feline Bastet, and the savage crocodile who mirrored the equally terrifying yet protective Sobek were not merely symbolic; they were seen as living embodiments (ba) of the gods themselves.</w:t>
      </w:r>
      <w:r w:rsidRPr="00E81518">
        <w:rPr>
          <w:rStyle w:val="FootnoteReference"/>
          <w:rFonts w:ascii="Calibri" w:hAnsi="Calibri" w:cs="Calibri"/>
          <w:sz w:val="24"/>
          <w:szCs w:val="24"/>
        </w:rPr>
        <w:footnoteReference w:id="161"/>
      </w:r>
      <w:r w:rsidRPr="00E81518">
        <w:rPr>
          <w:rFonts w:ascii="Calibri" w:hAnsi="Calibri" w:cs="Calibri"/>
          <w:sz w:val="24"/>
          <w:szCs w:val="24"/>
        </w:rPr>
        <w:t xml:space="preserve"> Individual sacred animals were housed, revered, and buried with state rituals, while the mass mummification of animals for votive purposes created a system that allowed even lower-status Egyptians to engage with the divine.</w:t>
      </w:r>
      <w:r w:rsidRPr="00E81518">
        <w:rPr>
          <w:rStyle w:val="FootnoteReference"/>
          <w:rFonts w:ascii="Calibri" w:hAnsi="Calibri" w:cs="Calibri"/>
          <w:sz w:val="24"/>
          <w:szCs w:val="24"/>
        </w:rPr>
        <w:footnoteReference w:id="162"/>
      </w:r>
      <w:r w:rsidRPr="00E81518">
        <w:rPr>
          <w:rFonts w:ascii="Calibri" w:hAnsi="Calibri" w:cs="Calibri"/>
          <w:sz w:val="24"/>
          <w:szCs w:val="24"/>
        </w:rPr>
        <w:t xml:space="preserve"> Importantly, animal worship functioned as both a religious and socio-political institution. Temples that housed sacred animals became economic powerhouses, controlling land, labour, and production.</w:t>
      </w:r>
      <w:r w:rsidRPr="00E81518">
        <w:rPr>
          <w:rStyle w:val="FootnoteReference"/>
          <w:rFonts w:ascii="Calibri" w:hAnsi="Calibri" w:cs="Calibri"/>
          <w:sz w:val="24"/>
          <w:szCs w:val="24"/>
        </w:rPr>
        <w:footnoteReference w:id="163"/>
      </w:r>
      <w:r w:rsidRPr="00E81518">
        <w:rPr>
          <w:rFonts w:ascii="Calibri" w:hAnsi="Calibri" w:cs="Calibri"/>
          <w:sz w:val="24"/>
          <w:szCs w:val="24"/>
        </w:rPr>
        <w:t xml:space="preserve"> Priesthoods gained autonomy, acting as both religious leaders and local administrators, particularly in times of political fragmentation or foreign rule, an example being during the </w:t>
      </w:r>
      <w:r w:rsidRPr="00E81518">
        <w:rPr>
          <w:rFonts w:ascii="Calibri" w:hAnsi="Calibri" w:cs="Calibri"/>
          <w:sz w:val="24"/>
          <w:szCs w:val="24"/>
        </w:rPr>
        <w:lastRenderedPageBreak/>
        <w:t>Persian domination of Egypt.</w:t>
      </w:r>
      <w:r w:rsidRPr="00E81518">
        <w:rPr>
          <w:rStyle w:val="FootnoteReference"/>
          <w:rFonts w:ascii="Calibri" w:hAnsi="Calibri" w:cs="Calibri"/>
          <w:sz w:val="24"/>
          <w:szCs w:val="24"/>
        </w:rPr>
        <w:footnoteReference w:id="164"/>
      </w:r>
      <w:r w:rsidRPr="00E81518">
        <w:rPr>
          <w:rFonts w:ascii="Calibri" w:hAnsi="Calibri" w:cs="Calibri"/>
          <w:sz w:val="24"/>
          <w:szCs w:val="24"/>
        </w:rPr>
        <w:t xml:space="preserve"> Animal cults thus reinforced social hierarchy, with elites sponsoring high-cost sacred mummies, and commoners engaging in low-cost votive practices. In this pre-Ptolemaic context, animal worship served as a powerful unifying force, deeply interwoven with Egyptian identity, sovereignty, and the legitimacy of the pharaoh.</w:t>
      </w:r>
      <w:r w:rsidRPr="00E81518">
        <w:rPr>
          <w:rStyle w:val="FootnoteReference"/>
          <w:rFonts w:ascii="Calibri" w:hAnsi="Calibri" w:cs="Calibri"/>
          <w:sz w:val="24"/>
          <w:szCs w:val="24"/>
        </w:rPr>
        <w:footnoteReference w:id="165"/>
      </w:r>
    </w:p>
    <w:p w14:paraId="0C0C2D60"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When the Ptolemies assumed power, they inherited a religious system that could not be eradicated without risking revolt and loss of legitimacy. Unlike earlier foreign rulers, the Ptolemies took an active and performative role in traditional Egyptian religion.</w:t>
      </w:r>
      <w:r w:rsidRPr="00E81518">
        <w:rPr>
          <w:rStyle w:val="FootnoteReference"/>
          <w:rFonts w:ascii="Calibri" w:hAnsi="Calibri" w:cs="Calibri"/>
          <w:sz w:val="24"/>
          <w:szCs w:val="24"/>
        </w:rPr>
        <w:footnoteReference w:id="166"/>
      </w:r>
      <w:r w:rsidRPr="00E81518">
        <w:rPr>
          <w:rFonts w:ascii="Calibri" w:hAnsi="Calibri" w:cs="Calibri"/>
          <w:sz w:val="24"/>
          <w:szCs w:val="24"/>
        </w:rPr>
        <w:t xml:space="preserve"> They were depicted in temple reliefs making offerings to animal-headed gods; they participated in animal cult rituals, and they subsidised the construction of temples and necropolis, such as those at Kom Ombo, Tuna el-Gebel, and Saqqara.</w:t>
      </w:r>
      <w:r w:rsidRPr="00E81518">
        <w:rPr>
          <w:rStyle w:val="FootnoteReference"/>
          <w:rFonts w:ascii="Calibri" w:hAnsi="Calibri" w:cs="Calibri"/>
          <w:sz w:val="24"/>
          <w:szCs w:val="24"/>
        </w:rPr>
        <w:footnoteReference w:id="167"/>
      </w:r>
      <w:r w:rsidRPr="00E81518">
        <w:rPr>
          <w:rFonts w:ascii="Calibri" w:hAnsi="Calibri" w:cs="Calibri"/>
          <w:sz w:val="24"/>
          <w:szCs w:val="24"/>
        </w:rPr>
        <w:t xml:space="preserve"> Yet this apparent continuity concealed deliberate transformations. By integrating Hellenistic elements into Egyptian religious practices, particularly through syncretism. The Ptolemies recast themselves not simply as Egyptian monarchs but as universal rulers, bridging Egyptian traditions and Greek cosmopolitanism.</w:t>
      </w:r>
      <w:r w:rsidRPr="00E81518">
        <w:rPr>
          <w:rStyle w:val="FootnoteReference"/>
          <w:rFonts w:ascii="Calibri" w:hAnsi="Calibri" w:cs="Calibri"/>
          <w:sz w:val="24"/>
          <w:szCs w:val="24"/>
        </w:rPr>
        <w:footnoteReference w:id="168"/>
      </w:r>
    </w:p>
    <w:p w14:paraId="4A35830E"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The cult of Serapis, introduced by Ptolemy I Soter, is a prime example. While rooted in the Egyptian Apis-Osiris theology, Serapis was anthropomorphic, bearded, and Hellenic in form, appealing to Greek religious aesthetics.</w:t>
      </w:r>
      <w:r w:rsidRPr="00E81518">
        <w:rPr>
          <w:rStyle w:val="FootnoteReference"/>
          <w:rFonts w:ascii="Calibri" w:hAnsi="Calibri" w:cs="Calibri"/>
          <w:sz w:val="24"/>
          <w:szCs w:val="24"/>
        </w:rPr>
        <w:footnoteReference w:id="169"/>
      </w:r>
      <w:r w:rsidRPr="00E81518">
        <w:rPr>
          <w:rFonts w:ascii="Calibri" w:hAnsi="Calibri" w:cs="Calibri"/>
          <w:sz w:val="24"/>
          <w:szCs w:val="24"/>
        </w:rPr>
        <w:t xml:space="preserve"> The animal aspects of the cult were subordinated to a more abstract and philosophical deity, thereby making the practice of Egyptian animal worship more palatable to the Greek elite without alienating the Egyptian majority.</w:t>
      </w:r>
      <w:r w:rsidRPr="00E81518">
        <w:rPr>
          <w:rStyle w:val="FootnoteReference"/>
          <w:rFonts w:ascii="Calibri" w:hAnsi="Calibri" w:cs="Calibri"/>
          <w:sz w:val="24"/>
          <w:szCs w:val="24"/>
        </w:rPr>
        <w:footnoteReference w:id="170"/>
      </w:r>
      <w:r w:rsidRPr="00E81518">
        <w:rPr>
          <w:rFonts w:ascii="Calibri" w:hAnsi="Calibri" w:cs="Calibri"/>
          <w:sz w:val="24"/>
          <w:szCs w:val="24"/>
        </w:rPr>
        <w:t xml:space="preserve"> This strategy of dual accessibility where the same deity or practice could be interpreted differently by Greeks and Egyptians, allowed the Ptolemies to navigate Egypt’s wide society while consolidating their own authority as divine rulers.</w:t>
      </w:r>
    </w:p>
    <w:p w14:paraId="01F19F5C"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 xml:space="preserve">One of the most significant developments under Ptolemaic rule was the intensification and commercialisation of animal mummification. While the practice had existed for centuries, the Ptolemaic period saw its institutional expansion on an unprecedented scale. </w:t>
      </w:r>
      <w:r w:rsidRPr="00E81518">
        <w:rPr>
          <w:rFonts w:ascii="Calibri" w:hAnsi="Calibri" w:cs="Calibri"/>
          <w:sz w:val="24"/>
          <w:szCs w:val="24"/>
        </w:rPr>
        <w:lastRenderedPageBreak/>
        <w:t>Archaeological evidence from sites like Tuna el-Gebel with ibis and baboon mummies in the thousands and Bubastis, where cat mummies overrun the site indicate to the mass production of votive mummies, with millions of animals bred, killed, embalmed, and sold to pilgrims.</w:t>
      </w:r>
      <w:r w:rsidRPr="00E81518">
        <w:rPr>
          <w:rStyle w:val="FootnoteReference"/>
          <w:rFonts w:ascii="Calibri" w:hAnsi="Calibri" w:cs="Calibri"/>
          <w:sz w:val="24"/>
          <w:szCs w:val="24"/>
        </w:rPr>
        <w:footnoteReference w:id="171"/>
      </w:r>
      <w:r w:rsidRPr="00E81518">
        <w:rPr>
          <w:rFonts w:ascii="Calibri" w:hAnsi="Calibri" w:cs="Calibri"/>
          <w:sz w:val="24"/>
          <w:szCs w:val="24"/>
        </w:rPr>
        <w:t xml:space="preserve"> This development had far-reaching socio-political implications. First, it allowed the temples under Ptolemaic oversight to generate income through religious offerings, creating an economic system rooted in ritualised commerce. Secondly, it broadened participation in religious life, enabling poorer Egyptians to engage with state-sanctioned religious practices.</w:t>
      </w:r>
      <w:r w:rsidRPr="00E81518">
        <w:rPr>
          <w:rStyle w:val="FootnoteReference"/>
          <w:rFonts w:ascii="Calibri" w:hAnsi="Calibri" w:cs="Calibri"/>
          <w:sz w:val="24"/>
          <w:szCs w:val="24"/>
        </w:rPr>
        <w:footnoteReference w:id="172"/>
      </w:r>
    </w:p>
    <w:p w14:paraId="2D7B35C9"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However, this also resulted in a devaluation of religious authenticity. Many animal mummies from this period were fraudulent, containing incomplete remains or even inanimate fillers, indicating corruption and over-commercialisation. While this suggests a decline in theological rigor, it also reflects the temples’ transformation into economic engines within the Ptolemaic state's larger fiscal system.</w:t>
      </w:r>
      <w:r w:rsidRPr="00E81518">
        <w:rPr>
          <w:rStyle w:val="FootnoteReference"/>
          <w:rFonts w:ascii="Calibri" w:hAnsi="Calibri" w:cs="Calibri"/>
          <w:sz w:val="24"/>
          <w:szCs w:val="24"/>
        </w:rPr>
        <w:footnoteReference w:id="173"/>
      </w:r>
      <w:r w:rsidRPr="00E81518">
        <w:rPr>
          <w:rStyle w:val="FootnoteReference"/>
          <w:rFonts w:ascii="Calibri" w:hAnsi="Calibri" w:cs="Calibri"/>
          <w:sz w:val="24"/>
          <w:szCs w:val="24"/>
        </w:rPr>
        <w:footnoteReference w:id="174"/>
      </w:r>
      <w:r w:rsidRPr="00E81518">
        <w:rPr>
          <w:rFonts w:ascii="Calibri" w:hAnsi="Calibri" w:cs="Calibri"/>
          <w:sz w:val="24"/>
          <w:szCs w:val="24"/>
        </w:rPr>
        <w:t xml:space="preserve"> In socio-political terms, animal mummification under the Ptolemies became a mechanism of control and integration. It tied ordinary Egyptians into a ritual economy governed by the priesthoods who were now increasingly under royal supervision. This happened all while also allowing the ruling elite to reshape the meanings of sacred practices through new interpretations and administrative structures.</w:t>
      </w:r>
      <w:r w:rsidRPr="00E81518">
        <w:rPr>
          <w:rStyle w:val="FootnoteReference"/>
          <w:rFonts w:ascii="Calibri" w:hAnsi="Calibri" w:cs="Calibri"/>
          <w:sz w:val="24"/>
          <w:szCs w:val="24"/>
        </w:rPr>
        <w:footnoteReference w:id="175"/>
      </w:r>
    </w:p>
    <w:p w14:paraId="6ACB1DB0"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Religious syncretism in Hellenistic and Roman Egypt did not produce a genuinely integrated religious culture but instead institutionalised cultural and theological pluralism within a strategic society. Rather than dissolving ethnic and religious boundaries, syncretism frequently reinforced them, allowing Egyptian and Greek populations to participate in shared cultic spaces while maintaining fundamentally distinct understandings of divine presence, ritual efficacy, and religious meaning.</w:t>
      </w:r>
      <w:r w:rsidRPr="00E81518">
        <w:rPr>
          <w:rStyle w:val="FootnoteReference"/>
          <w:rFonts w:ascii="Calibri" w:hAnsi="Calibri" w:cs="Calibri"/>
          <w:sz w:val="24"/>
          <w:szCs w:val="24"/>
        </w:rPr>
        <w:footnoteReference w:id="176"/>
      </w:r>
      <w:r w:rsidRPr="00E81518">
        <w:rPr>
          <w:rFonts w:ascii="Calibri" w:hAnsi="Calibri" w:cs="Calibri"/>
          <w:sz w:val="24"/>
          <w:szCs w:val="24"/>
        </w:rPr>
        <w:t xml:space="preserve"> Egyptian animal worship was rooted in a cosmology that understood the divine as immanent within the natural world. It proved </w:t>
      </w:r>
      <w:r w:rsidRPr="00E81518">
        <w:rPr>
          <w:rFonts w:ascii="Calibri" w:hAnsi="Calibri" w:cs="Calibri"/>
          <w:sz w:val="24"/>
          <w:szCs w:val="24"/>
        </w:rPr>
        <w:lastRenderedPageBreak/>
        <w:t>especially resistant to full conceptual integration into Greek religious thought, despite centuries of political and cultural contact.</w:t>
      </w:r>
      <w:r w:rsidRPr="00E81518">
        <w:rPr>
          <w:rStyle w:val="FootnoteReference"/>
          <w:rFonts w:ascii="Calibri" w:hAnsi="Calibri" w:cs="Calibri"/>
          <w:sz w:val="24"/>
          <w:szCs w:val="24"/>
        </w:rPr>
        <w:footnoteReference w:id="177"/>
      </w:r>
    </w:p>
    <w:p w14:paraId="0D3EC63A"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Greek observers, particularly elite intellectuals, often struggled to reconcile Egyptian animal cults with Greek philosophical assumptions about the gods. Writers such as Strabo and Plutarch approached Egyptian religion through interpretive frameworks that privileged allegory, symbolism, and rationalisation.</w:t>
      </w:r>
      <w:r w:rsidRPr="00E81518">
        <w:rPr>
          <w:rStyle w:val="FootnoteReference"/>
          <w:rFonts w:ascii="Calibri" w:hAnsi="Calibri" w:cs="Calibri"/>
          <w:sz w:val="24"/>
          <w:szCs w:val="24"/>
        </w:rPr>
        <w:footnoteReference w:id="178"/>
      </w:r>
      <w:r w:rsidRPr="00E81518">
        <w:rPr>
          <w:rStyle w:val="FootnoteReference"/>
          <w:rFonts w:ascii="Calibri" w:hAnsi="Calibri" w:cs="Calibri"/>
          <w:sz w:val="24"/>
          <w:szCs w:val="24"/>
        </w:rPr>
        <w:footnoteReference w:id="179"/>
      </w:r>
      <w:r w:rsidRPr="00E81518">
        <w:rPr>
          <w:rFonts w:ascii="Calibri" w:hAnsi="Calibri" w:cs="Calibri"/>
          <w:sz w:val="24"/>
          <w:szCs w:val="24"/>
        </w:rPr>
        <w:t xml:space="preserve"> In </w:t>
      </w:r>
      <w:r w:rsidRPr="00E81518">
        <w:rPr>
          <w:rFonts w:ascii="Calibri" w:hAnsi="Calibri" w:cs="Calibri"/>
          <w:i/>
          <w:iCs/>
          <w:sz w:val="24"/>
          <w:szCs w:val="24"/>
        </w:rPr>
        <w:t>On Isis and Osiris</w:t>
      </w:r>
      <w:r w:rsidRPr="00E81518">
        <w:rPr>
          <w:rFonts w:ascii="Calibri" w:hAnsi="Calibri" w:cs="Calibri"/>
          <w:sz w:val="24"/>
          <w:szCs w:val="24"/>
        </w:rPr>
        <w:t>, Plutarch insists that Egyptian reverence for animals should not be understood as literal worship but as symbolic representation of metaphysical principles.</w:t>
      </w:r>
      <w:r w:rsidRPr="00E81518">
        <w:rPr>
          <w:rStyle w:val="FootnoteReference"/>
          <w:rFonts w:ascii="Calibri" w:hAnsi="Calibri" w:cs="Calibri"/>
          <w:sz w:val="24"/>
          <w:szCs w:val="24"/>
        </w:rPr>
        <w:footnoteReference w:id="180"/>
      </w:r>
      <w:r w:rsidRPr="00E81518">
        <w:rPr>
          <w:rFonts w:ascii="Calibri" w:hAnsi="Calibri" w:cs="Calibri"/>
          <w:sz w:val="24"/>
          <w:szCs w:val="24"/>
        </w:rPr>
        <w:t xml:space="preserve"> This move simultaneously legitimised Egyptian religion within a Greek philosophical discourse and subtly delegitimised its lived ritual practices by reclassifying them as misunderstood or degraded expressions of a higher truth.</w:t>
      </w:r>
      <w:r w:rsidRPr="00E81518">
        <w:rPr>
          <w:rStyle w:val="FootnoteReference"/>
          <w:rFonts w:ascii="Calibri" w:hAnsi="Calibri" w:cs="Calibri"/>
          <w:sz w:val="24"/>
          <w:szCs w:val="24"/>
        </w:rPr>
        <w:footnoteReference w:id="181"/>
      </w:r>
      <w:r w:rsidRPr="00E81518">
        <w:rPr>
          <w:rFonts w:ascii="Calibri" w:hAnsi="Calibri" w:cs="Calibri"/>
          <w:sz w:val="24"/>
          <w:szCs w:val="24"/>
        </w:rPr>
        <w:t xml:space="preserve"> Such reinterpretations reflect a broader Greek tendency to translate foreign religious systems into abstract moral or cosmological concepts, thereby neutralising elements that appeared irrational or excessive by Hellenic standards.</w:t>
      </w:r>
    </w:p>
    <w:p w14:paraId="3C475817"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Nevertheless, Greek settlers in Egypt did not simply reject indigenous cults. On the contrary, many participated actively in local religious life, particularly where Egyptian deities could be aligned with Greek political or ideological concerns. The cult of Sobek in the Faiyum region exemplifies this selective adoption.</w:t>
      </w:r>
      <w:r w:rsidRPr="00E81518">
        <w:rPr>
          <w:rStyle w:val="FootnoteReference"/>
          <w:rFonts w:ascii="Calibri" w:hAnsi="Calibri" w:cs="Calibri"/>
          <w:sz w:val="24"/>
          <w:szCs w:val="24"/>
        </w:rPr>
        <w:footnoteReference w:id="182"/>
      </w:r>
      <w:r w:rsidRPr="00E81518">
        <w:rPr>
          <w:rFonts w:ascii="Calibri" w:hAnsi="Calibri" w:cs="Calibri"/>
          <w:sz w:val="24"/>
          <w:szCs w:val="24"/>
        </w:rPr>
        <w:t xml:space="preserve"> Sobek’s associations with fertility, the Nile’s generative force, and royal authority rendered him amenable to Hellenistic interpretations that emphasised kingship, agricultural productivity, and divine sanction of rule. Greek worshippers could engage with Sobek while reframing the crocodile not as a direct embodiment of divinity as it was within Egyptian theology, but as a potent symbol of natural power or sovereignty.</w:t>
      </w:r>
      <w:r w:rsidRPr="00E81518">
        <w:rPr>
          <w:rStyle w:val="FootnoteReference"/>
          <w:rFonts w:ascii="Calibri" w:hAnsi="Calibri" w:cs="Calibri"/>
          <w:sz w:val="24"/>
          <w:szCs w:val="24"/>
        </w:rPr>
        <w:footnoteReference w:id="183"/>
      </w:r>
      <w:r w:rsidRPr="00E81518">
        <w:rPr>
          <w:rFonts w:ascii="Calibri" w:hAnsi="Calibri" w:cs="Calibri"/>
          <w:sz w:val="24"/>
          <w:szCs w:val="24"/>
        </w:rPr>
        <w:t xml:space="preserve"> This interpretive flexibility enabled participation without full theological convergence.</w:t>
      </w:r>
    </w:p>
    <w:p w14:paraId="180B4CF7"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 xml:space="preserve">Temple architecture and ritual organisation made this joining of two cultures explicit. The temple complex at Kom Ombo, jointly dedicated to Sobek and Horus, embodies the </w:t>
      </w:r>
      <w:r w:rsidRPr="00E81518">
        <w:rPr>
          <w:rFonts w:ascii="Calibri" w:hAnsi="Calibri" w:cs="Calibri"/>
          <w:sz w:val="24"/>
          <w:szCs w:val="24"/>
        </w:rPr>
        <w:lastRenderedPageBreak/>
        <w:t>structural logic of syncretism in Ptolemaic Egypt.</w:t>
      </w:r>
      <w:r w:rsidRPr="00E81518">
        <w:rPr>
          <w:rStyle w:val="FootnoteReference"/>
          <w:rFonts w:ascii="Calibri" w:hAnsi="Calibri" w:cs="Calibri"/>
          <w:sz w:val="24"/>
          <w:szCs w:val="24"/>
        </w:rPr>
        <w:footnoteReference w:id="184"/>
      </w:r>
      <w:r w:rsidRPr="00E81518">
        <w:rPr>
          <w:rFonts w:ascii="Calibri" w:hAnsi="Calibri" w:cs="Calibri"/>
          <w:sz w:val="24"/>
          <w:szCs w:val="24"/>
        </w:rPr>
        <w:t xml:space="preserve"> Its symmetrical design, dual sanctuaries, and mirrored reliefs accommodated distinct audiences and theological sensibilities within a single sacred space. Haroeris, a form of Horus often interpreted through Greek lenses as a solar or royal deity, offered a familiar point of entry for Hellenised worshippers, while Sobek retained his traditional cultic functions for Egyptian devotees.</w:t>
      </w:r>
      <w:r w:rsidRPr="00E81518">
        <w:rPr>
          <w:rStyle w:val="FootnoteReference"/>
          <w:rFonts w:ascii="Calibri" w:hAnsi="Calibri" w:cs="Calibri"/>
          <w:sz w:val="24"/>
          <w:szCs w:val="24"/>
        </w:rPr>
        <w:footnoteReference w:id="185"/>
      </w:r>
      <w:r w:rsidRPr="00E81518">
        <w:rPr>
          <w:rFonts w:ascii="Calibri" w:hAnsi="Calibri" w:cs="Calibri"/>
          <w:sz w:val="24"/>
          <w:szCs w:val="24"/>
        </w:rPr>
        <w:t xml:space="preserve"> Such temples did not reconcile religious difference; rather, they formalised it, creating parallel modes of engagement that coexisted without fully intersecting.</w:t>
      </w:r>
    </w:p>
    <w:p w14:paraId="049454B5"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Over time, this syncretic framework contributed to the erosion of traditional Egyptian religion by altering its conceptual foundations. The gradual reinterpretation of Egyptian gods through Greek philosophical categories abstracted them from the local ritual, ecological, and economic contexts that had sustained them since the Pharaonic period.</w:t>
      </w:r>
      <w:r w:rsidRPr="00E81518">
        <w:rPr>
          <w:rStyle w:val="FootnoteReference"/>
          <w:rFonts w:ascii="Calibri" w:hAnsi="Calibri" w:cs="Calibri"/>
          <w:sz w:val="24"/>
          <w:szCs w:val="24"/>
        </w:rPr>
        <w:footnoteReference w:id="186"/>
      </w:r>
      <w:r w:rsidRPr="00E81518">
        <w:rPr>
          <w:rFonts w:ascii="Calibri" w:hAnsi="Calibri" w:cs="Calibri"/>
          <w:sz w:val="24"/>
          <w:szCs w:val="24"/>
        </w:rPr>
        <w:t xml:space="preserve"> Animal cults, which depended upon the close integration of deity, landscape, and communal practice, were particularly affected. As divine animals came to be understood increasingly as symbolic or allegorical figures, their metaphysical status as living manifestations of divine power was weakened. This shift did not immediately eliminate animal worship, but it hollowed out its theological coherence and ritual authority.</w:t>
      </w:r>
    </w:p>
    <w:p w14:paraId="49826757"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The rise of composite deities such as Serapis further illustrates this process. Designed as a universal god capable of appealing to both Greek and Egyptian populations, Serapis deliberately avoided the overt animal imagery central to traditional Egyptian theology.</w:t>
      </w:r>
      <w:r w:rsidRPr="00E81518">
        <w:rPr>
          <w:rStyle w:val="FootnoteReference"/>
          <w:rFonts w:ascii="Calibri" w:hAnsi="Calibri" w:cs="Calibri"/>
          <w:sz w:val="24"/>
          <w:szCs w:val="24"/>
        </w:rPr>
        <w:footnoteReference w:id="187"/>
      </w:r>
      <w:r w:rsidRPr="00E81518">
        <w:rPr>
          <w:rFonts w:ascii="Calibri" w:hAnsi="Calibri" w:cs="Calibri"/>
          <w:sz w:val="24"/>
          <w:szCs w:val="24"/>
        </w:rPr>
        <w:t xml:space="preserve"> While politically successful, such cults displaced older religious forms rather than sustaining them. Authority over religious meaning increasingly shifted from local priesthoods to royal and imperial institutions, as temples became instruments of dynastic legitimacy rather than autonomous centres of communal worship and cosmology.</w:t>
      </w:r>
      <w:r w:rsidRPr="00E81518">
        <w:rPr>
          <w:rStyle w:val="FootnoteReference"/>
          <w:rFonts w:ascii="Calibri" w:hAnsi="Calibri" w:cs="Calibri"/>
          <w:sz w:val="24"/>
          <w:szCs w:val="24"/>
        </w:rPr>
        <w:footnoteReference w:id="188"/>
      </w:r>
      <w:r w:rsidRPr="00E81518">
        <w:rPr>
          <w:rFonts w:ascii="Calibri" w:hAnsi="Calibri" w:cs="Calibri"/>
          <w:sz w:val="24"/>
          <w:szCs w:val="24"/>
        </w:rPr>
        <w:t xml:space="preserve"> Indigenous religious traditions were preserved selectively and instrumentally, often stripped of their deeper metaphysical significance.</w:t>
      </w:r>
    </w:p>
    <w:p w14:paraId="2AC3484D"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 xml:space="preserve">This transformation left Egyptian religion particularly vulnerable in late antiquity. By the Roman period, Egyptian cults existed within a religious environment already accustomed to </w:t>
      </w:r>
      <w:r w:rsidRPr="00E81518">
        <w:rPr>
          <w:rFonts w:ascii="Calibri" w:hAnsi="Calibri" w:cs="Calibri"/>
          <w:sz w:val="24"/>
          <w:szCs w:val="24"/>
        </w:rPr>
        <w:lastRenderedPageBreak/>
        <w:t>reinterpretation, abstraction, and external control. When Christianity emerged as a competing universal religion, it encountered a system whose gods had already been philosophically demythologised and politically subordinated.</w:t>
      </w:r>
      <w:r w:rsidRPr="00E81518">
        <w:rPr>
          <w:rStyle w:val="FootnoteReference"/>
          <w:rFonts w:ascii="Calibri" w:hAnsi="Calibri" w:cs="Calibri"/>
          <w:sz w:val="24"/>
          <w:szCs w:val="24"/>
        </w:rPr>
        <w:footnoteReference w:id="189"/>
      </w:r>
      <w:r w:rsidRPr="00E81518">
        <w:rPr>
          <w:rStyle w:val="FootnoteReference"/>
          <w:rFonts w:ascii="Calibri" w:hAnsi="Calibri" w:cs="Calibri"/>
          <w:sz w:val="24"/>
          <w:szCs w:val="24"/>
        </w:rPr>
        <w:footnoteReference w:id="190"/>
      </w:r>
      <w:r w:rsidRPr="00E81518">
        <w:rPr>
          <w:rFonts w:ascii="Calibri" w:hAnsi="Calibri" w:cs="Calibri"/>
          <w:sz w:val="24"/>
          <w:szCs w:val="24"/>
        </w:rPr>
        <w:t xml:space="preserve"> Christian polemicists could thus dismiss animal worship as primitive superstition, while imperial authorities found little resistance in dismantling temple institutions whose social and economic foundations had been steadily eroded.</w:t>
      </w:r>
      <w:r w:rsidRPr="00E81518">
        <w:rPr>
          <w:rStyle w:val="FootnoteReference"/>
          <w:rFonts w:ascii="Calibri" w:hAnsi="Calibri" w:cs="Calibri"/>
          <w:sz w:val="24"/>
          <w:szCs w:val="24"/>
        </w:rPr>
        <w:footnoteReference w:id="191"/>
      </w:r>
      <w:r w:rsidRPr="00E81518">
        <w:rPr>
          <w:rFonts w:ascii="Calibri" w:hAnsi="Calibri" w:cs="Calibri"/>
          <w:sz w:val="24"/>
          <w:szCs w:val="24"/>
        </w:rPr>
        <w:t xml:space="preserve"> The allegorical readings promoted by Greek intellectuals inadvertently facilitated Christian critiques, which reclassified Egyptian animal cults as either demonic or primitive.</w:t>
      </w:r>
    </w:p>
    <w:p w14:paraId="20B987B1"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In this sense, syncretism did not directly destroy Egyptian religion but contributed to conditions that undermined its long-term resilience. By accommodating Greek rationalism and universalism, Egyptian religion gained temporary inclusivity at the cost of its foundational relationship between deity, animal, land, and community.</w:t>
      </w:r>
      <w:r w:rsidRPr="00E81518">
        <w:rPr>
          <w:rStyle w:val="FootnoteReference"/>
          <w:rFonts w:ascii="Calibri" w:hAnsi="Calibri" w:cs="Calibri"/>
          <w:sz w:val="24"/>
          <w:szCs w:val="24"/>
        </w:rPr>
        <w:footnoteReference w:id="192"/>
      </w:r>
      <w:r w:rsidRPr="00E81518">
        <w:rPr>
          <w:rFonts w:ascii="Calibri" w:hAnsi="Calibri" w:cs="Calibri"/>
          <w:sz w:val="24"/>
          <w:szCs w:val="24"/>
        </w:rPr>
        <w:t xml:space="preserve"> The resulting religious system was layered rather than unified, adaptive rather than cohesive. Under the pressures of Roman imperial policy and Christian exclusivity, these internal fractures proved decisive. Syncretism, initially a strategy of survival, ultimately became a mechanism of dissolution and the ultimate end of the “Egyptian” cultural sphere.</w:t>
      </w:r>
      <w:r w:rsidRPr="00E81518">
        <w:rPr>
          <w:rStyle w:val="FootnoteReference"/>
          <w:rFonts w:ascii="Calibri" w:hAnsi="Calibri" w:cs="Calibri"/>
          <w:sz w:val="24"/>
          <w:szCs w:val="24"/>
        </w:rPr>
        <w:footnoteReference w:id="193"/>
      </w:r>
      <w:r w:rsidRPr="00E81518">
        <w:rPr>
          <w:rFonts w:ascii="Calibri" w:hAnsi="Calibri" w:cs="Calibri"/>
          <w:sz w:val="24"/>
          <w:szCs w:val="24"/>
        </w:rPr>
        <w:t xml:space="preserve"> This syncretism functioned as a political technology, enabling the Ptolemies to present a unified religious front while maintaining essential distinctions between the ruling Greek elite and the Egyptian majority. Rather than a melting pot, Ptolemaic Egypt was a mosaic of religious identities, held together through shared symbols but differently interpreted and experienced by each social group.</w:t>
      </w:r>
      <w:r w:rsidRPr="00E81518">
        <w:rPr>
          <w:rStyle w:val="FootnoteReference"/>
          <w:rFonts w:ascii="Calibri" w:hAnsi="Calibri" w:cs="Calibri"/>
          <w:sz w:val="24"/>
          <w:szCs w:val="24"/>
        </w:rPr>
        <w:footnoteReference w:id="194"/>
      </w:r>
    </w:p>
    <w:p w14:paraId="0897635A" w14:textId="77777777"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Another crucial socio-political dimension was the Ptolemaic appropriation of divine kingship, traditionally associated with sacred animals. In earlier periods, the pharaoh was seen as the earthly embodiment of gods such as Horus or Ra, often associated with animals like the falcon or bull.</w:t>
      </w:r>
      <w:r w:rsidRPr="00E81518">
        <w:rPr>
          <w:rStyle w:val="FootnoteReference"/>
          <w:rFonts w:ascii="Calibri" w:hAnsi="Calibri" w:cs="Calibri"/>
          <w:sz w:val="24"/>
          <w:szCs w:val="24"/>
        </w:rPr>
        <w:footnoteReference w:id="195"/>
      </w:r>
      <w:r w:rsidRPr="00E81518">
        <w:rPr>
          <w:rFonts w:ascii="Calibri" w:hAnsi="Calibri" w:cs="Calibri"/>
          <w:sz w:val="24"/>
          <w:szCs w:val="24"/>
        </w:rPr>
        <w:t xml:space="preserve"> The Ptolemies embraced this ideology, portraying themselves in Egyptian-</w:t>
      </w:r>
      <w:r w:rsidRPr="00E81518">
        <w:rPr>
          <w:rFonts w:ascii="Calibri" w:hAnsi="Calibri" w:cs="Calibri"/>
          <w:sz w:val="24"/>
          <w:szCs w:val="24"/>
        </w:rPr>
        <w:lastRenderedPageBreak/>
        <w:t>style reliefs as divine beings communing with animal deities, even as their Greek subjects understood kingship in more secular or heroic terms.</w:t>
      </w:r>
      <w:r w:rsidRPr="00E81518">
        <w:rPr>
          <w:rStyle w:val="FootnoteReference"/>
          <w:rFonts w:ascii="Calibri" w:hAnsi="Calibri" w:cs="Calibri"/>
          <w:sz w:val="24"/>
          <w:szCs w:val="24"/>
        </w:rPr>
        <w:footnoteReference w:id="196"/>
      </w:r>
      <w:r w:rsidRPr="00E81518">
        <w:rPr>
          <w:rFonts w:ascii="Calibri" w:hAnsi="Calibri" w:cs="Calibri"/>
          <w:sz w:val="24"/>
          <w:szCs w:val="24"/>
        </w:rPr>
        <w:t xml:space="preserve"> The funerals of the Apis bull, for instance, became royal spectacles, involving massive state funding, public processions, and inscriptions linking the reigning monarch to Osiris.</w:t>
      </w:r>
      <w:r w:rsidRPr="00E81518">
        <w:rPr>
          <w:rStyle w:val="FootnoteReference"/>
          <w:rFonts w:ascii="Calibri" w:hAnsi="Calibri" w:cs="Calibri"/>
          <w:sz w:val="24"/>
          <w:szCs w:val="24"/>
        </w:rPr>
        <w:footnoteReference w:id="197"/>
      </w:r>
      <w:r w:rsidRPr="00E81518">
        <w:rPr>
          <w:rFonts w:ascii="Calibri" w:hAnsi="Calibri" w:cs="Calibri"/>
          <w:sz w:val="24"/>
          <w:szCs w:val="24"/>
        </w:rPr>
        <w:t xml:space="preserve"> These events allowed the Ptolemies to dramatise their role as divine intermediaries, reinforcing their sacred authority in a way that could be understood differently depending on cultural perspective - divine rulership for Egyptians, semi-divine patronage for Greeks.</w:t>
      </w:r>
      <w:r w:rsidRPr="00E81518">
        <w:rPr>
          <w:rStyle w:val="FootnoteReference"/>
          <w:rFonts w:ascii="Calibri" w:hAnsi="Calibri" w:cs="Calibri"/>
          <w:sz w:val="24"/>
          <w:szCs w:val="24"/>
        </w:rPr>
        <w:footnoteReference w:id="198"/>
      </w:r>
      <w:r w:rsidRPr="00E81518">
        <w:rPr>
          <w:rFonts w:ascii="Calibri" w:hAnsi="Calibri" w:cs="Calibri"/>
          <w:sz w:val="24"/>
          <w:szCs w:val="24"/>
        </w:rPr>
        <w:t xml:space="preserve"> By aligning themselves with sacred animals, the Ptolemies used Egypt’s traditional religious grammar to express imperial ideology, forging a religious narrative that legitimised their rule in both Egyptian and Hellenistic terms.</w:t>
      </w:r>
      <w:r w:rsidRPr="00E81518">
        <w:rPr>
          <w:rStyle w:val="FootnoteReference"/>
          <w:rFonts w:ascii="Calibri" w:hAnsi="Calibri" w:cs="Calibri"/>
          <w:sz w:val="24"/>
          <w:szCs w:val="24"/>
        </w:rPr>
        <w:footnoteReference w:id="199"/>
      </w:r>
    </w:p>
    <w:p w14:paraId="6ABD7158" w14:textId="05EA6CA9" w:rsidR="00D76B24" w:rsidRPr="00E81518" w:rsidRDefault="00D76B24" w:rsidP="00E81518">
      <w:pPr>
        <w:spacing w:line="360" w:lineRule="auto"/>
        <w:rPr>
          <w:rFonts w:ascii="Calibri" w:hAnsi="Calibri" w:cs="Calibri"/>
          <w:sz w:val="24"/>
          <w:szCs w:val="24"/>
        </w:rPr>
      </w:pPr>
      <w:r w:rsidRPr="00E81518">
        <w:rPr>
          <w:rFonts w:ascii="Calibri" w:hAnsi="Calibri" w:cs="Calibri"/>
          <w:sz w:val="24"/>
          <w:szCs w:val="24"/>
        </w:rPr>
        <w:t>The transformation of animal worship and mummification under the Ptolemaic dynasty was not merely a matter of religious development, but a deliberate and strategic socio-political process. Through religious syncretism, the Ptolemies preserved outward continuities with pre-Ptolemaic religious traditions while subtly reshaping them to serve the needs of a Hellenistic ruling elite. This syncretism functioned as a mechanism of governance: by integrating Greek and Egyptian religious frameworks, the regime sought to stabilise a culturally unique and diverse population, and negotiate the legitimacy of foreign rule.</w:t>
      </w:r>
      <w:r w:rsidRPr="00E81518">
        <w:rPr>
          <w:rStyle w:val="FootnoteReference"/>
          <w:rFonts w:ascii="Calibri" w:hAnsi="Calibri" w:cs="Calibri"/>
          <w:sz w:val="24"/>
          <w:szCs w:val="24"/>
        </w:rPr>
        <w:footnoteReference w:id="200"/>
      </w:r>
      <w:r w:rsidRPr="00E81518">
        <w:rPr>
          <w:rFonts w:ascii="Calibri" w:hAnsi="Calibri" w:cs="Calibri"/>
          <w:sz w:val="24"/>
          <w:szCs w:val="24"/>
        </w:rPr>
        <w:t xml:space="preserve"> Animal cults, deeply embedded in local religious life, became key sites where imperial authority intersected with popular practice, allowing the state to exert influence over temple economies, ritual labour, and networks of pilgrimage and exchange. Crucially, syncretism did not erase social hierarchies but helped to manage them, creating shared symbolic spaces that masked asymmetries of power while reinforcing elite control over religious institutions.</w:t>
      </w:r>
      <w:r w:rsidRPr="00E81518">
        <w:rPr>
          <w:rStyle w:val="FootnoteReference"/>
          <w:rFonts w:ascii="Calibri" w:hAnsi="Calibri" w:cs="Calibri"/>
          <w:sz w:val="24"/>
          <w:szCs w:val="24"/>
        </w:rPr>
        <w:footnoteReference w:id="201"/>
      </w:r>
      <w:r w:rsidRPr="00E81518">
        <w:rPr>
          <w:rFonts w:ascii="Calibri" w:hAnsi="Calibri" w:cs="Calibri"/>
          <w:sz w:val="24"/>
          <w:szCs w:val="24"/>
        </w:rPr>
        <w:t xml:space="preserve"> The resulting religious landscape was thus marked by both accommodation and tension, reflecting the unequal distribution of political authority beneath the appearance of cultural integration. Rather than producing a seamless fusion of traditions, Ptolemaic syncretism generated a dynamic process of negotiation between local agency and centralized rule. devotion:ontext, sacred animals were more than objects of </w:t>
      </w:r>
      <w:r w:rsidRPr="00E81518">
        <w:rPr>
          <w:rFonts w:ascii="Calibri" w:hAnsi="Calibri" w:cs="Calibri"/>
          <w:sz w:val="24"/>
          <w:szCs w:val="24"/>
        </w:rPr>
        <w:lastRenderedPageBreak/>
        <w:t xml:space="preserve">devotion; they functioned as socio-political mediators through which imperial power was articulated, contested, and normalised within </w:t>
      </w:r>
      <w:r w:rsidR="002E5252" w:rsidRPr="00E81518">
        <w:rPr>
          <w:rFonts w:ascii="Calibri" w:hAnsi="Calibri" w:cs="Calibri"/>
          <w:sz w:val="24"/>
          <w:szCs w:val="24"/>
        </w:rPr>
        <w:t>every day.</w:t>
      </w:r>
    </w:p>
    <w:p w14:paraId="63AA9FA6" w14:textId="77777777" w:rsidR="002E5252" w:rsidRPr="00E81518" w:rsidRDefault="002E5252" w:rsidP="00E81518">
      <w:pPr>
        <w:spacing w:line="360" w:lineRule="auto"/>
        <w:rPr>
          <w:rFonts w:ascii="Calibri" w:hAnsi="Calibri" w:cs="Calibri"/>
          <w:sz w:val="24"/>
          <w:szCs w:val="24"/>
        </w:rPr>
      </w:pPr>
    </w:p>
    <w:p w14:paraId="6DF00141" w14:textId="77777777" w:rsidR="002E5252" w:rsidRPr="00E81518" w:rsidRDefault="002E5252" w:rsidP="00E81518">
      <w:pPr>
        <w:spacing w:line="360" w:lineRule="auto"/>
        <w:rPr>
          <w:rFonts w:ascii="Calibri" w:hAnsi="Calibri" w:cs="Calibri"/>
          <w:sz w:val="24"/>
          <w:szCs w:val="24"/>
        </w:rPr>
      </w:pPr>
    </w:p>
    <w:p w14:paraId="100FDF44" w14:textId="77777777" w:rsidR="002E5252" w:rsidRPr="00E81518" w:rsidRDefault="002E5252" w:rsidP="00E81518">
      <w:pPr>
        <w:spacing w:line="360" w:lineRule="auto"/>
        <w:rPr>
          <w:rFonts w:ascii="Calibri" w:hAnsi="Calibri" w:cs="Calibri"/>
          <w:sz w:val="24"/>
          <w:szCs w:val="24"/>
        </w:rPr>
      </w:pPr>
    </w:p>
    <w:p w14:paraId="0C614C61" w14:textId="77777777" w:rsidR="002E5252" w:rsidRPr="00E81518" w:rsidRDefault="002E5252" w:rsidP="00E81518">
      <w:pPr>
        <w:spacing w:line="360" w:lineRule="auto"/>
        <w:rPr>
          <w:rFonts w:ascii="Calibri" w:hAnsi="Calibri" w:cs="Calibri"/>
          <w:sz w:val="24"/>
          <w:szCs w:val="24"/>
        </w:rPr>
      </w:pPr>
    </w:p>
    <w:p w14:paraId="41250E44" w14:textId="77777777" w:rsidR="002E5252" w:rsidRPr="00E81518" w:rsidRDefault="002E5252" w:rsidP="00E81518">
      <w:pPr>
        <w:spacing w:line="360" w:lineRule="auto"/>
        <w:rPr>
          <w:rFonts w:ascii="Calibri" w:hAnsi="Calibri" w:cs="Calibri"/>
          <w:sz w:val="24"/>
          <w:szCs w:val="24"/>
        </w:rPr>
      </w:pPr>
    </w:p>
    <w:p w14:paraId="4E2B8B8B" w14:textId="77777777" w:rsidR="002E5252" w:rsidRPr="00E81518" w:rsidRDefault="002E5252" w:rsidP="00E81518">
      <w:pPr>
        <w:spacing w:line="360" w:lineRule="auto"/>
        <w:rPr>
          <w:rFonts w:ascii="Calibri" w:hAnsi="Calibri" w:cs="Calibri"/>
          <w:sz w:val="24"/>
          <w:szCs w:val="24"/>
        </w:rPr>
      </w:pPr>
    </w:p>
    <w:p w14:paraId="735CFB76" w14:textId="77777777" w:rsidR="00E81518" w:rsidRDefault="00E81518" w:rsidP="00E81518">
      <w:pPr>
        <w:spacing w:line="360" w:lineRule="auto"/>
        <w:rPr>
          <w:rFonts w:ascii="Calibri" w:hAnsi="Calibri" w:cs="Calibri"/>
          <w:sz w:val="24"/>
          <w:szCs w:val="24"/>
        </w:rPr>
      </w:pPr>
    </w:p>
    <w:p w14:paraId="7DDF6BF9" w14:textId="77777777" w:rsidR="00E81518" w:rsidRDefault="00E81518" w:rsidP="00E81518">
      <w:pPr>
        <w:spacing w:line="360" w:lineRule="auto"/>
        <w:rPr>
          <w:rFonts w:ascii="Calibri" w:hAnsi="Calibri" w:cs="Calibri"/>
          <w:b/>
          <w:bCs/>
          <w:sz w:val="24"/>
          <w:szCs w:val="24"/>
        </w:rPr>
      </w:pPr>
    </w:p>
    <w:p w14:paraId="0F07E01C" w14:textId="77777777" w:rsidR="00E81518" w:rsidRDefault="00E81518" w:rsidP="00E81518">
      <w:pPr>
        <w:spacing w:line="360" w:lineRule="auto"/>
        <w:rPr>
          <w:rFonts w:ascii="Calibri" w:hAnsi="Calibri" w:cs="Calibri"/>
          <w:b/>
          <w:bCs/>
          <w:sz w:val="24"/>
          <w:szCs w:val="24"/>
        </w:rPr>
      </w:pPr>
    </w:p>
    <w:p w14:paraId="2F4BC92F" w14:textId="77777777" w:rsidR="00E81518" w:rsidRDefault="00E81518" w:rsidP="00E81518">
      <w:pPr>
        <w:spacing w:line="360" w:lineRule="auto"/>
        <w:rPr>
          <w:rFonts w:ascii="Calibri" w:hAnsi="Calibri" w:cs="Calibri"/>
          <w:b/>
          <w:bCs/>
          <w:sz w:val="24"/>
          <w:szCs w:val="24"/>
        </w:rPr>
      </w:pPr>
    </w:p>
    <w:p w14:paraId="72FC3E1B" w14:textId="77777777" w:rsidR="00E81518" w:rsidRDefault="00E81518" w:rsidP="00E81518">
      <w:pPr>
        <w:spacing w:line="360" w:lineRule="auto"/>
        <w:rPr>
          <w:rFonts w:ascii="Calibri" w:hAnsi="Calibri" w:cs="Calibri"/>
          <w:b/>
          <w:bCs/>
          <w:sz w:val="24"/>
          <w:szCs w:val="24"/>
        </w:rPr>
      </w:pPr>
    </w:p>
    <w:p w14:paraId="3C12CC40" w14:textId="77777777" w:rsidR="00E81518" w:rsidRDefault="00E81518" w:rsidP="00E81518">
      <w:pPr>
        <w:spacing w:line="360" w:lineRule="auto"/>
        <w:rPr>
          <w:rFonts w:ascii="Calibri" w:hAnsi="Calibri" w:cs="Calibri"/>
          <w:b/>
          <w:bCs/>
          <w:sz w:val="24"/>
          <w:szCs w:val="24"/>
        </w:rPr>
      </w:pPr>
    </w:p>
    <w:p w14:paraId="067B1B9C" w14:textId="77777777" w:rsidR="00E81518" w:rsidRDefault="00E81518" w:rsidP="00E81518">
      <w:pPr>
        <w:spacing w:line="360" w:lineRule="auto"/>
        <w:rPr>
          <w:rFonts w:ascii="Calibri" w:hAnsi="Calibri" w:cs="Calibri"/>
          <w:b/>
          <w:bCs/>
          <w:sz w:val="24"/>
          <w:szCs w:val="24"/>
        </w:rPr>
      </w:pPr>
    </w:p>
    <w:p w14:paraId="6FA06747" w14:textId="77777777" w:rsidR="00E81518" w:rsidRDefault="00E81518" w:rsidP="00E81518">
      <w:pPr>
        <w:spacing w:line="360" w:lineRule="auto"/>
        <w:rPr>
          <w:rFonts w:ascii="Calibri" w:hAnsi="Calibri" w:cs="Calibri"/>
          <w:b/>
          <w:bCs/>
          <w:sz w:val="24"/>
          <w:szCs w:val="24"/>
        </w:rPr>
      </w:pPr>
    </w:p>
    <w:p w14:paraId="5CCC576B" w14:textId="77777777" w:rsidR="00E81518" w:rsidRDefault="00E81518" w:rsidP="00E81518">
      <w:pPr>
        <w:spacing w:line="360" w:lineRule="auto"/>
        <w:rPr>
          <w:rFonts w:ascii="Calibri" w:hAnsi="Calibri" w:cs="Calibri"/>
          <w:b/>
          <w:bCs/>
          <w:sz w:val="24"/>
          <w:szCs w:val="24"/>
        </w:rPr>
      </w:pPr>
    </w:p>
    <w:p w14:paraId="605BFB19" w14:textId="77777777" w:rsidR="00E81518" w:rsidRDefault="00E81518" w:rsidP="00E81518">
      <w:pPr>
        <w:spacing w:line="360" w:lineRule="auto"/>
        <w:rPr>
          <w:rFonts w:ascii="Calibri" w:hAnsi="Calibri" w:cs="Calibri"/>
          <w:b/>
          <w:bCs/>
          <w:sz w:val="24"/>
          <w:szCs w:val="24"/>
        </w:rPr>
      </w:pPr>
    </w:p>
    <w:p w14:paraId="3DCFA914" w14:textId="77777777" w:rsidR="00E81518" w:rsidRDefault="00E81518" w:rsidP="00E81518">
      <w:pPr>
        <w:spacing w:line="360" w:lineRule="auto"/>
        <w:rPr>
          <w:rFonts w:ascii="Calibri" w:hAnsi="Calibri" w:cs="Calibri"/>
          <w:b/>
          <w:bCs/>
          <w:sz w:val="24"/>
          <w:szCs w:val="24"/>
        </w:rPr>
      </w:pPr>
    </w:p>
    <w:p w14:paraId="36837E62" w14:textId="77777777" w:rsidR="00E81518" w:rsidRDefault="00E81518" w:rsidP="00E81518">
      <w:pPr>
        <w:spacing w:line="360" w:lineRule="auto"/>
        <w:rPr>
          <w:rFonts w:ascii="Calibri" w:hAnsi="Calibri" w:cs="Calibri"/>
          <w:b/>
          <w:bCs/>
          <w:sz w:val="24"/>
          <w:szCs w:val="24"/>
        </w:rPr>
      </w:pPr>
    </w:p>
    <w:p w14:paraId="69E15FF3" w14:textId="77777777" w:rsidR="00E81518" w:rsidRDefault="00E81518" w:rsidP="00E81518">
      <w:pPr>
        <w:spacing w:line="360" w:lineRule="auto"/>
        <w:rPr>
          <w:rFonts w:ascii="Calibri" w:hAnsi="Calibri" w:cs="Calibri"/>
          <w:b/>
          <w:bCs/>
          <w:sz w:val="24"/>
          <w:szCs w:val="24"/>
        </w:rPr>
      </w:pPr>
    </w:p>
    <w:p w14:paraId="3652EB76" w14:textId="77777777" w:rsidR="00E81518" w:rsidRDefault="00E81518" w:rsidP="00E81518">
      <w:pPr>
        <w:spacing w:line="360" w:lineRule="auto"/>
        <w:rPr>
          <w:rFonts w:ascii="Calibri" w:hAnsi="Calibri" w:cs="Calibri"/>
          <w:b/>
          <w:bCs/>
          <w:sz w:val="24"/>
          <w:szCs w:val="24"/>
        </w:rPr>
      </w:pPr>
    </w:p>
    <w:p w14:paraId="31311A9E" w14:textId="77777777" w:rsidR="00E81518" w:rsidRDefault="00E81518" w:rsidP="00E81518">
      <w:pPr>
        <w:spacing w:line="360" w:lineRule="auto"/>
        <w:rPr>
          <w:rFonts w:ascii="Calibri" w:hAnsi="Calibri" w:cs="Calibri"/>
          <w:b/>
          <w:bCs/>
          <w:sz w:val="24"/>
          <w:szCs w:val="24"/>
        </w:rPr>
      </w:pPr>
    </w:p>
    <w:p w14:paraId="262D8CFA" w14:textId="77777777" w:rsidR="00E81518" w:rsidRDefault="00E81518" w:rsidP="00E81518">
      <w:pPr>
        <w:spacing w:line="360" w:lineRule="auto"/>
        <w:rPr>
          <w:rFonts w:ascii="Calibri" w:hAnsi="Calibri" w:cs="Calibri"/>
          <w:b/>
          <w:bCs/>
          <w:sz w:val="24"/>
          <w:szCs w:val="24"/>
        </w:rPr>
      </w:pPr>
    </w:p>
    <w:p w14:paraId="065D4CBD" w14:textId="43D6E575" w:rsidR="002E5252" w:rsidRPr="00E81518" w:rsidRDefault="002E5252" w:rsidP="00E81518">
      <w:pPr>
        <w:spacing w:line="360" w:lineRule="auto"/>
        <w:rPr>
          <w:rFonts w:ascii="Calibri" w:hAnsi="Calibri" w:cs="Calibri"/>
          <w:b/>
          <w:bCs/>
          <w:sz w:val="24"/>
          <w:szCs w:val="24"/>
        </w:rPr>
      </w:pPr>
      <w:r w:rsidRPr="00E81518">
        <w:rPr>
          <w:rFonts w:ascii="Calibri" w:hAnsi="Calibri" w:cs="Calibri"/>
          <w:b/>
          <w:bCs/>
          <w:sz w:val="24"/>
          <w:szCs w:val="24"/>
        </w:rPr>
        <w:lastRenderedPageBreak/>
        <w:t>Conclusion</w:t>
      </w:r>
    </w:p>
    <w:p w14:paraId="6BDC2E8D"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The transformation of animal worship from the Late Pharaonic period to the Ptolemaic era reveals a religious landscape defined not by division or separation, but by continuity negotiated through adaptation, syncretism, and political pragmatism.</w:t>
      </w:r>
      <w:r w:rsidRPr="00E81518">
        <w:rPr>
          <w:rStyle w:val="FootnoteReference"/>
          <w:rFonts w:ascii="Calibri" w:hAnsi="Calibri" w:cs="Calibri"/>
          <w:sz w:val="24"/>
          <w:szCs w:val="24"/>
        </w:rPr>
        <w:footnoteReference w:id="202"/>
      </w:r>
      <w:r w:rsidRPr="00E81518">
        <w:rPr>
          <w:rFonts w:ascii="Calibri" w:hAnsi="Calibri" w:cs="Calibri"/>
          <w:sz w:val="24"/>
          <w:szCs w:val="24"/>
        </w:rPr>
        <w:t xml:space="preserve"> Far from representing a decline or distortion of traditional belief, the evolution of animal cults during this transitional period demonstrates the resilience of Egyptian religious practice and its capacity to absorb foreign rule while maintaining core theological principles.</w:t>
      </w:r>
      <w:r w:rsidRPr="00E81518">
        <w:rPr>
          <w:rStyle w:val="FootnoteReference"/>
          <w:rFonts w:ascii="Calibri" w:hAnsi="Calibri" w:cs="Calibri"/>
          <w:sz w:val="24"/>
          <w:szCs w:val="24"/>
        </w:rPr>
        <w:footnoteReference w:id="203"/>
      </w:r>
      <w:r w:rsidRPr="00E81518">
        <w:rPr>
          <w:rFonts w:ascii="Calibri" w:hAnsi="Calibri" w:cs="Calibri"/>
          <w:sz w:val="24"/>
          <w:szCs w:val="24"/>
        </w:rPr>
        <w:t xml:space="preserve"> By examining animal worship across institutional, popular, and political contexts, this study has shown that animal veneration remained central to Egyptian religiosity, even as its meanings and functions were subtly reframed under Greek governance.</w:t>
      </w:r>
    </w:p>
    <w:p w14:paraId="78F2B987"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In the Late Period, animal worship had reached an unprecedented level of institutionalisation, characterised by highly organised cults, large-scale votive production, and close ties between temples and the state. Sacred animals such as the Apis bull were not symbolic abstractions but living embodiments of divine presence, whose care and burial were matters of national importance.</w:t>
      </w:r>
      <w:r w:rsidRPr="00E81518">
        <w:rPr>
          <w:rStyle w:val="FootnoteReference"/>
          <w:rFonts w:ascii="Calibri" w:hAnsi="Calibri" w:cs="Calibri"/>
          <w:sz w:val="24"/>
          <w:szCs w:val="24"/>
        </w:rPr>
        <w:footnoteReference w:id="204"/>
      </w:r>
      <w:r w:rsidRPr="00E81518">
        <w:rPr>
          <w:rFonts w:ascii="Calibri" w:hAnsi="Calibri" w:cs="Calibri"/>
          <w:sz w:val="24"/>
          <w:szCs w:val="24"/>
        </w:rPr>
        <w:t xml:space="preserve"> At the same time, mass animal cults facilitated popular engagement with the divine, allowing individuals to express piety through votive offerings in ways that were both personal and communal. This dual structure, elite theological symbolism and widespread devotional practice formed the foundation upon which later developments would build.</w:t>
      </w:r>
      <w:r w:rsidRPr="00E81518">
        <w:rPr>
          <w:rStyle w:val="FootnoteReference"/>
          <w:rFonts w:ascii="Calibri" w:hAnsi="Calibri" w:cs="Calibri"/>
          <w:sz w:val="24"/>
          <w:szCs w:val="24"/>
        </w:rPr>
        <w:footnoteReference w:id="205"/>
      </w:r>
      <w:r w:rsidRPr="00E81518">
        <w:rPr>
          <w:rFonts w:ascii="Calibri" w:hAnsi="Calibri" w:cs="Calibri"/>
          <w:sz w:val="24"/>
          <w:szCs w:val="24"/>
        </w:rPr>
        <w:t xml:space="preserve"> The Late Period thus established animal worship as a deeply embedded religious, economic, and social system, rather than a unusual or superstitious practice.</w:t>
      </w:r>
    </w:p>
    <w:p w14:paraId="12C455E0"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The arrival of Macedonian rule under Alexander the Great and the establishment of the Ptolemaic dynasty introduced new political realities without dismantling this religious infrastructure.</w:t>
      </w:r>
      <w:r w:rsidRPr="00E81518">
        <w:rPr>
          <w:rStyle w:val="FootnoteReference"/>
          <w:rFonts w:ascii="Calibri" w:hAnsi="Calibri" w:cs="Calibri"/>
          <w:sz w:val="24"/>
          <w:szCs w:val="24"/>
        </w:rPr>
        <w:footnoteReference w:id="206"/>
      </w:r>
      <w:r w:rsidRPr="00E81518">
        <w:rPr>
          <w:rFonts w:ascii="Calibri" w:hAnsi="Calibri" w:cs="Calibri"/>
          <w:sz w:val="24"/>
          <w:szCs w:val="24"/>
        </w:rPr>
        <w:t xml:space="preserve"> Instead, the Ptolemies adopted the role of pharaohs and positioned themselves as guardians of </w:t>
      </w:r>
      <w:r w:rsidRPr="00E81518">
        <w:rPr>
          <w:rFonts w:ascii="Calibri" w:hAnsi="Calibri" w:cs="Calibri"/>
          <w:i/>
          <w:iCs/>
          <w:sz w:val="24"/>
          <w:szCs w:val="24"/>
        </w:rPr>
        <w:t>maʿat</w:t>
      </w:r>
      <w:r w:rsidRPr="00E81518">
        <w:rPr>
          <w:rFonts w:ascii="Calibri" w:hAnsi="Calibri" w:cs="Calibri"/>
          <w:sz w:val="24"/>
          <w:szCs w:val="24"/>
        </w:rPr>
        <w:t xml:space="preserve">, actively supporting temples, priesthoods, and traditional cults. Animal worship not only persisted but, in many regions, expanded. The continued use and embellishment of sacred sites such as the Serapeum at Saqqara and the proliferation of </w:t>
      </w:r>
      <w:r w:rsidRPr="00E81518">
        <w:rPr>
          <w:rFonts w:ascii="Calibri" w:hAnsi="Calibri" w:cs="Calibri"/>
          <w:sz w:val="24"/>
          <w:szCs w:val="24"/>
        </w:rPr>
        <w:lastRenderedPageBreak/>
        <w:t>animal mummies at necropolises like Tuna el-Gebel illustrate the degree to which animal cults remained integral to religious life.</w:t>
      </w:r>
      <w:r w:rsidRPr="00E81518">
        <w:rPr>
          <w:rStyle w:val="FootnoteReference"/>
          <w:rFonts w:ascii="Calibri" w:hAnsi="Calibri" w:cs="Calibri"/>
          <w:sz w:val="24"/>
          <w:szCs w:val="24"/>
        </w:rPr>
        <w:footnoteReference w:id="207"/>
      </w:r>
      <w:r w:rsidRPr="00E81518">
        <w:rPr>
          <w:rFonts w:ascii="Calibri" w:hAnsi="Calibri" w:cs="Calibri"/>
          <w:sz w:val="24"/>
          <w:szCs w:val="24"/>
        </w:rPr>
        <w:t xml:space="preserve"> This continuity underscores the fundamentally conservative nature of Egyptian religion, in which legitimacy; both divine and political was rooted in tradition.</w:t>
      </w:r>
    </w:p>
    <w:p w14:paraId="111F2029"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However, continuity does not imply balance or a halt on change. Under Ptolemaic rule, animal worship underwent significant transformations in emphasis and interpretation. One of the most notable shifts was the increasing commodification of votive animal mummification. While such practices already existed in the Late Period, evidence from the Ptolemaic era suggests a marked intensification and standardisation of production.</w:t>
      </w:r>
      <w:r w:rsidRPr="00E81518">
        <w:rPr>
          <w:rStyle w:val="FootnoteReference"/>
          <w:rFonts w:ascii="Calibri" w:hAnsi="Calibri" w:cs="Calibri"/>
          <w:sz w:val="24"/>
          <w:szCs w:val="24"/>
        </w:rPr>
        <w:footnoteReference w:id="208"/>
      </w:r>
      <w:r w:rsidRPr="00E81518">
        <w:rPr>
          <w:rFonts w:ascii="Calibri" w:hAnsi="Calibri" w:cs="Calibri"/>
          <w:sz w:val="24"/>
          <w:szCs w:val="24"/>
        </w:rPr>
        <w:t xml:space="preserve"> This development reflects broader economic and administrative changes, as temples adapted to increased demand from pilgrims while operating within a Hellenistic monetary economy. Although this mass production has sometimes been interpreted as evidence of declining religious sincerity, this study has argued that it more accurately reflects changing modes of devotional expression within a living religious tradition.</w:t>
      </w:r>
      <w:r w:rsidRPr="00E81518">
        <w:rPr>
          <w:rStyle w:val="FootnoteReference"/>
          <w:rFonts w:ascii="Calibri" w:hAnsi="Calibri" w:cs="Calibri"/>
          <w:sz w:val="24"/>
          <w:szCs w:val="24"/>
        </w:rPr>
        <w:footnoteReference w:id="209"/>
      </w:r>
    </w:p>
    <w:p w14:paraId="722177B1"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Equally significant was the impact of Hellenistic syncretism on the theological framing of animal worship. The creation and promotion of Serapis exemplify the Ptolemies’ strategy of religious integration.</w:t>
      </w:r>
      <w:r w:rsidRPr="00E81518">
        <w:rPr>
          <w:rStyle w:val="FootnoteReference"/>
          <w:rFonts w:ascii="Calibri" w:hAnsi="Calibri" w:cs="Calibri"/>
          <w:sz w:val="24"/>
          <w:szCs w:val="24"/>
        </w:rPr>
        <w:footnoteReference w:id="210"/>
      </w:r>
      <w:r w:rsidRPr="00E81518">
        <w:rPr>
          <w:rFonts w:ascii="Calibri" w:hAnsi="Calibri" w:cs="Calibri"/>
          <w:sz w:val="24"/>
          <w:szCs w:val="24"/>
        </w:rPr>
        <w:t xml:space="preserve"> Designed to appeal to both Greek and Egyptian audiences, Serapis represented an attempt to harmonise divergent religious sensibilities without overtly suppressing traditional cults. While Serapis lacked direct animal associations, his emergence did not negate animal worship but rather recontextualised it within a broader, more universalised religious framework. Traditional animal deities such as Sobek, Horus, and Thoth continued to be venerated, though often with new royal or cosmological emphases that aligned with Hellenistic concepts of kingship and divine authority.</w:t>
      </w:r>
      <w:r w:rsidRPr="00E81518">
        <w:rPr>
          <w:rStyle w:val="FootnoteReference"/>
          <w:rFonts w:ascii="Calibri" w:hAnsi="Calibri" w:cs="Calibri"/>
          <w:sz w:val="24"/>
          <w:szCs w:val="24"/>
        </w:rPr>
        <w:footnoteReference w:id="211"/>
      </w:r>
      <w:r w:rsidRPr="00E81518">
        <w:rPr>
          <w:rFonts w:ascii="Calibri" w:hAnsi="Calibri" w:cs="Calibri"/>
          <w:sz w:val="24"/>
          <w:szCs w:val="24"/>
        </w:rPr>
        <w:t xml:space="preserve"> The role of animal worship in Ptolemaic Egypt must therefore be understood as both religious and political. For the Ptolemies, supporting animal cults was a means of legitimising foreign rule over a deeply religious population. By participating in traditional rituals and maintaining sacred </w:t>
      </w:r>
      <w:r w:rsidRPr="00E81518">
        <w:rPr>
          <w:rFonts w:ascii="Calibri" w:hAnsi="Calibri" w:cs="Calibri"/>
          <w:sz w:val="24"/>
          <w:szCs w:val="24"/>
        </w:rPr>
        <w:lastRenderedPageBreak/>
        <w:t>institutions, the dynasty presented itself as the rightful heir to pharaonic authority. At the same time, selective reinterpretation and syncretism allowed the ruling elite to navigate cultural differences and appeal to Greek settlers who often viewed animal worship with scepticism or exotic fascination.</w:t>
      </w:r>
      <w:r w:rsidRPr="00E81518">
        <w:rPr>
          <w:rStyle w:val="FootnoteReference"/>
          <w:rFonts w:ascii="Calibri" w:hAnsi="Calibri" w:cs="Calibri"/>
          <w:sz w:val="24"/>
          <w:szCs w:val="24"/>
        </w:rPr>
        <w:footnoteReference w:id="212"/>
      </w:r>
      <w:r w:rsidRPr="00E81518">
        <w:rPr>
          <w:rFonts w:ascii="Calibri" w:hAnsi="Calibri" w:cs="Calibri"/>
          <w:sz w:val="24"/>
          <w:szCs w:val="24"/>
        </w:rPr>
        <w:t xml:space="preserve"> This dual strategy highlights religion as a tool of governance and cultural negotiation rather than a static and linear system of belief.</w:t>
      </w:r>
    </w:p>
    <w:p w14:paraId="08F9C75A"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The persistence of animal worship also illuminates the experiences of non-elite Egyptians during this period. Despite the presence of Greek elites and Hellenistic religious innovations, popular devotional practices remained overwhelmingly traditional. Pilgrimage, votive offerings, and local cults continued to structure religious life, suggesting that, for many Egyptians, daily religious experience changed little despite shifts at the political level.</w:t>
      </w:r>
      <w:r w:rsidRPr="00E81518">
        <w:rPr>
          <w:rStyle w:val="FootnoteReference"/>
          <w:rFonts w:ascii="Calibri" w:hAnsi="Calibri" w:cs="Calibri"/>
          <w:sz w:val="24"/>
          <w:szCs w:val="24"/>
        </w:rPr>
        <w:footnoteReference w:id="213"/>
      </w:r>
      <w:r w:rsidRPr="00E81518">
        <w:rPr>
          <w:rFonts w:ascii="Calibri" w:hAnsi="Calibri" w:cs="Calibri"/>
          <w:sz w:val="24"/>
          <w:szCs w:val="24"/>
        </w:rPr>
        <w:t xml:space="preserve"> This coexistence of continuity and change challenges narratives that portray the Ptolemaic period as either wholly Greek or entirely Egyptian. Instead, it reveals a pluralistic religious environment in which multiple traditions operated simultaneously, sometimes intersecting, sometimes remaining distinct.</w:t>
      </w:r>
      <w:r w:rsidRPr="00E81518">
        <w:rPr>
          <w:rStyle w:val="FootnoteReference"/>
          <w:rFonts w:ascii="Calibri" w:hAnsi="Calibri" w:cs="Calibri"/>
          <w:sz w:val="24"/>
          <w:szCs w:val="24"/>
        </w:rPr>
        <w:footnoteReference w:id="214"/>
      </w:r>
    </w:p>
    <w:p w14:paraId="71617985"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Moreover, the transformation of animal worship during this period contributed to the negotiation of cultural and ethnic identities. Participation in traditional animal cults often functioned as a marker of Egyptian identity, while Greek engagement with these practices tended to be selective or mediated through philosophical reinterpretation.</w:t>
      </w:r>
      <w:r w:rsidRPr="00E81518">
        <w:rPr>
          <w:rStyle w:val="FootnoteReference"/>
          <w:rFonts w:ascii="Calibri" w:hAnsi="Calibri" w:cs="Calibri"/>
          <w:sz w:val="24"/>
          <w:szCs w:val="24"/>
        </w:rPr>
        <w:footnoteReference w:id="215"/>
      </w:r>
      <w:r w:rsidRPr="00E81518">
        <w:rPr>
          <w:rFonts w:ascii="Calibri" w:hAnsi="Calibri" w:cs="Calibri"/>
          <w:sz w:val="24"/>
          <w:szCs w:val="24"/>
        </w:rPr>
        <w:t xml:space="preserve"> These dynamics fostered both integration and division, laying the groundwork for later tensions under Roman rule. Animal worship thus played a role not only in religious expression but in the broader social fabric of Ptolemaic Egypt.</w:t>
      </w:r>
    </w:p>
    <w:p w14:paraId="437FDB80" w14:textId="77777777" w:rsidR="002E5252" w:rsidRPr="00E81518" w:rsidRDefault="002E5252" w:rsidP="00E81518">
      <w:pPr>
        <w:spacing w:line="360" w:lineRule="auto"/>
        <w:rPr>
          <w:rFonts w:ascii="Calibri" w:hAnsi="Calibri" w:cs="Calibri"/>
          <w:sz w:val="24"/>
          <w:szCs w:val="24"/>
        </w:rPr>
      </w:pPr>
      <w:r w:rsidRPr="00E81518">
        <w:rPr>
          <w:rFonts w:ascii="Calibri" w:hAnsi="Calibri" w:cs="Calibri"/>
          <w:sz w:val="24"/>
          <w:szCs w:val="24"/>
        </w:rPr>
        <w:t xml:space="preserve">In conclusion, the evolution of Egyptian animal worship from the Late Pharaonic period to the Ptolemaic era exemplifies the adaptability of ancient religious systems in the face of political conquest and cultural contact. While the institutional structures and popular practices of animal veneration endured, their meanings were reshaped by economic change, syncretic theology, and clever imperial strategy. Rather than disappearing or being diluted, animal worship remained a vital and dynamic component of Egyptian religion, </w:t>
      </w:r>
      <w:r w:rsidRPr="00E81518">
        <w:rPr>
          <w:rFonts w:ascii="Calibri" w:hAnsi="Calibri" w:cs="Calibri"/>
          <w:sz w:val="24"/>
          <w:szCs w:val="24"/>
        </w:rPr>
        <w:lastRenderedPageBreak/>
        <w:t>capable of accommodating new rulers while preserving deeply rooted beliefs. This study has demonstrated that animal worship was not an anachronistic survival but a flexible and resilient tradition - one that reveals the profound capacity of Egyptian religion to negotiate continuity and change across centuries of transformation.</w:t>
      </w:r>
    </w:p>
    <w:p w14:paraId="1B14A4D4" w14:textId="77777777" w:rsidR="002E5252" w:rsidRDefault="002E5252" w:rsidP="00E81518">
      <w:pPr>
        <w:spacing w:line="360" w:lineRule="auto"/>
        <w:rPr>
          <w:rFonts w:ascii="Calibri" w:hAnsi="Calibri" w:cs="Calibri"/>
        </w:rPr>
      </w:pPr>
    </w:p>
    <w:p w14:paraId="042C817C" w14:textId="77777777" w:rsidR="009266F8" w:rsidRDefault="009266F8" w:rsidP="00E81518">
      <w:pPr>
        <w:spacing w:line="360" w:lineRule="auto"/>
        <w:rPr>
          <w:rFonts w:ascii="Calibri" w:hAnsi="Calibri" w:cs="Calibri"/>
        </w:rPr>
      </w:pPr>
    </w:p>
    <w:p w14:paraId="7C61EB94" w14:textId="77777777" w:rsidR="009266F8" w:rsidRDefault="009266F8" w:rsidP="00E81518">
      <w:pPr>
        <w:spacing w:line="360" w:lineRule="auto"/>
        <w:rPr>
          <w:rFonts w:ascii="Calibri" w:hAnsi="Calibri" w:cs="Calibri"/>
        </w:rPr>
      </w:pPr>
    </w:p>
    <w:p w14:paraId="794129AA" w14:textId="77777777" w:rsidR="009266F8" w:rsidRDefault="009266F8" w:rsidP="00E81518">
      <w:pPr>
        <w:spacing w:line="360" w:lineRule="auto"/>
        <w:rPr>
          <w:rFonts w:ascii="Calibri" w:hAnsi="Calibri" w:cs="Calibri"/>
        </w:rPr>
      </w:pPr>
    </w:p>
    <w:p w14:paraId="162AE2B3" w14:textId="77777777" w:rsidR="009266F8" w:rsidRDefault="009266F8" w:rsidP="00E81518">
      <w:pPr>
        <w:spacing w:line="360" w:lineRule="auto"/>
        <w:rPr>
          <w:rFonts w:ascii="Calibri" w:hAnsi="Calibri" w:cs="Calibri"/>
        </w:rPr>
      </w:pPr>
    </w:p>
    <w:p w14:paraId="04D6E730" w14:textId="77777777" w:rsidR="009266F8" w:rsidRDefault="009266F8" w:rsidP="00E81518">
      <w:pPr>
        <w:spacing w:line="360" w:lineRule="auto"/>
        <w:rPr>
          <w:rFonts w:ascii="Calibri" w:hAnsi="Calibri" w:cs="Calibri"/>
        </w:rPr>
      </w:pPr>
    </w:p>
    <w:p w14:paraId="30CD951B" w14:textId="77777777" w:rsidR="009266F8" w:rsidRDefault="009266F8" w:rsidP="00E81518">
      <w:pPr>
        <w:spacing w:line="360" w:lineRule="auto"/>
        <w:rPr>
          <w:rFonts w:ascii="Calibri" w:hAnsi="Calibri" w:cs="Calibri"/>
        </w:rPr>
      </w:pPr>
    </w:p>
    <w:p w14:paraId="3638F9E6" w14:textId="77777777" w:rsidR="009266F8" w:rsidRDefault="009266F8" w:rsidP="00E81518">
      <w:pPr>
        <w:spacing w:line="360" w:lineRule="auto"/>
        <w:rPr>
          <w:rFonts w:ascii="Calibri" w:hAnsi="Calibri" w:cs="Calibri"/>
        </w:rPr>
      </w:pPr>
    </w:p>
    <w:p w14:paraId="6A89C65F" w14:textId="77777777" w:rsidR="009266F8" w:rsidRDefault="009266F8" w:rsidP="00E81518">
      <w:pPr>
        <w:spacing w:line="360" w:lineRule="auto"/>
        <w:rPr>
          <w:rFonts w:ascii="Calibri" w:hAnsi="Calibri" w:cs="Calibri"/>
        </w:rPr>
      </w:pPr>
    </w:p>
    <w:p w14:paraId="12644D4A" w14:textId="77777777" w:rsidR="009266F8" w:rsidRDefault="009266F8" w:rsidP="00E81518">
      <w:pPr>
        <w:spacing w:line="360" w:lineRule="auto"/>
        <w:rPr>
          <w:rFonts w:ascii="Calibri" w:hAnsi="Calibri" w:cs="Calibri"/>
        </w:rPr>
      </w:pPr>
    </w:p>
    <w:p w14:paraId="6E14B268" w14:textId="77777777" w:rsidR="009266F8" w:rsidRDefault="009266F8" w:rsidP="00E81518">
      <w:pPr>
        <w:spacing w:line="360" w:lineRule="auto"/>
        <w:rPr>
          <w:rFonts w:ascii="Calibri" w:hAnsi="Calibri" w:cs="Calibri"/>
        </w:rPr>
      </w:pPr>
    </w:p>
    <w:p w14:paraId="3476AE3A" w14:textId="77777777" w:rsidR="009266F8" w:rsidRDefault="009266F8" w:rsidP="00E81518">
      <w:pPr>
        <w:spacing w:line="360" w:lineRule="auto"/>
        <w:rPr>
          <w:rFonts w:ascii="Calibri" w:hAnsi="Calibri" w:cs="Calibri"/>
        </w:rPr>
      </w:pPr>
    </w:p>
    <w:p w14:paraId="434C3D09" w14:textId="77777777" w:rsidR="009266F8" w:rsidRDefault="009266F8" w:rsidP="00E81518">
      <w:pPr>
        <w:spacing w:line="360" w:lineRule="auto"/>
        <w:rPr>
          <w:rFonts w:ascii="Calibri" w:hAnsi="Calibri" w:cs="Calibri"/>
        </w:rPr>
      </w:pPr>
    </w:p>
    <w:p w14:paraId="2EA4C4DA" w14:textId="77777777" w:rsidR="009266F8" w:rsidRDefault="009266F8" w:rsidP="00E81518">
      <w:pPr>
        <w:spacing w:line="360" w:lineRule="auto"/>
        <w:rPr>
          <w:rFonts w:ascii="Calibri" w:hAnsi="Calibri" w:cs="Calibri"/>
        </w:rPr>
      </w:pPr>
    </w:p>
    <w:p w14:paraId="3B958962" w14:textId="77777777" w:rsidR="009266F8" w:rsidRDefault="009266F8" w:rsidP="00E81518">
      <w:pPr>
        <w:spacing w:line="360" w:lineRule="auto"/>
        <w:rPr>
          <w:rFonts w:ascii="Calibri" w:hAnsi="Calibri" w:cs="Calibri"/>
        </w:rPr>
      </w:pPr>
    </w:p>
    <w:p w14:paraId="6F0818F9" w14:textId="77777777" w:rsidR="009266F8" w:rsidRDefault="009266F8" w:rsidP="00E81518">
      <w:pPr>
        <w:spacing w:line="360" w:lineRule="auto"/>
        <w:rPr>
          <w:rFonts w:ascii="Calibri" w:hAnsi="Calibri" w:cs="Calibri"/>
        </w:rPr>
      </w:pPr>
    </w:p>
    <w:p w14:paraId="03F5866C" w14:textId="77777777" w:rsidR="009266F8" w:rsidRDefault="009266F8" w:rsidP="00E81518">
      <w:pPr>
        <w:spacing w:line="360" w:lineRule="auto"/>
        <w:rPr>
          <w:rFonts w:ascii="Calibri" w:hAnsi="Calibri" w:cs="Calibri"/>
        </w:rPr>
      </w:pPr>
    </w:p>
    <w:p w14:paraId="15822357" w14:textId="77777777" w:rsidR="009266F8" w:rsidRDefault="009266F8" w:rsidP="00E81518">
      <w:pPr>
        <w:spacing w:line="360" w:lineRule="auto"/>
        <w:rPr>
          <w:rFonts w:ascii="Calibri" w:hAnsi="Calibri" w:cs="Calibri"/>
        </w:rPr>
      </w:pPr>
    </w:p>
    <w:p w14:paraId="58BE63D6" w14:textId="77777777" w:rsidR="009266F8" w:rsidRDefault="009266F8" w:rsidP="00E81518">
      <w:pPr>
        <w:spacing w:line="360" w:lineRule="auto"/>
        <w:rPr>
          <w:rFonts w:ascii="Calibri" w:hAnsi="Calibri" w:cs="Calibri"/>
        </w:rPr>
      </w:pPr>
    </w:p>
    <w:p w14:paraId="3F5C3AA1" w14:textId="77777777" w:rsidR="009266F8" w:rsidRDefault="009266F8" w:rsidP="00E81518">
      <w:pPr>
        <w:spacing w:line="360" w:lineRule="auto"/>
        <w:rPr>
          <w:rFonts w:ascii="Calibri" w:hAnsi="Calibri" w:cs="Calibri"/>
        </w:rPr>
      </w:pPr>
    </w:p>
    <w:p w14:paraId="0F1998A0" w14:textId="77777777" w:rsidR="009266F8" w:rsidRDefault="009266F8" w:rsidP="00E81518">
      <w:pPr>
        <w:spacing w:line="360" w:lineRule="auto"/>
        <w:rPr>
          <w:rFonts w:ascii="Calibri" w:hAnsi="Calibri" w:cs="Calibri"/>
        </w:rPr>
      </w:pPr>
    </w:p>
    <w:p w14:paraId="36713EFA" w14:textId="77777777" w:rsidR="009266F8" w:rsidRPr="009266F8" w:rsidRDefault="009266F8" w:rsidP="009266F8">
      <w:pPr>
        <w:rPr>
          <w:rFonts w:ascii="Calibri" w:hAnsi="Calibri" w:cs="Calibri"/>
          <w:b/>
          <w:bCs/>
          <w:sz w:val="24"/>
          <w:szCs w:val="24"/>
        </w:rPr>
      </w:pPr>
      <w:r w:rsidRPr="009266F8">
        <w:rPr>
          <w:rFonts w:ascii="Calibri" w:hAnsi="Calibri" w:cs="Calibri"/>
          <w:b/>
          <w:bCs/>
          <w:sz w:val="24"/>
          <w:szCs w:val="24"/>
        </w:rPr>
        <w:lastRenderedPageBreak/>
        <w:t>Bibliography</w:t>
      </w:r>
    </w:p>
    <w:p w14:paraId="3189C38E" w14:textId="77777777" w:rsidR="009266F8" w:rsidRPr="009266F8" w:rsidRDefault="009266F8" w:rsidP="009266F8">
      <w:pPr>
        <w:rPr>
          <w:rFonts w:ascii="Calibri" w:hAnsi="Calibri" w:cs="Calibri"/>
          <w:b/>
          <w:bCs/>
          <w:sz w:val="24"/>
          <w:szCs w:val="24"/>
        </w:rPr>
      </w:pPr>
      <w:r w:rsidRPr="009266F8">
        <w:rPr>
          <w:rFonts w:ascii="Calibri" w:hAnsi="Calibri" w:cs="Calibri"/>
          <w:b/>
          <w:bCs/>
          <w:sz w:val="24"/>
          <w:szCs w:val="24"/>
        </w:rPr>
        <w:t>Books</w:t>
      </w:r>
    </w:p>
    <w:p w14:paraId="0D1FE40C"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Aidan Dodson, Salima Ikram, </w:t>
      </w:r>
      <w:r w:rsidRPr="009266F8">
        <w:rPr>
          <w:rFonts w:ascii="Calibri" w:hAnsi="Calibri" w:cs="Calibri"/>
          <w:i/>
          <w:iCs/>
          <w:sz w:val="24"/>
          <w:szCs w:val="24"/>
        </w:rPr>
        <w:t>The tomb in Ancient Egypt: royal and private sepulchres from the early dynastic period to the Romans</w:t>
      </w:r>
      <w:r w:rsidRPr="009266F8">
        <w:rPr>
          <w:rFonts w:ascii="Calibri" w:hAnsi="Calibri" w:cs="Calibri"/>
          <w:sz w:val="24"/>
          <w:szCs w:val="24"/>
        </w:rPr>
        <w:t xml:space="preserve"> (Thames &amp; Hudson, 2008)</w:t>
      </w:r>
    </w:p>
    <w:p w14:paraId="1B7C6273"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Alan Bowman, Charles, Crowther, </w:t>
      </w:r>
      <w:r w:rsidRPr="009266F8">
        <w:rPr>
          <w:rFonts w:ascii="Calibri" w:hAnsi="Calibri" w:cs="Calibri"/>
          <w:i/>
          <w:iCs/>
          <w:sz w:val="24"/>
          <w:szCs w:val="24"/>
        </w:rPr>
        <w:t>The Epigraphy of Ptolemaic Egypt</w:t>
      </w:r>
      <w:r w:rsidRPr="009266F8">
        <w:rPr>
          <w:rFonts w:ascii="Calibri" w:hAnsi="Calibri" w:cs="Calibri"/>
          <w:sz w:val="24"/>
          <w:szCs w:val="24"/>
        </w:rPr>
        <w:t xml:space="preserve"> (Oxford University Press, 2012)</w:t>
      </w:r>
    </w:p>
    <w:p w14:paraId="0DD99133"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Barbette Stanley Spaeth, </w:t>
      </w:r>
      <w:r w:rsidRPr="009266F8">
        <w:rPr>
          <w:rFonts w:ascii="Calibri" w:hAnsi="Calibri" w:cs="Calibri"/>
          <w:i/>
          <w:iCs/>
          <w:sz w:val="24"/>
          <w:szCs w:val="24"/>
          <w:lang w:val="en-US"/>
        </w:rPr>
        <w:t>The Cambridge Companion to Ancient Mediterranean Religions</w:t>
      </w:r>
      <w:r w:rsidRPr="009266F8">
        <w:rPr>
          <w:rFonts w:ascii="Calibri" w:hAnsi="Calibri" w:cs="Calibri"/>
          <w:sz w:val="24"/>
          <w:szCs w:val="24"/>
          <w:lang w:val="en-US"/>
        </w:rPr>
        <w:t xml:space="preserve"> (Cambridge University Press, 2013)</w:t>
      </w:r>
    </w:p>
    <w:p w14:paraId="6EA40693"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Barry Kemp, </w:t>
      </w:r>
      <w:r w:rsidRPr="009266F8">
        <w:rPr>
          <w:rFonts w:ascii="Calibri" w:hAnsi="Calibri" w:cs="Calibri"/>
          <w:i/>
          <w:iCs/>
          <w:sz w:val="24"/>
          <w:szCs w:val="24"/>
          <w:lang w:val="en-US"/>
        </w:rPr>
        <w:t>Ancient Egypt: Anatomy of a Civilization</w:t>
      </w:r>
      <w:r w:rsidRPr="009266F8">
        <w:rPr>
          <w:rFonts w:ascii="Calibri" w:hAnsi="Calibri" w:cs="Calibri"/>
          <w:sz w:val="24"/>
          <w:szCs w:val="24"/>
          <w:lang w:val="en-US"/>
        </w:rPr>
        <w:t xml:space="preserve"> (Routledge University Press, 2018)</w:t>
      </w:r>
    </w:p>
    <w:p w14:paraId="259D2652"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Carol Andrew, </w:t>
      </w:r>
      <w:r w:rsidRPr="009266F8">
        <w:rPr>
          <w:rFonts w:ascii="Calibri" w:hAnsi="Calibri" w:cs="Calibri"/>
          <w:i/>
          <w:iCs/>
          <w:sz w:val="24"/>
          <w:szCs w:val="24"/>
          <w:lang w:val="en-US"/>
        </w:rPr>
        <w:t>Amulets of Ancient Egypt</w:t>
      </w:r>
      <w:r w:rsidRPr="009266F8">
        <w:rPr>
          <w:rFonts w:ascii="Calibri" w:hAnsi="Calibri" w:cs="Calibri"/>
          <w:sz w:val="24"/>
          <w:szCs w:val="24"/>
          <w:lang w:val="en-US"/>
        </w:rPr>
        <w:t xml:space="preserve"> (British Museum Press, 1994)</w:t>
      </w:r>
    </w:p>
    <w:p w14:paraId="18D3E771"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Charles Freeman, </w:t>
      </w:r>
      <w:r w:rsidRPr="009266F8">
        <w:rPr>
          <w:rFonts w:ascii="Calibri" w:hAnsi="Calibri" w:cs="Calibri"/>
          <w:i/>
          <w:iCs/>
          <w:sz w:val="24"/>
          <w:szCs w:val="24"/>
        </w:rPr>
        <w:t>Egypt, Greece and Rome: Civilisations of the Ancient Mediterranean</w:t>
      </w:r>
      <w:r w:rsidRPr="009266F8">
        <w:rPr>
          <w:rFonts w:ascii="Calibri" w:hAnsi="Calibri" w:cs="Calibri"/>
          <w:sz w:val="24"/>
          <w:szCs w:val="24"/>
        </w:rPr>
        <w:t xml:space="preserve"> (Oxford University Press, 2004)</w:t>
      </w:r>
    </w:p>
    <w:p w14:paraId="146290C0"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Charles River, </w:t>
      </w:r>
      <w:r w:rsidRPr="009266F8">
        <w:rPr>
          <w:rFonts w:ascii="Calibri" w:hAnsi="Calibri" w:cs="Calibri"/>
          <w:i/>
          <w:iCs/>
          <w:sz w:val="24"/>
          <w:szCs w:val="24"/>
        </w:rPr>
        <w:t>Sacred Animals in Ancient Egypt</w:t>
      </w:r>
      <w:r w:rsidRPr="009266F8">
        <w:rPr>
          <w:rFonts w:ascii="Calibri" w:hAnsi="Calibri" w:cs="Calibri"/>
          <w:sz w:val="24"/>
          <w:szCs w:val="24"/>
        </w:rPr>
        <w:t xml:space="preserve"> (CR Editors, 2011)</w:t>
      </w:r>
    </w:p>
    <w:p w14:paraId="2457E028"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Chris Nauton, </w:t>
      </w:r>
      <w:r w:rsidRPr="009266F8">
        <w:rPr>
          <w:rFonts w:ascii="Calibri" w:hAnsi="Calibri" w:cs="Calibri"/>
          <w:i/>
          <w:iCs/>
          <w:sz w:val="24"/>
          <w:szCs w:val="24"/>
        </w:rPr>
        <w:t>Searching for the Lost Tombs of Egypt</w:t>
      </w:r>
      <w:r w:rsidRPr="009266F8">
        <w:rPr>
          <w:rFonts w:ascii="Calibri" w:hAnsi="Calibri" w:cs="Calibri"/>
          <w:sz w:val="24"/>
          <w:szCs w:val="24"/>
        </w:rPr>
        <w:t xml:space="preserve"> (Thames &amp; Hudson, 2018)</w:t>
      </w:r>
    </w:p>
    <w:p w14:paraId="5A3F202B"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Christelle Fischer-Bovet, </w:t>
      </w:r>
      <w:r w:rsidRPr="009266F8">
        <w:rPr>
          <w:rFonts w:ascii="Calibri" w:hAnsi="Calibri" w:cs="Calibri"/>
          <w:i/>
          <w:iCs/>
          <w:sz w:val="24"/>
          <w:szCs w:val="24"/>
        </w:rPr>
        <w:t>Army and Society in Ptolemaic Egypt</w:t>
      </w:r>
      <w:r w:rsidRPr="009266F8">
        <w:rPr>
          <w:rFonts w:ascii="Calibri" w:hAnsi="Calibri" w:cs="Calibri"/>
          <w:sz w:val="24"/>
          <w:szCs w:val="24"/>
        </w:rPr>
        <w:t xml:space="preserve"> (Cambridge University Press, 2014)</w:t>
      </w:r>
    </w:p>
    <w:p w14:paraId="42C1EFF5"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Christina Riggs, </w:t>
      </w:r>
      <w:r w:rsidRPr="009266F8">
        <w:rPr>
          <w:rFonts w:ascii="Calibri" w:hAnsi="Calibri" w:cs="Calibri"/>
          <w:i/>
          <w:iCs/>
          <w:sz w:val="24"/>
          <w:szCs w:val="24"/>
        </w:rPr>
        <w:t>The Oxford Handbook of Roman Egypt</w:t>
      </w:r>
      <w:r w:rsidRPr="009266F8">
        <w:rPr>
          <w:rFonts w:ascii="Calibri" w:hAnsi="Calibri" w:cs="Calibri"/>
          <w:sz w:val="24"/>
          <w:szCs w:val="24"/>
        </w:rPr>
        <w:t xml:space="preserve"> (Oxford University Press, 2012)</w:t>
      </w:r>
    </w:p>
    <w:p w14:paraId="251F57C8"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David Frankfurter, </w:t>
      </w:r>
      <w:r w:rsidRPr="009266F8">
        <w:rPr>
          <w:rFonts w:ascii="Calibri" w:hAnsi="Calibri" w:cs="Calibri"/>
          <w:i/>
          <w:iCs/>
          <w:sz w:val="24"/>
          <w:szCs w:val="24"/>
          <w:lang w:val="en-US"/>
        </w:rPr>
        <w:t>Religion in Roman Egypt: Assimilation and Resistance</w:t>
      </w:r>
      <w:r w:rsidRPr="009266F8">
        <w:rPr>
          <w:rFonts w:ascii="Calibri" w:hAnsi="Calibri" w:cs="Calibri"/>
          <w:sz w:val="24"/>
          <w:szCs w:val="24"/>
          <w:lang w:val="en-US"/>
        </w:rPr>
        <w:t xml:space="preserve"> (Princeton University Press, 1998)</w:t>
      </w:r>
    </w:p>
    <w:p w14:paraId="3E775BF6"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David O’Connor, </w:t>
      </w:r>
      <w:r w:rsidRPr="009266F8">
        <w:rPr>
          <w:rFonts w:ascii="Calibri" w:hAnsi="Calibri" w:cs="Calibri"/>
          <w:i/>
          <w:iCs/>
          <w:sz w:val="24"/>
          <w:szCs w:val="24"/>
        </w:rPr>
        <w:t xml:space="preserve">Abydos: Egypt’s first pharaohs and the cult of Osiris </w:t>
      </w:r>
      <w:r w:rsidRPr="009266F8">
        <w:rPr>
          <w:rFonts w:ascii="Calibri" w:hAnsi="Calibri" w:cs="Calibri"/>
          <w:sz w:val="24"/>
          <w:szCs w:val="24"/>
        </w:rPr>
        <w:t>(Thames &amp; Hudson, 2009)</w:t>
      </w:r>
    </w:p>
    <w:p w14:paraId="040FD113"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David P. Silverman, </w:t>
      </w:r>
      <w:r w:rsidRPr="009266F8">
        <w:rPr>
          <w:rFonts w:ascii="Calibri" w:hAnsi="Calibri" w:cs="Calibri"/>
          <w:i/>
          <w:iCs/>
          <w:sz w:val="24"/>
          <w:szCs w:val="24"/>
        </w:rPr>
        <w:t>Ancient Egypt</w:t>
      </w:r>
      <w:r w:rsidRPr="009266F8">
        <w:rPr>
          <w:rFonts w:ascii="Calibri" w:hAnsi="Calibri" w:cs="Calibri"/>
          <w:sz w:val="24"/>
          <w:szCs w:val="24"/>
        </w:rPr>
        <w:t xml:space="preserve"> (Duncan Baird Publishers, 1997)</w:t>
      </w:r>
    </w:p>
    <w:p w14:paraId="6DD47E2C"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Donald B. Redford, </w:t>
      </w:r>
      <w:r w:rsidRPr="009266F8">
        <w:rPr>
          <w:rFonts w:ascii="Calibri" w:hAnsi="Calibri" w:cs="Calibri"/>
          <w:i/>
          <w:iCs/>
          <w:sz w:val="24"/>
          <w:szCs w:val="24"/>
        </w:rPr>
        <w:t>The Ancient Gods: a guide to Egyptian Religion</w:t>
      </w:r>
      <w:r w:rsidRPr="009266F8">
        <w:rPr>
          <w:rFonts w:ascii="Calibri" w:hAnsi="Calibri" w:cs="Calibri"/>
          <w:sz w:val="24"/>
          <w:szCs w:val="24"/>
        </w:rPr>
        <w:t xml:space="preserve"> (Oxford University Press, 2002)</w:t>
      </w:r>
    </w:p>
    <w:p w14:paraId="0BF947A3"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Dorothy J. Thompson</w:t>
      </w:r>
      <w:r w:rsidRPr="009266F8">
        <w:rPr>
          <w:rFonts w:ascii="Calibri" w:hAnsi="Calibri" w:cs="Calibri"/>
          <w:i/>
          <w:iCs/>
          <w:sz w:val="24"/>
          <w:szCs w:val="24"/>
        </w:rPr>
        <w:t>, Memphis under the Ptolemies</w:t>
      </w:r>
      <w:r w:rsidRPr="009266F8">
        <w:rPr>
          <w:rFonts w:ascii="Calibri" w:hAnsi="Calibri" w:cs="Calibri"/>
          <w:sz w:val="24"/>
          <w:szCs w:val="24"/>
        </w:rPr>
        <w:t xml:space="preserve"> (Princeton University Press, 2000)</w:t>
      </w:r>
    </w:p>
    <w:p w14:paraId="753DF02F"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Edward Moxon, </w:t>
      </w:r>
      <w:r w:rsidRPr="009266F8">
        <w:rPr>
          <w:rFonts w:ascii="Calibri" w:hAnsi="Calibri" w:cs="Calibri"/>
          <w:i/>
          <w:iCs/>
          <w:sz w:val="24"/>
          <w:szCs w:val="24"/>
        </w:rPr>
        <w:t>The History of Egypt under the Ptolemies</w:t>
      </w:r>
      <w:r w:rsidRPr="009266F8">
        <w:rPr>
          <w:rFonts w:ascii="Calibri" w:hAnsi="Calibri" w:cs="Calibri"/>
          <w:sz w:val="24"/>
          <w:szCs w:val="24"/>
        </w:rPr>
        <w:t xml:space="preserve"> (1838)</w:t>
      </w:r>
    </w:p>
    <w:p w14:paraId="64342F36"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Eleanor Harris, </w:t>
      </w:r>
      <w:r w:rsidRPr="009266F8">
        <w:rPr>
          <w:rFonts w:ascii="Calibri" w:hAnsi="Calibri" w:cs="Calibri"/>
          <w:i/>
          <w:iCs/>
          <w:sz w:val="24"/>
          <w:szCs w:val="24"/>
        </w:rPr>
        <w:t>Ancient Egyptian Magic</w:t>
      </w:r>
      <w:r w:rsidRPr="009266F8">
        <w:rPr>
          <w:rFonts w:ascii="Calibri" w:hAnsi="Calibri" w:cs="Calibri"/>
          <w:sz w:val="24"/>
          <w:szCs w:val="24"/>
        </w:rPr>
        <w:t xml:space="preserve"> (Weiser Books, 2015)</w:t>
      </w:r>
    </w:p>
    <w:p w14:paraId="41041970"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Emily Teeter, </w:t>
      </w:r>
      <w:r w:rsidRPr="009266F8">
        <w:rPr>
          <w:rFonts w:ascii="Calibri" w:hAnsi="Calibri" w:cs="Calibri"/>
          <w:i/>
          <w:iCs/>
          <w:sz w:val="24"/>
          <w:szCs w:val="24"/>
          <w:lang w:val="en-US"/>
        </w:rPr>
        <w:t>Religion and Ritual in Ancient Egypt</w:t>
      </w:r>
      <w:r w:rsidRPr="009266F8">
        <w:rPr>
          <w:rFonts w:ascii="Calibri" w:hAnsi="Calibri" w:cs="Calibri"/>
          <w:sz w:val="24"/>
          <w:szCs w:val="24"/>
          <w:lang w:val="en-US"/>
        </w:rPr>
        <w:t xml:space="preserve"> (Cambridge University Press, 2019)</w:t>
      </w:r>
    </w:p>
    <w:p w14:paraId="5550A9F7"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Erik Hornung, </w:t>
      </w:r>
      <w:r w:rsidRPr="009266F8">
        <w:rPr>
          <w:rFonts w:ascii="Calibri" w:hAnsi="Calibri" w:cs="Calibri"/>
          <w:i/>
          <w:iCs/>
          <w:sz w:val="24"/>
          <w:szCs w:val="24"/>
          <w:lang w:val="en-US"/>
        </w:rPr>
        <w:t>Conceptions of God in Ancient Egypt</w:t>
      </w:r>
      <w:r w:rsidRPr="009266F8">
        <w:rPr>
          <w:rFonts w:ascii="Calibri" w:hAnsi="Calibri" w:cs="Calibri"/>
          <w:sz w:val="24"/>
          <w:szCs w:val="24"/>
          <w:lang w:val="en-US"/>
        </w:rPr>
        <w:t xml:space="preserve"> (Cornell University Press, 1996)</w:t>
      </w:r>
    </w:p>
    <w:p w14:paraId="12953F20"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Flinders Petrie, </w:t>
      </w:r>
      <w:r w:rsidRPr="009266F8">
        <w:rPr>
          <w:rFonts w:ascii="Calibri" w:hAnsi="Calibri" w:cs="Calibri"/>
          <w:i/>
          <w:iCs/>
          <w:sz w:val="24"/>
          <w:szCs w:val="24"/>
          <w:lang w:val="en-US"/>
        </w:rPr>
        <w:t>Personal Religion in Egypt before Christianity</w:t>
      </w:r>
      <w:r w:rsidRPr="009266F8">
        <w:rPr>
          <w:rFonts w:ascii="Calibri" w:hAnsi="Calibri" w:cs="Calibri"/>
          <w:sz w:val="24"/>
          <w:szCs w:val="24"/>
          <w:lang w:val="en-US"/>
        </w:rPr>
        <w:t xml:space="preserve"> (Read Books Ltd, 2011)</w:t>
      </w:r>
    </w:p>
    <w:p w14:paraId="02A372AA"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Flinders Petrie, </w:t>
      </w:r>
      <w:r w:rsidRPr="009266F8">
        <w:rPr>
          <w:rFonts w:ascii="Calibri" w:hAnsi="Calibri" w:cs="Calibri"/>
          <w:i/>
          <w:iCs/>
          <w:sz w:val="24"/>
          <w:szCs w:val="24"/>
          <w:lang w:val="en-US"/>
        </w:rPr>
        <w:t>The Religion of Ancient Egypt</w:t>
      </w:r>
      <w:r w:rsidRPr="009266F8">
        <w:rPr>
          <w:rFonts w:ascii="Calibri" w:hAnsi="Calibri" w:cs="Calibri"/>
          <w:sz w:val="24"/>
          <w:szCs w:val="24"/>
          <w:lang w:val="en-US"/>
        </w:rPr>
        <w:t xml:space="preserve"> (Read Books Ltd, 2013)</w:t>
      </w:r>
    </w:p>
    <w:p w14:paraId="53729489"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lastRenderedPageBreak/>
        <w:t>Frank L. Holt</w:t>
      </w:r>
      <w:r w:rsidRPr="009266F8">
        <w:rPr>
          <w:rFonts w:ascii="Calibri" w:hAnsi="Calibri" w:cs="Calibri"/>
          <w:sz w:val="24"/>
          <w:szCs w:val="24"/>
        </w:rPr>
        <w:t xml:space="preserve">, </w:t>
      </w:r>
      <w:r w:rsidRPr="009266F8">
        <w:rPr>
          <w:rFonts w:ascii="Calibri" w:hAnsi="Calibri" w:cs="Calibri"/>
          <w:i/>
          <w:iCs/>
          <w:sz w:val="24"/>
          <w:szCs w:val="24"/>
        </w:rPr>
        <w:t>A Mystery from the Mummy-Pits: The Amazing Journey of Ankh-Hap</w:t>
      </w:r>
      <w:r w:rsidRPr="009266F8">
        <w:rPr>
          <w:rFonts w:ascii="Calibri" w:hAnsi="Calibri" w:cs="Calibri"/>
          <w:sz w:val="24"/>
          <w:szCs w:val="24"/>
        </w:rPr>
        <w:t xml:space="preserve"> (Oxford University Press, 2024)</w:t>
      </w:r>
    </w:p>
    <w:p w14:paraId="6DB92F20"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Gene Kritsky, </w:t>
      </w:r>
      <w:r w:rsidRPr="009266F8">
        <w:rPr>
          <w:rFonts w:ascii="Calibri" w:hAnsi="Calibri" w:cs="Calibri"/>
          <w:i/>
          <w:iCs/>
          <w:sz w:val="24"/>
          <w:szCs w:val="24"/>
        </w:rPr>
        <w:t>The Tears of Re: Beekeeping in Ancient Egypt</w:t>
      </w:r>
      <w:r w:rsidRPr="009266F8">
        <w:rPr>
          <w:rFonts w:ascii="Calibri" w:hAnsi="Calibri" w:cs="Calibri"/>
          <w:sz w:val="24"/>
          <w:szCs w:val="24"/>
        </w:rPr>
        <w:t xml:space="preserve"> (Oxford University Press, 2015)</w:t>
      </w:r>
    </w:p>
    <w:p w14:paraId="7451C9EB"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Geraldine Pinch, </w:t>
      </w:r>
      <w:r w:rsidRPr="009266F8">
        <w:rPr>
          <w:rFonts w:ascii="Calibri" w:hAnsi="Calibri" w:cs="Calibri"/>
          <w:i/>
          <w:iCs/>
          <w:sz w:val="24"/>
          <w:szCs w:val="24"/>
          <w:lang w:val="en-US"/>
        </w:rPr>
        <w:t>Egyptian Mythology: A Guide to the Gods, Goddesses, and Traditions of Ancient Egypt</w:t>
      </w:r>
      <w:r w:rsidRPr="009266F8">
        <w:rPr>
          <w:rFonts w:ascii="Calibri" w:hAnsi="Calibri" w:cs="Calibri"/>
          <w:sz w:val="24"/>
          <w:szCs w:val="24"/>
          <w:lang w:val="en-US"/>
        </w:rPr>
        <w:t xml:space="preserve"> (Oxford University Press, 2002)</w:t>
      </w:r>
    </w:p>
    <w:p w14:paraId="00BC40C6"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Gwyn John Griffiths, </w:t>
      </w:r>
      <w:r w:rsidRPr="009266F8">
        <w:rPr>
          <w:rFonts w:ascii="Calibri" w:hAnsi="Calibri" w:cs="Calibri"/>
          <w:i/>
          <w:iCs/>
          <w:sz w:val="24"/>
          <w:szCs w:val="24"/>
          <w:lang w:val="en-US"/>
        </w:rPr>
        <w:t>Plutarch’s Isis and Osiris</w:t>
      </w:r>
      <w:r w:rsidRPr="009266F8">
        <w:rPr>
          <w:rFonts w:ascii="Calibri" w:hAnsi="Calibri" w:cs="Calibri"/>
          <w:sz w:val="24"/>
          <w:szCs w:val="24"/>
          <w:lang w:val="en-US"/>
        </w:rPr>
        <w:t xml:space="preserve"> (University of Wales Press, 1970)</w:t>
      </w:r>
    </w:p>
    <w:p w14:paraId="510D9DE8"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H. Idris Bell</w:t>
      </w:r>
      <w:r w:rsidRPr="009266F8">
        <w:rPr>
          <w:rFonts w:ascii="Calibri" w:hAnsi="Calibri" w:cs="Calibri"/>
          <w:i/>
          <w:iCs/>
          <w:sz w:val="24"/>
          <w:szCs w:val="24"/>
          <w:lang w:val="en-US"/>
        </w:rPr>
        <w:t xml:space="preserve">, </w:t>
      </w:r>
      <w:r w:rsidRPr="009266F8">
        <w:rPr>
          <w:rFonts w:ascii="Calibri" w:hAnsi="Calibri" w:cs="Calibri"/>
          <w:i/>
          <w:iCs/>
          <w:sz w:val="24"/>
          <w:szCs w:val="24"/>
        </w:rPr>
        <w:t>Egypt from Alexander the Great to the Arab conquest: a study in the diffusion and decay of Hellenism</w:t>
      </w:r>
      <w:r w:rsidRPr="009266F8">
        <w:rPr>
          <w:rFonts w:ascii="Calibri" w:hAnsi="Calibri" w:cs="Calibri"/>
          <w:sz w:val="24"/>
          <w:szCs w:val="24"/>
        </w:rPr>
        <w:t xml:space="preserve"> (Clarendon Press, 1948)</w:t>
      </w:r>
    </w:p>
    <w:p w14:paraId="126FAD0B"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Ian Shaw, </w:t>
      </w:r>
      <w:r w:rsidRPr="009266F8">
        <w:rPr>
          <w:rFonts w:ascii="Calibri" w:hAnsi="Calibri" w:cs="Calibri"/>
          <w:i/>
          <w:iCs/>
          <w:sz w:val="24"/>
          <w:szCs w:val="24"/>
        </w:rPr>
        <w:t>The Oxford History of Ancient Egypt</w:t>
      </w:r>
      <w:r w:rsidRPr="009266F8">
        <w:rPr>
          <w:rFonts w:ascii="Calibri" w:hAnsi="Calibri" w:cs="Calibri"/>
          <w:sz w:val="24"/>
          <w:szCs w:val="24"/>
        </w:rPr>
        <w:t xml:space="preserve"> (Oxford University Press, 2000)</w:t>
      </w:r>
    </w:p>
    <w:p w14:paraId="614E432E"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Jan Assmann, </w:t>
      </w:r>
      <w:r w:rsidRPr="009266F8">
        <w:rPr>
          <w:rFonts w:ascii="Calibri" w:hAnsi="Calibri" w:cs="Calibri"/>
          <w:i/>
          <w:iCs/>
          <w:sz w:val="24"/>
          <w:szCs w:val="24"/>
        </w:rPr>
        <w:t>Cultural Memory ad Early Civilisation: Writing, Remembrance and Political Imagination</w:t>
      </w:r>
      <w:r w:rsidRPr="009266F8">
        <w:rPr>
          <w:rFonts w:ascii="Calibri" w:hAnsi="Calibri" w:cs="Calibri"/>
          <w:sz w:val="24"/>
          <w:szCs w:val="24"/>
        </w:rPr>
        <w:t xml:space="preserve"> (Cambridge University Press, 1992)</w:t>
      </w:r>
    </w:p>
    <w:p w14:paraId="127420CB"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Jaromir Malek, </w:t>
      </w:r>
      <w:r w:rsidRPr="009266F8">
        <w:rPr>
          <w:rFonts w:ascii="Calibri" w:hAnsi="Calibri" w:cs="Calibri"/>
          <w:i/>
          <w:iCs/>
          <w:sz w:val="24"/>
          <w:szCs w:val="24"/>
        </w:rPr>
        <w:t>The cat in Ancient Egypt</w:t>
      </w:r>
      <w:r w:rsidRPr="009266F8">
        <w:rPr>
          <w:rFonts w:ascii="Calibri" w:hAnsi="Calibri" w:cs="Calibri"/>
          <w:sz w:val="24"/>
          <w:szCs w:val="24"/>
        </w:rPr>
        <w:t xml:space="preserve"> (Routledge Press, 2007)</w:t>
      </w:r>
    </w:p>
    <w:p w14:paraId="0C1AC080"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J.G. Manning, </w:t>
      </w:r>
      <w:r w:rsidRPr="009266F8">
        <w:rPr>
          <w:rFonts w:ascii="Calibri" w:hAnsi="Calibri" w:cs="Calibri"/>
          <w:i/>
          <w:iCs/>
          <w:sz w:val="24"/>
          <w:szCs w:val="24"/>
        </w:rPr>
        <w:t>The Last Pharaohs: Egypt under the Ptolemies, 305-30BC</w:t>
      </w:r>
      <w:r w:rsidRPr="009266F8">
        <w:rPr>
          <w:rFonts w:ascii="Calibri" w:hAnsi="Calibri" w:cs="Calibri"/>
          <w:sz w:val="24"/>
          <w:szCs w:val="24"/>
        </w:rPr>
        <w:t xml:space="preserve"> (Princeotn University Press, 2010)</w:t>
      </w:r>
    </w:p>
    <w:p w14:paraId="79579D2D"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Johannes Hahn, Stephen Emmel, Ulrich Gotter, </w:t>
      </w:r>
      <w:r w:rsidRPr="009266F8">
        <w:rPr>
          <w:rFonts w:ascii="Calibri" w:hAnsi="Calibri" w:cs="Calibri"/>
          <w:i/>
          <w:iCs/>
          <w:sz w:val="24"/>
          <w:szCs w:val="24"/>
        </w:rPr>
        <w:t>From Temple to Church: Destruction and renewal of local cultic topography in late antiquity</w:t>
      </w:r>
      <w:r w:rsidRPr="009266F8">
        <w:rPr>
          <w:rFonts w:ascii="Calibri" w:hAnsi="Calibri" w:cs="Calibri"/>
          <w:sz w:val="24"/>
          <w:szCs w:val="24"/>
        </w:rPr>
        <w:t xml:space="preserve"> (Brill, 2008)</w:t>
      </w:r>
    </w:p>
    <w:p w14:paraId="3135CDC5"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Lesley Jackson, </w:t>
      </w:r>
      <w:r w:rsidRPr="009266F8">
        <w:rPr>
          <w:rFonts w:ascii="Calibri" w:hAnsi="Calibri" w:cs="Calibri"/>
          <w:i/>
          <w:iCs/>
          <w:sz w:val="24"/>
          <w:szCs w:val="24"/>
        </w:rPr>
        <w:t>Sekhmet &amp; Bastet – The Feline Powers of Ancient Egypt</w:t>
      </w:r>
      <w:r w:rsidRPr="009266F8">
        <w:rPr>
          <w:rFonts w:ascii="Calibri" w:hAnsi="Calibri" w:cs="Calibri"/>
          <w:sz w:val="24"/>
          <w:szCs w:val="24"/>
        </w:rPr>
        <w:t xml:space="preserve"> (Avalonia, 2019)</w:t>
      </w:r>
    </w:p>
    <w:p w14:paraId="7823D34F"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Lidija McKnight, </w:t>
      </w:r>
      <w:r w:rsidRPr="009266F8">
        <w:rPr>
          <w:rFonts w:ascii="Calibri" w:hAnsi="Calibri" w:cs="Calibri"/>
          <w:i/>
          <w:iCs/>
          <w:sz w:val="24"/>
          <w:szCs w:val="24"/>
          <w:lang w:val="en-US"/>
        </w:rPr>
        <w:t>Gifts for the Gods, Ancient Egyptian Animal Mummies and the British</w:t>
      </w:r>
      <w:r w:rsidRPr="009266F8">
        <w:rPr>
          <w:rFonts w:ascii="Calibri" w:hAnsi="Calibri" w:cs="Calibri"/>
          <w:sz w:val="24"/>
          <w:szCs w:val="24"/>
          <w:lang w:val="en-US"/>
        </w:rPr>
        <w:t xml:space="preserve"> (Liverpool University Press, 2015)</w:t>
      </w:r>
    </w:p>
    <w:p w14:paraId="116E6840"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Mario C. Paganini, </w:t>
      </w:r>
      <w:r w:rsidRPr="009266F8">
        <w:rPr>
          <w:rFonts w:ascii="Calibri" w:hAnsi="Calibri" w:cs="Calibri"/>
          <w:i/>
          <w:iCs/>
          <w:sz w:val="24"/>
          <w:szCs w:val="24"/>
        </w:rPr>
        <w:t>Gymnasia and Greek Identity in Ptolemaic Egypt</w:t>
      </w:r>
      <w:r w:rsidRPr="009266F8">
        <w:rPr>
          <w:rFonts w:ascii="Calibri" w:hAnsi="Calibri" w:cs="Calibri"/>
          <w:sz w:val="24"/>
          <w:szCs w:val="24"/>
        </w:rPr>
        <w:t xml:space="preserve"> (Oxford University Press, 2022)</w:t>
      </w:r>
    </w:p>
    <w:p w14:paraId="53A21E1D"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Mark Smith, </w:t>
      </w:r>
      <w:r w:rsidRPr="009266F8">
        <w:rPr>
          <w:rFonts w:ascii="Calibri" w:hAnsi="Calibri" w:cs="Calibri"/>
          <w:i/>
          <w:iCs/>
          <w:sz w:val="24"/>
          <w:szCs w:val="24"/>
        </w:rPr>
        <w:t>Traversing Eternity, Texts for the Afterlife from Ptolemaic and Roman Egypt</w:t>
      </w:r>
      <w:r w:rsidRPr="009266F8">
        <w:rPr>
          <w:rFonts w:ascii="Calibri" w:hAnsi="Calibri" w:cs="Calibri"/>
          <w:sz w:val="24"/>
          <w:szCs w:val="24"/>
        </w:rPr>
        <w:t xml:space="preserve"> (Oxford University Press, 2009)</w:t>
      </w:r>
    </w:p>
    <w:p w14:paraId="0D6A2797"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Paul J. Kosmin, Ian S. Moyer, </w:t>
      </w:r>
      <w:r w:rsidRPr="009266F8">
        <w:rPr>
          <w:rFonts w:ascii="Calibri" w:hAnsi="Calibri" w:cs="Calibri"/>
          <w:i/>
          <w:iCs/>
          <w:sz w:val="24"/>
          <w:szCs w:val="24"/>
        </w:rPr>
        <w:t>Cultures of resistance in the Hellenistic East</w:t>
      </w:r>
      <w:r w:rsidRPr="009266F8">
        <w:rPr>
          <w:rFonts w:ascii="Calibri" w:hAnsi="Calibri" w:cs="Calibri"/>
          <w:sz w:val="24"/>
          <w:szCs w:val="24"/>
        </w:rPr>
        <w:t xml:space="preserve"> (Oxford University Press, 2022)</w:t>
      </w:r>
    </w:p>
    <w:p w14:paraId="3C7D724B"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Paul T. Nicholson, </w:t>
      </w:r>
      <w:r w:rsidRPr="009266F8">
        <w:rPr>
          <w:rFonts w:ascii="Calibri" w:hAnsi="Calibri" w:cs="Calibri"/>
          <w:i/>
          <w:iCs/>
          <w:sz w:val="24"/>
          <w:szCs w:val="24"/>
        </w:rPr>
        <w:t>Ancient Egyptian Materials and Technology</w:t>
      </w:r>
      <w:r w:rsidRPr="009266F8">
        <w:rPr>
          <w:rFonts w:ascii="Calibri" w:hAnsi="Calibri" w:cs="Calibri"/>
          <w:sz w:val="24"/>
          <w:szCs w:val="24"/>
        </w:rPr>
        <w:t xml:space="preserve"> (Cambridge University Press, 2000)</w:t>
      </w:r>
    </w:p>
    <w:p w14:paraId="3396880E"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P. M. Fraser, </w:t>
      </w:r>
      <w:r w:rsidRPr="009266F8">
        <w:rPr>
          <w:rFonts w:ascii="Calibri" w:hAnsi="Calibri" w:cs="Calibri"/>
          <w:i/>
          <w:iCs/>
          <w:sz w:val="24"/>
          <w:szCs w:val="24"/>
        </w:rPr>
        <w:t>Ptolemaic Alexandria</w:t>
      </w:r>
      <w:r w:rsidRPr="009266F8">
        <w:rPr>
          <w:rFonts w:ascii="Calibri" w:hAnsi="Calibri" w:cs="Calibri"/>
          <w:sz w:val="24"/>
          <w:szCs w:val="24"/>
        </w:rPr>
        <w:t xml:space="preserve"> (Oxford Clarendon Press, 1972)</w:t>
      </w:r>
    </w:p>
    <w:p w14:paraId="30EE4EA3"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Ralph Birk, Laurent Coulon</w:t>
      </w:r>
      <w:r w:rsidRPr="009266F8">
        <w:rPr>
          <w:rFonts w:ascii="Calibri" w:hAnsi="Calibri" w:cs="Calibri"/>
          <w:i/>
          <w:iCs/>
          <w:sz w:val="24"/>
          <w:szCs w:val="24"/>
        </w:rPr>
        <w:t>, The Thebaid in Times of Crisis: Revolt and Response in Ptolemaic Egypt</w:t>
      </w:r>
      <w:r w:rsidRPr="009266F8">
        <w:rPr>
          <w:rFonts w:ascii="Calibri" w:hAnsi="Calibri" w:cs="Calibri"/>
          <w:sz w:val="24"/>
          <w:szCs w:val="24"/>
        </w:rPr>
        <w:t xml:space="preserve"> (De Gruyter Berlin, 2025)</w:t>
      </w:r>
    </w:p>
    <w:p w14:paraId="414B9CFB"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Richard Sullivan, </w:t>
      </w:r>
      <w:r w:rsidRPr="009266F8">
        <w:rPr>
          <w:rFonts w:ascii="Calibri" w:hAnsi="Calibri" w:cs="Calibri"/>
          <w:i/>
          <w:iCs/>
          <w:sz w:val="24"/>
          <w:szCs w:val="24"/>
        </w:rPr>
        <w:t>Near Eastern Royalty and Rome: 100-30BC</w:t>
      </w:r>
      <w:r w:rsidRPr="009266F8">
        <w:rPr>
          <w:rFonts w:ascii="Calibri" w:hAnsi="Calibri" w:cs="Calibri"/>
          <w:sz w:val="24"/>
          <w:szCs w:val="24"/>
        </w:rPr>
        <w:t xml:space="preserve"> (University of Toronto Press, 1990)</w:t>
      </w:r>
    </w:p>
    <w:p w14:paraId="0CD213E4"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Robert Steven Bianchi, Daily Life of the Nubians (Greenwood Press, 2004)</w:t>
      </w:r>
    </w:p>
    <w:p w14:paraId="7251C8F9"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lastRenderedPageBreak/>
        <w:t xml:space="preserve">Roger Bagnall, Hélène Cuvigny, </w:t>
      </w:r>
      <w:r w:rsidRPr="009266F8">
        <w:rPr>
          <w:rFonts w:ascii="Calibri" w:hAnsi="Calibri" w:cs="Calibri"/>
          <w:i/>
          <w:iCs/>
          <w:sz w:val="24"/>
          <w:szCs w:val="24"/>
        </w:rPr>
        <w:t>Rome in Egypt’s Eastern Desert, Volume 1 (New York University Press, 2021)</w:t>
      </w:r>
    </w:p>
    <w:p w14:paraId="4697ECAC"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Rosalie David, </w:t>
      </w:r>
      <w:r w:rsidRPr="009266F8">
        <w:rPr>
          <w:rFonts w:ascii="Calibri" w:hAnsi="Calibri" w:cs="Calibri"/>
          <w:i/>
          <w:iCs/>
          <w:sz w:val="24"/>
          <w:szCs w:val="24"/>
        </w:rPr>
        <w:t>Egyptian Mummies and Modern Science</w:t>
      </w:r>
      <w:r w:rsidRPr="009266F8">
        <w:rPr>
          <w:rFonts w:ascii="Calibri" w:hAnsi="Calibri" w:cs="Calibri"/>
          <w:sz w:val="24"/>
          <w:szCs w:val="24"/>
        </w:rPr>
        <w:t xml:space="preserve"> (Cambridge University Press, 2008)</w:t>
      </w:r>
    </w:p>
    <w:p w14:paraId="4D5F51D5"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Rosalie David, </w:t>
      </w:r>
      <w:r w:rsidRPr="009266F8">
        <w:rPr>
          <w:rFonts w:ascii="Calibri" w:hAnsi="Calibri" w:cs="Calibri"/>
          <w:sz w:val="24"/>
          <w:szCs w:val="24"/>
          <w:lang w:val="en-US"/>
        </w:rPr>
        <w:t xml:space="preserve">, </w:t>
      </w:r>
      <w:r w:rsidRPr="009266F8">
        <w:rPr>
          <w:rFonts w:ascii="Calibri" w:hAnsi="Calibri" w:cs="Calibri"/>
          <w:i/>
          <w:iCs/>
          <w:sz w:val="24"/>
          <w:szCs w:val="24"/>
          <w:lang w:val="en-US"/>
        </w:rPr>
        <w:t>Religion and Magic in Ancient Egypt</w:t>
      </w:r>
      <w:r w:rsidRPr="009266F8">
        <w:rPr>
          <w:rFonts w:ascii="Calibri" w:hAnsi="Calibri" w:cs="Calibri"/>
          <w:sz w:val="24"/>
          <w:szCs w:val="24"/>
          <w:lang w:val="en-US"/>
        </w:rPr>
        <w:t xml:space="preserve"> (Penguin books, 2002)</w:t>
      </w:r>
    </w:p>
    <w:p w14:paraId="5CD33FEE"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 xml:space="preserve">Salima Ikram, </w:t>
      </w:r>
      <w:r w:rsidRPr="009266F8">
        <w:rPr>
          <w:rFonts w:ascii="Calibri" w:hAnsi="Calibri" w:cs="Calibri"/>
          <w:i/>
          <w:iCs/>
          <w:sz w:val="24"/>
          <w:szCs w:val="24"/>
        </w:rPr>
        <w:t>Death and Burial in Ancient Egypt</w:t>
      </w:r>
      <w:r w:rsidRPr="009266F8">
        <w:rPr>
          <w:rFonts w:ascii="Calibri" w:hAnsi="Calibri" w:cs="Calibri"/>
          <w:sz w:val="24"/>
          <w:szCs w:val="24"/>
        </w:rPr>
        <w:t xml:space="preserve"> (The American University in Cairo Press, 2015)</w:t>
      </w:r>
    </w:p>
    <w:p w14:paraId="2F48685A"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Salima Ikram, </w:t>
      </w:r>
      <w:r w:rsidRPr="009266F8">
        <w:rPr>
          <w:rFonts w:ascii="Calibri" w:hAnsi="Calibri" w:cs="Calibri"/>
          <w:i/>
          <w:iCs/>
          <w:sz w:val="24"/>
          <w:szCs w:val="24"/>
          <w:lang w:val="en-US"/>
        </w:rPr>
        <w:t>Divine Creatures: Animal Mummies in Ancient Cairo</w:t>
      </w:r>
      <w:r w:rsidRPr="009266F8">
        <w:rPr>
          <w:rFonts w:ascii="Calibri" w:hAnsi="Calibri" w:cs="Calibri"/>
          <w:sz w:val="24"/>
          <w:szCs w:val="24"/>
          <w:lang w:val="en-US"/>
        </w:rPr>
        <w:t xml:space="preserve"> (Thames &amp; Hudson, 2005)</w:t>
      </w:r>
    </w:p>
    <w:p w14:paraId="07D804D6"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Sarah Iles Johnston, </w:t>
      </w:r>
      <w:r w:rsidRPr="009266F8">
        <w:rPr>
          <w:rFonts w:ascii="Calibri" w:hAnsi="Calibri" w:cs="Calibri"/>
          <w:i/>
          <w:iCs/>
          <w:sz w:val="24"/>
          <w:szCs w:val="24"/>
          <w:lang w:val="en-US"/>
        </w:rPr>
        <w:t>Ancient Religions</w:t>
      </w:r>
      <w:r w:rsidRPr="009266F8">
        <w:rPr>
          <w:rFonts w:ascii="Calibri" w:hAnsi="Calibri" w:cs="Calibri"/>
          <w:sz w:val="24"/>
          <w:szCs w:val="24"/>
          <w:lang w:val="en-US"/>
        </w:rPr>
        <w:t xml:space="preserve"> (Harvard University Press, 2007)</w:t>
      </w:r>
    </w:p>
    <w:p w14:paraId="053E4BCE"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Stephen Quirke, </w:t>
      </w:r>
      <w:r w:rsidRPr="009266F8">
        <w:rPr>
          <w:rFonts w:ascii="Calibri" w:hAnsi="Calibri" w:cs="Calibri"/>
          <w:i/>
          <w:iCs/>
          <w:sz w:val="24"/>
          <w:szCs w:val="24"/>
          <w:lang w:val="en-US"/>
        </w:rPr>
        <w:t>Exploring Religion in Ancient Egypt</w:t>
      </w:r>
      <w:r w:rsidRPr="009266F8">
        <w:rPr>
          <w:rFonts w:ascii="Calibri" w:hAnsi="Calibri" w:cs="Calibri"/>
          <w:sz w:val="24"/>
          <w:szCs w:val="24"/>
          <w:lang w:val="en-US"/>
        </w:rPr>
        <w:t xml:space="preserve"> (British Museum Press, 1992)</w:t>
      </w:r>
    </w:p>
    <w:p w14:paraId="41EECAF1"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Stephen Quirke</w:t>
      </w:r>
      <w:r w:rsidRPr="009266F8">
        <w:rPr>
          <w:rFonts w:ascii="Calibri" w:hAnsi="Calibri" w:cs="Calibri"/>
          <w:i/>
          <w:iCs/>
          <w:sz w:val="24"/>
          <w:szCs w:val="24"/>
        </w:rPr>
        <w:t xml:space="preserve">, </w:t>
      </w:r>
      <w:r w:rsidRPr="009266F8">
        <w:rPr>
          <w:rFonts w:ascii="Calibri" w:hAnsi="Calibri" w:cs="Calibri"/>
          <w:i/>
          <w:iCs/>
          <w:sz w:val="24"/>
          <w:szCs w:val="24"/>
          <w:lang w:val="en-US"/>
        </w:rPr>
        <w:t>Ancient Egyptian Religion</w:t>
      </w:r>
      <w:r w:rsidRPr="009266F8">
        <w:rPr>
          <w:rFonts w:ascii="Calibri" w:hAnsi="Calibri" w:cs="Calibri"/>
          <w:sz w:val="24"/>
          <w:szCs w:val="24"/>
          <w:lang w:val="en-US"/>
        </w:rPr>
        <w:t xml:space="preserve"> (Blackwell Publishing, 2015)</w:t>
      </w:r>
    </w:p>
    <w:p w14:paraId="00EC66BB"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Richard H. Wilkinson</w:t>
      </w:r>
      <w:r w:rsidRPr="009266F8">
        <w:rPr>
          <w:rFonts w:ascii="Calibri" w:hAnsi="Calibri" w:cs="Calibri"/>
          <w:i/>
          <w:iCs/>
          <w:sz w:val="24"/>
          <w:szCs w:val="24"/>
          <w:lang w:val="en-US"/>
        </w:rPr>
        <w:t>, The Complete Gods and Goddesses of Ancient Egypt</w:t>
      </w:r>
      <w:r w:rsidRPr="009266F8">
        <w:rPr>
          <w:rFonts w:ascii="Calibri" w:hAnsi="Calibri" w:cs="Calibri"/>
          <w:sz w:val="24"/>
          <w:szCs w:val="24"/>
          <w:lang w:val="en-US"/>
        </w:rPr>
        <w:t xml:space="preserve"> (Thames &amp; Hudson Ltd, 2017)</w:t>
      </w:r>
    </w:p>
    <w:p w14:paraId="082DCBFC" w14:textId="77777777" w:rsidR="009266F8" w:rsidRPr="009266F8" w:rsidRDefault="009266F8" w:rsidP="009266F8">
      <w:pPr>
        <w:rPr>
          <w:rFonts w:ascii="Calibri" w:hAnsi="Calibri" w:cs="Calibri"/>
          <w:i/>
          <w:iCs/>
          <w:sz w:val="24"/>
          <w:szCs w:val="24"/>
          <w:lang w:val="en-US"/>
        </w:rPr>
      </w:pPr>
      <w:r w:rsidRPr="009266F8">
        <w:rPr>
          <w:rFonts w:ascii="Calibri" w:hAnsi="Calibri" w:cs="Calibri"/>
          <w:sz w:val="24"/>
          <w:szCs w:val="24"/>
          <w:lang w:val="en-US"/>
        </w:rPr>
        <w:t xml:space="preserve">Robert K. Ritner, </w:t>
      </w:r>
      <w:r w:rsidRPr="009266F8">
        <w:rPr>
          <w:rFonts w:ascii="Calibri" w:hAnsi="Calibri" w:cs="Calibri"/>
          <w:i/>
          <w:iCs/>
          <w:sz w:val="24"/>
          <w:szCs w:val="24"/>
          <w:lang w:val="en-US"/>
        </w:rPr>
        <w:t xml:space="preserve">The Mechanics of Ancient Egyptian Magical Practice </w:t>
      </w:r>
      <w:r w:rsidRPr="009266F8">
        <w:rPr>
          <w:rFonts w:ascii="Calibri" w:hAnsi="Calibri" w:cs="Calibri"/>
          <w:sz w:val="24"/>
          <w:szCs w:val="24"/>
          <w:lang w:val="en-US"/>
        </w:rPr>
        <w:t>(University of Chicago Press, 1993)</w:t>
      </w:r>
    </w:p>
    <w:p w14:paraId="5FF730ED"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Timothy Darvill, </w:t>
      </w:r>
      <w:r w:rsidRPr="009266F8">
        <w:rPr>
          <w:rFonts w:ascii="Calibri" w:hAnsi="Calibri" w:cs="Calibri"/>
          <w:i/>
          <w:iCs/>
          <w:sz w:val="24"/>
          <w:szCs w:val="24"/>
          <w:lang w:val="en-US"/>
        </w:rPr>
        <w:t xml:space="preserve">The Concise Oxford Dictionary of Archaeology </w:t>
      </w:r>
      <w:r w:rsidRPr="009266F8">
        <w:rPr>
          <w:rFonts w:ascii="Calibri" w:hAnsi="Calibri" w:cs="Calibri"/>
          <w:sz w:val="24"/>
          <w:szCs w:val="24"/>
          <w:lang w:val="en-US"/>
        </w:rPr>
        <w:t>(Oxford University Press, 2008)</w:t>
      </w:r>
    </w:p>
    <w:p w14:paraId="291CEA26"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Toby Wilkinson, </w:t>
      </w:r>
      <w:r w:rsidRPr="009266F8">
        <w:rPr>
          <w:rFonts w:ascii="Calibri" w:hAnsi="Calibri" w:cs="Calibri"/>
          <w:i/>
          <w:iCs/>
          <w:sz w:val="24"/>
          <w:szCs w:val="24"/>
          <w:lang w:val="en-US"/>
        </w:rPr>
        <w:t>The Egyptian World</w:t>
      </w:r>
      <w:r w:rsidRPr="009266F8">
        <w:rPr>
          <w:rFonts w:ascii="Calibri" w:hAnsi="Calibri" w:cs="Calibri"/>
          <w:sz w:val="24"/>
          <w:szCs w:val="24"/>
          <w:lang w:val="en-US"/>
        </w:rPr>
        <w:t xml:space="preserve"> (Routledge Press, 2007)</w:t>
      </w:r>
    </w:p>
    <w:p w14:paraId="554F8121"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lang w:val="en-US"/>
        </w:rPr>
        <w:t xml:space="preserve">Vaneesa Davies, </w:t>
      </w:r>
      <w:r w:rsidRPr="009266F8">
        <w:rPr>
          <w:rFonts w:ascii="Calibri" w:hAnsi="Calibri" w:cs="Calibri"/>
          <w:i/>
          <w:iCs/>
          <w:sz w:val="24"/>
          <w:szCs w:val="24"/>
        </w:rPr>
        <w:t xml:space="preserve">Priests in Ptolemaic Egypt </w:t>
      </w:r>
      <w:r w:rsidRPr="009266F8">
        <w:rPr>
          <w:rFonts w:ascii="Calibri" w:hAnsi="Calibri" w:cs="Calibri"/>
          <w:sz w:val="24"/>
          <w:szCs w:val="24"/>
        </w:rPr>
        <w:t>(Cambridge University Press, 2007)</w:t>
      </w:r>
    </w:p>
    <w:p w14:paraId="6619BA35" w14:textId="77777777" w:rsidR="009266F8" w:rsidRPr="009266F8" w:rsidRDefault="009266F8" w:rsidP="009266F8">
      <w:pPr>
        <w:rPr>
          <w:rFonts w:ascii="Calibri" w:hAnsi="Calibri" w:cs="Calibri"/>
          <w:sz w:val="24"/>
          <w:szCs w:val="24"/>
        </w:rPr>
      </w:pPr>
      <w:r w:rsidRPr="009266F8">
        <w:rPr>
          <w:rFonts w:ascii="Calibri" w:hAnsi="Calibri" w:cs="Calibri"/>
          <w:sz w:val="24"/>
          <w:szCs w:val="24"/>
          <w:lang w:val="en-US"/>
        </w:rPr>
        <w:t xml:space="preserve">Vanessa Davies, </w:t>
      </w:r>
      <w:r w:rsidRPr="009266F8">
        <w:rPr>
          <w:rFonts w:ascii="Calibri" w:hAnsi="Calibri" w:cs="Calibri"/>
          <w:i/>
          <w:iCs/>
          <w:sz w:val="24"/>
          <w:szCs w:val="24"/>
        </w:rPr>
        <w:t>The Temple of Millions of Years: Ptolemaic Religious Practice in Saqqara</w:t>
      </w:r>
      <w:r w:rsidRPr="009266F8">
        <w:rPr>
          <w:rFonts w:ascii="Calibri" w:hAnsi="Calibri" w:cs="Calibri"/>
          <w:sz w:val="24"/>
          <w:szCs w:val="24"/>
        </w:rPr>
        <w:t xml:space="preserve"> (Oxford, University Press, 2007)</w:t>
      </w:r>
    </w:p>
    <w:p w14:paraId="040980B0" w14:textId="77777777" w:rsidR="009266F8" w:rsidRPr="009266F8" w:rsidRDefault="009266F8" w:rsidP="009266F8">
      <w:pPr>
        <w:rPr>
          <w:rFonts w:ascii="Calibri" w:hAnsi="Calibri" w:cs="Calibri"/>
          <w:sz w:val="24"/>
          <w:szCs w:val="24"/>
          <w:lang w:val="en-US"/>
        </w:rPr>
      </w:pPr>
      <w:r w:rsidRPr="009266F8">
        <w:rPr>
          <w:rFonts w:ascii="Calibri" w:hAnsi="Calibri" w:cs="Calibri"/>
          <w:sz w:val="24"/>
          <w:szCs w:val="24"/>
        </w:rPr>
        <w:t xml:space="preserve">Waldemar Heckel, </w:t>
      </w:r>
      <w:r w:rsidRPr="009266F8">
        <w:rPr>
          <w:rFonts w:ascii="Calibri" w:hAnsi="Calibri" w:cs="Calibri"/>
          <w:i/>
          <w:iCs/>
          <w:sz w:val="24"/>
          <w:szCs w:val="24"/>
        </w:rPr>
        <w:t>In the Path of Conquest: Resistance to Alexander the Great</w:t>
      </w:r>
      <w:r w:rsidRPr="009266F8">
        <w:rPr>
          <w:rFonts w:ascii="Calibri" w:hAnsi="Calibri" w:cs="Calibri"/>
          <w:sz w:val="24"/>
          <w:szCs w:val="24"/>
        </w:rPr>
        <w:t xml:space="preserve"> (Oxford University Press, 2020)</w:t>
      </w:r>
    </w:p>
    <w:p w14:paraId="7B9A95F5" w14:textId="77777777" w:rsidR="009266F8" w:rsidRPr="009266F8" w:rsidRDefault="009266F8" w:rsidP="009266F8">
      <w:pPr>
        <w:rPr>
          <w:rFonts w:ascii="Calibri" w:hAnsi="Calibri" w:cs="Calibri"/>
          <w:b/>
          <w:bCs/>
          <w:sz w:val="24"/>
          <w:szCs w:val="24"/>
          <w:u w:val="single"/>
        </w:rPr>
      </w:pPr>
      <w:r w:rsidRPr="009266F8">
        <w:rPr>
          <w:rFonts w:ascii="Calibri" w:hAnsi="Calibri" w:cs="Calibri"/>
          <w:b/>
          <w:bCs/>
          <w:sz w:val="24"/>
          <w:szCs w:val="24"/>
          <w:u w:val="single"/>
        </w:rPr>
        <w:t>Articles</w:t>
      </w:r>
    </w:p>
    <w:p w14:paraId="7477D6C8" w14:textId="77777777" w:rsidR="009266F8" w:rsidRPr="009266F8" w:rsidRDefault="009266F8" w:rsidP="009266F8">
      <w:pPr>
        <w:rPr>
          <w:rFonts w:ascii="Calibri" w:hAnsi="Calibri" w:cs="Calibri"/>
          <w:sz w:val="24"/>
          <w:szCs w:val="24"/>
        </w:rPr>
      </w:pPr>
      <w:r w:rsidRPr="009266F8">
        <w:rPr>
          <w:rFonts w:ascii="Calibri" w:hAnsi="Calibri" w:cs="Calibri"/>
          <w:sz w:val="24"/>
          <w:szCs w:val="24"/>
        </w:rPr>
        <w:t>R J Legge, “Animal Mummification and the Temple Economy of Ancient Egypt”, Journal of Egyptian Archaeology, vol 99, 2010</w:t>
      </w:r>
    </w:p>
    <w:p w14:paraId="113B9935" w14:textId="34779D62" w:rsidR="009266F8" w:rsidRPr="009266F8" w:rsidRDefault="009266F8" w:rsidP="009266F8">
      <w:pPr>
        <w:spacing w:line="360" w:lineRule="auto"/>
        <w:rPr>
          <w:rFonts w:ascii="Calibri" w:hAnsi="Calibri" w:cs="Calibri"/>
          <w:sz w:val="24"/>
          <w:szCs w:val="24"/>
        </w:rPr>
      </w:pPr>
      <w:r w:rsidRPr="009266F8">
        <w:rPr>
          <w:rFonts w:ascii="Calibri" w:hAnsi="Calibri" w:cs="Calibri"/>
          <w:sz w:val="24"/>
          <w:szCs w:val="24"/>
          <w:lang w:val="en-US"/>
        </w:rPr>
        <w:t>Salima Ikram,</w:t>
      </w:r>
      <w:r w:rsidRPr="009266F8">
        <w:rPr>
          <w:rFonts w:ascii="Calibri" w:hAnsi="Calibri" w:cs="Calibri"/>
          <w:sz w:val="24"/>
          <w:szCs w:val="24"/>
        </w:rPr>
        <w:t xml:space="preserve"> “The Practice of Mummification of Ancient Egypt”, The Oxford Handbook of Egyptian Epigraphy and Palaeography (Oxford University Press, 2018)</w:t>
      </w:r>
    </w:p>
    <w:p w14:paraId="46E21F6B" w14:textId="77777777" w:rsidR="002E5252" w:rsidRPr="009266F8" w:rsidRDefault="002E5252" w:rsidP="00E81518">
      <w:pPr>
        <w:spacing w:line="360" w:lineRule="auto"/>
        <w:rPr>
          <w:rFonts w:ascii="Calibri" w:hAnsi="Calibri" w:cs="Calibri"/>
          <w:b/>
          <w:bCs/>
          <w:sz w:val="24"/>
          <w:szCs w:val="24"/>
        </w:rPr>
      </w:pPr>
    </w:p>
    <w:p w14:paraId="62EFFC0D" w14:textId="77777777" w:rsidR="00D671AD" w:rsidRPr="009266F8" w:rsidRDefault="00D671AD" w:rsidP="00E81518">
      <w:pPr>
        <w:spacing w:line="360" w:lineRule="auto"/>
        <w:rPr>
          <w:rFonts w:ascii="Calibri" w:hAnsi="Calibri" w:cs="Calibri"/>
          <w:sz w:val="24"/>
          <w:szCs w:val="24"/>
        </w:rPr>
      </w:pPr>
    </w:p>
    <w:p w14:paraId="0834C11C" w14:textId="77777777" w:rsidR="00D671AD" w:rsidRPr="009266F8" w:rsidRDefault="00D671AD" w:rsidP="00E81518">
      <w:pPr>
        <w:spacing w:line="360" w:lineRule="auto"/>
        <w:rPr>
          <w:rFonts w:ascii="Calibri" w:hAnsi="Calibri" w:cs="Calibri"/>
          <w:sz w:val="24"/>
          <w:szCs w:val="24"/>
        </w:rPr>
      </w:pPr>
    </w:p>
    <w:p w14:paraId="434AB2BD" w14:textId="77777777" w:rsidR="00D671AD" w:rsidRPr="00E81518" w:rsidRDefault="00D671AD" w:rsidP="00E81518">
      <w:pPr>
        <w:spacing w:line="360" w:lineRule="auto"/>
        <w:jc w:val="center"/>
        <w:rPr>
          <w:rFonts w:ascii="Calibri" w:hAnsi="Calibri" w:cs="Calibri"/>
          <w:b/>
          <w:bCs/>
        </w:rPr>
      </w:pPr>
    </w:p>
    <w:sectPr w:rsidR="00D671AD" w:rsidRPr="00E81518" w:rsidSect="00F97E4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471BA" w14:textId="77777777" w:rsidR="00185A6A" w:rsidRDefault="00185A6A" w:rsidP="00D671AD">
      <w:pPr>
        <w:spacing w:after="0" w:line="240" w:lineRule="auto"/>
      </w:pPr>
      <w:r>
        <w:separator/>
      </w:r>
    </w:p>
  </w:endnote>
  <w:endnote w:type="continuationSeparator" w:id="0">
    <w:p w14:paraId="076BDD21" w14:textId="77777777" w:rsidR="00185A6A" w:rsidRDefault="00185A6A" w:rsidP="00D67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394412"/>
      <w:docPartObj>
        <w:docPartGallery w:val="Page Numbers (Bottom of Page)"/>
        <w:docPartUnique/>
      </w:docPartObj>
    </w:sdtPr>
    <w:sdtEndPr>
      <w:rPr>
        <w:noProof/>
      </w:rPr>
    </w:sdtEndPr>
    <w:sdtContent>
      <w:p w14:paraId="6B54CCA1" w14:textId="0AF0CDF4" w:rsidR="00A63749" w:rsidRDefault="00A637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6C553" w14:textId="77777777" w:rsidR="00A63749" w:rsidRDefault="00A6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ED898" w14:textId="77777777" w:rsidR="00185A6A" w:rsidRDefault="00185A6A" w:rsidP="00D671AD">
      <w:pPr>
        <w:spacing w:after="0" w:line="240" w:lineRule="auto"/>
      </w:pPr>
      <w:r>
        <w:separator/>
      </w:r>
    </w:p>
  </w:footnote>
  <w:footnote w:type="continuationSeparator" w:id="0">
    <w:p w14:paraId="7974BB62" w14:textId="77777777" w:rsidR="00185A6A" w:rsidRDefault="00185A6A" w:rsidP="00D671AD">
      <w:pPr>
        <w:spacing w:after="0" w:line="240" w:lineRule="auto"/>
      </w:pPr>
      <w:r>
        <w:continuationSeparator/>
      </w:r>
    </w:p>
  </w:footnote>
  <w:footnote w:id="1">
    <w:p w14:paraId="6AE1020C" w14:textId="77777777" w:rsidR="00D671AD" w:rsidRPr="00E81518" w:rsidRDefault="00D671AD" w:rsidP="00D671AD">
      <w:pPr>
        <w:pStyle w:val="FootnoteText"/>
        <w:rPr>
          <w:rFonts w:cs="Calibri"/>
          <w:sz w:val="18"/>
          <w:szCs w:val="18"/>
          <w:lang w:val="en-US"/>
        </w:rPr>
      </w:pPr>
      <w:r w:rsidRPr="00BA11AE">
        <w:rPr>
          <w:rStyle w:val="FootnoteReference"/>
          <w:rFonts w:ascii="Calibri" w:hAnsi="Calibri" w:cs="Calibri"/>
          <w:sz w:val="18"/>
          <w:szCs w:val="18"/>
        </w:rPr>
        <w:footnoteRef/>
      </w:r>
      <w:r w:rsidRPr="00BA11AE">
        <w:rPr>
          <w:rFonts w:ascii="Calibri" w:hAnsi="Calibri" w:cs="Calibri"/>
          <w:sz w:val="18"/>
          <w:szCs w:val="18"/>
        </w:rPr>
        <w:t xml:space="preserve"> Shaw, Ian, </w:t>
      </w:r>
      <w:r w:rsidRPr="00BA11AE">
        <w:rPr>
          <w:rFonts w:ascii="Calibri" w:hAnsi="Calibri" w:cs="Calibri"/>
          <w:i/>
          <w:iCs/>
          <w:sz w:val="18"/>
          <w:szCs w:val="18"/>
        </w:rPr>
        <w:t>The O</w:t>
      </w:r>
      <w:r w:rsidRPr="00E81518">
        <w:rPr>
          <w:rFonts w:cs="Calibri"/>
          <w:i/>
          <w:iCs/>
          <w:sz w:val="18"/>
          <w:szCs w:val="18"/>
        </w:rPr>
        <w:t>xford History of Ancient Egypt</w:t>
      </w:r>
      <w:r w:rsidRPr="00E81518">
        <w:rPr>
          <w:rFonts w:cs="Calibri"/>
          <w:sz w:val="18"/>
          <w:szCs w:val="18"/>
        </w:rPr>
        <w:t>, Oxford University Press, 2000</w:t>
      </w:r>
    </w:p>
  </w:footnote>
  <w:footnote w:id="2">
    <w:p w14:paraId="55186D03"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3">
    <w:p w14:paraId="251AE03C"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Quirke, Stephen, </w:t>
      </w:r>
      <w:r w:rsidRPr="00E81518">
        <w:rPr>
          <w:rFonts w:cs="Calibri"/>
          <w:i/>
          <w:iCs/>
          <w:sz w:val="18"/>
          <w:szCs w:val="18"/>
          <w:lang w:val="en-US"/>
        </w:rPr>
        <w:t>Exploring Religion in Ancient Egypt</w:t>
      </w:r>
      <w:r w:rsidRPr="00E81518">
        <w:rPr>
          <w:rFonts w:cs="Calibri"/>
          <w:sz w:val="18"/>
          <w:szCs w:val="18"/>
          <w:lang w:val="en-US"/>
        </w:rPr>
        <w:t>, Blackwell Publishing, 2015</w:t>
      </w:r>
    </w:p>
  </w:footnote>
  <w:footnote w:id="4">
    <w:p w14:paraId="131936F7"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5">
    <w:p w14:paraId="495E5B0D"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bookmarkStart w:id="0" w:name="_Hlk220439740"/>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w:t>
      </w:r>
      <w:bookmarkEnd w:id="0"/>
      <w:r w:rsidRPr="00E81518">
        <w:rPr>
          <w:rFonts w:cs="Calibri"/>
          <w:sz w:val="18"/>
          <w:szCs w:val="18"/>
          <w:lang w:val="en-US"/>
        </w:rPr>
        <w:t>05</w:t>
      </w:r>
    </w:p>
  </w:footnote>
  <w:footnote w:id="6">
    <w:p w14:paraId="43D7D9D7"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Shaw, Ian, </w:t>
      </w:r>
      <w:r w:rsidRPr="00E81518">
        <w:rPr>
          <w:rFonts w:cs="Calibri"/>
          <w:i/>
          <w:iCs/>
          <w:sz w:val="18"/>
          <w:szCs w:val="18"/>
        </w:rPr>
        <w:t>The Oxford History of Ancient Egypt</w:t>
      </w:r>
      <w:r w:rsidRPr="00E81518">
        <w:rPr>
          <w:rFonts w:cs="Calibri"/>
          <w:sz w:val="18"/>
          <w:szCs w:val="18"/>
        </w:rPr>
        <w:t>, Oxford University Press, 2000</w:t>
      </w:r>
    </w:p>
  </w:footnote>
  <w:footnote w:id="7">
    <w:p w14:paraId="4ACCD7F5"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Wilkinson, Toby, </w:t>
      </w:r>
      <w:r w:rsidRPr="00E81518">
        <w:rPr>
          <w:rFonts w:cs="Calibri"/>
          <w:i/>
          <w:iCs/>
          <w:sz w:val="18"/>
          <w:szCs w:val="18"/>
        </w:rPr>
        <w:t>The Egyptian World</w:t>
      </w:r>
      <w:r w:rsidRPr="00E81518">
        <w:rPr>
          <w:rFonts w:cs="Calibri"/>
          <w:sz w:val="18"/>
          <w:szCs w:val="18"/>
        </w:rPr>
        <w:t>, Routledge Press, 2007</w:t>
      </w:r>
    </w:p>
  </w:footnote>
  <w:footnote w:id="8">
    <w:p w14:paraId="2F85BD74"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9">
    <w:p w14:paraId="38C1D0C0"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bookmarkStart w:id="1" w:name="_Hlk220440785"/>
      <w:r w:rsidRPr="00E81518">
        <w:rPr>
          <w:rFonts w:cs="Calibri"/>
          <w:sz w:val="18"/>
          <w:szCs w:val="18"/>
          <w:lang w:val="en-US"/>
        </w:rPr>
        <w:t xml:space="preserve">Quirke, Stephen, </w:t>
      </w:r>
      <w:r w:rsidRPr="00E81518">
        <w:rPr>
          <w:rFonts w:cs="Calibri"/>
          <w:i/>
          <w:iCs/>
          <w:sz w:val="18"/>
          <w:szCs w:val="18"/>
          <w:lang w:val="en-US"/>
        </w:rPr>
        <w:t>Exploring Religion in Ancient Egypt</w:t>
      </w:r>
      <w:r w:rsidRPr="00E81518">
        <w:rPr>
          <w:rFonts w:cs="Calibri"/>
          <w:sz w:val="18"/>
          <w:szCs w:val="18"/>
          <w:lang w:val="en-US"/>
        </w:rPr>
        <w:t>, Blackwell Publishing, 2015</w:t>
      </w:r>
      <w:bookmarkEnd w:id="1"/>
    </w:p>
  </w:footnote>
  <w:footnote w:id="10">
    <w:p w14:paraId="7E7225C5"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 xml:space="preserve">Death and Burial in Ancient Egypt, </w:t>
      </w:r>
      <w:r w:rsidRPr="00E81518">
        <w:rPr>
          <w:sz w:val="18"/>
          <w:szCs w:val="18"/>
        </w:rPr>
        <w:t>The American University in Cairo Press, 2015</w:t>
      </w:r>
    </w:p>
  </w:footnote>
  <w:footnote w:id="11">
    <w:p w14:paraId="7C1FF677"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Jackson, Lesley, </w:t>
      </w:r>
      <w:r w:rsidRPr="00E81518">
        <w:rPr>
          <w:i/>
          <w:iCs/>
          <w:sz w:val="18"/>
          <w:szCs w:val="18"/>
        </w:rPr>
        <w:t xml:space="preserve">Sekhmet &amp; Bastet – The Feline Powers of Ancient Egypt, </w:t>
      </w:r>
      <w:r w:rsidRPr="00E81518">
        <w:rPr>
          <w:sz w:val="18"/>
          <w:szCs w:val="18"/>
        </w:rPr>
        <w:t>Avalonia, 2019</w:t>
      </w:r>
    </w:p>
  </w:footnote>
  <w:footnote w:id="12">
    <w:p w14:paraId="713F35D4"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 xml:space="preserve">Death and Burial in Ancient Egypt, </w:t>
      </w:r>
      <w:r w:rsidRPr="00E81518">
        <w:rPr>
          <w:sz w:val="18"/>
          <w:szCs w:val="18"/>
        </w:rPr>
        <w:t>The American University in Cairo Press, 2015</w:t>
      </w:r>
    </w:p>
  </w:footnote>
  <w:footnote w:id="13">
    <w:p w14:paraId="3D0DFE79" w14:textId="2CEACA20" w:rsidR="00D671AD" w:rsidRPr="00E81518" w:rsidRDefault="00D671AD" w:rsidP="00D671AD">
      <w:pPr>
        <w:pStyle w:val="FootnoteText"/>
        <w:rPr>
          <w:b/>
          <w:bCs/>
          <w:sz w:val="18"/>
          <w:szCs w:val="18"/>
        </w:rPr>
      </w:pPr>
      <w:r w:rsidRPr="00E81518">
        <w:rPr>
          <w:rStyle w:val="FootnoteReference"/>
          <w:sz w:val="18"/>
          <w:szCs w:val="18"/>
        </w:rPr>
        <w:footnoteRef/>
      </w:r>
      <w:r w:rsidRPr="00E81518">
        <w:rPr>
          <w:sz w:val="18"/>
          <w:szCs w:val="18"/>
        </w:rPr>
        <w:t xml:space="preserve"> Dodson, Aidan, Ikram, Salima, </w:t>
      </w:r>
      <w:r w:rsidRPr="00E81518">
        <w:rPr>
          <w:i/>
          <w:iCs/>
          <w:sz w:val="18"/>
          <w:szCs w:val="18"/>
        </w:rPr>
        <w:t xml:space="preserve">The tomb in Ancient Egypt: royal and private sepulchres from the early dynastic period to the Romans, </w:t>
      </w:r>
      <w:r w:rsidRPr="00E81518">
        <w:rPr>
          <w:sz w:val="18"/>
          <w:szCs w:val="18"/>
        </w:rPr>
        <w:t>Thames &amp; Hudson, 2008</w:t>
      </w:r>
    </w:p>
  </w:footnote>
  <w:footnote w:id="14">
    <w:p w14:paraId="5CE84504"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Hornung, Erik, </w:t>
      </w:r>
      <w:r w:rsidRPr="00E81518">
        <w:rPr>
          <w:rFonts w:cs="Calibri"/>
          <w:i/>
          <w:iCs/>
          <w:sz w:val="18"/>
          <w:szCs w:val="18"/>
          <w:lang w:val="en-US"/>
        </w:rPr>
        <w:t>Conceptions of God in Ancient Egypt</w:t>
      </w:r>
      <w:r w:rsidRPr="00E81518">
        <w:rPr>
          <w:rFonts w:cs="Calibri"/>
          <w:sz w:val="18"/>
          <w:szCs w:val="18"/>
          <w:lang w:val="en-US"/>
        </w:rPr>
        <w:t>, Cornell University Press, 1996</w:t>
      </w:r>
    </w:p>
  </w:footnote>
  <w:footnote w:id="15">
    <w:p w14:paraId="55AC9B38"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p>
  </w:footnote>
  <w:footnote w:id="16">
    <w:p w14:paraId="59CB9B58"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bookmarkStart w:id="2" w:name="_Hlk219651687"/>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bookmarkEnd w:id="2"/>
    </w:p>
  </w:footnote>
  <w:footnote w:id="17">
    <w:p w14:paraId="73135D4D" w14:textId="77777777" w:rsidR="00D671AD" w:rsidRPr="00E81518" w:rsidRDefault="00D671AD" w:rsidP="00D671AD">
      <w:pPr>
        <w:pStyle w:val="FootnoteText"/>
        <w:rPr>
          <w:i/>
          <w:iCs/>
          <w:sz w:val="18"/>
          <w:szCs w:val="18"/>
        </w:rPr>
      </w:pPr>
      <w:r w:rsidRPr="00E81518">
        <w:rPr>
          <w:rStyle w:val="FootnoteReference"/>
          <w:sz w:val="18"/>
          <w:szCs w:val="18"/>
        </w:rPr>
        <w:footnoteRef/>
      </w:r>
      <w:r w:rsidRPr="00E81518">
        <w:rPr>
          <w:sz w:val="18"/>
          <w:szCs w:val="18"/>
        </w:rPr>
        <w:t xml:space="preserve"> Jackson, Lesley, </w:t>
      </w:r>
      <w:r w:rsidRPr="00E81518">
        <w:rPr>
          <w:i/>
          <w:iCs/>
          <w:sz w:val="18"/>
          <w:szCs w:val="18"/>
        </w:rPr>
        <w:t xml:space="preserve">Sekhmet &amp; Bastet – The Feline Powers of Ancient Egypt, </w:t>
      </w:r>
      <w:r w:rsidRPr="00E81518">
        <w:rPr>
          <w:sz w:val="18"/>
          <w:szCs w:val="18"/>
        </w:rPr>
        <w:t>Avalonia, 2019</w:t>
      </w:r>
    </w:p>
  </w:footnote>
  <w:footnote w:id="18">
    <w:p w14:paraId="48EF471C"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Pinch, Geraldine, </w:t>
      </w:r>
      <w:r w:rsidRPr="00E81518">
        <w:rPr>
          <w:rFonts w:cs="Calibri"/>
          <w:i/>
          <w:iCs/>
          <w:sz w:val="18"/>
          <w:szCs w:val="18"/>
          <w:lang w:val="en-US"/>
        </w:rPr>
        <w:t>Egyptian Mythology: A Guide to the Gods, Goddesses, and Traditions of Ancient Egypt</w:t>
      </w:r>
      <w:r w:rsidRPr="00E81518">
        <w:rPr>
          <w:rFonts w:cs="Calibri"/>
          <w:sz w:val="18"/>
          <w:szCs w:val="18"/>
          <w:lang w:val="en-US"/>
        </w:rPr>
        <w:t>, Oxford University Press, 2002</w:t>
      </w:r>
    </w:p>
  </w:footnote>
  <w:footnote w:id="19">
    <w:p w14:paraId="1E87EBFE"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Teeter, Emily, </w:t>
      </w:r>
      <w:r w:rsidRPr="00E81518">
        <w:rPr>
          <w:rFonts w:cs="Calibri"/>
          <w:i/>
          <w:iCs/>
          <w:sz w:val="18"/>
          <w:szCs w:val="18"/>
          <w:lang w:val="en-US"/>
        </w:rPr>
        <w:t>Religion and Ritual in Ancient Egypt</w:t>
      </w:r>
      <w:r w:rsidRPr="00E81518">
        <w:rPr>
          <w:rFonts w:cs="Calibri"/>
          <w:sz w:val="18"/>
          <w:szCs w:val="18"/>
          <w:lang w:val="en-US"/>
        </w:rPr>
        <w:t>, Cambridge University Press, 2019</w:t>
      </w:r>
    </w:p>
  </w:footnote>
  <w:footnote w:id="20">
    <w:p w14:paraId="5F753B8D"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p>
  </w:footnote>
  <w:footnote w:id="21">
    <w:p w14:paraId="2F7A669E" w14:textId="77777777" w:rsidR="00D671AD" w:rsidRPr="00E81518" w:rsidRDefault="00D671AD" w:rsidP="00D671AD">
      <w:pPr>
        <w:pStyle w:val="FootnoteText"/>
        <w:rPr>
          <w:rFonts w:cs="Calibri"/>
          <w:i/>
          <w:iCs/>
          <w:sz w:val="18"/>
          <w:szCs w:val="18"/>
          <w:lang w:val="en-US"/>
        </w:rPr>
      </w:pPr>
      <w:r w:rsidRPr="00E81518">
        <w:rPr>
          <w:rStyle w:val="FootnoteReference"/>
          <w:rFonts w:cs="Calibri"/>
          <w:i/>
          <w:iCs/>
          <w:sz w:val="18"/>
          <w:szCs w:val="18"/>
        </w:rPr>
        <w:footnoteRef/>
      </w:r>
      <w:r w:rsidRPr="00E81518">
        <w:rPr>
          <w:rFonts w:cs="Calibri"/>
          <w:i/>
          <w:iCs/>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22">
    <w:p w14:paraId="05BF7F70"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Wilkinson, Toby, </w:t>
      </w:r>
      <w:r w:rsidRPr="00E81518">
        <w:rPr>
          <w:rFonts w:cs="Calibri"/>
          <w:i/>
          <w:iCs/>
          <w:sz w:val="18"/>
          <w:szCs w:val="18"/>
        </w:rPr>
        <w:t>The Egyptian World</w:t>
      </w:r>
      <w:r w:rsidRPr="00E81518">
        <w:rPr>
          <w:rFonts w:cs="Calibri"/>
          <w:sz w:val="18"/>
          <w:szCs w:val="18"/>
        </w:rPr>
        <w:t>, Routledge Press, 2007</w:t>
      </w:r>
    </w:p>
  </w:footnote>
  <w:footnote w:id="23">
    <w:p w14:paraId="1E889C78"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Petrie, Flinders, </w:t>
      </w:r>
      <w:r w:rsidRPr="00E81518">
        <w:rPr>
          <w:rFonts w:cs="Calibri"/>
          <w:i/>
          <w:iCs/>
          <w:sz w:val="18"/>
          <w:szCs w:val="18"/>
          <w:lang w:val="en-US"/>
        </w:rPr>
        <w:t>Personal Religion in Egypt before Christianity</w:t>
      </w:r>
      <w:r w:rsidRPr="00E81518">
        <w:rPr>
          <w:rFonts w:cs="Calibri"/>
          <w:sz w:val="18"/>
          <w:szCs w:val="18"/>
          <w:lang w:val="en-US"/>
        </w:rPr>
        <w:t>, Read Books Ltd, 2011</w:t>
      </w:r>
    </w:p>
  </w:footnote>
  <w:footnote w:id="24">
    <w:p w14:paraId="79E76495" w14:textId="77777777" w:rsidR="00D671AD" w:rsidRPr="00E81518" w:rsidRDefault="00D671AD" w:rsidP="00D671AD">
      <w:pPr>
        <w:pStyle w:val="FootnoteText"/>
        <w:rPr>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25">
    <w:p w14:paraId="3D0AA2C9" w14:textId="77777777" w:rsidR="00D671AD" w:rsidRPr="00E81518" w:rsidRDefault="00D671AD" w:rsidP="00D671AD">
      <w:pPr>
        <w:pStyle w:val="FootnoteText"/>
        <w:rPr>
          <w:rFonts w:cs="Calibri"/>
          <w:sz w:val="18"/>
          <w:szCs w:val="18"/>
          <w:lang w:val="en-US"/>
        </w:rPr>
      </w:pPr>
      <w:r w:rsidRPr="00E81518">
        <w:rPr>
          <w:rStyle w:val="FootnoteReference"/>
          <w:sz w:val="18"/>
          <w:szCs w:val="18"/>
        </w:rPr>
        <w:footnoteRef/>
      </w:r>
      <w:r w:rsidRPr="00E81518">
        <w:rPr>
          <w:sz w:val="18"/>
          <w:szCs w:val="18"/>
        </w:rPr>
        <w:t xml:space="preserve"> </w:t>
      </w:r>
      <w:bookmarkStart w:id="3" w:name="_Hlk220439834"/>
      <w:r w:rsidRPr="00E81518">
        <w:rPr>
          <w:rFonts w:cs="Calibri"/>
          <w:sz w:val="18"/>
          <w:szCs w:val="18"/>
          <w:lang w:val="en-US"/>
        </w:rPr>
        <w:t xml:space="preserve">River, Charles, </w:t>
      </w:r>
      <w:r w:rsidRPr="00E81518">
        <w:rPr>
          <w:rFonts w:cs="Calibri"/>
          <w:i/>
          <w:iCs/>
          <w:sz w:val="18"/>
          <w:szCs w:val="18"/>
          <w:lang w:val="en-US"/>
        </w:rPr>
        <w:t>Sacred Animals in Ancient Egypt</w:t>
      </w:r>
      <w:r w:rsidRPr="00E81518">
        <w:rPr>
          <w:rFonts w:cs="Calibri"/>
          <w:sz w:val="18"/>
          <w:szCs w:val="18"/>
          <w:lang w:val="en-US"/>
        </w:rPr>
        <w:t>, CR Editors, 2011</w:t>
      </w:r>
    </w:p>
    <w:bookmarkEnd w:id="3"/>
  </w:footnote>
  <w:footnote w:id="26">
    <w:p w14:paraId="5C13E032" w14:textId="77777777" w:rsidR="00D671AD" w:rsidRPr="00E81518" w:rsidRDefault="00D671AD" w:rsidP="00D671AD">
      <w:pPr>
        <w:pStyle w:val="FootnoteText"/>
        <w:rPr>
          <w:rFonts w:cs="Calibri"/>
          <w:sz w:val="18"/>
          <w:szCs w:val="18"/>
        </w:rPr>
      </w:pPr>
      <w:r w:rsidRPr="00E81518">
        <w:rPr>
          <w:rStyle w:val="FootnoteReference"/>
          <w:rFonts w:cs="Calibri"/>
          <w:sz w:val="18"/>
          <w:szCs w:val="18"/>
        </w:rPr>
        <w:footnoteRef/>
      </w:r>
      <w:r w:rsidRPr="00E81518">
        <w:rPr>
          <w:rFonts w:cs="Calibri"/>
          <w:sz w:val="18"/>
          <w:szCs w:val="18"/>
        </w:rPr>
        <w:t xml:space="preserve"> Thompson, Dorothy J, </w:t>
      </w:r>
      <w:r w:rsidRPr="00E81518">
        <w:rPr>
          <w:rFonts w:cs="Calibri"/>
          <w:i/>
          <w:iCs/>
          <w:sz w:val="18"/>
          <w:szCs w:val="18"/>
        </w:rPr>
        <w:t>Memphis under the Ptolemies</w:t>
      </w:r>
      <w:r w:rsidRPr="00E81518">
        <w:rPr>
          <w:rFonts w:cs="Calibri"/>
          <w:sz w:val="18"/>
          <w:szCs w:val="18"/>
        </w:rPr>
        <w:t>, Princeton University Press, 2000</w:t>
      </w:r>
    </w:p>
  </w:footnote>
  <w:footnote w:id="27">
    <w:p w14:paraId="018CBC94"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Kemp, Barry J, </w:t>
      </w:r>
      <w:r w:rsidRPr="00E81518">
        <w:rPr>
          <w:rFonts w:cs="Calibri"/>
          <w:i/>
          <w:iCs/>
          <w:sz w:val="18"/>
          <w:szCs w:val="18"/>
          <w:lang w:val="en-US"/>
        </w:rPr>
        <w:t>Ancient Egypt: Anatomy of a Civilization</w:t>
      </w:r>
      <w:r w:rsidRPr="00E81518">
        <w:rPr>
          <w:rFonts w:cs="Calibri"/>
          <w:sz w:val="18"/>
          <w:szCs w:val="18"/>
          <w:lang w:val="en-US"/>
        </w:rPr>
        <w:t>, Routledge University Press, 2018</w:t>
      </w:r>
    </w:p>
  </w:footnote>
  <w:footnote w:id="28">
    <w:p w14:paraId="0F2B2826"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Pinch, Geraldine, </w:t>
      </w:r>
      <w:r w:rsidRPr="00E81518">
        <w:rPr>
          <w:rFonts w:cs="Calibri"/>
          <w:i/>
          <w:iCs/>
          <w:sz w:val="18"/>
          <w:szCs w:val="18"/>
          <w:lang w:val="en-US"/>
        </w:rPr>
        <w:t>Egyptian Mythology: A Guide to the Gods, Goddesses, and Traditions of Ancient Egypt</w:t>
      </w:r>
      <w:r w:rsidRPr="00E81518">
        <w:rPr>
          <w:rFonts w:cs="Calibri"/>
          <w:sz w:val="18"/>
          <w:szCs w:val="18"/>
          <w:lang w:val="en-US"/>
        </w:rPr>
        <w:t>, Oxford University Press, 2002</w:t>
      </w:r>
    </w:p>
  </w:footnote>
  <w:footnote w:id="29">
    <w:p w14:paraId="05AFFDFF"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bookmarkStart w:id="4" w:name="_Hlk220440517"/>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bookmarkEnd w:id="4"/>
    </w:p>
  </w:footnote>
  <w:footnote w:id="30">
    <w:p w14:paraId="4BAFC37D"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Teeter, Emily, </w:t>
      </w:r>
      <w:r w:rsidRPr="00E81518">
        <w:rPr>
          <w:rFonts w:cs="Calibri"/>
          <w:i/>
          <w:iCs/>
          <w:sz w:val="18"/>
          <w:szCs w:val="18"/>
          <w:lang w:val="en-US"/>
        </w:rPr>
        <w:t>Religion and Ritual in Ancient Egypt</w:t>
      </w:r>
      <w:r w:rsidRPr="00E81518">
        <w:rPr>
          <w:rFonts w:cs="Calibri"/>
          <w:sz w:val="18"/>
          <w:szCs w:val="18"/>
          <w:lang w:val="en-US"/>
        </w:rPr>
        <w:t>, Cambridge University Press, 2019</w:t>
      </w:r>
    </w:p>
  </w:footnote>
  <w:footnote w:id="31">
    <w:p w14:paraId="30EB7C2C"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McKnight, Lidija, </w:t>
      </w:r>
      <w:r w:rsidRPr="00E81518">
        <w:rPr>
          <w:rFonts w:cs="Calibri"/>
          <w:i/>
          <w:iCs/>
          <w:sz w:val="18"/>
          <w:szCs w:val="18"/>
          <w:lang w:val="en-US"/>
        </w:rPr>
        <w:t>Gifts for the Gods, Ancient Egyptian Animal Mummies and the British</w:t>
      </w:r>
      <w:r w:rsidRPr="00E81518">
        <w:rPr>
          <w:rFonts w:cs="Calibri"/>
          <w:sz w:val="18"/>
          <w:szCs w:val="18"/>
          <w:lang w:val="en-US"/>
        </w:rPr>
        <w:t>, Liverpool University Press, 2015</w:t>
      </w:r>
    </w:p>
  </w:footnote>
  <w:footnote w:id="32">
    <w:p w14:paraId="55077967"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33">
    <w:p w14:paraId="1AC940F5"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Shaw, Ian, </w:t>
      </w:r>
      <w:r w:rsidRPr="00E81518">
        <w:rPr>
          <w:rFonts w:cs="Calibri"/>
          <w:i/>
          <w:iCs/>
          <w:sz w:val="18"/>
          <w:szCs w:val="18"/>
        </w:rPr>
        <w:t>The Oxford History of Ancient Egypt</w:t>
      </w:r>
      <w:r w:rsidRPr="00E81518">
        <w:rPr>
          <w:rFonts w:cs="Calibri"/>
          <w:sz w:val="18"/>
          <w:szCs w:val="18"/>
        </w:rPr>
        <w:t>, Oxford University Press, 2000.</w:t>
      </w:r>
    </w:p>
  </w:footnote>
  <w:footnote w:id="34">
    <w:p w14:paraId="35CDB6FE"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35">
    <w:p w14:paraId="2FF20CC2"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Johnston, Sarah Iles, </w:t>
      </w:r>
      <w:r w:rsidRPr="00E81518">
        <w:rPr>
          <w:rFonts w:cs="Calibri"/>
          <w:i/>
          <w:iCs/>
          <w:sz w:val="18"/>
          <w:szCs w:val="18"/>
          <w:lang w:val="en-US"/>
        </w:rPr>
        <w:t>Ancient Religions</w:t>
      </w:r>
      <w:r w:rsidRPr="00E81518">
        <w:rPr>
          <w:rFonts w:cs="Calibri"/>
          <w:sz w:val="18"/>
          <w:szCs w:val="18"/>
          <w:lang w:val="en-US"/>
        </w:rPr>
        <w:t>, Harvard University Press, 2007</w:t>
      </w:r>
    </w:p>
  </w:footnote>
  <w:footnote w:id="36">
    <w:p w14:paraId="73E04A30"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37">
    <w:p w14:paraId="7E8AF9DC"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p w14:paraId="34A078D0" w14:textId="77777777" w:rsidR="00D671AD" w:rsidRPr="00E81518" w:rsidRDefault="00D671AD" w:rsidP="00D671AD">
      <w:pPr>
        <w:pStyle w:val="FootnoteText"/>
        <w:rPr>
          <w:sz w:val="18"/>
          <w:szCs w:val="18"/>
          <w:lang w:val="en-US"/>
        </w:rPr>
      </w:pPr>
    </w:p>
  </w:footnote>
  <w:footnote w:id="38">
    <w:p w14:paraId="0B47A233"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39">
    <w:p w14:paraId="562641D0"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Frankfurter, David, </w:t>
      </w:r>
      <w:r w:rsidRPr="00E81518">
        <w:rPr>
          <w:rFonts w:cs="Calibri"/>
          <w:i/>
          <w:iCs/>
          <w:sz w:val="18"/>
          <w:szCs w:val="18"/>
          <w:lang w:val="en-US"/>
        </w:rPr>
        <w:t>Religion in Roman Egypt: Assimilation and Resistance</w:t>
      </w:r>
      <w:r w:rsidRPr="00E81518">
        <w:rPr>
          <w:rFonts w:cs="Calibri"/>
          <w:sz w:val="18"/>
          <w:szCs w:val="18"/>
          <w:lang w:val="en-US"/>
        </w:rPr>
        <w:t>, Princeton University Press, 1998</w:t>
      </w:r>
    </w:p>
  </w:footnote>
  <w:footnote w:id="40">
    <w:p w14:paraId="14B7A6C0"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41">
    <w:p w14:paraId="6484D396"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Petrie, Flinders, </w:t>
      </w:r>
      <w:r w:rsidRPr="00E81518">
        <w:rPr>
          <w:rFonts w:cs="Calibri"/>
          <w:i/>
          <w:iCs/>
          <w:sz w:val="18"/>
          <w:szCs w:val="18"/>
          <w:lang w:val="en-US"/>
        </w:rPr>
        <w:t>The Religion of Ancient Egypt</w:t>
      </w:r>
      <w:r w:rsidRPr="00E81518">
        <w:rPr>
          <w:rFonts w:cs="Calibri"/>
          <w:sz w:val="18"/>
          <w:szCs w:val="18"/>
          <w:lang w:val="en-US"/>
        </w:rPr>
        <w:t>, Read Books Ltd, 2013</w:t>
      </w:r>
    </w:p>
  </w:footnote>
  <w:footnote w:id="42">
    <w:p w14:paraId="56B61867"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Quirke, Stephen, </w:t>
      </w:r>
      <w:r w:rsidRPr="00E81518">
        <w:rPr>
          <w:rFonts w:cs="Calibri"/>
          <w:i/>
          <w:iCs/>
          <w:sz w:val="18"/>
          <w:szCs w:val="18"/>
          <w:lang w:val="en-US"/>
        </w:rPr>
        <w:t>Exploring Religion in Ancient Egypt</w:t>
      </w:r>
      <w:r w:rsidRPr="00E81518">
        <w:rPr>
          <w:rFonts w:cs="Calibri"/>
          <w:sz w:val="18"/>
          <w:szCs w:val="18"/>
          <w:lang w:val="en-US"/>
        </w:rPr>
        <w:t>, Blackwell Publishing, 2015</w:t>
      </w:r>
    </w:p>
  </w:footnote>
  <w:footnote w:id="43">
    <w:p w14:paraId="22D30B60"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Quirke, Stephen, </w:t>
      </w:r>
      <w:r w:rsidRPr="00E81518">
        <w:rPr>
          <w:rFonts w:cs="Calibri"/>
          <w:i/>
          <w:iCs/>
          <w:sz w:val="18"/>
          <w:szCs w:val="18"/>
          <w:lang w:val="en-US"/>
        </w:rPr>
        <w:t>Ancient Egyptian Religion</w:t>
      </w:r>
      <w:r w:rsidRPr="00E81518">
        <w:rPr>
          <w:rFonts w:cs="Calibri"/>
          <w:sz w:val="18"/>
          <w:szCs w:val="18"/>
          <w:lang w:val="en-US"/>
        </w:rPr>
        <w:t>, British Museum Press, 1992</w:t>
      </w:r>
    </w:p>
  </w:footnote>
  <w:footnote w:id="44">
    <w:p w14:paraId="15682131" w14:textId="77777777" w:rsidR="00D671AD" w:rsidRPr="00E81518" w:rsidRDefault="00D671AD" w:rsidP="00D671AD">
      <w:pPr>
        <w:pStyle w:val="FootnoteText"/>
        <w:rPr>
          <w:rFonts w:cs="Calibri"/>
          <w:sz w:val="18"/>
          <w:szCs w:val="18"/>
          <w:lang w:val="en-US"/>
        </w:rPr>
      </w:pPr>
      <w:r w:rsidRPr="00E81518">
        <w:rPr>
          <w:rStyle w:val="FootnoteReference"/>
          <w:rFonts w:cs="Calibri"/>
          <w:sz w:val="18"/>
          <w:szCs w:val="18"/>
        </w:rPr>
        <w:footnoteRef/>
      </w:r>
      <w:r w:rsidRPr="00E81518">
        <w:rPr>
          <w:rFonts w:cs="Calibri"/>
          <w:sz w:val="18"/>
          <w:szCs w:val="18"/>
        </w:rPr>
        <w:t xml:space="preserve"> </w:t>
      </w:r>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p>
    <w:p w14:paraId="56CE1AEF" w14:textId="77777777" w:rsidR="00D671AD" w:rsidRPr="00E81518" w:rsidRDefault="00D671AD" w:rsidP="00D671AD">
      <w:pPr>
        <w:pStyle w:val="FootnoteText"/>
        <w:rPr>
          <w:sz w:val="18"/>
          <w:szCs w:val="18"/>
          <w:lang w:val="en-US"/>
        </w:rPr>
      </w:pPr>
    </w:p>
  </w:footnote>
  <w:footnote w:id="45">
    <w:p w14:paraId="2DAFD407" w14:textId="77777777" w:rsidR="00D671AD" w:rsidRPr="00E81518" w:rsidRDefault="00D671AD" w:rsidP="00D671AD">
      <w:pPr>
        <w:pStyle w:val="FootnoteText"/>
        <w:rPr>
          <w:sz w:val="18"/>
          <w:szCs w:val="18"/>
          <w:lang w:val="en-US"/>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Shaw, Ian, </w:t>
      </w:r>
      <w:r w:rsidRPr="00E81518">
        <w:rPr>
          <w:rFonts w:cs="Calibri"/>
          <w:i/>
          <w:iCs/>
          <w:sz w:val="18"/>
          <w:szCs w:val="18"/>
        </w:rPr>
        <w:t>The Oxford History of Ancient Egypt</w:t>
      </w:r>
      <w:r w:rsidRPr="00E81518">
        <w:rPr>
          <w:rFonts w:cs="Calibri"/>
          <w:sz w:val="18"/>
          <w:szCs w:val="18"/>
        </w:rPr>
        <w:t>, Oxford University Press, 2000</w:t>
      </w:r>
    </w:p>
  </w:footnote>
  <w:footnote w:id="46">
    <w:p w14:paraId="4D65DB19" w14:textId="77777777" w:rsidR="00D671AD" w:rsidRPr="00E81518" w:rsidRDefault="00D671AD" w:rsidP="00D671AD">
      <w:pPr>
        <w:pStyle w:val="FootnoteText"/>
        <w:jc w:val="both"/>
        <w:rPr>
          <w:sz w:val="18"/>
          <w:szCs w:val="18"/>
          <w:lang w:val="en-US"/>
        </w:rPr>
      </w:pPr>
      <w:r w:rsidRPr="00E81518">
        <w:rPr>
          <w:rStyle w:val="FootnoteReference"/>
          <w:sz w:val="18"/>
          <w:szCs w:val="18"/>
        </w:rPr>
        <w:footnoteRef/>
      </w:r>
      <w:r w:rsidRPr="00E81518">
        <w:rPr>
          <w:sz w:val="18"/>
          <w:szCs w:val="18"/>
        </w:rPr>
        <w:t xml:space="preserve"> </w:t>
      </w:r>
      <w:r w:rsidRPr="00E81518">
        <w:rPr>
          <w:sz w:val="18"/>
          <w:szCs w:val="18"/>
          <w:lang w:val="en-US"/>
        </w:rPr>
        <w:t xml:space="preserve">Jackon, Lesley, </w:t>
      </w:r>
      <w:r w:rsidRPr="00E81518">
        <w:rPr>
          <w:i/>
          <w:iCs/>
          <w:sz w:val="18"/>
          <w:szCs w:val="18"/>
          <w:lang w:val="en-US"/>
        </w:rPr>
        <w:t>Sekhmet &amp; Bastet, The Feline Powers of Ancient Egypt</w:t>
      </w:r>
      <w:r w:rsidRPr="00E81518">
        <w:rPr>
          <w:sz w:val="18"/>
          <w:szCs w:val="18"/>
          <w:lang w:val="en-US"/>
        </w:rPr>
        <w:t>, Avalonia Press, 2017</w:t>
      </w:r>
    </w:p>
  </w:footnote>
  <w:footnote w:id="47">
    <w:p w14:paraId="57931DA8" w14:textId="77777777" w:rsidR="00D671AD" w:rsidRPr="00E81518" w:rsidRDefault="00D671AD" w:rsidP="00D671AD">
      <w:pPr>
        <w:pStyle w:val="FootnoteText"/>
        <w:rPr>
          <w:sz w:val="18"/>
          <w:szCs w:val="18"/>
          <w:lang w:val="en-US"/>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p>
  </w:footnote>
  <w:footnote w:id="48">
    <w:p w14:paraId="41E58C20" w14:textId="77777777" w:rsidR="00D671AD" w:rsidRPr="00E81518" w:rsidRDefault="00D671AD" w:rsidP="00D671AD">
      <w:pPr>
        <w:pStyle w:val="FootnoteText"/>
        <w:rPr>
          <w:rFonts w:cs="Calibri"/>
          <w:i/>
          <w:iCs/>
          <w:sz w:val="18"/>
          <w:szCs w:val="18"/>
          <w:lang w:val="en-US"/>
        </w:rPr>
      </w:pPr>
      <w:r w:rsidRPr="00E81518">
        <w:rPr>
          <w:rStyle w:val="FootnoteReference"/>
          <w:sz w:val="18"/>
          <w:szCs w:val="18"/>
        </w:rPr>
        <w:footnoteRef/>
      </w:r>
      <w:r w:rsidRPr="00E81518">
        <w:rPr>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49">
    <w:p w14:paraId="1E3D7627"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Pinch, Geraldine, </w:t>
      </w:r>
      <w:r w:rsidRPr="00E81518">
        <w:rPr>
          <w:rFonts w:cs="Calibri"/>
          <w:i/>
          <w:iCs/>
          <w:sz w:val="18"/>
          <w:szCs w:val="18"/>
          <w:lang w:val="en-US"/>
        </w:rPr>
        <w:t>Egyptian Mythology: A Guide to the Gods, Goddesses, and Traditions of Ancient Egypt</w:t>
      </w:r>
      <w:r w:rsidRPr="00E81518">
        <w:rPr>
          <w:rFonts w:cs="Calibri"/>
          <w:sz w:val="18"/>
          <w:szCs w:val="18"/>
          <w:lang w:val="en-US"/>
        </w:rPr>
        <w:t>, Oxford University Press, 2002</w:t>
      </w:r>
    </w:p>
  </w:footnote>
  <w:footnote w:id="50">
    <w:p w14:paraId="36EA776E"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Teeter, Emily, </w:t>
      </w:r>
      <w:r w:rsidRPr="00E81518">
        <w:rPr>
          <w:rFonts w:cs="Calibri"/>
          <w:i/>
          <w:iCs/>
          <w:sz w:val="18"/>
          <w:szCs w:val="18"/>
          <w:lang w:val="en-US"/>
        </w:rPr>
        <w:t>Religion and Ritual in Ancient Egypt</w:t>
      </w:r>
      <w:r w:rsidRPr="00E81518">
        <w:rPr>
          <w:rFonts w:cs="Calibri"/>
          <w:sz w:val="18"/>
          <w:szCs w:val="18"/>
          <w:lang w:val="en-US"/>
        </w:rPr>
        <w:t>, Cambridge University Press, 2019</w:t>
      </w:r>
    </w:p>
  </w:footnote>
  <w:footnote w:id="51">
    <w:p w14:paraId="5BF498D1"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52">
    <w:p w14:paraId="51976C4E" w14:textId="77777777" w:rsidR="00D671AD" w:rsidRPr="00E81518" w:rsidRDefault="00D671AD" w:rsidP="00D671AD">
      <w:pPr>
        <w:pStyle w:val="FootnoteText"/>
        <w:rPr>
          <w:rFonts w:cs="Calibri"/>
          <w:sz w:val="18"/>
          <w:szCs w:val="18"/>
          <w:lang w:val="en-US"/>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53">
    <w:p w14:paraId="3922D922"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Pinch, Geraldine, </w:t>
      </w:r>
      <w:r w:rsidRPr="00E81518">
        <w:rPr>
          <w:rFonts w:cs="Calibri"/>
          <w:i/>
          <w:iCs/>
          <w:sz w:val="18"/>
          <w:szCs w:val="18"/>
          <w:lang w:val="en-US"/>
        </w:rPr>
        <w:t>Egyptian Mythology: A Guide to the Gods, Goddesses, and Traditions of Ancient Egypt</w:t>
      </w:r>
      <w:r w:rsidRPr="00E81518">
        <w:rPr>
          <w:rFonts w:cs="Calibri"/>
          <w:sz w:val="18"/>
          <w:szCs w:val="18"/>
          <w:lang w:val="en-US"/>
        </w:rPr>
        <w:t>, Oxford University Press, 2002</w:t>
      </w:r>
    </w:p>
  </w:footnote>
  <w:footnote w:id="54">
    <w:p w14:paraId="08F0BD4E"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Nicholson, Paul T, Shaw, Ian, </w:t>
      </w:r>
      <w:r w:rsidRPr="00E81518">
        <w:rPr>
          <w:i/>
          <w:iCs/>
          <w:sz w:val="18"/>
          <w:szCs w:val="18"/>
        </w:rPr>
        <w:t>Ancient Egyptian Materials and Technology,</w:t>
      </w:r>
      <w:r w:rsidRPr="00E81518">
        <w:rPr>
          <w:sz w:val="18"/>
          <w:szCs w:val="18"/>
        </w:rPr>
        <w:t xml:space="preserve"> Cambridge University Press, 2000</w:t>
      </w:r>
    </w:p>
  </w:footnote>
  <w:footnote w:id="55">
    <w:p w14:paraId="169B058C"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p>
  </w:footnote>
  <w:footnote w:id="56">
    <w:p w14:paraId="543085C7"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sz w:val="18"/>
          <w:szCs w:val="18"/>
          <w:lang w:val="en-US"/>
        </w:rPr>
        <w:t xml:space="preserve">Jackon, Lesley, </w:t>
      </w:r>
      <w:r w:rsidRPr="00E81518">
        <w:rPr>
          <w:i/>
          <w:iCs/>
          <w:sz w:val="18"/>
          <w:szCs w:val="18"/>
          <w:lang w:val="en-US"/>
        </w:rPr>
        <w:t>Sekhmet &amp; Bastet, The Feline Powers of Ancient Egypt</w:t>
      </w:r>
      <w:r w:rsidRPr="00E81518">
        <w:rPr>
          <w:sz w:val="18"/>
          <w:szCs w:val="18"/>
          <w:lang w:val="en-US"/>
        </w:rPr>
        <w:t>, Avalonia Press, 2017</w:t>
      </w:r>
    </w:p>
  </w:footnote>
  <w:footnote w:id="57">
    <w:p w14:paraId="64890CC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Smith, Mark, </w:t>
      </w:r>
      <w:r w:rsidRPr="00E81518">
        <w:rPr>
          <w:i/>
          <w:iCs/>
          <w:sz w:val="18"/>
          <w:szCs w:val="18"/>
        </w:rPr>
        <w:t>Traversing Eternity, Texts for the Afterlife from Ptolemaic and Roman Egypt</w:t>
      </w:r>
      <w:r w:rsidRPr="00E81518">
        <w:rPr>
          <w:sz w:val="18"/>
          <w:szCs w:val="18"/>
        </w:rPr>
        <w:t>, Oxford University Press, 2009</w:t>
      </w:r>
    </w:p>
  </w:footnote>
  <w:footnote w:id="58">
    <w:p w14:paraId="78BC97FE"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59">
    <w:p w14:paraId="761FD9B7" w14:textId="77777777" w:rsidR="00D671AD" w:rsidRPr="00E81518" w:rsidRDefault="00D671AD" w:rsidP="00D671AD">
      <w:pPr>
        <w:pStyle w:val="FootnoteText"/>
        <w:rPr>
          <w:rFonts w:cs="Calibri"/>
          <w:sz w:val="18"/>
          <w:szCs w:val="18"/>
          <w:lang w:val="en-US"/>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River, Charles, </w:t>
      </w:r>
      <w:r w:rsidRPr="00E81518">
        <w:rPr>
          <w:rFonts w:cs="Calibri"/>
          <w:i/>
          <w:iCs/>
          <w:sz w:val="18"/>
          <w:szCs w:val="18"/>
          <w:lang w:val="en-US"/>
        </w:rPr>
        <w:t>Sacred Animals in Ancient Egypt</w:t>
      </w:r>
      <w:r w:rsidRPr="00E81518">
        <w:rPr>
          <w:rFonts w:cs="Calibri"/>
          <w:sz w:val="18"/>
          <w:szCs w:val="18"/>
          <w:lang w:val="en-US"/>
        </w:rPr>
        <w:t>, CR Editors, 2011</w:t>
      </w:r>
    </w:p>
  </w:footnote>
  <w:footnote w:id="60">
    <w:p w14:paraId="3EF037CB"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sz w:val="18"/>
          <w:szCs w:val="18"/>
          <w:lang w:val="en-US"/>
        </w:rPr>
        <w:t xml:space="preserve">Jackson, Lesley, </w:t>
      </w:r>
      <w:r w:rsidRPr="00E81518">
        <w:rPr>
          <w:i/>
          <w:iCs/>
          <w:sz w:val="18"/>
          <w:szCs w:val="18"/>
          <w:lang w:val="en-US"/>
        </w:rPr>
        <w:t>Sekhmet &amp; Bastet, The Feline Powers of Ancient Egypt</w:t>
      </w:r>
      <w:r w:rsidRPr="00E81518">
        <w:rPr>
          <w:sz w:val="18"/>
          <w:szCs w:val="18"/>
          <w:lang w:val="en-US"/>
        </w:rPr>
        <w:t>, Avalonia Press, 2017</w:t>
      </w:r>
    </w:p>
  </w:footnote>
  <w:footnote w:id="61">
    <w:p w14:paraId="20993965"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“The Practice of Mummification in Ancient Egypt”, The Oxford Handbook of Egyptian Epigraphy and Palaeography</w:t>
      </w:r>
      <w:r w:rsidRPr="00E81518">
        <w:rPr>
          <w:sz w:val="18"/>
          <w:szCs w:val="18"/>
        </w:rPr>
        <w:t>, Oxford University Press, 2018</w:t>
      </w:r>
    </w:p>
  </w:footnote>
  <w:footnote w:id="62">
    <w:p w14:paraId="313B9895"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David, Rosalie, </w:t>
      </w:r>
      <w:r w:rsidRPr="00E81518">
        <w:rPr>
          <w:i/>
          <w:iCs/>
          <w:sz w:val="18"/>
          <w:szCs w:val="18"/>
        </w:rPr>
        <w:t>Egyptian Mummies and Modern Science</w:t>
      </w:r>
      <w:r w:rsidRPr="00E81518">
        <w:rPr>
          <w:sz w:val="18"/>
          <w:szCs w:val="18"/>
        </w:rPr>
        <w:t>, Cambridge University Press, 2008</w:t>
      </w:r>
    </w:p>
  </w:footnote>
  <w:footnote w:id="63">
    <w:p w14:paraId="56594B24"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Holt, Frank L, </w:t>
      </w:r>
      <w:r w:rsidRPr="00E81518">
        <w:rPr>
          <w:i/>
          <w:iCs/>
          <w:sz w:val="18"/>
          <w:szCs w:val="18"/>
        </w:rPr>
        <w:t>A Mystery from the Mummy-Pits: The Amazing Journey of Ankh-Hap</w:t>
      </w:r>
      <w:r w:rsidRPr="00E81518">
        <w:rPr>
          <w:sz w:val="18"/>
          <w:szCs w:val="18"/>
        </w:rPr>
        <w:t>, Oxford University Press, 2024</w:t>
      </w:r>
    </w:p>
  </w:footnote>
  <w:footnote w:id="64">
    <w:p w14:paraId="3AA49B11"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Harris, Eleanor, </w:t>
      </w:r>
      <w:r w:rsidRPr="00E81518">
        <w:rPr>
          <w:i/>
          <w:iCs/>
          <w:sz w:val="18"/>
          <w:szCs w:val="18"/>
        </w:rPr>
        <w:t>Ancient Egyptian Magic</w:t>
      </w:r>
      <w:r w:rsidRPr="00E81518">
        <w:rPr>
          <w:sz w:val="18"/>
          <w:szCs w:val="18"/>
        </w:rPr>
        <w:t>, Weiser Books, 2015</w:t>
      </w:r>
    </w:p>
  </w:footnote>
  <w:footnote w:id="65">
    <w:p w14:paraId="57DD9FBC"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Andrew, Carol, </w:t>
      </w:r>
      <w:r w:rsidRPr="00E81518">
        <w:rPr>
          <w:i/>
          <w:iCs/>
          <w:sz w:val="18"/>
          <w:szCs w:val="18"/>
        </w:rPr>
        <w:t>Amulets of Ancient Egypt</w:t>
      </w:r>
      <w:r w:rsidRPr="00E81518">
        <w:rPr>
          <w:sz w:val="18"/>
          <w:szCs w:val="18"/>
        </w:rPr>
        <w:t>, British Museum Press, 1994</w:t>
      </w:r>
    </w:p>
  </w:footnote>
  <w:footnote w:id="66">
    <w:p w14:paraId="6C45D0D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Kritsky, Gene, </w:t>
      </w:r>
      <w:r w:rsidRPr="00E81518">
        <w:rPr>
          <w:i/>
          <w:iCs/>
          <w:sz w:val="18"/>
          <w:szCs w:val="18"/>
        </w:rPr>
        <w:t>The Tears of Re: Beekeeping in Ancient Egypt</w:t>
      </w:r>
      <w:r w:rsidRPr="00E81518">
        <w:rPr>
          <w:sz w:val="18"/>
          <w:szCs w:val="18"/>
        </w:rPr>
        <w:t>, Oxford University Press, 2015</w:t>
      </w:r>
    </w:p>
  </w:footnote>
  <w:footnote w:id="67">
    <w:p w14:paraId="4D6A2811"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sz w:val="18"/>
          <w:szCs w:val="18"/>
          <w:lang w:val="en-US"/>
        </w:rPr>
        <w:t xml:space="preserve">Jackon, Lesley, </w:t>
      </w:r>
      <w:r w:rsidRPr="00E81518">
        <w:rPr>
          <w:i/>
          <w:iCs/>
          <w:sz w:val="18"/>
          <w:szCs w:val="18"/>
          <w:lang w:val="en-US"/>
        </w:rPr>
        <w:t>Sekhmet &amp; Bastet, The Feline Powers of Ancient Egypt</w:t>
      </w:r>
      <w:r w:rsidRPr="00E81518">
        <w:rPr>
          <w:sz w:val="18"/>
          <w:szCs w:val="18"/>
          <w:lang w:val="en-US"/>
        </w:rPr>
        <w:t>, Avalonia Press, 2017</w:t>
      </w:r>
    </w:p>
  </w:footnote>
  <w:footnote w:id="68">
    <w:p w14:paraId="7C8FEB2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David, Rosalie, </w:t>
      </w:r>
      <w:r w:rsidRPr="00E81518">
        <w:rPr>
          <w:i/>
          <w:iCs/>
          <w:sz w:val="18"/>
          <w:szCs w:val="18"/>
        </w:rPr>
        <w:t>Egyptian Mummies and Modern Science</w:t>
      </w:r>
      <w:r w:rsidRPr="00E81518">
        <w:rPr>
          <w:sz w:val="18"/>
          <w:szCs w:val="18"/>
        </w:rPr>
        <w:t>, Cambridge University Press, 2008</w:t>
      </w:r>
    </w:p>
  </w:footnote>
  <w:footnote w:id="69">
    <w:p w14:paraId="383DA60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p>
  </w:footnote>
  <w:footnote w:id="70">
    <w:p w14:paraId="3017AA2C"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Shaw, Ian, </w:t>
      </w:r>
      <w:r w:rsidRPr="00E81518">
        <w:rPr>
          <w:rFonts w:cs="Calibri"/>
          <w:i/>
          <w:iCs/>
          <w:sz w:val="18"/>
          <w:szCs w:val="18"/>
        </w:rPr>
        <w:t>The Oxford History of Ancient Egypt</w:t>
      </w:r>
      <w:r w:rsidRPr="00E81518">
        <w:rPr>
          <w:rFonts w:cs="Calibri"/>
          <w:sz w:val="18"/>
          <w:szCs w:val="18"/>
        </w:rPr>
        <w:t>, Oxford University Press, 2000</w:t>
      </w:r>
    </w:p>
  </w:footnote>
  <w:footnote w:id="71">
    <w:p w14:paraId="16E819F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72">
    <w:p w14:paraId="613943F1"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Legge, R.J, </w:t>
      </w:r>
      <w:r w:rsidRPr="00E81518">
        <w:rPr>
          <w:i/>
          <w:iCs/>
          <w:sz w:val="18"/>
          <w:szCs w:val="18"/>
        </w:rPr>
        <w:t>“Animal Mummification and the Temple Economy of Ancient Egypt”</w:t>
      </w:r>
      <w:r w:rsidRPr="00E81518">
        <w:rPr>
          <w:sz w:val="18"/>
          <w:szCs w:val="18"/>
        </w:rPr>
        <w:t>, Journal of Egyptian Archaeology, vol 96, 2010</w:t>
      </w:r>
    </w:p>
  </w:footnote>
  <w:footnote w:id="73">
    <w:p w14:paraId="6CF05043"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Holt, Frank L, </w:t>
      </w:r>
      <w:r w:rsidRPr="00E81518">
        <w:rPr>
          <w:i/>
          <w:iCs/>
          <w:sz w:val="18"/>
          <w:szCs w:val="18"/>
        </w:rPr>
        <w:t>A Mystery from the Mummy-Pits: The Amazing Journey of Ankh-Hap</w:t>
      </w:r>
      <w:r w:rsidRPr="00E81518">
        <w:rPr>
          <w:sz w:val="18"/>
          <w:szCs w:val="18"/>
        </w:rPr>
        <w:t>, Oxford University Press, 2024</w:t>
      </w:r>
    </w:p>
  </w:footnote>
  <w:footnote w:id="74">
    <w:p w14:paraId="5A4400C4"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Quirke, Stephen, </w:t>
      </w:r>
      <w:r w:rsidRPr="00E81518">
        <w:rPr>
          <w:rFonts w:cs="Calibri"/>
          <w:i/>
          <w:iCs/>
          <w:sz w:val="18"/>
          <w:szCs w:val="18"/>
          <w:lang w:val="en-US"/>
        </w:rPr>
        <w:t>Exploring Religion in Ancient Egypt</w:t>
      </w:r>
      <w:r w:rsidRPr="00E81518">
        <w:rPr>
          <w:rFonts w:cs="Calibri"/>
          <w:sz w:val="18"/>
          <w:szCs w:val="18"/>
          <w:lang w:val="en-US"/>
        </w:rPr>
        <w:t>, Blackwell Publishing, 2015</w:t>
      </w:r>
    </w:p>
  </w:footnote>
  <w:footnote w:id="75">
    <w:p w14:paraId="7DDE44BA"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Assmann, Jan, </w:t>
      </w:r>
      <w:r w:rsidRPr="00E81518">
        <w:rPr>
          <w:i/>
          <w:iCs/>
          <w:sz w:val="18"/>
          <w:szCs w:val="18"/>
        </w:rPr>
        <w:t>Cultural Memory ad Early Civilisation: Writing, Remembrance and Political Imagination</w:t>
      </w:r>
      <w:r w:rsidRPr="00E81518">
        <w:rPr>
          <w:sz w:val="18"/>
          <w:szCs w:val="18"/>
        </w:rPr>
        <w:t>, Cambridge University Press, 1992</w:t>
      </w:r>
    </w:p>
  </w:footnote>
  <w:footnote w:id="76">
    <w:p w14:paraId="52FF987E"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Teeter, Emily, </w:t>
      </w:r>
      <w:r w:rsidRPr="00E81518">
        <w:rPr>
          <w:rFonts w:cs="Calibri"/>
          <w:i/>
          <w:iCs/>
          <w:sz w:val="18"/>
          <w:szCs w:val="18"/>
          <w:lang w:val="en-US"/>
        </w:rPr>
        <w:t>Religion and Ritual in Ancient Egypt</w:t>
      </w:r>
      <w:r w:rsidRPr="00E81518">
        <w:rPr>
          <w:rFonts w:cs="Calibri"/>
          <w:sz w:val="18"/>
          <w:szCs w:val="18"/>
          <w:lang w:val="en-US"/>
        </w:rPr>
        <w:t>, Cambridge University Press, 2019</w:t>
      </w:r>
    </w:p>
  </w:footnote>
  <w:footnote w:id="77">
    <w:p w14:paraId="3289FC9B" w14:textId="77777777" w:rsidR="00D671AD" w:rsidRPr="00E81518" w:rsidRDefault="00D671AD" w:rsidP="00D671AD">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p>
  </w:footnote>
  <w:footnote w:id="78">
    <w:p w14:paraId="23FCA610"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Manning, J.G</w:t>
      </w:r>
      <w:r w:rsidRPr="00E81518">
        <w:rPr>
          <w:i/>
          <w:iCs/>
          <w:sz w:val="18"/>
          <w:szCs w:val="18"/>
        </w:rPr>
        <w:t>, The Last Pharaohs: Egypt under the Ptolemies, 305-30BC</w:t>
      </w:r>
      <w:r w:rsidRPr="00E81518">
        <w:rPr>
          <w:sz w:val="18"/>
          <w:szCs w:val="18"/>
        </w:rPr>
        <w:t>, Princeton University Press, 2010</w:t>
      </w:r>
    </w:p>
  </w:footnote>
  <w:footnote w:id="79">
    <w:p w14:paraId="2E7B7753"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Moxon, Edward, </w:t>
      </w:r>
      <w:r w:rsidRPr="00E81518">
        <w:rPr>
          <w:i/>
          <w:iCs/>
          <w:sz w:val="18"/>
          <w:szCs w:val="18"/>
        </w:rPr>
        <w:t>The History of Egypt under the Ptolemies</w:t>
      </w:r>
      <w:r w:rsidRPr="00E81518">
        <w:rPr>
          <w:sz w:val="18"/>
          <w:szCs w:val="18"/>
        </w:rPr>
        <w:t>, Edward Moxon, 1838</w:t>
      </w:r>
    </w:p>
  </w:footnote>
  <w:footnote w:id="80">
    <w:p w14:paraId="519D77E1"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Shaw, Ian, </w:t>
      </w:r>
      <w:r w:rsidRPr="00E81518">
        <w:rPr>
          <w:rFonts w:cs="Calibri"/>
          <w:i/>
          <w:iCs/>
          <w:sz w:val="18"/>
          <w:szCs w:val="18"/>
        </w:rPr>
        <w:t>The Oxford History of Ancient Egypt</w:t>
      </w:r>
      <w:r w:rsidRPr="00E81518">
        <w:rPr>
          <w:rFonts w:cs="Calibri"/>
          <w:sz w:val="18"/>
          <w:szCs w:val="18"/>
        </w:rPr>
        <w:t>, Oxford University Press, 2000</w:t>
      </w:r>
    </w:p>
  </w:footnote>
  <w:footnote w:id="81">
    <w:p w14:paraId="210CCC94"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82">
    <w:p w14:paraId="03111B71"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Quirke, Stephen, </w:t>
      </w:r>
      <w:r w:rsidRPr="00E81518">
        <w:rPr>
          <w:rFonts w:cs="Calibri"/>
          <w:i/>
          <w:iCs/>
          <w:sz w:val="18"/>
          <w:szCs w:val="18"/>
          <w:lang w:val="en-US"/>
        </w:rPr>
        <w:t>Exploring Religion in Ancient Egypt</w:t>
      </w:r>
      <w:r w:rsidRPr="00E81518">
        <w:rPr>
          <w:rFonts w:cs="Calibri"/>
          <w:sz w:val="18"/>
          <w:szCs w:val="18"/>
          <w:lang w:val="en-US"/>
        </w:rPr>
        <w:t>, Blackwell Publishing, 2015</w:t>
      </w:r>
    </w:p>
  </w:footnote>
  <w:footnote w:id="83">
    <w:p w14:paraId="42567114"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84">
    <w:p w14:paraId="093CDA7F"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85">
    <w:p w14:paraId="7E96F687"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Idris Bell, H, </w:t>
      </w:r>
      <w:r w:rsidRPr="00E81518">
        <w:rPr>
          <w:i/>
          <w:iCs/>
          <w:sz w:val="18"/>
          <w:szCs w:val="18"/>
        </w:rPr>
        <w:t>Egypt from Alexander the Great to the Arab conquest: a study in the diffusion and decay of Hellenism</w:t>
      </w:r>
      <w:r w:rsidRPr="00E81518">
        <w:rPr>
          <w:sz w:val="18"/>
          <w:szCs w:val="18"/>
        </w:rPr>
        <w:t>, Clarendon Press, 1948</w:t>
      </w:r>
    </w:p>
  </w:footnote>
  <w:footnote w:id="86">
    <w:p w14:paraId="007C8252"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87">
    <w:p w14:paraId="43A03F35"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88">
    <w:p w14:paraId="75A5AFAA"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Heckel, Waldemar, </w:t>
      </w:r>
      <w:r w:rsidRPr="00E81518">
        <w:rPr>
          <w:i/>
          <w:iCs/>
          <w:sz w:val="18"/>
          <w:szCs w:val="18"/>
        </w:rPr>
        <w:t>In the Path of Conquest: Resistance to Alexander the Great</w:t>
      </w:r>
      <w:r w:rsidRPr="00E81518">
        <w:rPr>
          <w:sz w:val="18"/>
          <w:szCs w:val="18"/>
        </w:rPr>
        <w:t>, Oxford University Press, 2020</w:t>
      </w:r>
    </w:p>
  </w:footnote>
  <w:footnote w:id="89">
    <w:p w14:paraId="70510923"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90">
    <w:p w14:paraId="6FD871A2"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Jackson, Lesley, </w:t>
      </w:r>
      <w:r w:rsidRPr="00E81518">
        <w:rPr>
          <w:i/>
          <w:iCs/>
          <w:sz w:val="18"/>
          <w:szCs w:val="18"/>
        </w:rPr>
        <w:t xml:space="preserve">Sekhmet &amp; Bastet – The Feline Powers of Ancient Egypt, </w:t>
      </w:r>
      <w:r w:rsidRPr="00E81518">
        <w:rPr>
          <w:sz w:val="18"/>
          <w:szCs w:val="18"/>
        </w:rPr>
        <w:t>Avalonia, 2019</w:t>
      </w:r>
    </w:p>
  </w:footnote>
  <w:footnote w:id="91">
    <w:p w14:paraId="5D8C3FAC"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Bowman, Alan, Charles, Crowther, </w:t>
      </w:r>
      <w:r w:rsidRPr="00E81518">
        <w:rPr>
          <w:i/>
          <w:iCs/>
          <w:sz w:val="18"/>
          <w:szCs w:val="18"/>
        </w:rPr>
        <w:t>The Epigraphy of Ptolemaic Egypt</w:t>
      </w:r>
      <w:r w:rsidRPr="00E81518">
        <w:rPr>
          <w:sz w:val="18"/>
          <w:szCs w:val="18"/>
        </w:rPr>
        <w:t>, Oxford University Press, 2020</w:t>
      </w:r>
    </w:p>
  </w:footnote>
  <w:footnote w:id="92">
    <w:p w14:paraId="68739202"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Riggs, Christina, </w:t>
      </w:r>
      <w:r w:rsidRPr="00E81518">
        <w:rPr>
          <w:i/>
          <w:iCs/>
          <w:sz w:val="18"/>
          <w:szCs w:val="18"/>
        </w:rPr>
        <w:t>The Oxford Handbook of Roman Egypt</w:t>
      </w:r>
      <w:r w:rsidRPr="00E81518">
        <w:rPr>
          <w:sz w:val="18"/>
          <w:szCs w:val="18"/>
        </w:rPr>
        <w:t>, Oxford University Press, 2012</w:t>
      </w:r>
    </w:p>
  </w:footnote>
  <w:footnote w:id="93">
    <w:p w14:paraId="34B53F7A"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94">
    <w:p w14:paraId="2851029D"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Redford, Donald B, </w:t>
      </w:r>
      <w:r w:rsidRPr="00E81518">
        <w:rPr>
          <w:i/>
          <w:iCs/>
          <w:sz w:val="18"/>
          <w:szCs w:val="18"/>
        </w:rPr>
        <w:t>The Ancient Gods: a guide to Egyptian Religion</w:t>
      </w:r>
      <w:r w:rsidRPr="00E81518">
        <w:rPr>
          <w:sz w:val="18"/>
          <w:szCs w:val="18"/>
        </w:rPr>
        <w:t>, Oxford University Press, 2002</w:t>
      </w:r>
    </w:p>
  </w:footnote>
  <w:footnote w:id="95">
    <w:p w14:paraId="46DE0BF7"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Petrie, Flinders, </w:t>
      </w:r>
      <w:r w:rsidRPr="00E81518">
        <w:rPr>
          <w:rFonts w:cs="Calibri"/>
          <w:i/>
          <w:iCs/>
          <w:sz w:val="18"/>
          <w:szCs w:val="18"/>
          <w:lang w:val="en-US"/>
        </w:rPr>
        <w:t>Personal Religion in Egypt before Christianity</w:t>
      </w:r>
      <w:r w:rsidRPr="00E81518">
        <w:rPr>
          <w:rFonts w:cs="Calibri"/>
          <w:sz w:val="18"/>
          <w:szCs w:val="18"/>
          <w:lang w:val="en-US"/>
        </w:rPr>
        <w:t>, Read Books Ltd, 2011</w:t>
      </w:r>
    </w:p>
  </w:footnote>
  <w:footnote w:id="96">
    <w:p w14:paraId="4F7DCEC8"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O’Connor, David, </w:t>
      </w:r>
      <w:r w:rsidRPr="00E81518">
        <w:rPr>
          <w:i/>
          <w:iCs/>
          <w:sz w:val="18"/>
          <w:szCs w:val="18"/>
        </w:rPr>
        <w:t>Abydos: Egypt’s first pharaohs and the cult of Osiris</w:t>
      </w:r>
      <w:r w:rsidRPr="00E81518">
        <w:rPr>
          <w:sz w:val="18"/>
          <w:szCs w:val="18"/>
        </w:rPr>
        <w:t>, Thames &amp; Hudson, 2009</w:t>
      </w:r>
    </w:p>
  </w:footnote>
  <w:footnote w:id="97">
    <w:p w14:paraId="2872B682"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98">
    <w:p w14:paraId="53D069A0"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Naunton, Chris, </w:t>
      </w:r>
      <w:r w:rsidRPr="00E81518">
        <w:rPr>
          <w:i/>
          <w:iCs/>
          <w:sz w:val="18"/>
          <w:szCs w:val="18"/>
        </w:rPr>
        <w:t>Searching for the Lost Tombs of Egypt</w:t>
      </w:r>
      <w:r w:rsidRPr="00E81518">
        <w:rPr>
          <w:sz w:val="18"/>
          <w:szCs w:val="18"/>
        </w:rPr>
        <w:t>, Thames &amp; Hudson Ltd, 2018</w:t>
      </w:r>
    </w:p>
  </w:footnote>
  <w:footnote w:id="99">
    <w:p w14:paraId="7D70F524"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Hahn, Johannes, Emmel, Stephen, Gotter, Ulrich, </w:t>
      </w:r>
      <w:r w:rsidRPr="00E81518">
        <w:rPr>
          <w:i/>
          <w:iCs/>
          <w:sz w:val="18"/>
          <w:szCs w:val="18"/>
        </w:rPr>
        <w:t xml:space="preserve">From Temple to Church: Destruction and renewal of local cultic topography in late antiquity, </w:t>
      </w:r>
      <w:r w:rsidRPr="00E81518">
        <w:rPr>
          <w:sz w:val="18"/>
          <w:szCs w:val="18"/>
        </w:rPr>
        <w:t>Brill, 2008</w:t>
      </w:r>
    </w:p>
  </w:footnote>
  <w:footnote w:id="100">
    <w:p w14:paraId="717953FF"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p>
  </w:footnote>
  <w:footnote w:id="101">
    <w:p w14:paraId="56984975"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Paganini, Mario C, </w:t>
      </w:r>
      <w:r w:rsidRPr="00E81518">
        <w:rPr>
          <w:i/>
          <w:iCs/>
          <w:sz w:val="18"/>
          <w:szCs w:val="18"/>
        </w:rPr>
        <w:t>Gymnasia and Greek Identity in Ptolemaic Egypt</w:t>
      </w:r>
      <w:r w:rsidRPr="00E81518">
        <w:rPr>
          <w:sz w:val="18"/>
          <w:szCs w:val="18"/>
        </w:rPr>
        <w:t>, 2022</w:t>
      </w:r>
    </w:p>
  </w:footnote>
  <w:footnote w:id="102">
    <w:p w14:paraId="2B46F608"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Birk, Ralph, Coulon, Laurent, </w:t>
      </w:r>
      <w:r w:rsidRPr="00E81518">
        <w:rPr>
          <w:i/>
          <w:iCs/>
          <w:sz w:val="18"/>
          <w:szCs w:val="18"/>
        </w:rPr>
        <w:t>The Thebaid in Times of Crisis: Revolt and Response in Ptolemaic Egypt</w:t>
      </w:r>
      <w:r w:rsidRPr="00E81518">
        <w:rPr>
          <w:sz w:val="18"/>
          <w:szCs w:val="18"/>
        </w:rPr>
        <w:t>, De Gruyter Berlin, 2025</w:t>
      </w:r>
    </w:p>
  </w:footnote>
  <w:footnote w:id="103">
    <w:p w14:paraId="5C59534B"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Pinch, Geraldine, </w:t>
      </w:r>
      <w:r w:rsidRPr="00E81518">
        <w:rPr>
          <w:rFonts w:cs="Calibri"/>
          <w:i/>
          <w:iCs/>
          <w:sz w:val="18"/>
          <w:szCs w:val="18"/>
          <w:lang w:val="en-US"/>
        </w:rPr>
        <w:t>Egyptian Mythology: A Guide to the Gods, Goddesses, and Traditions of Ancient Egypt</w:t>
      </w:r>
      <w:r w:rsidRPr="00E81518">
        <w:rPr>
          <w:rFonts w:cs="Calibri"/>
          <w:sz w:val="18"/>
          <w:szCs w:val="18"/>
          <w:lang w:val="en-US"/>
        </w:rPr>
        <w:t>, Oxford University Press, 2002</w:t>
      </w:r>
    </w:p>
  </w:footnote>
  <w:footnote w:id="104">
    <w:p w14:paraId="69DD3B89"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Sullivan, Richard, </w:t>
      </w:r>
      <w:r w:rsidRPr="00E81518">
        <w:rPr>
          <w:i/>
          <w:iCs/>
          <w:sz w:val="18"/>
          <w:szCs w:val="18"/>
        </w:rPr>
        <w:t>Near Eastern Royalty and Rome: 100-30BC</w:t>
      </w:r>
      <w:r w:rsidRPr="00E81518">
        <w:rPr>
          <w:sz w:val="18"/>
          <w:szCs w:val="18"/>
        </w:rPr>
        <w:t>, University of Toronto Press, 1990</w:t>
      </w:r>
    </w:p>
  </w:footnote>
  <w:footnote w:id="105">
    <w:p w14:paraId="6741E80F"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Riggs, Christina, </w:t>
      </w:r>
      <w:r w:rsidRPr="00E81518">
        <w:rPr>
          <w:i/>
          <w:iCs/>
          <w:sz w:val="18"/>
          <w:szCs w:val="18"/>
        </w:rPr>
        <w:t>The Oxford Handbook of Roman Egypt</w:t>
      </w:r>
      <w:r w:rsidRPr="00E81518">
        <w:rPr>
          <w:sz w:val="18"/>
          <w:szCs w:val="18"/>
        </w:rPr>
        <w:t>, Oxford University Press, 2012</w:t>
      </w:r>
    </w:p>
  </w:footnote>
  <w:footnote w:id="106">
    <w:p w14:paraId="667079DD"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Death and Burial in Ancient Egypt</w:t>
      </w:r>
      <w:r w:rsidRPr="00E81518">
        <w:rPr>
          <w:sz w:val="18"/>
          <w:szCs w:val="18"/>
        </w:rPr>
        <w:t>, The American University in Cairo Pess, 2015</w:t>
      </w:r>
    </w:p>
  </w:footnote>
  <w:footnote w:id="107">
    <w:p w14:paraId="03FFFB24"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David, Rosalie, </w:t>
      </w:r>
      <w:r w:rsidRPr="00E81518">
        <w:rPr>
          <w:i/>
          <w:iCs/>
          <w:sz w:val="18"/>
          <w:szCs w:val="18"/>
        </w:rPr>
        <w:t>Egyptian Mummies and Modern Science</w:t>
      </w:r>
      <w:r w:rsidRPr="00E81518">
        <w:rPr>
          <w:sz w:val="18"/>
          <w:szCs w:val="18"/>
        </w:rPr>
        <w:t>, Cambridge University Press, 2008</w:t>
      </w:r>
    </w:p>
  </w:footnote>
  <w:footnote w:id="108">
    <w:p w14:paraId="0E523E1E"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109">
    <w:p w14:paraId="0425B48F"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Teeter, Emily, </w:t>
      </w:r>
      <w:r w:rsidRPr="00E81518">
        <w:rPr>
          <w:rFonts w:cs="Calibri"/>
          <w:i/>
          <w:iCs/>
          <w:sz w:val="18"/>
          <w:szCs w:val="18"/>
          <w:lang w:val="en-US"/>
        </w:rPr>
        <w:t>Religion and Ritual in Ancient Egypt</w:t>
      </w:r>
      <w:r w:rsidRPr="00E81518">
        <w:rPr>
          <w:rFonts w:cs="Calibri"/>
          <w:sz w:val="18"/>
          <w:szCs w:val="18"/>
          <w:lang w:val="en-US"/>
        </w:rPr>
        <w:t>, Cambridge University Press, 2019</w:t>
      </w:r>
    </w:p>
  </w:footnote>
  <w:footnote w:id="110">
    <w:p w14:paraId="358C7325"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Redford, Donald B, </w:t>
      </w:r>
      <w:r w:rsidRPr="00E81518">
        <w:rPr>
          <w:i/>
          <w:iCs/>
          <w:sz w:val="18"/>
          <w:szCs w:val="18"/>
        </w:rPr>
        <w:t>The Ancient Gods: a guide to Egyptian Religion</w:t>
      </w:r>
      <w:r w:rsidRPr="00E81518">
        <w:rPr>
          <w:sz w:val="18"/>
          <w:szCs w:val="18"/>
        </w:rPr>
        <w:t>, Oxford University Press, 2002</w:t>
      </w:r>
    </w:p>
  </w:footnote>
  <w:footnote w:id="111">
    <w:p w14:paraId="682A17D3"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12">
    <w:p w14:paraId="31E0DB23"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113">
    <w:p w14:paraId="1A438D42"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114">
    <w:p w14:paraId="2C8ED1A7"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Frankfurter, David, Religion in Roman Egypt, Assimilation and Resistance, Princeton University Press, 1998</w:t>
      </w:r>
    </w:p>
  </w:footnote>
  <w:footnote w:id="115">
    <w:p w14:paraId="7E0DC1BD"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Kosmin, Paul J, Moyer, Ian S, </w:t>
      </w:r>
      <w:r w:rsidRPr="00E81518">
        <w:rPr>
          <w:i/>
          <w:iCs/>
          <w:sz w:val="18"/>
          <w:szCs w:val="18"/>
        </w:rPr>
        <w:t>Cultures of resistance in the Hellenistic East</w:t>
      </w:r>
      <w:r w:rsidRPr="00E81518">
        <w:rPr>
          <w:sz w:val="18"/>
          <w:szCs w:val="18"/>
        </w:rPr>
        <w:t>, Oxford University Press, 2022</w:t>
      </w:r>
    </w:p>
  </w:footnote>
  <w:footnote w:id="116">
    <w:p w14:paraId="70CE7A33"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Death and Burial in Ancient Egypt</w:t>
      </w:r>
      <w:r w:rsidRPr="00E81518">
        <w:rPr>
          <w:sz w:val="18"/>
          <w:szCs w:val="18"/>
        </w:rPr>
        <w:t>, The American University in Cairo Pess, 2015</w:t>
      </w:r>
    </w:p>
  </w:footnote>
  <w:footnote w:id="117">
    <w:p w14:paraId="3C32F12F"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118">
    <w:p w14:paraId="095B7F41" w14:textId="77777777" w:rsidR="00A63749" w:rsidRPr="00E81518" w:rsidRDefault="00A63749" w:rsidP="00A63749">
      <w:pPr>
        <w:pStyle w:val="FootnoteText"/>
        <w:rPr>
          <w:sz w:val="18"/>
          <w:szCs w:val="18"/>
        </w:rPr>
      </w:pPr>
      <w:r w:rsidRPr="00E81518">
        <w:rPr>
          <w:rStyle w:val="FootnoteReference"/>
          <w:sz w:val="18"/>
          <w:szCs w:val="18"/>
        </w:rPr>
        <w:footnoteRef/>
      </w:r>
      <w:r w:rsidRPr="00E81518">
        <w:rPr>
          <w:sz w:val="18"/>
          <w:szCs w:val="18"/>
        </w:rPr>
        <w:t xml:space="preserve"> Freeman, Charles, </w:t>
      </w:r>
      <w:r w:rsidRPr="00E81518">
        <w:rPr>
          <w:i/>
          <w:iCs/>
          <w:sz w:val="18"/>
          <w:szCs w:val="18"/>
        </w:rPr>
        <w:t>Egypt, Greece and Rome: Civilisations of the Ancient Mediterranean</w:t>
      </w:r>
      <w:r w:rsidRPr="00E81518">
        <w:rPr>
          <w:sz w:val="18"/>
          <w:szCs w:val="18"/>
        </w:rPr>
        <w:t>, Oxford University Press, 2004</w:t>
      </w:r>
    </w:p>
  </w:footnote>
  <w:footnote w:id="119">
    <w:p w14:paraId="4A30CDC2"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Smith, Mark, </w:t>
      </w:r>
      <w:r w:rsidRPr="00E81518">
        <w:rPr>
          <w:i/>
          <w:iCs/>
          <w:sz w:val="18"/>
          <w:szCs w:val="18"/>
        </w:rPr>
        <w:t>Traversing Eternity, Texts for the Afterlife from Ptolemaic and Roman Egypt</w:t>
      </w:r>
      <w:r w:rsidRPr="00E81518">
        <w:rPr>
          <w:sz w:val="18"/>
          <w:szCs w:val="18"/>
        </w:rPr>
        <w:t>, Oxford University Press, 2009</w:t>
      </w:r>
    </w:p>
  </w:footnote>
  <w:footnote w:id="120">
    <w:p w14:paraId="4D525BE0" w14:textId="3894AFB1"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Assmann, Jan, </w:t>
      </w:r>
      <w:r w:rsidRPr="00E81518">
        <w:rPr>
          <w:i/>
          <w:iCs/>
          <w:sz w:val="18"/>
          <w:szCs w:val="18"/>
        </w:rPr>
        <w:t>Cultural Memory a</w:t>
      </w:r>
      <w:r w:rsidR="00A546D1" w:rsidRPr="00E81518">
        <w:rPr>
          <w:i/>
          <w:iCs/>
          <w:sz w:val="18"/>
          <w:szCs w:val="18"/>
        </w:rPr>
        <w:t>n</w:t>
      </w:r>
      <w:r w:rsidRPr="00E81518">
        <w:rPr>
          <w:i/>
          <w:iCs/>
          <w:sz w:val="18"/>
          <w:szCs w:val="18"/>
        </w:rPr>
        <w:t>d Early Civilisation: Writing, Remembrance and Political Imagination</w:t>
      </w:r>
      <w:r w:rsidRPr="00E81518">
        <w:rPr>
          <w:sz w:val="18"/>
          <w:szCs w:val="18"/>
        </w:rPr>
        <w:t>, Cambridge University Press, 1992</w:t>
      </w:r>
    </w:p>
  </w:footnote>
  <w:footnote w:id="121">
    <w:p w14:paraId="6B9B7664"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Priests in Ptolemaic Egypt</w:t>
      </w:r>
      <w:r w:rsidRPr="00E81518">
        <w:rPr>
          <w:sz w:val="18"/>
          <w:szCs w:val="18"/>
        </w:rPr>
        <w:t>, Cambridge University Press, 2007</w:t>
      </w:r>
    </w:p>
  </w:footnote>
  <w:footnote w:id="122">
    <w:p w14:paraId="4619C83F"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Jackson, Lesley, </w:t>
      </w:r>
      <w:r w:rsidRPr="00E81518">
        <w:rPr>
          <w:i/>
          <w:iCs/>
          <w:sz w:val="18"/>
          <w:szCs w:val="18"/>
        </w:rPr>
        <w:t xml:space="preserve">Sekhmet &amp; Bastet – The Feline Powers of Ancient Egypt, </w:t>
      </w:r>
      <w:r w:rsidRPr="00E81518">
        <w:rPr>
          <w:sz w:val="18"/>
          <w:szCs w:val="18"/>
        </w:rPr>
        <w:t>Avalonia, 2019</w:t>
      </w:r>
    </w:p>
  </w:footnote>
  <w:footnote w:id="123">
    <w:p w14:paraId="662404B5"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Toby, </w:t>
      </w:r>
      <w:r w:rsidRPr="00E81518">
        <w:rPr>
          <w:rFonts w:cs="Calibri"/>
          <w:i/>
          <w:iCs/>
          <w:sz w:val="18"/>
          <w:szCs w:val="18"/>
          <w:lang w:val="en-US"/>
        </w:rPr>
        <w:t>The Egyptian World</w:t>
      </w:r>
      <w:r w:rsidRPr="00E81518">
        <w:rPr>
          <w:rFonts w:cs="Calibri"/>
          <w:sz w:val="18"/>
          <w:szCs w:val="18"/>
          <w:lang w:val="en-US"/>
        </w:rPr>
        <w:t>, Routledge Press, 2007</w:t>
      </w:r>
    </w:p>
  </w:footnote>
  <w:footnote w:id="124">
    <w:p w14:paraId="0ED57C35"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125">
    <w:p w14:paraId="495B79E6" w14:textId="69CE2B34"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Bowman, Alan, Charles, Crowther, </w:t>
      </w:r>
      <w:r w:rsidRPr="00E81518">
        <w:rPr>
          <w:i/>
          <w:iCs/>
          <w:sz w:val="18"/>
          <w:szCs w:val="18"/>
        </w:rPr>
        <w:t>The Epigraphy of Ptolemaic Egypt</w:t>
      </w:r>
      <w:r w:rsidRPr="00E81518">
        <w:rPr>
          <w:sz w:val="18"/>
          <w:szCs w:val="18"/>
        </w:rPr>
        <w:t>, Oxford University Press, 2020</w:t>
      </w:r>
    </w:p>
  </w:footnote>
  <w:footnote w:id="126">
    <w:p w14:paraId="5560371B"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127">
    <w:p w14:paraId="672EFCBE"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Idris Bell, H, </w:t>
      </w:r>
      <w:r w:rsidRPr="00E81518">
        <w:rPr>
          <w:i/>
          <w:iCs/>
          <w:sz w:val="18"/>
          <w:szCs w:val="18"/>
        </w:rPr>
        <w:t>Egypt from Alexander the Great to the Arab conquest: a study in the diffusion and decay of Hellenism</w:t>
      </w:r>
      <w:r w:rsidRPr="00E81518">
        <w:rPr>
          <w:sz w:val="18"/>
          <w:szCs w:val="18"/>
        </w:rPr>
        <w:t>, Clarendon Press, 1948</w:t>
      </w:r>
    </w:p>
  </w:footnote>
  <w:footnote w:id="128">
    <w:p w14:paraId="10A3017C"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Petrie, Flinders, </w:t>
      </w:r>
      <w:r w:rsidRPr="00E81518">
        <w:rPr>
          <w:rFonts w:cs="Calibri"/>
          <w:i/>
          <w:iCs/>
          <w:sz w:val="18"/>
          <w:szCs w:val="18"/>
          <w:lang w:val="en-US"/>
        </w:rPr>
        <w:t>Personal Religion in Egypt before Christianity</w:t>
      </w:r>
      <w:r w:rsidRPr="00E81518">
        <w:rPr>
          <w:rFonts w:cs="Calibri"/>
          <w:sz w:val="18"/>
          <w:szCs w:val="18"/>
          <w:lang w:val="en-US"/>
        </w:rPr>
        <w:t>, Read Books Ltd, 2011</w:t>
      </w:r>
    </w:p>
  </w:footnote>
  <w:footnote w:id="129">
    <w:p w14:paraId="587C9A35"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130">
    <w:p w14:paraId="3F34CAE1"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Birk, Ralph, Coulon, Laurent, </w:t>
      </w:r>
      <w:r w:rsidRPr="00E81518">
        <w:rPr>
          <w:i/>
          <w:iCs/>
          <w:sz w:val="18"/>
          <w:szCs w:val="18"/>
        </w:rPr>
        <w:t>The Thebaid in Times of Crisis: Revolt and Response in Ptolemaic Egypt</w:t>
      </w:r>
      <w:r w:rsidRPr="00E81518">
        <w:rPr>
          <w:sz w:val="18"/>
          <w:szCs w:val="18"/>
        </w:rPr>
        <w:t>, De Gruyter Berlin, 2025</w:t>
      </w:r>
    </w:p>
  </w:footnote>
  <w:footnote w:id="131">
    <w:p w14:paraId="6757FB98"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Riggs, Christina, </w:t>
      </w:r>
      <w:r w:rsidRPr="00E81518">
        <w:rPr>
          <w:i/>
          <w:iCs/>
          <w:sz w:val="18"/>
          <w:szCs w:val="18"/>
        </w:rPr>
        <w:t>The Oxford Handbook of Roman Egypt</w:t>
      </w:r>
      <w:r w:rsidRPr="00E81518">
        <w:rPr>
          <w:sz w:val="18"/>
          <w:szCs w:val="18"/>
        </w:rPr>
        <w:t>, Oxford University Press, 2012</w:t>
      </w:r>
    </w:p>
  </w:footnote>
  <w:footnote w:id="132">
    <w:p w14:paraId="355BD89A"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Fraser, P.M, </w:t>
      </w:r>
      <w:r w:rsidRPr="00E81518">
        <w:rPr>
          <w:i/>
          <w:iCs/>
          <w:sz w:val="18"/>
          <w:szCs w:val="18"/>
        </w:rPr>
        <w:t>Ptolemaic Alexandria</w:t>
      </w:r>
      <w:r w:rsidRPr="00E81518">
        <w:rPr>
          <w:sz w:val="18"/>
          <w:szCs w:val="18"/>
        </w:rPr>
        <w:t>, Oxford Clarendon Press, 1972</w:t>
      </w:r>
    </w:p>
  </w:footnote>
  <w:footnote w:id="133">
    <w:p w14:paraId="1F915261"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34">
    <w:p w14:paraId="25122330"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Bagnall, Roger, Cuvigny, Hélène, </w:t>
      </w:r>
      <w:r w:rsidRPr="00E81518">
        <w:rPr>
          <w:i/>
          <w:iCs/>
          <w:sz w:val="18"/>
          <w:szCs w:val="18"/>
        </w:rPr>
        <w:t>Rome in Egypt’s Eastern Desert, Volume 1</w:t>
      </w:r>
      <w:r w:rsidRPr="00E81518">
        <w:rPr>
          <w:sz w:val="18"/>
          <w:szCs w:val="18"/>
        </w:rPr>
        <w:t>, New York University Press, 2021</w:t>
      </w:r>
    </w:p>
  </w:footnote>
  <w:footnote w:id="135">
    <w:p w14:paraId="43DCBB02"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36">
    <w:p w14:paraId="05FF1C03"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137">
    <w:p w14:paraId="26E2623A"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Frankfurter, David, </w:t>
      </w:r>
      <w:r w:rsidRPr="00E81518">
        <w:rPr>
          <w:rFonts w:cs="Calibri"/>
          <w:i/>
          <w:iCs/>
          <w:sz w:val="18"/>
          <w:szCs w:val="18"/>
          <w:lang w:val="en-US"/>
        </w:rPr>
        <w:t>Religion in Roman Egypt: Assimilation and Resistance</w:t>
      </w:r>
      <w:r w:rsidRPr="00E81518">
        <w:rPr>
          <w:rFonts w:cs="Calibri"/>
          <w:sz w:val="18"/>
          <w:szCs w:val="18"/>
          <w:lang w:val="en-US"/>
        </w:rPr>
        <w:t>, Princeton University Press, 1998</w:t>
      </w:r>
    </w:p>
  </w:footnote>
  <w:footnote w:id="138">
    <w:p w14:paraId="55DF1B51"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David, Rosalie, </w:t>
      </w:r>
      <w:r w:rsidRPr="00E81518">
        <w:rPr>
          <w:i/>
          <w:iCs/>
          <w:sz w:val="18"/>
          <w:szCs w:val="18"/>
        </w:rPr>
        <w:t>Egyptian Mummies and Modern Science</w:t>
      </w:r>
      <w:r w:rsidRPr="00E81518">
        <w:rPr>
          <w:sz w:val="18"/>
          <w:szCs w:val="18"/>
        </w:rPr>
        <w:t>, Cambridge University Press, 2008</w:t>
      </w:r>
    </w:p>
  </w:footnote>
  <w:footnote w:id="139">
    <w:p w14:paraId="6B27E0DE"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140">
    <w:p w14:paraId="73EA9ACF"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Kosmin, Paul J, Moyer, Ian S, </w:t>
      </w:r>
      <w:r w:rsidRPr="00E81518">
        <w:rPr>
          <w:i/>
          <w:iCs/>
          <w:sz w:val="18"/>
          <w:szCs w:val="18"/>
        </w:rPr>
        <w:t>Cultures of resistance in the Hellenistic East</w:t>
      </w:r>
      <w:r w:rsidRPr="00E81518">
        <w:rPr>
          <w:sz w:val="18"/>
          <w:szCs w:val="18"/>
        </w:rPr>
        <w:t>, Oxford University Press, 2022</w:t>
      </w:r>
    </w:p>
  </w:footnote>
  <w:footnote w:id="141">
    <w:p w14:paraId="0A41E246"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Riggs, Christina, </w:t>
      </w:r>
      <w:r w:rsidRPr="00E81518">
        <w:rPr>
          <w:i/>
          <w:iCs/>
          <w:sz w:val="18"/>
          <w:szCs w:val="18"/>
        </w:rPr>
        <w:t>The Oxford Handbook of Roman Egypt</w:t>
      </w:r>
      <w:r w:rsidRPr="00E81518">
        <w:rPr>
          <w:sz w:val="18"/>
          <w:szCs w:val="18"/>
        </w:rPr>
        <w:t>, Oxford University Press, 2012</w:t>
      </w:r>
    </w:p>
  </w:footnote>
  <w:footnote w:id="142">
    <w:p w14:paraId="1C9260A3"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Freeman, Charles, </w:t>
      </w:r>
      <w:r w:rsidRPr="00E81518">
        <w:rPr>
          <w:i/>
          <w:iCs/>
          <w:sz w:val="18"/>
          <w:szCs w:val="18"/>
        </w:rPr>
        <w:t>Egypt, Greece and Rome: Civilisations of the Ancient Mediterranean</w:t>
      </w:r>
      <w:r w:rsidRPr="00E81518">
        <w:rPr>
          <w:sz w:val="18"/>
          <w:szCs w:val="18"/>
        </w:rPr>
        <w:t>, Oxford University Press, 2004</w:t>
      </w:r>
    </w:p>
  </w:footnote>
  <w:footnote w:id="143">
    <w:p w14:paraId="36921273"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Kosmin, Paul J, Moyer, Ian S, </w:t>
      </w:r>
      <w:r w:rsidRPr="00E81518">
        <w:rPr>
          <w:i/>
          <w:iCs/>
          <w:sz w:val="18"/>
          <w:szCs w:val="18"/>
        </w:rPr>
        <w:t>Cultures of resistance in the Hellenistic East</w:t>
      </w:r>
      <w:r w:rsidRPr="00E81518">
        <w:rPr>
          <w:sz w:val="18"/>
          <w:szCs w:val="18"/>
        </w:rPr>
        <w:t>, Oxford University Press, 2022</w:t>
      </w:r>
    </w:p>
  </w:footnote>
  <w:footnote w:id="144">
    <w:p w14:paraId="0938CCF0" w14:textId="6E89F195"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45">
    <w:p w14:paraId="587B419E" w14:textId="23B4EA36" w:rsidR="00561299" w:rsidRPr="00E81518" w:rsidRDefault="0056129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146">
    <w:p w14:paraId="631AC71C"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47">
    <w:p w14:paraId="155578A8"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148">
    <w:p w14:paraId="0B0285B3"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rFonts w:cs="Calibri"/>
          <w:sz w:val="18"/>
          <w:szCs w:val="18"/>
          <w:lang w:val="en-US"/>
        </w:rPr>
        <w:t xml:space="preserve"> 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149">
    <w:p w14:paraId="7ACFCE22"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150">
    <w:p w14:paraId="1123F1B4"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Malek, Jaromir, </w:t>
      </w:r>
      <w:r w:rsidRPr="00E81518">
        <w:rPr>
          <w:rFonts w:cs="Calibri"/>
          <w:i/>
          <w:iCs/>
          <w:sz w:val="18"/>
          <w:szCs w:val="18"/>
          <w:lang w:val="en-US"/>
        </w:rPr>
        <w:t>The Cat in Ancient Egypt</w:t>
      </w:r>
      <w:r w:rsidRPr="00E81518">
        <w:rPr>
          <w:rFonts w:cs="Calibri"/>
          <w:sz w:val="18"/>
          <w:szCs w:val="18"/>
          <w:lang w:val="en-US"/>
        </w:rPr>
        <w:t>, The British Museum Press, 1993</w:t>
      </w:r>
    </w:p>
  </w:footnote>
  <w:footnote w:id="151">
    <w:p w14:paraId="2AFC49E7"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Petrie, Flinders, </w:t>
      </w:r>
      <w:r w:rsidRPr="00E81518">
        <w:rPr>
          <w:rFonts w:cs="Calibri"/>
          <w:i/>
          <w:iCs/>
          <w:sz w:val="18"/>
          <w:szCs w:val="18"/>
          <w:lang w:val="en-US"/>
        </w:rPr>
        <w:t>Personal Religion in Egypt before Christianity</w:t>
      </w:r>
      <w:r w:rsidRPr="00E81518">
        <w:rPr>
          <w:rFonts w:cs="Calibri"/>
          <w:sz w:val="18"/>
          <w:szCs w:val="18"/>
          <w:lang w:val="en-US"/>
        </w:rPr>
        <w:t>, Read Books Ltd, 2011</w:t>
      </w:r>
    </w:p>
  </w:footnote>
  <w:footnote w:id="152">
    <w:p w14:paraId="2BABEFA5"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153">
    <w:p w14:paraId="7E1566C7"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Manning, J.G</w:t>
      </w:r>
      <w:r w:rsidRPr="00E81518">
        <w:rPr>
          <w:i/>
          <w:iCs/>
          <w:sz w:val="18"/>
          <w:szCs w:val="18"/>
        </w:rPr>
        <w:t>, The Last Pharaohs: Egypt under the Ptolemies, 305-30BC</w:t>
      </w:r>
      <w:r w:rsidRPr="00E81518">
        <w:rPr>
          <w:sz w:val="18"/>
          <w:szCs w:val="18"/>
        </w:rPr>
        <w:t>, Princeton University Press, 2010</w:t>
      </w:r>
    </w:p>
  </w:footnote>
  <w:footnote w:id="154">
    <w:p w14:paraId="1614D855"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Moxon, Edward, </w:t>
      </w:r>
      <w:r w:rsidRPr="00E81518">
        <w:rPr>
          <w:i/>
          <w:iCs/>
          <w:sz w:val="18"/>
          <w:szCs w:val="18"/>
        </w:rPr>
        <w:t>The History of Egypt under the Ptolemies</w:t>
      </w:r>
      <w:r w:rsidRPr="00E81518">
        <w:rPr>
          <w:sz w:val="18"/>
          <w:szCs w:val="18"/>
        </w:rPr>
        <w:t>, Edward Moxon, 1838</w:t>
      </w:r>
    </w:p>
  </w:footnote>
  <w:footnote w:id="155">
    <w:p w14:paraId="38BBE80E"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Idris Bell, H, </w:t>
      </w:r>
      <w:r w:rsidRPr="00E81518">
        <w:rPr>
          <w:i/>
          <w:iCs/>
          <w:sz w:val="18"/>
          <w:szCs w:val="18"/>
        </w:rPr>
        <w:t>Egypt from Alexander the Great to the Arab conquest: a study in the diffusion and decay of Hellenism</w:t>
      </w:r>
      <w:r w:rsidRPr="00E81518">
        <w:rPr>
          <w:sz w:val="18"/>
          <w:szCs w:val="18"/>
        </w:rPr>
        <w:t>, Clarendon Press, 1948</w:t>
      </w:r>
    </w:p>
  </w:footnote>
  <w:footnote w:id="156">
    <w:p w14:paraId="1BC23D40"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O’Connor, David, </w:t>
      </w:r>
      <w:r w:rsidRPr="00E81518">
        <w:rPr>
          <w:i/>
          <w:iCs/>
          <w:sz w:val="18"/>
          <w:szCs w:val="18"/>
        </w:rPr>
        <w:t>Abydos: Egypt’s first pharaohs and the cult of Osiris</w:t>
      </w:r>
      <w:r w:rsidRPr="00E81518">
        <w:rPr>
          <w:sz w:val="18"/>
          <w:szCs w:val="18"/>
        </w:rPr>
        <w:t>, Thames &amp; Hudson, 2009</w:t>
      </w:r>
    </w:p>
  </w:footnote>
  <w:footnote w:id="157">
    <w:p w14:paraId="05B483C4"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158">
    <w:p w14:paraId="792F9C90" w14:textId="77777777" w:rsidR="00561299" w:rsidRPr="00E81518" w:rsidRDefault="00561299" w:rsidP="00561299">
      <w:pPr>
        <w:pStyle w:val="FootnoteText"/>
        <w:rPr>
          <w:sz w:val="18"/>
          <w:szCs w:val="18"/>
        </w:rPr>
      </w:pPr>
      <w:r w:rsidRPr="00E81518">
        <w:rPr>
          <w:rStyle w:val="FootnoteReference"/>
          <w:sz w:val="18"/>
          <w:szCs w:val="18"/>
        </w:rPr>
        <w:footnoteRef/>
      </w:r>
      <w:r w:rsidRPr="00E81518">
        <w:rPr>
          <w:sz w:val="18"/>
          <w:szCs w:val="18"/>
        </w:rPr>
        <w:t xml:space="preserve"> Bowman, Alan, Charles, Crowther, </w:t>
      </w:r>
      <w:r w:rsidRPr="00E81518">
        <w:rPr>
          <w:i/>
          <w:iCs/>
          <w:sz w:val="18"/>
          <w:szCs w:val="18"/>
        </w:rPr>
        <w:t>The Epigraphy of Ptolemaic Egypt</w:t>
      </w:r>
      <w:r w:rsidRPr="00E81518">
        <w:rPr>
          <w:sz w:val="18"/>
          <w:szCs w:val="18"/>
        </w:rPr>
        <w:t>, Oxford University Press, 2020</w:t>
      </w:r>
    </w:p>
  </w:footnote>
  <w:footnote w:id="159">
    <w:p w14:paraId="36123B83"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Ikram, Salima, </w:t>
      </w:r>
      <w:r w:rsidRPr="00E81518">
        <w:rPr>
          <w:rFonts w:cs="Calibri"/>
          <w:i/>
          <w:iCs/>
          <w:sz w:val="18"/>
          <w:szCs w:val="18"/>
        </w:rPr>
        <w:t>Divine Creatures: Animal Mummies in Ancient Cairo</w:t>
      </w:r>
      <w:r w:rsidRPr="00E81518">
        <w:rPr>
          <w:rFonts w:cs="Calibri"/>
          <w:sz w:val="18"/>
          <w:szCs w:val="18"/>
        </w:rPr>
        <w:t>, American University in Cairo Press, 2005</w:t>
      </w:r>
    </w:p>
  </w:footnote>
  <w:footnote w:id="160">
    <w:p w14:paraId="7481DE36"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Kosmin, Paul J, Moyer, Ian S, </w:t>
      </w:r>
      <w:r w:rsidRPr="00E81518">
        <w:rPr>
          <w:i/>
          <w:iCs/>
          <w:sz w:val="18"/>
          <w:szCs w:val="18"/>
        </w:rPr>
        <w:t>Cultures of resistance in the Hellenistic East</w:t>
      </w:r>
      <w:r w:rsidRPr="00E81518">
        <w:rPr>
          <w:sz w:val="18"/>
          <w:szCs w:val="18"/>
        </w:rPr>
        <w:t>, Oxford University Press, 2022</w:t>
      </w:r>
    </w:p>
  </w:footnote>
  <w:footnote w:id="161">
    <w:p w14:paraId="3536C4B7"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Wilkinson, Richard H, </w:t>
      </w:r>
      <w:r w:rsidRPr="00E81518">
        <w:rPr>
          <w:rFonts w:cs="Calibri"/>
          <w:i/>
          <w:iCs/>
          <w:sz w:val="18"/>
          <w:szCs w:val="18"/>
        </w:rPr>
        <w:t>The Complete Gods and Goddesses of Ancient Egypt</w:t>
      </w:r>
      <w:r w:rsidRPr="00E81518">
        <w:rPr>
          <w:rFonts w:cs="Calibri"/>
          <w:sz w:val="18"/>
          <w:szCs w:val="18"/>
        </w:rPr>
        <w:t>, Thames &amp; Hudson Ltd, 2017</w:t>
      </w:r>
    </w:p>
  </w:footnote>
  <w:footnote w:id="162">
    <w:p w14:paraId="11256724"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Petrie, Flinders, </w:t>
      </w:r>
      <w:r w:rsidRPr="00E81518">
        <w:rPr>
          <w:rFonts w:cs="Calibri"/>
          <w:i/>
          <w:iCs/>
          <w:sz w:val="18"/>
          <w:szCs w:val="18"/>
        </w:rPr>
        <w:t>Personal Religion in Egypt before Christianity</w:t>
      </w:r>
      <w:r w:rsidRPr="00E81518">
        <w:rPr>
          <w:rFonts w:cs="Calibri"/>
          <w:sz w:val="18"/>
          <w:szCs w:val="18"/>
        </w:rPr>
        <w:t>, Read Books Ltd, 2011</w:t>
      </w:r>
    </w:p>
  </w:footnote>
  <w:footnote w:id="163">
    <w:p w14:paraId="62F28E91"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Smith, Mark, </w:t>
      </w:r>
      <w:r w:rsidRPr="00E81518">
        <w:rPr>
          <w:i/>
          <w:iCs/>
          <w:sz w:val="18"/>
          <w:szCs w:val="18"/>
        </w:rPr>
        <w:t>Traversing Eternity, Texts for the Afterlife from Ptolemaic and Roman Egypt</w:t>
      </w:r>
      <w:r w:rsidRPr="00E81518">
        <w:rPr>
          <w:sz w:val="18"/>
          <w:szCs w:val="18"/>
        </w:rPr>
        <w:t>, Oxford University Press, 2009</w:t>
      </w:r>
    </w:p>
  </w:footnote>
  <w:footnote w:id="164">
    <w:p w14:paraId="0E543D40"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Assmann, Jan, </w:t>
      </w:r>
      <w:r w:rsidRPr="00E81518">
        <w:rPr>
          <w:i/>
          <w:iCs/>
          <w:sz w:val="18"/>
          <w:szCs w:val="18"/>
        </w:rPr>
        <w:t>Cultural Memory and Early Civilisation: Writing, Remembrance and Political Imagination</w:t>
      </w:r>
      <w:r w:rsidRPr="00E81518">
        <w:rPr>
          <w:sz w:val="18"/>
          <w:szCs w:val="18"/>
        </w:rPr>
        <w:t>, Cambridge University Press, 1992</w:t>
      </w:r>
    </w:p>
  </w:footnote>
  <w:footnote w:id="165">
    <w:p w14:paraId="50BE7B4B"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Priests in Ptolemaic Egypt</w:t>
      </w:r>
      <w:r w:rsidRPr="00E81518">
        <w:rPr>
          <w:sz w:val="18"/>
          <w:szCs w:val="18"/>
        </w:rPr>
        <w:t>, Cambridge University Press, 2007</w:t>
      </w:r>
    </w:p>
  </w:footnote>
  <w:footnote w:id="166">
    <w:p w14:paraId="368CCB2E"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67">
    <w:p w14:paraId="525B82DE"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168">
    <w:p w14:paraId="1BB872B7"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Bianchi, Robert Steven</w:t>
      </w:r>
      <w:r w:rsidRPr="00E81518">
        <w:rPr>
          <w:i/>
          <w:iCs/>
          <w:sz w:val="18"/>
          <w:szCs w:val="18"/>
        </w:rPr>
        <w:t>, Daily Life of the Nubians</w:t>
      </w:r>
      <w:r w:rsidRPr="00E81518">
        <w:rPr>
          <w:sz w:val="18"/>
          <w:szCs w:val="18"/>
        </w:rPr>
        <w:t>, Greenwood Press, 2004</w:t>
      </w:r>
    </w:p>
  </w:footnote>
  <w:footnote w:id="169">
    <w:p w14:paraId="0E1597D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170">
    <w:p w14:paraId="6D6E15BF"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Fischer-Bovet, Christelle, </w:t>
      </w:r>
      <w:r w:rsidRPr="00E81518">
        <w:rPr>
          <w:i/>
          <w:iCs/>
          <w:sz w:val="18"/>
          <w:szCs w:val="18"/>
        </w:rPr>
        <w:t>Army and Society in Ptolemaic Egypt</w:t>
      </w:r>
      <w:r w:rsidRPr="00E81518">
        <w:rPr>
          <w:sz w:val="18"/>
          <w:szCs w:val="18"/>
        </w:rPr>
        <w:t>, Cambridge University Press, 2014</w:t>
      </w:r>
    </w:p>
  </w:footnote>
  <w:footnote w:id="171">
    <w:p w14:paraId="33454503"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Naunton, Chris, </w:t>
      </w:r>
      <w:r w:rsidRPr="00E81518">
        <w:rPr>
          <w:i/>
          <w:iCs/>
          <w:sz w:val="18"/>
          <w:szCs w:val="18"/>
        </w:rPr>
        <w:t>Searching for the Lost Tombs of Egypt</w:t>
      </w:r>
      <w:r w:rsidRPr="00E81518">
        <w:rPr>
          <w:sz w:val="18"/>
          <w:szCs w:val="18"/>
        </w:rPr>
        <w:t>, Thames &amp; Hudson Ltd, 2018</w:t>
      </w:r>
    </w:p>
  </w:footnote>
  <w:footnote w:id="172">
    <w:p w14:paraId="03754B0D"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Hahn, Johannes, Emmel, Stephen, Gotter, Ulrich, </w:t>
      </w:r>
      <w:r w:rsidRPr="00E81518">
        <w:rPr>
          <w:i/>
          <w:iCs/>
          <w:sz w:val="18"/>
          <w:szCs w:val="18"/>
        </w:rPr>
        <w:t xml:space="preserve">From Temple to Church: Destruction and renewal of local cultic topography in late antiquity, </w:t>
      </w:r>
      <w:r w:rsidRPr="00E81518">
        <w:rPr>
          <w:sz w:val="18"/>
          <w:szCs w:val="18"/>
        </w:rPr>
        <w:t>Brill, 2008</w:t>
      </w:r>
    </w:p>
  </w:footnote>
  <w:footnote w:id="173">
    <w:p w14:paraId="45CCE5B9"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Ikram, Salima, </w:t>
      </w:r>
      <w:r w:rsidRPr="00E81518">
        <w:rPr>
          <w:rFonts w:cs="Calibri"/>
          <w:i/>
          <w:iCs/>
          <w:sz w:val="18"/>
          <w:szCs w:val="18"/>
        </w:rPr>
        <w:t>Divine Creatures: Animal Mummies in Ancient Cairo</w:t>
      </w:r>
      <w:r w:rsidRPr="00E81518">
        <w:rPr>
          <w:rFonts w:cs="Calibri"/>
          <w:sz w:val="18"/>
          <w:szCs w:val="18"/>
        </w:rPr>
        <w:t>, American University in Cairo Press, 2005</w:t>
      </w:r>
    </w:p>
  </w:footnote>
  <w:footnote w:id="174">
    <w:p w14:paraId="6095C64B"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Ikram, Salima, </w:t>
      </w:r>
      <w:r w:rsidRPr="00E81518">
        <w:rPr>
          <w:i/>
          <w:iCs/>
          <w:sz w:val="18"/>
          <w:szCs w:val="18"/>
        </w:rPr>
        <w:t>Death and Burial in Ancient Egypt</w:t>
      </w:r>
      <w:r w:rsidRPr="00E81518">
        <w:rPr>
          <w:sz w:val="18"/>
          <w:szCs w:val="18"/>
        </w:rPr>
        <w:t>, The American University in Cairo Pess, 2015</w:t>
      </w:r>
    </w:p>
  </w:footnote>
  <w:footnote w:id="175">
    <w:p w14:paraId="6CE50E26"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Birk, Ralph, Coulon, Laurent, </w:t>
      </w:r>
      <w:r w:rsidRPr="00E81518">
        <w:rPr>
          <w:i/>
          <w:iCs/>
          <w:sz w:val="18"/>
          <w:szCs w:val="18"/>
        </w:rPr>
        <w:t>The Thebaid in Times of Crisis: Revolt and Response in Ptolemaic Egypt</w:t>
      </w:r>
      <w:r w:rsidRPr="00E81518">
        <w:rPr>
          <w:sz w:val="18"/>
          <w:szCs w:val="18"/>
        </w:rPr>
        <w:t>, De Gruyter Berlin, 2025</w:t>
      </w:r>
    </w:p>
  </w:footnote>
  <w:footnote w:id="176">
    <w:p w14:paraId="2A5CBF04"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Paganini, Mario C, </w:t>
      </w:r>
      <w:r w:rsidRPr="00E81518">
        <w:rPr>
          <w:i/>
          <w:iCs/>
          <w:sz w:val="18"/>
          <w:szCs w:val="18"/>
        </w:rPr>
        <w:t>Gymnasia and Greek Identity in Ptolemaic Egypt</w:t>
      </w:r>
      <w:r w:rsidRPr="00E81518">
        <w:rPr>
          <w:sz w:val="18"/>
          <w:szCs w:val="18"/>
        </w:rPr>
        <w:t>, 2022</w:t>
      </w:r>
    </w:p>
    <w:p w14:paraId="4318D5FE" w14:textId="77777777" w:rsidR="00D76B24" w:rsidRPr="00E81518" w:rsidRDefault="00D76B24" w:rsidP="00D76B24">
      <w:pPr>
        <w:pStyle w:val="FootnoteText"/>
        <w:rPr>
          <w:sz w:val="18"/>
          <w:szCs w:val="18"/>
        </w:rPr>
      </w:pPr>
    </w:p>
  </w:footnote>
  <w:footnote w:id="177">
    <w:p w14:paraId="2AD64D70"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Bowman, Alan, Charles, Crowther, </w:t>
      </w:r>
      <w:r w:rsidRPr="00E81518">
        <w:rPr>
          <w:i/>
          <w:iCs/>
          <w:sz w:val="18"/>
          <w:szCs w:val="18"/>
        </w:rPr>
        <w:t>The Epigraphy of Ptolemaic Egypt</w:t>
      </w:r>
      <w:r w:rsidRPr="00E81518">
        <w:rPr>
          <w:sz w:val="18"/>
          <w:szCs w:val="18"/>
        </w:rPr>
        <w:t>, Oxford University Press, 2020</w:t>
      </w:r>
    </w:p>
  </w:footnote>
  <w:footnote w:id="178">
    <w:p w14:paraId="7A65853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David, Rosalie, </w:t>
      </w:r>
      <w:r w:rsidRPr="00E81518">
        <w:rPr>
          <w:rFonts w:cs="Calibri"/>
          <w:i/>
          <w:iCs/>
          <w:sz w:val="18"/>
          <w:szCs w:val="18"/>
        </w:rPr>
        <w:t>Religion and Magic in Ancient Egypt</w:t>
      </w:r>
      <w:r w:rsidRPr="00E81518">
        <w:rPr>
          <w:rFonts w:cs="Calibri"/>
          <w:sz w:val="18"/>
          <w:szCs w:val="18"/>
        </w:rPr>
        <w:t>, Penguin Books, 2002</w:t>
      </w:r>
    </w:p>
  </w:footnote>
  <w:footnote w:id="179">
    <w:p w14:paraId="23B3C24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Shaw, Ian, </w:t>
      </w:r>
      <w:r w:rsidRPr="00E81518">
        <w:rPr>
          <w:rFonts w:cs="Calibri"/>
          <w:i/>
          <w:iCs/>
          <w:sz w:val="18"/>
          <w:szCs w:val="18"/>
        </w:rPr>
        <w:t>The Oxford History of Ancient Egypt</w:t>
      </w:r>
      <w:r w:rsidRPr="00E81518">
        <w:rPr>
          <w:rFonts w:cs="Calibri"/>
          <w:sz w:val="18"/>
          <w:szCs w:val="18"/>
        </w:rPr>
        <w:t>, Oxford University Press, 2000</w:t>
      </w:r>
    </w:p>
  </w:footnote>
  <w:footnote w:id="180">
    <w:p w14:paraId="42301174"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Griffiths, Gwyn John, </w:t>
      </w:r>
      <w:r w:rsidRPr="00E81518">
        <w:rPr>
          <w:i/>
          <w:iCs/>
          <w:sz w:val="18"/>
          <w:szCs w:val="18"/>
        </w:rPr>
        <w:t>Plutarch’s Isis and Osiris</w:t>
      </w:r>
      <w:r w:rsidRPr="00E81518">
        <w:rPr>
          <w:sz w:val="18"/>
          <w:szCs w:val="18"/>
        </w:rPr>
        <w:t>, University of Wales Press, 1970</w:t>
      </w:r>
    </w:p>
  </w:footnote>
  <w:footnote w:id="181">
    <w:p w14:paraId="491A60D0"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Wilkinson, Toby, </w:t>
      </w:r>
      <w:r w:rsidRPr="00E81518">
        <w:rPr>
          <w:rFonts w:cs="Calibri"/>
          <w:i/>
          <w:iCs/>
          <w:sz w:val="18"/>
          <w:szCs w:val="18"/>
        </w:rPr>
        <w:t>The Egyptian World</w:t>
      </w:r>
      <w:r w:rsidRPr="00E81518">
        <w:rPr>
          <w:rFonts w:cs="Calibri"/>
          <w:sz w:val="18"/>
          <w:szCs w:val="18"/>
        </w:rPr>
        <w:t>, Routledge Press, 2007</w:t>
      </w:r>
    </w:p>
  </w:footnote>
  <w:footnote w:id="182">
    <w:p w14:paraId="1400E4F4" w14:textId="77777777" w:rsidR="00D76B24" w:rsidRPr="00E81518" w:rsidRDefault="00D76B24" w:rsidP="00D76B24">
      <w:pPr>
        <w:pStyle w:val="FootnoteText"/>
        <w:rPr>
          <w:rFonts w:cs="Calibri"/>
          <w:i/>
          <w:iCs/>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Silverman, David P</w:t>
      </w:r>
      <w:r w:rsidRPr="00E81518">
        <w:rPr>
          <w:rFonts w:cs="Calibri"/>
          <w:i/>
          <w:iCs/>
          <w:sz w:val="18"/>
          <w:szCs w:val="18"/>
        </w:rPr>
        <w:t>, Ancient Egypt</w:t>
      </w:r>
      <w:r w:rsidRPr="00E81518">
        <w:rPr>
          <w:rFonts w:cs="Calibri"/>
          <w:sz w:val="18"/>
          <w:szCs w:val="18"/>
        </w:rPr>
        <w:t>, Duncan Baird Publishers, 1997</w:t>
      </w:r>
    </w:p>
  </w:footnote>
  <w:footnote w:id="183">
    <w:p w14:paraId="015C32DF"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Pinch, Geraldine, </w:t>
      </w:r>
      <w:r w:rsidRPr="00E81518">
        <w:rPr>
          <w:rFonts w:cs="Calibri"/>
          <w:i/>
          <w:iCs/>
          <w:sz w:val="18"/>
          <w:szCs w:val="18"/>
        </w:rPr>
        <w:t>Egyptian Mythology: A Guide to the Gods, Goddesses, and Traditions of Ancient Egypt</w:t>
      </w:r>
      <w:r w:rsidRPr="00E81518">
        <w:rPr>
          <w:rFonts w:cs="Calibri"/>
          <w:sz w:val="18"/>
          <w:szCs w:val="18"/>
        </w:rPr>
        <w:t>, Oxford University Press, 2002</w:t>
      </w:r>
    </w:p>
  </w:footnote>
  <w:footnote w:id="184">
    <w:p w14:paraId="49183A67"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Darvill, Timothy, </w:t>
      </w:r>
      <w:r w:rsidRPr="00E81518">
        <w:rPr>
          <w:i/>
          <w:iCs/>
          <w:sz w:val="18"/>
          <w:szCs w:val="18"/>
        </w:rPr>
        <w:t xml:space="preserve">The Concise Oxford Dictionary of Archaeology, </w:t>
      </w:r>
      <w:r w:rsidRPr="00E81518">
        <w:rPr>
          <w:sz w:val="18"/>
          <w:szCs w:val="18"/>
        </w:rPr>
        <w:t>Oxford University Press, 2008</w:t>
      </w:r>
    </w:p>
  </w:footnote>
  <w:footnote w:id="185">
    <w:p w14:paraId="41854D66"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Wilkinson, Richard H, </w:t>
      </w:r>
      <w:r w:rsidRPr="00E81518">
        <w:rPr>
          <w:rFonts w:cs="Calibri"/>
          <w:i/>
          <w:iCs/>
          <w:sz w:val="18"/>
          <w:szCs w:val="18"/>
        </w:rPr>
        <w:t>The Complete Gods and Goddesses of Ancient Egypt</w:t>
      </w:r>
      <w:r w:rsidRPr="00E81518">
        <w:rPr>
          <w:rFonts w:cs="Calibri"/>
          <w:sz w:val="18"/>
          <w:szCs w:val="18"/>
        </w:rPr>
        <w:t>, Thames &amp; Hudson Ltd, 2017</w:t>
      </w:r>
    </w:p>
  </w:footnote>
  <w:footnote w:id="186">
    <w:p w14:paraId="31F7080A"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Dodson, Aidan, Ikram, Salima, </w:t>
      </w:r>
      <w:r w:rsidRPr="00E81518">
        <w:rPr>
          <w:i/>
          <w:iCs/>
          <w:sz w:val="18"/>
          <w:szCs w:val="18"/>
        </w:rPr>
        <w:t xml:space="preserve">The tomb in Ancient Egypt: royal and private sepulchres from the early dynastic period to the Romans, </w:t>
      </w:r>
      <w:r w:rsidRPr="00E81518">
        <w:rPr>
          <w:sz w:val="18"/>
          <w:szCs w:val="18"/>
        </w:rPr>
        <w:t>Thames &amp; Hudson, 2008</w:t>
      </w:r>
    </w:p>
  </w:footnote>
  <w:footnote w:id="187">
    <w:p w14:paraId="6CFC342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Wilkinson, Richard H, </w:t>
      </w:r>
      <w:r w:rsidRPr="00E81518">
        <w:rPr>
          <w:rFonts w:cs="Calibri"/>
          <w:i/>
          <w:iCs/>
          <w:sz w:val="18"/>
          <w:szCs w:val="18"/>
        </w:rPr>
        <w:t>The Complete Gods and Goddesses of Ancient Egypt</w:t>
      </w:r>
      <w:r w:rsidRPr="00E81518">
        <w:rPr>
          <w:rFonts w:cs="Calibri"/>
          <w:sz w:val="18"/>
          <w:szCs w:val="18"/>
        </w:rPr>
        <w:t>, Thames &amp; Hudson Ltd, 2017</w:t>
      </w:r>
    </w:p>
  </w:footnote>
  <w:footnote w:id="188">
    <w:p w14:paraId="2268E7A7"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Teeter, Emily, </w:t>
      </w:r>
      <w:r w:rsidRPr="00E81518">
        <w:rPr>
          <w:rFonts w:cs="Calibri"/>
          <w:i/>
          <w:iCs/>
          <w:sz w:val="18"/>
          <w:szCs w:val="18"/>
        </w:rPr>
        <w:t>Religion and Ritual in Ancient Egypt</w:t>
      </w:r>
      <w:r w:rsidRPr="00E81518">
        <w:rPr>
          <w:rFonts w:cs="Calibri"/>
          <w:sz w:val="18"/>
          <w:szCs w:val="18"/>
        </w:rPr>
        <w:t>, Cambridge University Press, 2019</w:t>
      </w:r>
    </w:p>
  </w:footnote>
  <w:footnote w:id="189">
    <w:p w14:paraId="2D8BA957" w14:textId="77777777" w:rsidR="00D76B24" w:rsidRPr="00E81518" w:rsidRDefault="00D76B24" w:rsidP="00D76B24">
      <w:pPr>
        <w:pStyle w:val="FootnoteText"/>
        <w:rPr>
          <w:rFonts w:cs="Calibri"/>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Kemp, Barry J, </w:t>
      </w:r>
      <w:r w:rsidRPr="00E81518">
        <w:rPr>
          <w:rFonts w:cs="Calibri"/>
          <w:i/>
          <w:iCs/>
          <w:sz w:val="18"/>
          <w:szCs w:val="18"/>
        </w:rPr>
        <w:t>Ancient Egypt: Anatomy of a Civilization</w:t>
      </w:r>
      <w:r w:rsidRPr="00E81518">
        <w:rPr>
          <w:rFonts w:cs="Calibri"/>
          <w:sz w:val="18"/>
          <w:szCs w:val="18"/>
        </w:rPr>
        <w:t>, Routledge University Press, 2018</w:t>
      </w:r>
    </w:p>
  </w:footnote>
  <w:footnote w:id="190">
    <w:p w14:paraId="61EC46DF" w14:textId="77777777" w:rsidR="00D76B24" w:rsidRPr="00E81518" w:rsidRDefault="00D76B24" w:rsidP="00D76B24">
      <w:pPr>
        <w:pStyle w:val="FootnoteText"/>
        <w:rPr>
          <w:rFonts w:cs="Calibri"/>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Frankfurter, David, </w:t>
      </w:r>
      <w:r w:rsidRPr="00E81518">
        <w:rPr>
          <w:rFonts w:cs="Calibri"/>
          <w:i/>
          <w:iCs/>
          <w:sz w:val="18"/>
          <w:szCs w:val="18"/>
        </w:rPr>
        <w:t>Religion in Roman Egypt: Assimilation and Resistance</w:t>
      </w:r>
      <w:r w:rsidRPr="00E81518">
        <w:rPr>
          <w:rFonts w:cs="Calibri"/>
          <w:sz w:val="18"/>
          <w:szCs w:val="18"/>
        </w:rPr>
        <w:t>, Princeton University Press, 1998</w:t>
      </w:r>
    </w:p>
  </w:footnote>
  <w:footnote w:id="191">
    <w:p w14:paraId="4067B1CD"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Smith, Mark, </w:t>
      </w:r>
      <w:r w:rsidRPr="00E81518">
        <w:rPr>
          <w:i/>
          <w:iCs/>
          <w:sz w:val="18"/>
          <w:szCs w:val="18"/>
        </w:rPr>
        <w:t>Traversing Eternity, Texts for the Afterlife from Ptolemaic and Roman Egypt</w:t>
      </w:r>
      <w:r w:rsidRPr="00E81518">
        <w:rPr>
          <w:sz w:val="18"/>
          <w:szCs w:val="18"/>
        </w:rPr>
        <w:t>, Oxford University Press, 2009</w:t>
      </w:r>
    </w:p>
  </w:footnote>
  <w:footnote w:id="192">
    <w:p w14:paraId="651CE8AD"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Quirke, Stephen, </w:t>
      </w:r>
      <w:r w:rsidRPr="00E81518">
        <w:rPr>
          <w:rFonts w:cs="Calibri"/>
          <w:i/>
          <w:iCs/>
          <w:sz w:val="18"/>
          <w:szCs w:val="18"/>
        </w:rPr>
        <w:t>Exploring Religion in Ancient Egypt</w:t>
      </w:r>
      <w:r w:rsidRPr="00E81518">
        <w:rPr>
          <w:rFonts w:cs="Calibri"/>
          <w:sz w:val="18"/>
          <w:szCs w:val="18"/>
        </w:rPr>
        <w:t>, Blackwell Publishing, 2015</w:t>
      </w:r>
    </w:p>
  </w:footnote>
  <w:footnote w:id="193">
    <w:p w14:paraId="2117219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194">
    <w:p w14:paraId="0F6FA706"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195">
    <w:p w14:paraId="49674182"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Idris Bell, H, </w:t>
      </w:r>
      <w:r w:rsidRPr="00E81518">
        <w:rPr>
          <w:i/>
          <w:iCs/>
          <w:sz w:val="18"/>
          <w:szCs w:val="18"/>
        </w:rPr>
        <w:t>Egypt from Alexander the Great to the Arab conquest: a study in the diffusion and decay of Hellenism</w:t>
      </w:r>
      <w:r w:rsidRPr="00E81518">
        <w:rPr>
          <w:sz w:val="18"/>
          <w:szCs w:val="18"/>
        </w:rPr>
        <w:t>, Clarendon Press, 1948</w:t>
      </w:r>
    </w:p>
  </w:footnote>
  <w:footnote w:id="196">
    <w:p w14:paraId="1948F823"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Frankfurter, David, Religion in Roman Egypt, Assimilation and Resistance, Princeton University Press, 1998</w:t>
      </w:r>
    </w:p>
  </w:footnote>
  <w:footnote w:id="197">
    <w:p w14:paraId="1F641D60"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Redford, Donald B, </w:t>
      </w:r>
      <w:r w:rsidRPr="00E81518">
        <w:rPr>
          <w:i/>
          <w:iCs/>
          <w:sz w:val="18"/>
          <w:szCs w:val="18"/>
        </w:rPr>
        <w:t>The Ancient Gods: a guide to Egyptian Religion</w:t>
      </w:r>
      <w:r w:rsidRPr="00E81518">
        <w:rPr>
          <w:sz w:val="18"/>
          <w:szCs w:val="18"/>
        </w:rPr>
        <w:t>, Oxford University Press, 2002</w:t>
      </w:r>
    </w:p>
  </w:footnote>
  <w:footnote w:id="198">
    <w:p w14:paraId="5EC7AA5D" w14:textId="77777777" w:rsidR="00D76B24" w:rsidRPr="00E81518" w:rsidRDefault="00D76B24" w:rsidP="00D76B24">
      <w:pPr>
        <w:pStyle w:val="FootnoteText"/>
        <w:rPr>
          <w:i/>
          <w:iCs/>
          <w:sz w:val="18"/>
          <w:szCs w:val="18"/>
        </w:rPr>
      </w:pPr>
      <w:r w:rsidRPr="00E81518">
        <w:rPr>
          <w:rStyle w:val="FootnoteReference"/>
          <w:sz w:val="18"/>
          <w:szCs w:val="18"/>
        </w:rPr>
        <w:footnoteRef/>
      </w:r>
      <w:r w:rsidRPr="00E81518">
        <w:rPr>
          <w:sz w:val="18"/>
          <w:szCs w:val="18"/>
        </w:rPr>
        <w:t xml:space="preserve"> Ritner, Robert K., </w:t>
      </w:r>
      <w:r w:rsidRPr="00E81518">
        <w:rPr>
          <w:i/>
          <w:iCs/>
          <w:sz w:val="18"/>
          <w:szCs w:val="18"/>
        </w:rPr>
        <w:t>The Mechanics of Ancient Egyptian Magical Practice, University of Chicago Press, 1993</w:t>
      </w:r>
    </w:p>
  </w:footnote>
  <w:footnote w:id="199">
    <w:p w14:paraId="2CDF9E5C"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Kosmin, Paul J, Moyer, Ian S, </w:t>
      </w:r>
      <w:r w:rsidRPr="00E81518">
        <w:rPr>
          <w:i/>
          <w:iCs/>
          <w:sz w:val="18"/>
          <w:szCs w:val="18"/>
        </w:rPr>
        <w:t>Cultures of resistance in the Hellenistic East</w:t>
      </w:r>
      <w:r w:rsidRPr="00E81518">
        <w:rPr>
          <w:sz w:val="18"/>
          <w:szCs w:val="18"/>
        </w:rPr>
        <w:t>, Oxford University Press, 2022</w:t>
      </w:r>
    </w:p>
  </w:footnote>
  <w:footnote w:id="200">
    <w:p w14:paraId="19CAEA78"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Pinch, Geraldine, </w:t>
      </w:r>
      <w:r w:rsidRPr="00E81518">
        <w:rPr>
          <w:rFonts w:cs="Calibri"/>
          <w:i/>
          <w:iCs/>
          <w:sz w:val="18"/>
          <w:szCs w:val="18"/>
        </w:rPr>
        <w:t>Egyptian Mythology: A Guide to the Gods, Goddesses, and Traditions of Ancient Egypt</w:t>
      </w:r>
      <w:r w:rsidRPr="00E81518">
        <w:rPr>
          <w:rFonts w:cs="Calibri"/>
          <w:sz w:val="18"/>
          <w:szCs w:val="18"/>
        </w:rPr>
        <w:t>, Oxford University Press, 2002</w:t>
      </w:r>
    </w:p>
  </w:footnote>
  <w:footnote w:id="201">
    <w:p w14:paraId="1891B62B" w14:textId="77777777" w:rsidR="00D76B24" w:rsidRPr="00E81518" w:rsidRDefault="00D76B24" w:rsidP="00D76B24">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Teeter, Emily, </w:t>
      </w:r>
      <w:r w:rsidRPr="00E81518">
        <w:rPr>
          <w:rFonts w:cs="Calibri"/>
          <w:i/>
          <w:iCs/>
          <w:sz w:val="18"/>
          <w:szCs w:val="18"/>
        </w:rPr>
        <w:t>Religion and Ritual in Ancient Egypt</w:t>
      </w:r>
      <w:r w:rsidRPr="00E81518">
        <w:rPr>
          <w:rFonts w:cs="Calibri"/>
          <w:sz w:val="18"/>
          <w:szCs w:val="18"/>
        </w:rPr>
        <w:t>, Cambridge University Press, 2019</w:t>
      </w:r>
    </w:p>
  </w:footnote>
  <w:footnote w:id="202">
    <w:p w14:paraId="02041F01"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Spaeth, Barbette Stanley, </w:t>
      </w:r>
      <w:r w:rsidRPr="00E81518">
        <w:rPr>
          <w:rFonts w:cs="Calibri"/>
          <w:i/>
          <w:iCs/>
          <w:sz w:val="18"/>
          <w:szCs w:val="18"/>
          <w:lang w:val="en-US"/>
        </w:rPr>
        <w:t>The Cambridge Companion to Ancient Mediterranean Religions</w:t>
      </w:r>
      <w:r w:rsidRPr="00E81518">
        <w:rPr>
          <w:rFonts w:cs="Calibri"/>
          <w:sz w:val="18"/>
          <w:szCs w:val="18"/>
          <w:lang w:val="en-US"/>
        </w:rPr>
        <w:t>, Cambridge University Press, 2013</w:t>
      </w:r>
    </w:p>
  </w:footnote>
  <w:footnote w:id="203">
    <w:p w14:paraId="73260F80"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David, Rosalie, </w:t>
      </w:r>
      <w:r w:rsidRPr="00E81518">
        <w:rPr>
          <w:rFonts w:cs="Calibri"/>
          <w:i/>
          <w:iCs/>
          <w:sz w:val="18"/>
          <w:szCs w:val="18"/>
          <w:lang w:val="en-US"/>
        </w:rPr>
        <w:t>Religion and Magic in Ancient Egypt</w:t>
      </w:r>
      <w:r w:rsidRPr="00E81518">
        <w:rPr>
          <w:rFonts w:cs="Calibri"/>
          <w:sz w:val="18"/>
          <w:szCs w:val="18"/>
          <w:lang w:val="en-US"/>
        </w:rPr>
        <w:t>, Penguin Books, 2002</w:t>
      </w:r>
    </w:p>
  </w:footnote>
  <w:footnote w:id="204">
    <w:p w14:paraId="162D8CCD"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Wilkinson, Richard H, </w:t>
      </w:r>
      <w:r w:rsidRPr="00E81518">
        <w:rPr>
          <w:rFonts w:cs="Calibri"/>
          <w:i/>
          <w:iCs/>
          <w:sz w:val="18"/>
          <w:szCs w:val="18"/>
          <w:lang w:val="en-US"/>
        </w:rPr>
        <w:t>The Complete Gods and Goddesses of Ancient Egypt</w:t>
      </w:r>
      <w:r w:rsidRPr="00E81518">
        <w:rPr>
          <w:rFonts w:cs="Calibri"/>
          <w:sz w:val="18"/>
          <w:szCs w:val="18"/>
          <w:lang w:val="en-US"/>
        </w:rPr>
        <w:t>, Thames &amp; Hudson Ltd, 2017</w:t>
      </w:r>
    </w:p>
  </w:footnote>
  <w:footnote w:id="205">
    <w:p w14:paraId="6C7F6338"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rPr>
        <w:t xml:space="preserve">Thompson, Dorothy J, </w:t>
      </w:r>
      <w:r w:rsidRPr="00E81518">
        <w:rPr>
          <w:rFonts w:cs="Calibri"/>
          <w:i/>
          <w:iCs/>
          <w:sz w:val="18"/>
          <w:szCs w:val="18"/>
        </w:rPr>
        <w:t>Memphis under the Ptolemies</w:t>
      </w:r>
      <w:r w:rsidRPr="00E81518">
        <w:rPr>
          <w:rFonts w:cs="Calibri"/>
          <w:sz w:val="18"/>
          <w:szCs w:val="18"/>
        </w:rPr>
        <w:t>, Princeton University Press, 2000</w:t>
      </w:r>
    </w:p>
  </w:footnote>
  <w:footnote w:id="206">
    <w:p w14:paraId="6E0E57DF"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Frankfurter, David, </w:t>
      </w:r>
      <w:r w:rsidRPr="00E81518">
        <w:rPr>
          <w:rFonts w:cs="Calibri"/>
          <w:i/>
          <w:iCs/>
          <w:sz w:val="18"/>
          <w:szCs w:val="18"/>
          <w:lang w:val="en-US"/>
        </w:rPr>
        <w:t>Religion in Roman Egypt: Assimilation and Resistance</w:t>
      </w:r>
      <w:r w:rsidRPr="00E81518">
        <w:rPr>
          <w:rFonts w:cs="Calibri"/>
          <w:sz w:val="18"/>
          <w:szCs w:val="18"/>
          <w:lang w:val="en-US"/>
        </w:rPr>
        <w:t>, Princeton University Press, 1998</w:t>
      </w:r>
    </w:p>
  </w:footnote>
  <w:footnote w:id="207">
    <w:p w14:paraId="374E0205"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Bowman, Alan, Charles, Crowther, </w:t>
      </w:r>
      <w:r w:rsidRPr="00E81518">
        <w:rPr>
          <w:i/>
          <w:iCs/>
          <w:sz w:val="18"/>
          <w:szCs w:val="18"/>
        </w:rPr>
        <w:t>The Epigraphy of Ptolemaic Egypt</w:t>
      </w:r>
      <w:r w:rsidRPr="00E81518">
        <w:rPr>
          <w:sz w:val="18"/>
          <w:szCs w:val="18"/>
        </w:rPr>
        <w:t>, Oxford University Press, 2020</w:t>
      </w:r>
    </w:p>
  </w:footnote>
  <w:footnote w:id="208">
    <w:p w14:paraId="7352BF0C" w14:textId="640C8D73"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Davies, Vanessa, </w:t>
      </w:r>
      <w:r w:rsidRPr="00E81518">
        <w:rPr>
          <w:i/>
          <w:iCs/>
          <w:sz w:val="18"/>
          <w:szCs w:val="18"/>
        </w:rPr>
        <w:t>The Temple of Millions of Years: Ptolemaic Religious Practice in Saqqara</w:t>
      </w:r>
      <w:r w:rsidRPr="00E81518">
        <w:rPr>
          <w:sz w:val="18"/>
          <w:szCs w:val="18"/>
        </w:rPr>
        <w:t>, Oxford University Press, 2007</w:t>
      </w:r>
    </w:p>
  </w:footnote>
  <w:footnote w:id="209">
    <w:p w14:paraId="48783136"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Fraser, P.M, </w:t>
      </w:r>
      <w:r w:rsidRPr="00E81518">
        <w:rPr>
          <w:i/>
          <w:iCs/>
          <w:sz w:val="18"/>
          <w:szCs w:val="18"/>
        </w:rPr>
        <w:t>Ptolemaic Alexandria</w:t>
      </w:r>
      <w:r w:rsidRPr="00E81518">
        <w:rPr>
          <w:sz w:val="18"/>
          <w:szCs w:val="18"/>
        </w:rPr>
        <w:t>, Oxford Clarendon Press, 1972</w:t>
      </w:r>
    </w:p>
  </w:footnote>
  <w:footnote w:id="210">
    <w:p w14:paraId="4604B637"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Riggs, Christina, </w:t>
      </w:r>
      <w:r w:rsidRPr="00E81518">
        <w:rPr>
          <w:i/>
          <w:iCs/>
          <w:sz w:val="18"/>
          <w:szCs w:val="18"/>
        </w:rPr>
        <w:t>The Oxford Handbook of Roman Egypt</w:t>
      </w:r>
      <w:r w:rsidRPr="00E81518">
        <w:rPr>
          <w:sz w:val="18"/>
          <w:szCs w:val="18"/>
        </w:rPr>
        <w:t>, Oxford University Press, 2012</w:t>
      </w:r>
    </w:p>
  </w:footnote>
  <w:footnote w:id="211">
    <w:p w14:paraId="3DCF2E67"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Birk, Ralph, Coulon, Laurent, </w:t>
      </w:r>
      <w:r w:rsidRPr="00E81518">
        <w:rPr>
          <w:i/>
          <w:iCs/>
          <w:sz w:val="18"/>
          <w:szCs w:val="18"/>
        </w:rPr>
        <w:t>The Thebaid in Times of Crisis: Revolt and Response in Ptolemaic Egypt</w:t>
      </w:r>
      <w:r w:rsidRPr="00E81518">
        <w:rPr>
          <w:sz w:val="18"/>
          <w:szCs w:val="18"/>
        </w:rPr>
        <w:t>, De Gruyter Berlin, 2025</w:t>
      </w:r>
    </w:p>
  </w:footnote>
  <w:footnote w:id="212">
    <w:p w14:paraId="5033F7C3"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Thompson, Dorothy J, </w:t>
      </w:r>
      <w:r w:rsidRPr="00E81518">
        <w:rPr>
          <w:i/>
          <w:iCs/>
          <w:sz w:val="18"/>
          <w:szCs w:val="18"/>
        </w:rPr>
        <w:t>Memphis under the Ptolemies</w:t>
      </w:r>
      <w:r w:rsidRPr="00E81518">
        <w:rPr>
          <w:sz w:val="18"/>
          <w:szCs w:val="18"/>
        </w:rPr>
        <w:t>, Princeton University Press, 1988</w:t>
      </w:r>
    </w:p>
  </w:footnote>
  <w:footnote w:id="213">
    <w:p w14:paraId="74B4E594"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w:t>
      </w:r>
      <w:r w:rsidRPr="00E81518">
        <w:rPr>
          <w:rFonts w:cs="Calibri"/>
          <w:sz w:val="18"/>
          <w:szCs w:val="18"/>
          <w:lang w:val="en-US"/>
        </w:rPr>
        <w:t xml:space="preserve">Ikram, Salima, </w:t>
      </w:r>
      <w:r w:rsidRPr="00E81518">
        <w:rPr>
          <w:rFonts w:cs="Calibri"/>
          <w:i/>
          <w:iCs/>
          <w:sz w:val="18"/>
          <w:szCs w:val="18"/>
          <w:lang w:val="en-US"/>
        </w:rPr>
        <w:t>Divine Creatures: Animal Mummies in Ancient Cairo</w:t>
      </w:r>
      <w:r w:rsidRPr="00E81518">
        <w:rPr>
          <w:rFonts w:cs="Calibri"/>
          <w:sz w:val="18"/>
          <w:szCs w:val="18"/>
          <w:lang w:val="en-US"/>
        </w:rPr>
        <w:t>, American University in Cairo Press, 2005</w:t>
      </w:r>
    </w:p>
  </w:footnote>
  <w:footnote w:id="214">
    <w:p w14:paraId="5AD854A0" w14:textId="77777777" w:rsidR="002E5252" w:rsidRPr="00E81518" w:rsidRDefault="002E5252" w:rsidP="002E5252">
      <w:pPr>
        <w:pStyle w:val="FootnoteText"/>
        <w:rPr>
          <w:sz w:val="18"/>
          <w:szCs w:val="18"/>
        </w:rPr>
      </w:pPr>
      <w:r w:rsidRPr="00E81518">
        <w:rPr>
          <w:rStyle w:val="FootnoteReference"/>
          <w:sz w:val="18"/>
          <w:szCs w:val="18"/>
        </w:rPr>
        <w:footnoteRef/>
      </w:r>
      <w:r w:rsidRPr="00E81518">
        <w:rPr>
          <w:sz w:val="18"/>
          <w:szCs w:val="18"/>
        </w:rPr>
        <w:t xml:space="preserve"> Bagnall, Roger, Cuvigny, Hélène, </w:t>
      </w:r>
      <w:r w:rsidRPr="00E81518">
        <w:rPr>
          <w:i/>
          <w:iCs/>
          <w:sz w:val="18"/>
          <w:szCs w:val="18"/>
        </w:rPr>
        <w:t>Rome in Egypt’s Eastern Desert, Volume 1</w:t>
      </w:r>
      <w:r w:rsidRPr="00E81518">
        <w:rPr>
          <w:sz w:val="18"/>
          <w:szCs w:val="18"/>
        </w:rPr>
        <w:t>, New York University Press, 2021</w:t>
      </w:r>
    </w:p>
  </w:footnote>
  <w:footnote w:id="215">
    <w:p w14:paraId="383373B0" w14:textId="77777777" w:rsidR="002E5252" w:rsidRDefault="002E5252" w:rsidP="002E5252">
      <w:pPr>
        <w:pStyle w:val="FootnoteText"/>
      </w:pPr>
      <w:r w:rsidRPr="00E81518">
        <w:rPr>
          <w:rStyle w:val="FootnoteReference"/>
          <w:sz w:val="18"/>
          <w:szCs w:val="18"/>
        </w:rPr>
        <w:footnoteRef/>
      </w:r>
      <w:r w:rsidRPr="00E81518">
        <w:rPr>
          <w:sz w:val="18"/>
          <w:szCs w:val="18"/>
        </w:rPr>
        <w:t xml:space="preserve"> Freeman, Charles, </w:t>
      </w:r>
      <w:r w:rsidRPr="00E81518">
        <w:rPr>
          <w:i/>
          <w:iCs/>
          <w:sz w:val="18"/>
          <w:szCs w:val="18"/>
        </w:rPr>
        <w:t>Egypt, Greece and Rome: Civilisations of the Ancient Mediterranean</w:t>
      </w:r>
      <w:r w:rsidRPr="00E81518">
        <w:rPr>
          <w:sz w:val="18"/>
          <w:szCs w:val="18"/>
        </w:rPr>
        <w:t>, Oxford University Press, 2004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655AA"/>
    <w:multiLevelType w:val="hybridMultilevel"/>
    <w:tmpl w:val="634A6248"/>
    <w:lvl w:ilvl="0" w:tplc="54941784">
      <w:start w:val="3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F6D57"/>
    <w:multiLevelType w:val="hybridMultilevel"/>
    <w:tmpl w:val="F21C9BC2"/>
    <w:lvl w:ilvl="0" w:tplc="034272F2">
      <w:start w:val="3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9C1B21"/>
    <w:multiLevelType w:val="hybridMultilevel"/>
    <w:tmpl w:val="F46C8E8E"/>
    <w:lvl w:ilvl="0" w:tplc="96B66B8E">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CE175F"/>
    <w:multiLevelType w:val="hybridMultilevel"/>
    <w:tmpl w:val="A0A43100"/>
    <w:lvl w:ilvl="0" w:tplc="FC26F908">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6D360F"/>
    <w:multiLevelType w:val="hybridMultilevel"/>
    <w:tmpl w:val="21286BFE"/>
    <w:lvl w:ilvl="0" w:tplc="17D002CC">
      <w:start w:val="4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FF3DF5"/>
    <w:multiLevelType w:val="hybridMultilevel"/>
    <w:tmpl w:val="493E56CA"/>
    <w:lvl w:ilvl="0" w:tplc="D0C2438C">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D21BA0"/>
    <w:multiLevelType w:val="hybridMultilevel"/>
    <w:tmpl w:val="00784610"/>
    <w:lvl w:ilvl="0" w:tplc="DB5E57F4">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017D4B"/>
    <w:multiLevelType w:val="hybridMultilevel"/>
    <w:tmpl w:val="B8B0D9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DD49F0"/>
    <w:multiLevelType w:val="hybridMultilevel"/>
    <w:tmpl w:val="72B62BFE"/>
    <w:lvl w:ilvl="0" w:tplc="7C985CD6">
      <w:start w:val="4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9425943">
    <w:abstractNumId w:val="7"/>
  </w:num>
  <w:num w:numId="2" w16cid:durableId="919482799">
    <w:abstractNumId w:val="3"/>
  </w:num>
  <w:num w:numId="3" w16cid:durableId="1444611052">
    <w:abstractNumId w:val="2"/>
  </w:num>
  <w:num w:numId="4" w16cid:durableId="1685205623">
    <w:abstractNumId w:val="5"/>
  </w:num>
  <w:num w:numId="5" w16cid:durableId="117994825">
    <w:abstractNumId w:val="6"/>
  </w:num>
  <w:num w:numId="6" w16cid:durableId="288973994">
    <w:abstractNumId w:val="1"/>
  </w:num>
  <w:num w:numId="7" w16cid:durableId="1003974737">
    <w:abstractNumId w:val="0"/>
  </w:num>
  <w:num w:numId="8" w16cid:durableId="77334964">
    <w:abstractNumId w:val="8"/>
  </w:num>
  <w:num w:numId="9" w16cid:durableId="1397121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439"/>
    <w:rsid w:val="00032EDB"/>
    <w:rsid w:val="0009328A"/>
    <w:rsid w:val="000E7150"/>
    <w:rsid w:val="00130439"/>
    <w:rsid w:val="001528C2"/>
    <w:rsid w:val="00185A6A"/>
    <w:rsid w:val="001A53FA"/>
    <w:rsid w:val="001B4601"/>
    <w:rsid w:val="0021739E"/>
    <w:rsid w:val="0022414A"/>
    <w:rsid w:val="002E5252"/>
    <w:rsid w:val="00324B5C"/>
    <w:rsid w:val="003925CE"/>
    <w:rsid w:val="003E4C8C"/>
    <w:rsid w:val="004A3526"/>
    <w:rsid w:val="00561299"/>
    <w:rsid w:val="006E5AD7"/>
    <w:rsid w:val="00725147"/>
    <w:rsid w:val="009266F8"/>
    <w:rsid w:val="009455FC"/>
    <w:rsid w:val="00A06A90"/>
    <w:rsid w:val="00A240C9"/>
    <w:rsid w:val="00A546D1"/>
    <w:rsid w:val="00A63749"/>
    <w:rsid w:val="00BD78C7"/>
    <w:rsid w:val="00C07A2D"/>
    <w:rsid w:val="00C71116"/>
    <w:rsid w:val="00D1107C"/>
    <w:rsid w:val="00D671AD"/>
    <w:rsid w:val="00D76B24"/>
    <w:rsid w:val="00E81518"/>
    <w:rsid w:val="00F97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1438"/>
  <w15:chartTrackingRefBased/>
  <w15:docId w15:val="{DA79B4AF-1635-4C32-8663-5E77E270C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439"/>
  </w:style>
  <w:style w:type="paragraph" w:styleId="Heading1">
    <w:name w:val="heading 1"/>
    <w:basedOn w:val="Normal"/>
    <w:next w:val="Normal"/>
    <w:link w:val="Heading1Char"/>
    <w:uiPriority w:val="9"/>
    <w:qFormat/>
    <w:rsid w:val="001304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04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0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0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0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04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04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04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04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04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04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04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04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04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04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04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04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0439"/>
    <w:rPr>
      <w:rFonts w:eastAsiaTheme="majorEastAsia" w:cstheme="majorBidi"/>
      <w:color w:val="272727" w:themeColor="text1" w:themeTint="D8"/>
    </w:rPr>
  </w:style>
  <w:style w:type="paragraph" w:styleId="Title">
    <w:name w:val="Title"/>
    <w:basedOn w:val="Normal"/>
    <w:next w:val="Normal"/>
    <w:link w:val="TitleChar"/>
    <w:uiPriority w:val="10"/>
    <w:qFormat/>
    <w:rsid w:val="001304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04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04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04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0439"/>
    <w:pPr>
      <w:spacing w:before="160"/>
      <w:jc w:val="center"/>
    </w:pPr>
    <w:rPr>
      <w:i/>
      <w:iCs/>
      <w:color w:val="404040" w:themeColor="text1" w:themeTint="BF"/>
    </w:rPr>
  </w:style>
  <w:style w:type="character" w:customStyle="1" w:styleId="QuoteChar">
    <w:name w:val="Quote Char"/>
    <w:basedOn w:val="DefaultParagraphFont"/>
    <w:link w:val="Quote"/>
    <w:uiPriority w:val="29"/>
    <w:rsid w:val="00130439"/>
    <w:rPr>
      <w:i/>
      <w:iCs/>
      <w:color w:val="404040" w:themeColor="text1" w:themeTint="BF"/>
    </w:rPr>
  </w:style>
  <w:style w:type="paragraph" w:styleId="ListParagraph">
    <w:name w:val="List Paragraph"/>
    <w:basedOn w:val="Normal"/>
    <w:uiPriority w:val="34"/>
    <w:qFormat/>
    <w:rsid w:val="00130439"/>
    <w:pPr>
      <w:ind w:left="720"/>
      <w:contextualSpacing/>
    </w:pPr>
  </w:style>
  <w:style w:type="character" w:styleId="IntenseEmphasis">
    <w:name w:val="Intense Emphasis"/>
    <w:basedOn w:val="DefaultParagraphFont"/>
    <w:uiPriority w:val="21"/>
    <w:qFormat/>
    <w:rsid w:val="00130439"/>
    <w:rPr>
      <w:i/>
      <w:iCs/>
      <w:color w:val="0F4761" w:themeColor="accent1" w:themeShade="BF"/>
    </w:rPr>
  </w:style>
  <w:style w:type="paragraph" w:styleId="IntenseQuote">
    <w:name w:val="Intense Quote"/>
    <w:basedOn w:val="Normal"/>
    <w:next w:val="Normal"/>
    <w:link w:val="IntenseQuoteChar"/>
    <w:uiPriority w:val="30"/>
    <w:qFormat/>
    <w:rsid w:val="001304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0439"/>
    <w:rPr>
      <w:i/>
      <w:iCs/>
      <w:color w:val="0F4761" w:themeColor="accent1" w:themeShade="BF"/>
    </w:rPr>
  </w:style>
  <w:style w:type="character" w:styleId="IntenseReference">
    <w:name w:val="Intense Reference"/>
    <w:basedOn w:val="DefaultParagraphFont"/>
    <w:uiPriority w:val="32"/>
    <w:qFormat/>
    <w:rsid w:val="00130439"/>
    <w:rPr>
      <w:b/>
      <w:bCs/>
      <w:smallCaps/>
      <w:color w:val="0F4761" w:themeColor="accent1" w:themeShade="BF"/>
      <w:spacing w:val="5"/>
    </w:rPr>
  </w:style>
  <w:style w:type="paragraph" w:styleId="FootnoteText">
    <w:name w:val="footnote text"/>
    <w:basedOn w:val="Normal"/>
    <w:link w:val="FootnoteTextChar"/>
    <w:uiPriority w:val="99"/>
    <w:semiHidden/>
    <w:unhideWhenUsed/>
    <w:rsid w:val="00D671A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71AD"/>
    <w:rPr>
      <w:sz w:val="20"/>
      <w:szCs w:val="20"/>
    </w:rPr>
  </w:style>
  <w:style w:type="character" w:styleId="FootnoteReference">
    <w:name w:val="footnote reference"/>
    <w:basedOn w:val="DefaultParagraphFont"/>
    <w:uiPriority w:val="99"/>
    <w:semiHidden/>
    <w:unhideWhenUsed/>
    <w:rsid w:val="00D671AD"/>
    <w:rPr>
      <w:vertAlign w:val="superscript"/>
    </w:rPr>
  </w:style>
  <w:style w:type="paragraph" w:styleId="Header">
    <w:name w:val="header"/>
    <w:basedOn w:val="Normal"/>
    <w:link w:val="HeaderChar"/>
    <w:uiPriority w:val="99"/>
    <w:unhideWhenUsed/>
    <w:rsid w:val="00A6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749"/>
  </w:style>
  <w:style w:type="paragraph" w:styleId="Footer">
    <w:name w:val="footer"/>
    <w:basedOn w:val="Normal"/>
    <w:link w:val="FooterChar"/>
    <w:uiPriority w:val="99"/>
    <w:unhideWhenUsed/>
    <w:rsid w:val="00A6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45573-6A2B-4F9D-9CB8-8E7EC9FC9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46</Pages>
  <Words>12981</Words>
  <Characters>73995</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Rayer (2122233)</dc:creator>
  <cp:keywords/>
  <dc:description/>
  <cp:lastModifiedBy>Sam Rayer (2122233)</cp:lastModifiedBy>
  <cp:revision>13</cp:revision>
  <dcterms:created xsi:type="dcterms:W3CDTF">2026-01-18T18:05:00Z</dcterms:created>
  <dcterms:modified xsi:type="dcterms:W3CDTF">2026-01-31T17:56:00Z</dcterms:modified>
</cp:coreProperties>
</file>