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1313922"/>
    <w:p w14:paraId="1708014A" w14:textId="5D12F73D" w:rsidR="00B004C3" w:rsidRPr="00EE3A61" w:rsidRDefault="000216C5" w:rsidP="00B004C3">
      <w:pPr>
        <w:pStyle w:val="Heading1"/>
        <w:spacing w:before="0" w:line="360" w:lineRule="auto"/>
        <w:rPr>
          <w:rFonts w:ascii="Arial" w:hAnsi="Arial" w:cs="Arial"/>
          <w:sz w:val="22"/>
          <w:szCs w:val="22"/>
          <w:shd w:val="clear" w:color="auto" w:fill="FFFFFF"/>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00FDC0C3" wp14:editId="0D329BAD">
                <wp:simplePos x="0" y="0"/>
                <wp:positionH relativeFrom="column">
                  <wp:posOffset>1360311</wp:posOffset>
                </wp:positionH>
                <wp:positionV relativeFrom="paragraph">
                  <wp:posOffset>728133</wp:posOffset>
                </wp:positionV>
                <wp:extent cx="1845310" cy="220063"/>
                <wp:effectExtent l="0" t="0" r="8890" b="8890"/>
                <wp:wrapNone/>
                <wp:docPr id="563612838" name="Text Box 1"/>
                <wp:cNvGraphicFramePr/>
                <a:graphic xmlns:a="http://schemas.openxmlformats.org/drawingml/2006/main">
                  <a:graphicData uri="http://schemas.microsoft.com/office/word/2010/wordprocessingShape">
                    <wps:wsp>
                      <wps:cNvSpPr txBox="1"/>
                      <wps:spPr>
                        <a:xfrm>
                          <a:off x="0" y="0"/>
                          <a:ext cx="1845310" cy="220063"/>
                        </a:xfrm>
                        <a:prstGeom prst="rect">
                          <a:avLst/>
                        </a:prstGeom>
                        <a:solidFill>
                          <a:schemeClr val="lt1"/>
                        </a:solidFill>
                        <a:ln w="6350">
                          <a:solidFill>
                            <a:prstClr val="black"/>
                          </a:solidFill>
                        </a:ln>
                      </wps:spPr>
                      <wps:txbx>
                        <w:txbxContent>
                          <w:p w14:paraId="55418912" w14:textId="0DE66F71" w:rsidR="000216C5" w:rsidRPr="000216C5" w:rsidRDefault="000216C5">
                            <w:pPr>
                              <w:rPr>
                                <w:rFonts w:ascii="Arial" w:hAnsi="Arial" w:cs="Arial"/>
                                <w:sz w:val="20"/>
                                <w:szCs w:val="20"/>
                                <w:lang w:val="en-GB"/>
                              </w:rPr>
                            </w:pPr>
                            <w:r w:rsidRPr="000216C5">
                              <w:rPr>
                                <w:rFonts w:ascii="Arial" w:hAnsi="Arial" w:cs="Arial"/>
                                <w:sz w:val="20"/>
                                <w:szCs w:val="20"/>
                                <w:lang w:val="en-GB"/>
                              </w:rPr>
                              <w:t>Mircea Nicolae Tilica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FDC0C3" id="_x0000_t202" coordsize="21600,21600" o:spt="202" path="m,l,21600r21600,l21600,xe">
                <v:stroke joinstyle="miter"/>
                <v:path gradientshapeok="t" o:connecttype="rect"/>
              </v:shapetype>
              <v:shape id="Text Box 1" o:spid="_x0000_s1026" type="#_x0000_t202" style="position:absolute;margin-left:107.1pt;margin-top:57.35pt;width:145.3pt;height:17.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" fillcolor="white [3201]" strokeweight=".5pt">
                <v:textbox>
                  <w:txbxContent>
                    <w:p w14:paraId="55418912" w14:textId="0DE66F71" w:rsidR="000216C5" w:rsidRPr="000216C5" w:rsidRDefault="000216C5">
                      <w:pPr>
                        <w:rPr>
                          <w:rFonts w:ascii="Arial" w:hAnsi="Arial" w:cs="Arial"/>
                          <w:sz w:val="20"/>
                          <w:szCs w:val="20"/>
                          <w:lang w:val="en-GB"/>
                        </w:rPr>
                      </w:pPr>
                      <w:r w:rsidRPr="000216C5">
                        <w:rPr>
                          <w:rFonts w:ascii="Arial" w:hAnsi="Arial" w:cs="Arial"/>
                          <w:sz w:val="20"/>
                          <w:szCs w:val="20"/>
                          <w:lang w:val="en-GB"/>
                        </w:rPr>
                        <w:t xml:space="preserve">Mircea Nicolae </w:t>
                      </w:r>
                      <w:proofErr w:type="spellStart"/>
                      <w:r w:rsidRPr="000216C5">
                        <w:rPr>
                          <w:rFonts w:ascii="Arial" w:hAnsi="Arial" w:cs="Arial"/>
                          <w:sz w:val="20"/>
                          <w:szCs w:val="20"/>
                          <w:lang w:val="en-GB"/>
                        </w:rPr>
                        <w:t>Tilica</w:t>
                      </w:r>
                      <w:proofErr w:type="spellEnd"/>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660288" behindDoc="0" locked="0" layoutInCell="1" allowOverlap="1" wp14:anchorId="706ACA55" wp14:editId="71CB54AB">
                <wp:simplePos x="0" y="0"/>
                <wp:positionH relativeFrom="column">
                  <wp:posOffset>4611511</wp:posOffset>
                </wp:positionH>
                <wp:positionV relativeFrom="paragraph">
                  <wp:posOffset>728133</wp:posOffset>
                </wp:positionV>
                <wp:extent cx="1264356" cy="220063"/>
                <wp:effectExtent l="0" t="0" r="18415" b="8890"/>
                <wp:wrapNone/>
                <wp:docPr id="1093412364" name="Text Box 2"/>
                <wp:cNvGraphicFramePr/>
                <a:graphic xmlns:a="http://schemas.openxmlformats.org/drawingml/2006/main">
                  <a:graphicData uri="http://schemas.microsoft.com/office/word/2010/wordprocessingShape">
                    <wps:wsp>
                      <wps:cNvSpPr txBox="1"/>
                      <wps:spPr>
                        <a:xfrm>
                          <a:off x="0" y="0"/>
                          <a:ext cx="1264356" cy="220063"/>
                        </a:xfrm>
                        <a:prstGeom prst="rect">
                          <a:avLst/>
                        </a:prstGeom>
                        <a:solidFill>
                          <a:schemeClr val="lt1"/>
                        </a:solidFill>
                        <a:ln w="6350">
                          <a:solidFill>
                            <a:prstClr val="black"/>
                          </a:solidFill>
                        </a:ln>
                      </wps:spPr>
                      <wps:txbx>
                        <w:txbxContent>
                          <w:p w14:paraId="0634B25B" w14:textId="76A551BD" w:rsidR="000216C5" w:rsidRPr="000216C5" w:rsidRDefault="000216C5">
                            <w:pPr>
                              <w:rPr>
                                <w:rFonts w:ascii="Arial" w:hAnsi="Arial" w:cs="Arial"/>
                                <w:sz w:val="20"/>
                                <w:szCs w:val="20"/>
                              </w:rPr>
                            </w:pPr>
                            <w:r w:rsidRPr="000216C5">
                              <w:rPr>
                                <w:rFonts w:ascii="Arial" w:eastAsiaTheme="minorHAnsi" w:hAnsi="Arial" w:cs="Arial"/>
                                <w:sz w:val="20"/>
                                <w:szCs w:val="20"/>
                                <w:lang w:val="en-GB"/>
                                <w14:ligatures w14:val="standardContextual"/>
                              </w:rPr>
                              <w:t>2246572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6ACA55" id="Text Box 2" o:spid="_x0000_s1027" type="#_x0000_t202" style="position:absolute;margin-left:363.1pt;margin-top:57.35pt;width:99.55pt;height:17.3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" fillcolor="white [3201]" strokeweight=".5pt">
                <v:textbox>
                  <w:txbxContent>
                    <w:p w14:paraId="0634B25B" w14:textId="76A551BD" w:rsidR="000216C5" w:rsidRPr="000216C5" w:rsidRDefault="000216C5">
                      <w:pPr>
                        <w:rPr>
                          <w:rFonts w:ascii="Arial" w:hAnsi="Arial" w:cs="Arial"/>
                          <w:sz w:val="20"/>
                          <w:szCs w:val="20"/>
                        </w:rPr>
                      </w:pPr>
                      <w:r w:rsidRPr="000216C5">
                        <w:rPr>
                          <w:rFonts w:ascii="Arial" w:eastAsiaTheme="minorHAnsi" w:hAnsi="Arial" w:cs="Arial"/>
                          <w:sz w:val="20"/>
                          <w:szCs w:val="20"/>
                          <w:lang w:val="en-GB"/>
                          <w14:ligatures w14:val="standardContextual"/>
                        </w:rPr>
                        <w:t>2246572</w:t>
                      </w:r>
                    </w:p>
                  </w:txbxContent>
                </v:textbox>
              </v:shape>
            </w:pict>
          </mc:Fallback>
        </mc:AlternateContent>
      </w:r>
      <w:r w:rsidR="00B004C3" w:rsidRPr="00EE3A61">
        <w:rPr>
          <w:rFonts w:ascii="Arial" w:hAnsi="Arial" w:cs="Arial"/>
          <w:noProof/>
          <w:sz w:val="22"/>
          <w:szCs w:val="22"/>
          <w:shd w:val="clear" w:color="auto" w:fill="FFFFFF"/>
        </w:rPr>
        <w:drawing>
          <wp:inline distT="0" distB="0" distL="0" distR="0" wp14:anchorId="70CD81A2" wp14:editId="255DB61C">
            <wp:extent cx="5943600" cy="3793490"/>
            <wp:effectExtent l="0" t="0" r="0" b="3810"/>
            <wp:docPr id="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AI-generated content may be incorrect."/>
                    <pic:cNvPicPr/>
                  </pic:nvPicPr>
                  <pic:blipFill>
                    <a:blip r:embed="rId4"/>
                    <a:stretch>
                      <a:fillRect/>
                    </a:stretch>
                  </pic:blipFill>
                  <pic:spPr>
                    <a:xfrm>
                      <a:off x="0" y="0"/>
                      <a:ext cx="5943600" cy="3793490"/>
                    </a:xfrm>
                    <a:prstGeom prst="rect">
                      <a:avLst/>
                    </a:prstGeom>
                  </pic:spPr>
                </pic:pic>
              </a:graphicData>
            </a:graphic>
          </wp:inline>
        </w:drawing>
      </w:r>
      <w:bookmarkEnd w:id="0"/>
    </w:p>
    <w:p w14:paraId="292625B6" w14:textId="77777777" w:rsidR="00B004C3" w:rsidRPr="00EE3A61" w:rsidRDefault="00B004C3" w:rsidP="00B004C3">
      <w:pPr>
        <w:spacing w:line="360" w:lineRule="auto"/>
        <w:rPr>
          <w:rFonts w:ascii="Arial" w:hAnsi="Arial" w:cs="Arial"/>
          <w:lang w:val="en-GB"/>
        </w:rPr>
      </w:pPr>
    </w:p>
    <w:p w14:paraId="378188F1" w14:textId="77777777" w:rsidR="00B004C3" w:rsidRPr="00EE3A61" w:rsidRDefault="00B004C3" w:rsidP="00B004C3">
      <w:pPr>
        <w:spacing w:line="360" w:lineRule="auto"/>
        <w:rPr>
          <w:rFonts w:ascii="Arial" w:hAnsi="Arial" w:cs="Arial"/>
          <w:lang w:val="en-GB"/>
        </w:rPr>
      </w:pPr>
    </w:p>
    <w:p w14:paraId="7F6F4683" w14:textId="77777777" w:rsidR="00B004C3" w:rsidRPr="00EE3A61" w:rsidRDefault="00B004C3" w:rsidP="00B004C3">
      <w:pPr>
        <w:spacing w:line="360" w:lineRule="auto"/>
        <w:rPr>
          <w:rFonts w:ascii="Arial" w:hAnsi="Arial" w:cs="Arial"/>
          <w:lang w:val="en-GB"/>
        </w:rPr>
      </w:pPr>
    </w:p>
    <w:p w14:paraId="6AF0FBEF" w14:textId="77777777" w:rsidR="00B004C3" w:rsidRPr="00EE3A61" w:rsidRDefault="00B004C3" w:rsidP="00B004C3">
      <w:pPr>
        <w:spacing w:line="360" w:lineRule="auto"/>
        <w:rPr>
          <w:rFonts w:ascii="Arial" w:hAnsi="Arial" w:cs="Arial"/>
          <w:lang w:val="en-GB"/>
        </w:rPr>
      </w:pPr>
    </w:p>
    <w:p w14:paraId="39FDF2D7" w14:textId="77777777" w:rsidR="00B004C3" w:rsidRPr="00EE3A61" w:rsidRDefault="00B004C3" w:rsidP="00B004C3">
      <w:pPr>
        <w:spacing w:line="360" w:lineRule="auto"/>
        <w:rPr>
          <w:rFonts w:ascii="Arial" w:hAnsi="Arial" w:cs="Arial"/>
          <w:lang w:val="en-GB"/>
        </w:rPr>
      </w:pPr>
    </w:p>
    <w:p w14:paraId="5E59F50D" w14:textId="77777777" w:rsidR="00B004C3" w:rsidRPr="00EE3A61" w:rsidRDefault="00B004C3" w:rsidP="00B004C3">
      <w:pPr>
        <w:spacing w:line="360" w:lineRule="auto"/>
        <w:rPr>
          <w:rFonts w:ascii="Arial" w:hAnsi="Arial" w:cs="Arial"/>
          <w:lang w:val="en-GB"/>
        </w:rPr>
      </w:pPr>
    </w:p>
    <w:p w14:paraId="3C1AD07C" w14:textId="77777777" w:rsidR="00B004C3" w:rsidRPr="00EE3A61" w:rsidRDefault="00B004C3" w:rsidP="00B004C3">
      <w:pPr>
        <w:spacing w:line="360" w:lineRule="auto"/>
        <w:rPr>
          <w:rFonts w:ascii="Arial" w:hAnsi="Arial" w:cs="Arial"/>
          <w:lang w:val="en-GB"/>
        </w:rPr>
      </w:pPr>
    </w:p>
    <w:p w14:paraId="6BBCF9F0" w14:textId="77777777" w:rsidR="00B004C3" w:rsidRPr="00EE3A61" w:rsidRDefault="00B004C3" w:rsidP="00B004C3">
      <w:pPr>
        <w:spacing w:line="360" w:lineRule="auto"/>
        <w:rPr>
          <w:rFonts w:ascii="Arial" w:hAnsi="Arial" w:cs="Arial"/>
          <w:lang w:val="en-GB"/>
        </w:rPr>
      </w:pPr>
    </w:p>
    <w:p w14:paraId="4BCD64AC" w14:textId="77777777" w:rsidR="00B004C3" w:rsidRPr="00EE3A61" w:rsidRDefault="00B004C3" w:rsidP="00B004C3">
      <w:pPr>
        <w:spacing w:line="360" w:lineRule="auto"/>
        <w:rPr>
          <w:rFonts w:ascii="Arial" w:hAnsi="Arial" w:cs="Arial"/>
          <w:lang w:val="en-GB"/>
        </w:rPr>
      </w:pPr>
    </w:p>
    <w:p w14:paraId="219BF753" w14:textId="77777777" w:rsidR="00B004C3" w:rsidRPr="00EE3A61" w:rsidRDefault="00B004C3" w:rsidP="00B004C3">
      <w:pPr>
        <w:spacing w:line="360" w:lineRule="auto"/>
        <w:rPr>
          <w:rFonts w:ascii="Arial" w:hAnsi="Arial" w:cs="Arial"/>
          <w:lang w:val="en-GB"/>
        </w:rPr>
      </w:pPr>
    </w:p>
    <w:p w14:paraId="776BE0A6" w14:textId="77777777" w:rsidR="00B004C3" w:rsidRPr="00EE3A61" w:rsidRDefault="00B004C3" w:rsidP="00B004C3">
      <w:pPr>
        <w:spacing w:line="360" w:lineRule="auto"/>
        <w:rPr>
          <w:rFonts w:ascii="Arial" w:hAnsi="Arial" w:cs="Arial"/>
          <w:lang w:val="en-GB"/>
        </w:rPr>
      </w:pPr>
    </w:p>
    <w:p w14:paraId="009634AC" w14:textId="77777777" w:rsidR="00B004C3" w:rsidRPr="00EE3A61" w:rsidRDefault="00B004C3" w:rsidP="00B004C3">
      <w:pPr>
        <w:spacing w:line="360" w:lineRule="auto"/>
        <w:rPr>
          <w:rFonts w:ascii="Arial" w:hAnsi="Arial" w:cs="Arial"/>
          <w:lang w:val="en-GB"/>
        </w:rPr>
      </w:pPr>
    </w:p>
    <w:p w14:paraId="1D6F6169" w14:textId="77777777" w:rsidR="00B004C3" w:rsidRPr="00EE3A61" w:rsidRDefault="00B004C3" w:rsidP="00B004C3">
      <w:pPr>
        <w:spacing w:line="360" w:lineRule="auto"/>
        <w:rPr>
          <w:rFonts w:ascii="Arial" w:hAnsi="Arial" w:cs="Arial"/>
          <w:lang w:val="en-GB"/>
        </w:rPr>
      </w:pPr>
    </w:p>
    <w:p w14:paraId="54F8B217" w14:textId="77777777" w:rsidR="00B004C3" w:rsidRPr="00EE3A61" w:rsidRDefault="00B004C3" w:rsidP="00B004C3">
      <w:pPr>
        <w:spacing w:line="360" w:lineRule="auto"/>
        <w:rPr>
          <w:rFonts w:ascii="Arial" w:hAnsi="Arial" w:cs="Arial"/>
          <w:lang w:val="en-GB"/>
        </w:rPr>
      </w:pPr>
    </w:p>
    <w:p w14:paraId="63D5037E" w14:textId="44EC4541"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1" w:name="_Toc191313923"/>
      <w:r w:rsidRPr="00EE3A61">
        <w:rPr>
          <w:rFonts w:ascii="Arial" w:hAnsi="Arial" w:cs="Arial"/>
          <w:sz w:val="22"/>
          <w:szCs w:val="22"/>
          <w:shd w:val="clear" w:color="auto" w:fill="FFFFFF"/>
        </w:rPr>
        <w:t>Executive Summar</w:t>
      </w:r>
      <w:bookmarkEnd w:id="1"/>
      <w:r w:rsidR="00185A4F">
        <w:rPr>
          <w:rFonts w:ascii="Arial" w:hAnsi="Arial" w:cs="Arial"/>
          <w:sz w:val="22"/>
          <w:szCs w:val="22"/>
          <w:shd w:val="clear" w:color="auto" w:fill="FFFFFF"/>
        </w:rPr>
        <w:t>y</w:t>
      </w:r>
    </w:p>
    <w:p w14:paraId="7DF3E6EA" w14:textId="77777777" w:rsidR="00B004C3" w:rsidRPr="00EE3A61" w:rsidRDefault="00B004C3" w:rsidP="00B004C3">
      <w:pPr>
        <w:spacing w:line="360" w:lineRule="auto"/>
        <w:rPr>
          <w:rFonts w:ascii="Arial" w:hAnsi="Arial" w:cs="Arial"/>
        </w:rPr>
      </w:pPr>
      <w:r w:rsidRPr="00AF1F73">
        <w:rPr>
          <w:rFonts w:ascii="Arial" w:hAnsi="Arial" w:cs="Arial"/>
        </w:rPr>
        <w:t>Shangri-La Hotels and Premier Inn Hotels represent two major hospitality industry players who maintain different market positions according to this study. Shangri-La Hotels functions as a luxury hotel company which delivers upscale hospitality through premium offerings and dining and unique experiences yet Premier Inn establishes itself as a budget chain that emphasizes affordable rates and maintains high guest presence throughout United Kingdom (Shangri-La Group, 2024; Statista, 2025). Both hospitality companies are evaluated through total revenue performance and market strategy development and growth opportunities assessment as well as corporate social responsibility measurement. Revenue at Shangri-La originates from its upscale hospitality facilities yet Premier Inn depends on both budget rates combined with high guest throughput for financial success. Shangri-La enhances its luxury position through worldwide expansion and social responsibility commitments regarding education and sustainability but Premier Inn expands its reliability through domestic growth and carbon-neutral programs (Yahoo Finance 2025). Research indicates that Shangri-La should enter the luxury wellness tourism market as well as branded residences development for new profit opportunities alongside Premier Inn requiring faster digital transformation alongside enhanced sustainability efforts to preserve its competitive stance. The hospitality industry requires both brands to adjust their monetary approaches to stay aligned with industry development trends to secure extended financial success and sustainable market presence.</w:t>
      </w:r>
    </w:p>
    <w:p w14:paraId="10EE9FAA" w14:textId="77777777" w:rsidR="00B004C3" w:rsidRPr="00EE3A61" w:rsidRDefault="00B004C3" w:rsidP="00B004C3">
      <w:pPr>
        <w:spacing w:line="360" w:lineRule="auto"/>
        <w:rPr>
          <w:rFonts w:ascii="Arial" w:hAnsi="Arial" w:cs="Arial"/>
        </w:rPr>
      </w:pPr>
    </w:p>
    <w:p w14:paraId="2D6FEB97" w14:textId="77777777" w:rsidR="00B004C3" w:rsidRPr="00EE3A61" w:rsidRDefault="00B004C3" w:rsidP="00B004C3">
      <w:pPr>
        <w:spacing w:line="360" w:lineRule="auto"/>
        <w:rPr>
          <w:rFonts w:ascii="Arial" w:hAnsi="Arial" w:cs="Arial"/>
        </w:rPr>
      </w:pPr>
    </w:p>
    <w:p w14:paraId="39ADC77D" w14:textId="77777777" w:rsidR="00B004C3" w:rsidRPr="00EE3A61" w:rsidRDefault="00B004C3" w:rsidP="00B004C3">
      <w:pPr>
        <w:spacing w:line="360" w:lineRule="auto"/>
        <w:rPr>
          <w:rFonts w:ascii="Arial" w:hAnsi="Arial" w:cs="Arial"/>
        </w:rPr>
      </w:pPr>
    </w:p>
    <w:p w14:paraId="5ACAD2C3" w14:textId="77777777" w:rsidR="00B004C3" w:rsidRPr="00EE3A61" w:rsidRDefault="00B004C3" w:rsidP="00B004C3">
      <w:pPr>
        <w:spacing w:line="360" w:lineRule="auto"/>
        <w:rPr>
          <w:rFonts w:ascii="Arial" w:hAnsi="Arial" w:cs="Arial"/>
        </w:rPr>
      </w:pPr>
    </w:p>
    <w:p w14:paraId="32046034" w14:textId="77777777" w:rsidR="00B004C3" w:rsidRPr="00EE3A61" w:rsidRDefault="00B004C3" w:rsidP="00B004C3">
      <w:pPr>
        <w:spacing w:line="360" w:lineRule="auto"/>
        <w:rPr>
          <w:rFonts w:ascii="Arial" w:hAnsi="Arial" w:cs="Arial"/>
        </w:rPr>
      </w:pPr>
    </w:p>
    <w:p w14:paraId="6CEB6ACD" w14:textId="77777777" w:rsidR="00B004C3" w:rsidRPr="00EE3A61" w:rsidRDefault="00B004C3" w:rsidP="00B004C3">
      <w:pPr>
        <w:spacing w:line="360" w:lineRule="auto"/>
        <w:rPr>
          <w:rFonts w:ascii="Arial" w:hAnsi="Arial" w:cs="Arial"/>
        </w:rPr>
      </w:pPr>
    </w:p>
    <w:p w14:paraId="1E6D385B" w14:textId="77777777" w:rsidR="00B004C3" w:rsidRPr="00EE3A61" w:rsidRDefault="00B004C3" w:rsidP="00B004C3">
      <w:pPr>
        <w:spacing w:line="360" w:lineRule="auto"/>
        <w:rPr>
          <w:rFonts w:ascii="Arial" w:hAnsi="Arial" w:cs="Arial"/>
        </w:rPr>
      </w:pPr>
    </w:p>
    <w:p w14:paraId="5F17B487" w14:textId="77777777" w:rsidR="00B004C3" w:rsidRPr="00EE3A61" w:rsidRDefault="00B004C3" w:rsidP="00B004C3">
      <w:pPr>
        <w:spacing w:line="360" w:lineRule="auto"/>
        <w:rPr>
          <w:rFonts w:ascii="Arial" w:hAnsi="Arial" w:cs="Arial"/>
        </w:rPr>
      </w:pPr>
    </w:p>
    <w:p w14:paraId="2B758519" w14:textId="77777777" w:rsidR="00B004C3" w:rsidRPr="00EE3A61" w:rsidRDefault="00B004C3" w:rsidP="00B004C3">
      <w:pPr>
        <w:spacing w:line="360" w:lineRule="auto"/>
        <w:rPr>
          <w:rFonts w:ascii="Arial" w:hAnsi="Arial" w:cs="Arial"/>
        </w:rPr>
      </w:pPr>
    </w:p>
    <w:p w14:paraId="567FD2B1" w14:textId="77777777" w:rsidR="00B004C3" w:rsidRPr="00EE3A61" w:rsidRDefault="00B004C3" w:rsidP="00B004C3">
      <w:pPr>
        <w:spacing w:line="360" w:lineRule="auto"/>
        <w:rPr>
          <w:rFonts w:ascii="Arial" w:hAnsi="Arial" w:cs="Arial"/>
        </w:rPr>
      </w:pPr>
    </w:p>
    <w:sdt>
      <w:sdtPr>
        <w:rPr>
          <w:rFonts w:ascii="Arial" w:eastAsiaTheme="minorEastAsia" w:hAnsi="Arial" w:cs="Arial"/>
          <w:b w:val="0"/>
          <w:bCs w:val="0"/>
          <w:caps w:val="0"/>
          <w:spacing w:val="0"/>
          <w:sz w:val="22"/>
          <w:szCs w:val="22"/>
        </w:rPr>
        <w:id w:val="912355470"/>
        <w:docPartObj>
          <w:docPartGallery w:val="Table of Contents"/>
          <w:docPartUnique/>
        </w:docPartObj>
      </w:sdtPr>
      <w:sdtEndPr>
        <w:rPr>
          <w:noProof/>
        </w:rPr>
      </w:sdtEndPr>
      <w:sdtContent>
        <w:p w14:paraId="00C2BC80" w14:textId="77777777" w:rsidR="00B004C3" w:rsidRPr="00EE3A61" w:rsidRDefault="00B004C3" w:rsidP="00B004C3">
          <w:pPr>
            <w:pStyle w:val="TOCHeading"/>
            <w:spacing w:line="360" w:lineRule="auto"/>
            <w:rPr>
              <w:rFonts w:ascii="Arial" w:hAnsi="Arial" w:cs="Arial"/>
              <w:sz w:val="22"/>
              <w:szCs w:val="22"/>
            </w:rPr>
          </w:pPr>
          <w:r w:rsidRPr="00EE3A61">
            <w:rPr>
              <w:rFonts w:ascii="Arial" w:hAnsi="Arial" w:cs="Arial"/>
              <w:sz w:val="22"/>
              <w:szCs w:val="22"/>
            </w:rPr>
            <w:t>Contents</w:t>
          </w:r>
        </w:p>
        <w:p w14:paraId="49C63911" w14:textId="77777777" w:rsidR="00B004C3" w:rsidRPr="00EE3A61" w:rsidRDefault="00B004C3" w:rsidP="00B004C3">
          <w:pPr>
            <w:pStyle w:val="TOC1"/>
            <w:tabs>
              <w:tab w:val="right" w:leader="dot" w:pos="9350"/>
            </w:tabs>
            <w:spacing w:line="360" w:lineRule="auto"/>
            <w:rPr>
              <w:rFonts w:ascii="Arial" w:hAnsi="Arial" w:cs="Arial"/>
              <w:noProof/>
            </w:rPr>
          </w:pPr>
          <w:r w:rsidRPr="00EE3A61">
            <w:rPr>
              <w:rFonts w:ascii="Arial" w:hAnsi="Arial" w:cs="Arial"/>
            </w:rPr>
            <w:fldChar w:fldCharType="begin"/>
          </w:r>
          <w:r w:rsidRPr="00EE3A61">
            <w:rPr>
              <w:rFonts w:ascii="Arial" w:hAnsi="Arial" w:cs="Arial"/>
            </w:rPr>
            <w:instrText xml:space="preserve"> TOC \o "1-3" \h \z \u </w:instrText>
          </w:r>
          <w:r w:rsidRPr="00EE3A61">
            <w:rPr>
              <w:rFonts w:ascii="Arial" w:hAnsi="Arial" w:cs="Arial"/>
            </w:rPr>
            <w:fldChar w:fldCharType="separate"/>
          </w:r>
          <w:hyperlink w:anchor="_Toc191313923" w:history="1">
            <w:r w:rsidRPr="00EE3A61">
              <w:rPr>
                <w:rStyle w:val="Hyperlink"/>
                <w:rFonts w:ascii="Arial" w:hAnsi="Arial" w:cs="Arial"/>
                <w:noProof/>
                <w:shd w:val="clear" w:color="auto" w:fill="FFFFFF"/>
                <w:lang w:val="en-GB"/>
              </w:rPr>
              <w:t>Executive Summary</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_Toc191313923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2</w:t>
            </w:r>
            <w:r w:rsidRPr="00EE3A61">
              <w:rPr>
                <w:rFonts w:ascii="Arial" w:hAnsi="Arial" w:cs="Arial"/>
                <w:noProof/>
                <w:webHidden/>
              </w:rPr>
              <w:fldChar w:fldCharType="end"/>
            </w:r>
          </w:hyperlink>
        </w:p>
        <w:p w14:paraId="54880E5A" w14:textId="77777777" w:rsidR="00B004C3" w:rsidRPr="00EE3A61" w:rsidRDefault="00B004C3" w:rsidP="00B004C3">
          <w:pPr>
            <w:pStyle w:val="TOC1"/>
            <w:tabs>
              <w:tab w:val="right" w:leader="dot" w:pos="9350"/>
            </w:tabs>
            <w:spacing w:line="360" w:lineRule="auto"/>
            <w:rPr>
              <w:rFonts w:ascii="Arial" w:hAnsi="Arial" w:cs="Arial"/>
              <w:noProof/>
            </w:rPr>
          </w:pPr>
          <w:hyperlink w:anchor="_Toc191313924" w:history="1">
            <w:r w:rsidRPr="00EE3A61">
              <w:rPr>
                <w:rStyle w:val="Hyperlink"/>
                <w:rFonts w:ascii="Arial" w:hAnsi="Arial" w:cs="Arial"/>
                <w:noProof/>
                <w:shd w:val="clear" w:color="auto" w:fill="FFFFFF"/>
                <w:lang w:val="en-GB"/>
              </w:rPr>
              <w:t>Introduction</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_Toc191313924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3</w:t>
            </w:r>
            <w:r w:rsidRPr="00EE3A61">
              <w:rPr>
                <w:rFonts w:ascii="Arial" w:hAnsi="Arial" w:cs="Arial"/>
                <w:noProof/>
                <w:webHidden/>
              </w:rPr>
              <w:fldChar w:fldCharType="end"/>
            </w:r>
          </w:hyperlink>
        </w:p>
        <w:p w14:paraId="029B7B73" w14:textId="77777777" w:rsidR="00B004C3" w:rsidRPr="00EE3A61" w:rsidRDefault="00B004C3" w:rsidP="00B004C3">
          <w:pPr>
            <w:pStyle w:val="TOC1"/>
            <w:tabs>
              <w:tab w:val="right" w:leader="dot" w:pos="9350"/>
            </w:tabs>
            <w:spacing w:line="360" w:lineRule="auto"/>
            <w:rPr>
              <w:rFonts w:ascii="Arial" w:hAnsi="Arial" w:cs="Arial"/>
              <w:noProof/>
            </w:rPr>
          </w:pPr>
          <w:hyperlink w:anchor="_Toc191313925" w:history="1">
            <w:r w:rsidRPr="00EE3A61">
              <w:rPr>
                <w:rStyle w:val="Hyperlink"/>
                <w:rFonts w:ascii="Arial" w:hAnsi="Arial" w:cs="Arial"/>
                <w:noProof/>
                <w:shd w:val="clear" w:color="auto" w:fill="FFFFFF"/>
                <w:lang w:val="en-GB"/>
              </w:rPr>
              <w:t>Financial Comparison and Analysis</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_Toc191313925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3</w:t>
            </w:r>
            <w:r w:rsidRPr="00EE3A61">
              <w:rPr>
                <w:rFonts w:ascii="Arial" w:hAnsi="Arial" w:cs="Arial"/>
                <w:noProof/>
                <w:webHidden/>
              </w:rPr>
              <w:fldChar w:fldCharType="end"/>
            </w:r>
          </w:hyperlink>
        </w:p>
        <w:p w14:paraId="21DB9BB5" w14:textId="77777777" w:rsidR="00B004C3" w:rsidRPr="00EE3A61" w:rsidRDefault="00B004C3" w:rsidP="00B004C3">
          <w:pPr>
            <w:pStyle w:val="TOC2"/>
            <w:tabs>
              <w:tab w:val="right" w:leader="dot" w:pos="9350"/>
            </w:tabs>
            <w:spacing w:line="360" w:lineRule="auto"/>
            <w:rPr>
              <w:rFonts w:ascii="Arial" w:hAnsi="Arial" w:cs="Arial"/>
              <w:noProof/>
            </w:rPr>
          </w:pPr>
          <w:hyperlink w:anchor="_Toc191313926" w:history="1">
            <w:r w:rsidRPr="00EE3A61">
              <w:rPr>
                <w:rStyle w:val="Hyperlink"/>
                <w:rFonts w:ascii="Arial" w:hAnsi="Arial" w:cs="Arial"/>
                <w:noProof/>
                <w:shd w:val="clear" w:color="auto" w:fill="FFFFFF"/>
                <w:lang w:val="en-GB"/>
              </w:rPr>
              <w:t>Total Revenue and Financial Performance</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_Toc191313926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3</w:t>
            </w:r>
            <w:r w:rsidRPr="00EE3A61">
              <w:rPr>
                <w:rFonts w:ascii="Arial" w:hAnsi="Arial" w:cs="Arial"/>
                <w:noProof/>
                <w:webHidden/>
              </w:rPr>
              <w:fldChar w:fldCharType="end"/>
            </w:r>
          </w:hyperlink>
        </w:p>
        <w:p w14:paraId="00F139B0" w14:textId="77777777" w:rsidR="00B004C3" w:rsidRPr="00EE3A61" w:rsidRDefault="00B004C3" w:rsidP="00B004C3">
          <w:pPr>
            <w:pStyle w:val="TOC2"/>
            <w:tabs>
              <w:tab w:val="right" w:leader="dot" w:pos="9350"/>
            </w:tabs>
            <w:spacing w:line="360" w:lineRule="auto"/>
            <w:rPr>
              <w:rFonts w:ascii="Arial" w:hAnsi="Arial" w:cs="Arial"/>
              <w:noProof/>
            </w:rPr>
          </w:pPr>
          <w:hyperlink w:anchor="_Toc191313927" w:history="1">
            <w:r w:rsidRPr="00EE3A61">
              <w:rPr>
                <w:rStyle w:val="Hyperlink"/>
                <w:rFonts w:ascii="Arial" w:eastAsia="Times New Roman" w:hAnsi="Arial" w:cs="Arial"/>
                <w:noProof/>
                <w:lang w:val="en-GB" w:eastAsia="en-GB"/>
              </w:rPr>
              <w:t>Revenue Analysis and Financial Performance</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_Toc191313927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4</w:t>
            </w:r>
            <w:r w:rsidRPr="00EE3A61">
              <w:rPr>
                <w:rFonts w:ascii="Arial" w:hAnsi="Arial" w:cs="Arial"/>
                <w:noProof/>
                <w:webHidden/>
              </w:rPr>
              <w:fldChar w:fldCharType="end"/>
            </w:r>
          </w:hyperlink>
        </w:p>
        <w:p w14:paraId="413ED1A1" w14:textId="77777777" w:rsidR="00B004C3" w:rsidRPr="00EE3A61" w:rsidRDefault="00B004C3" w:rsidP="00B004C3">
          <w:pPr>
            <w:pStyle w:val="TOC2"/>
            <w:tabs>
              <w:tab w:val="right" w:leader="dot" w:pos="9350"/>
            </w:tabs>
            <w:spacing w:line="360" w:lineRule="auto"/>
            <w:rPr>
              <w:rFonts w:ascii="Arial" w:hAnsi="Arial" w:cs="Arial"/>
              <w:noProof/>
            </w:rPr>
          </w:pPr>
          <w:hyperlink w:anchor="_Toc191313928" w:history="1">
            <w:r w:rsidRPr="00EE3A61">
              <w:rPr>
                <w:rStyle w:val="Hyperlink"/>
                <w:rFonts w:ascii="Arial" w:hAnsi="Arial" w:cs="Arial"/>
                <w:noProof/>
                <w:shd w:val="clear" w:color="auto" w:fill="FFFFFF"/>
                <w:lang w:val="en-GB"/>
              </w:rPr>
              <w:t>Market Positioning</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_Toc191313928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4</w:t>
            </w:r>
            <w:r w:rsidRPr="00EE3A61">
              <w:rPr>
                <w:rFonts w:ascii="Arial" w:hAnsi="Arial" w:cs="Arial"/>
                <w:noProof/>
                <w:webHidden/>
              </w:rPr>
              <w:fldChar w:fldCharType="end"/>
            </w:r>
          </w:hyperlink>
        </w:p>
        <w:p w14:paraId="21FCEC47" w14:textId="77777777" w:rsidR="00B004C3" w:rsidRPr="00EE3A61" w:rsidRDefault="00B004C3" w:rsidP="00B004C3">
          <w:pPr>
            <w:pStyle w:val="TOC2"/>
            <w:tabs>
              <w:tab w:val="right" w:leader="dot" w:pos="9350"/>
            </w:tabs>
            <w:spacing w:line="360" w:lineRule="auto"/>
            <w:rPr>
              <w:rFonts w:ascii="Arial" w:hAnsi="Arial" w:cs="Arial"/>
              <w:noProof/>
            </w:rPr>
          </w:pPr>
          <w:hyperlink w:anchor="_Toc191313929" w:history="1">
            <w:r w:rsidRPr="00EE3A61">
              <w:rPr>
                <w:rStyle w:val="Hyperlink"/>
                <w:rFonts w:ascii="Arial" w:hAnsi="Arial" w:cs="Arial"/>
                <w:noProof/>
                <w:shd w:val="clear" w:color="auto" w:fill="FFFFFF"/>
                <w:lang w:val="en-GB"/>
              </w:rPr>
              <w:t>Growth Potential</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_Toc191313929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5</w:t>
            </w:r>
            <w:r w:rsidRPr="00EE3A61">
              <w:rPr>
                <w:rFonts w:ascii="Arial" w:hAnsi="Arial" w:cs="Arial"/>
                <w:noProof/>
                <w:webHidden/>
              </w:rPr>
              <w:fldChar w:fldCharType="end"/>
            </w:r>
          </w:hyperlink>
        </w:p>
        <w:p w14:paraId="7F01161D" w14:textId="77777777" w:rsidR="00B004C3" w:rsidRPr="00EE3A61" w:rsidRDefault="00B004C3" w:rsidP="00B004C3">
          <w:pPr>
            <w:pStyle w:val="TOC2"/>
            <w:tabs>
              <w:tab w:val="right" w:leader="dot" w:pos="9350"/>
            </w:tabs>
            <w:spacing w:line="360" w:lineRule="auto"/>
            <w:rPr>
              <w:rFonts w:ascii="Arial" w:hAnsi="Arial" w:cs="Arial"/>
              <w:noProof/>
            </w:rPr>
          </w:pPr>
          <w:hyperlink w:anchor="_Toc191313930" w:history="1">
            <w:r w:rsidRPr="00EE3A61">
              <w:rPr>
                <w:rStyle w:val="Hyperlink"/>
                <w:rFonts w:ascii="Arial" w:hAnsi="Arial" w:cs="Arial"/>
                <w:noProof/>
                <w:shd w:val="clear" w:color="auto" w:fill="FFFFFF"/>
                <w:lang w:val="en-GB"/>
              </w:rPr>
              <w:t>Financial Commitment to CSR (Corporate Social Responsibility)</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_Toc191313930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6</w:t>
            </w:r>
            <w:r w:rsidRPr="00EE3A61">
              <w:rPr>
                <w:rFonts w:ascii="Arial" w:hAnsi="Arial" w:cs="Arial"/>
                <w:noProof/>
                <w:webHidden/>
              </w:rPr>
              <w:fldChar w:fldCharType="end"/>
            </w:r>
          </w:hyperlink>
        </w:p>
        <w:p w14:paraId="67BA4AD2" w14:textId="77777777" w:rsidR="00B004C3" w:rsidRPr="00EE3A61" w:rsidRDefault="00B004C3" w:rsidP="00B004C3">
          <w:pPr>
            <w:pStyle w:val="TOC1"/>
            <w:tabs>
              <w:tab w:val="right" w:leader="dot" w:pos="9350"/>
            </w:tabs>
            <w:spacing w:line="360" w:lineRule="auto"/>
            <w:rPr>
              <w:rFonts w:ascii="Arial" w:hAnsi="Arial" w:cs="Arial"/>
              <w:noProof/>
            </w:rPr>
          </w:pPr>
          <w:hyperlink w:anchor="_Toc191313931" w:history="1">
            <w:r w:rsidRPr="00EE3A61">
              <w:rPr>
                <w:rStyle w:val="Hyperlink"/>
                <w:rFonts w:ascii="Arial" w:hAnsi="Arial" w:cs="Arial"/>
                <w:noProof/>
                <w:shd w:val="clear" w:color="auto" w:fill="FFFFFF"/>
                <w:lang w:val="en-GB"/>
              </w:rPr>
              <w:t>Recommendations</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_Toc191313931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6</w:t>
            </w:r>
            <w:r w:rsidRPr="00EE3A61">
              <w:rPr>
                <w:rFonts w:ascii="Arial" w:hAnsi="Arial" w:cs="Arial"/>
                <w:noProof/>
                <w:webHidden/>
              </w:rPr>
              <w:fldChar w:fldCharType="end"/>
            </w:r>
          </w:hyperlink>
        </w:p>
        <w:p w14:paraId="70D556E4" w14:textId="77777777" w:rsidR="00B004C3" w:rsidRPr="00EE3A61" w:rsidRDefault="00B004C3" w:rsidP="00B004C3">
          <w:pPr>
            <w:pStyle w:val="TOC1"/>
            <w:tabs>
              <w:tab w:val="right" w:leader="dot" w:pos="9350"/>
            </w:tabs>
            <w:spacing w:line="360" w:lineRule="auto"/>
            <w:rPr>
              <w:rFonts w:ascii="Arial" w:hAnsi="Arial" w:cs="Arial"/>
              <w:noProof/>
            </w:rPr>
          </w:pPr>
          <w:hyperlink w:anchor="_Toc191313932" w:history="1">
            <w:r w:rsidRPr="00EE3A61">
              <w:rPr>
                <w:rStyle w:val="Hyperlink"/>
                <w:rFonts w:ascii="Arial" w:hAnsi="Arial" w:cs="Arial"/>
                <w:noProof/>
                <w:shd w:val="clear" w:color="auto" w:fill="FFFFFF"/>
                <w:lang w:val="en-GB"/>
              </w:rPr>
              <w:t>Conclusion</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_Toc191313932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7</w:t>
            </w:r>
            <w:r w:rsidRPr="00EE3A61">
              <w:rPr>
                <w:rFonts w:ascii="Arial" w:hAnsi="Arial" w:cs="Arial"/>
                <w:noProof/>
                <w:webHidden/>
              </w:rPr>
              <w:fldChar w:fldCharType="end"/>
            </w:r>
          </w:hyperlink>
        </w:p>
        <w:p w14:paraId="43736BA7" w14:textId="77777777" w:rsidR="00B004C3" w:rsidRPr="00EE3A61" w:rsidRDefault="00B004C3" w:rsidP="00B004C3">
          <w:pPr>
            <w:pStyle w:val="TOC1"/>
            <w:tabs>
              <w:tab w:val="right" w:leader="dot" w:pos="9350"/>
            </w:tabs>
            <w:spacing w:line="360" w:lineRule="auto"/>
            <w:rPr>
              <w:rFonts w:ascii="Arial" w:hAnsi="Arial" w:cs="Arial"/>
              <w:noProof/>
            </w:rPr>
          </w:pPr>
          <w:hyperlink w:anchor="_Toc191313933" w:history="1">
            <w:r w:rsidRPr="00EE3A61">
              <w:rPr>
                <w:rStyle w:val="Hyperlink"/>
                <w:rFonts w:ascii="Arial" w:hAnsi="Arial" w:cs="Arial"/>
                <w:noProof/>
                <w:shd w:val="clear" w:color="auto" w:fill="FFFFFF"/>
                <w:lang w:val="en-GB"/>
              </w:rPr>
              <w:t>References</w:t>
            </w:r>
            <w:r w:rsidRPr="00EE3A61">
              <w:rPr>
                <w:rFonts w:ascii="Arial" w:hAnsi="Arial" w:cs="Arial"/>
                <w:noProof/>
                <w:webHidden/>
              </w:rPr>
              <w:tab/>
            </w:r>
            <w:r w:rsidRPr="00EE3A61">
              <w:rPr>
                <w:rFonts w:ascii="Arial" w:hAnsi="Arial" w:cs="Arial"/>
                <w:noProof/>
                <w:webHidden/>
              </w:rPr>
              <w:fldChar w:fldCharType="begin"/>
            </w:r>
            <w:r w:rsidRPr="00EE3A61">
              <w:rPr>
                <w:rFonts w:ascii="Arial" w:hAnsi="Arial" w:cs="Arial"/>
                <w:noProof/>
                <w:webHidden/>
              </w:rPr>
              <w:instrText xml:space="preserve"> PAGEREF _Toc191313933 \h </w:instrText>
            </w:r>
            <w:r w:rsidRPr="00EE3A61">
              <w:rPr>
                <w:rFonts w:ascii="Arial" w:hAnsi="Arial" w:cs="Arial"/>
                <w:noProof/>
                <w:webHidden/>
              </w:rPr>
            </w:r>
            <w:r w:rsidRPr="00EE3A61">
              <w:rPr>
                <w:rFonts w:ascii="Arial" w:hAnsi="Arial" w:cs="Arial"/>
                <w:noProof/>
                <w:webHidden/>
              </w:rPr>
              <w:fldChar w:fldCharType="separate"/>
            </w:r>
            <w:r w:rsidRPr="00EE3A61">
              <w:rPr>
                <w:rFonts w:ascii="Arial" w:hAnsi="Arial" w:cs="Arial"/>
                <w:noProof/>
                <w:webHidden/>
              </w:rPr>
              <w:t>7</w:t>
            </w:r>
            <w:r w:rsidRPr="00EE3A61">
              <w:rPr>
                <w:rFonts w:ascii="Arial" w:hAnsi="Arial" w:cs="Arial"/>
                <w:noProof/>
                <w:webHidden/>
              </w:rPr>
              <w:fldChar w:fldCharType="end"/>
            </w:r>
          </w:hyperlink>
        </w:p>
        <w:p w14:paraId="3DF5C534" w14:textId="77777777" w:rsidR="00B004C3" w:rsidRPr="00EE3A61" w:rsidRDefault="00B004C3" w:rsidP="00B004C3">
          <w:pPr>
            <w:spacing w:line="360" w:lineRule="auto"/>
            <w:rPr>
              <w:rFonts w:ascii="Arial" w:hAnsi="Arial" w:cs="Arial"/>
            </w:rPr>
          </w:pPr>
          <w:r w:rsidRPr="00EE3A61">
            <w:rPr>
              <w:rFonts w:ascii="Arial" w:hAnsi="Arial" w:cs="Arial"/>
              <w:b/>
              <w:bCs/>
              <w:noProof/>
            </w:rPr>
            <w:fldChar w:fldCharType="end"/>
          </w:r>
        </w:p>
      </w:sdtContent>
    </w:sdt>
    <w:p w14:paraId="189B2613" w14:textId="77777777" w:rsidR="00B004C3" w:rsidRPr="00EE3A61" w:rsidRDefault="00B004C3" w:rsidP="00B004C3">
      <w:pPr>
        <w:spacing w:line="360" w:lineRule="auto"/>
        <w:rPr>
          <w:rFonts w:ascii="Arial" w:hAnsi="Arial" w:cs="Arial"/>
        </w:rPr>
      </w:pPr>
    </w:p>
    <w:p w14:paraId="131053A3" w14:textId="77777777" w:rsidR="00B004C3" w:rsidRPr="00EE3A61" w:rsidRDefault="00B004C3" w:rsidP="00B004C3">
      <w:pPr>
        <w:spacing w:line="360" w:lineRule="auto"/>
        <w:rPr>
          <w:rFonts w:ascii="Arial" w:hAnsi="Arial" w:cs="Arial"/>
        </w:rPr>
      </w:pPr>
    </w:p>
    <w:p w14:paraId="7465588C" w14:textId="77777777" w:rsidR="00B004C3" w:rsidRPr="00EE3A61" w:rsidRDefault="00B004C3" w:rsidP="00B004C3">
      <w:pPr>
        <w:spacing w:line="360" w:lineRule="auto"/>
        <w:rPr>
          <w:rFonts w:ascii="Arial" w:hAnsi="Arial" w:cs="Arial"/>
        </w:rPr>
      </w:pPr>
    </w:p>
    <w:p w14:paraId="6F02E5DF" w14:textId="77777777" w:rsidR="00B004C3" w:rsidRPr="00EE3A61" w:rsidRDefault="00B004C3" w:rsidP="00B004C3">
      <w:pPr>
        <w:spacing w:line="360" w:lineRule="auto"/>
        <w:rPr>
          <w:rFonts w:ascii="Arial" w:hAnsi="Arial" w:cs="Arial"/>
        </w:rPr>
      </w:pPr>
    </w:p>
    <w:p w14:paraId="5D399552" w14:textId="77777777" w:rsidR="00B004C3" w:rsidRPr="00EE3A61" w:rsidRDefault="00B004C3" w:rsidP="00B004C3">
      <w:pPr>
        <w:spacing w:line="360" w:lineRule="auto"/>
        <w:rPr>
          <w:rFonts w:ascii="Arial" w:hAnsi="Arial" w:cs="Arial"/>
        </w:rPr>
      </w:pPr>
    </w:p>
    <w:p w14:paraId="052247A1" w14:textId="77777777" w:rsidR="00B004C3" w:rsidRPr="00EE3A61" w:rsidRDefault="00B004C3" w:rsidP="00B004C3">
      <w:pPr>
        <w:spacing w:line="360" w:lineRule="auto"/>
        <w:rPr>
          <w:rFonts w:ascii="Arial" w:hAnsi="Arial" w:cs="Arial"/>
        </w:rPr>
      </w:pPr>
    </w:p>
    <w:p w14:paraId="0F22A0FE" w14:textId="77777777" w:rsidR="00B004C3" w:rsidRPr="00EE3A61" w:rsidRDefault="00B004C3" w:rsidP="00B004C3">
      <w:pPr>
        <w:spacing w:line="360" w:lineRule="auto"/>
        <w:rPr>
          <w:rFonts w:ascii="Arial" w:hAnsi="Arial" w:cs="Arial"/>
        </w:rPr>
      </w:pPr>
    </w:p>
    <w:p w14:paraId="3E86D7E9" w14:textId="77777777" w:rsidR="00B004C3" w:rsidRPr="00EE3A61" w:rsidRDefault="00B004C3" w:rsidP="00B004C3">
      <w:pPr>
        <w:spacing w:line="360" w:lineRule="auto"/>
        <w:rPr>
          <w:rFonts w:ascii="Arial" w:hAnsi="Arial" w:cs="Arial"/>
        </w:rPr>
      </w:pPr>
    </w:p>
    <w:p w14:paraId="5615E2DB" w14:textId="77777777" w:rsidR="00B004C3" w:rsidRPr="00EE3A61" w:rsidRDefault="00B004C3" w:rsidP="00B004C3">
      <w:pPr>
        <w:spacing w:line="360" w:lineRule="auto"/>
        <w:rPr>
          <w:rFonts w:ascii="Arial" w:hAnsi="Arial" w:cs="Arial"/>
        </w:rPr>
      </w:pPr>
    </w:p>
    <w:p w14:paraId="20ACC3E7" w14:textId="77777777" w:rsidR="00B004C3" w:rsidRPr="00EE3A61" w:rsidRDefault="00B004C3" w:rsidP="00B004C3">
      <w:pPr>
        <w:spacing w:line="360" w:lineRule="auto"/>
        <w:rPr>
          <w:rFonts w:ascii="Arial" w:hAnsi="Arial" w:cs="Arial"/>
        </w:rPr>
      </w:pPr>
    </w:p>
    <w:p w14:paraId="1EE42E51" w14:textId="77777777" w:rsidR="00B004C3" w:rsidRPr="00EE3A61" w:rsidRDefault="00B004C3" w:rsidP="00B004C3">
      <w:pPr>
        <w:spacing w:line="360" w:lineRule="auto"/>
        <w:rPr>
          <w:rFonts w:ascii="Arial" w:hAnsi="Arial" w:cs="Arial"/>
        </w:rPr>
      </w:pPr>
    </w:p>
    <w:p w14:paraId="32D19226" w14:textId="77777777" w:rsidR="00B004C3" w:rsidRPr="00EE3A61" w:rsidRDefault="00B004C3" w:rsidP="00B004C3">
      <w:pPr>
        <w:spacing w:line="360" w:lineRule="auto"/>
        <w:rPr>
          <w:rFonts w:ascii="Arial" w:hAnsi="Arial" w:cs="Arial"/>
        </w:rPr>
      </w:pPr>
    </w:p>
    <w:p w14:paraId="2CE0828A" w14:textId="77777777" w:rsidR="00B004C3" w:rsidRPr="00EE3A61" w:rsidRDefault="00B004C3" w:rsidP="00B004C3">
      <w:pPr>
        <w:spacing w:line="360" w:lineRule="auto"/>
        <w:rPr>
          <w:rFonts w:ascii="Arial" w:hAnsi="Arial" w:cs="Arial"/>
        </w:rPr>
      </w:pPr>
    </w:p>
    <w:p w14:paraId="3BFCAD98" w14:textId="77777777"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2" w:name="_Toc191313924"/>
      <w:r w:rsidRPr="00EE3A61">
        <w:rPr>
          <w:rFonts w:ascii="Arial" w:hAnsi="Arial" w:cs="Arial"/>
          <w:sz w:val="22"/>
          <w:szCs w:val="22"/>
          <w:shd w:val="clear" w:color="auto" w:fill="FFFFFF"/>
        </w:rPr>
        <w:t>Introduction</w:t>
      </w:r>
      <w:bookmarkEnd w:id="2"/>
    </w:p>
    <w:p w14:paraId="679C624E" w14:textId="77777777" w:rsidR="00B004C3" w:rsidRPr="00AF1F73" w:rsidRDefault="00B004C3" w:rsidP="00B004C3">
      <w:pPr>
        <w:pStyle w:val="NormalWeb"/>
        <w:spacing w:line="360" w:lineRule="auto"/>
        <w:rPr>
          <w:rFonts w:ascii="Arial" w:hAnsi="Arial" w:cs="Arial"/>
          <w:sz w:val="22"/>
          <w:szCs w:val="22"/>
        </w:rPr>
      </w:pPr>
      <w:r w:rsidRPr="00AF1F73">
        <w:rPr>
          <w:rFonts w:ascii="Arial" w:hAnsi="Arial" w:cs="Arial"/>
          <w:sz w:val="22"/>
          <w:szCs w:val="22"/>
        </w:rPr>
        <w:t>The hospitality sector maintains great importance in global economic systems because it produces large employment possibilities while driving tourism growth and business investments. A hotel chain needs effective financial management to compete in the market while ensuring both profitability and operational efficiency and long-term business sustainability (Akbari et al., 2021). Effective financial strategies within hotel business include revenue management systems together with cost management systems and investment strategies and corporate social responsibility (CSR) programs that determine both financial stability and market success (Serra-Cantallops et al., 2018).</w:t>
      </w:r>
    </w:p>
    <w:p w14:paraId="75742C1D" w14:textId="77777777" w:rsidR="00B004C3" w:rsidRPr="00AF1F73" w:rsidRDefault="00B004C3" w:rsidP="00B004C3">
      <w:pPr>
        <w:pStyle w:val="NormalWeb"/>
        <w:spacing w:line="360" w:lineRule="auto"/>
        <w:rPr>
          <w:rFonts w:ascii="Arial" w:hAnsi="Arial" w:cs="Arial"/>
          <w:sz w:val="22"/>
          <w:szCs w:val="22"/>
        </w:rPr>
      </w:pPr>
      <w:r w:rsidRPr="00AF1F73">
        <w:rPr>
          <w:rFonts w:ascii="Arial" w:hAnsi="Arial" w:cs="Arial"/>
          <w:sz w:val="22"/>
          <w:szCs w:val="22"/>
        </w:rPr>
        <w:t>The research analyses two major hotel chains Shangri-La Hotels and Premier Inn Hotels and their different business structures. As a globally prominent company Shangri-La Hotels provides luxury accommodations to guests alongside premium services and customized guest experiences (ResearchGate, 2021). Premier Inn functions as a budget hotel chain whose main areas include UK markets and delivers affordable consistent customer service with efficient service delivery according to Statista (2025). Shangri-La serves upscale clientele looking for exclusive luxury yet Premier Inn focuses on providing services to business and leisure customers who prioritize budget-friendly options (Shangri-La Group 2024).</w:t>
      </w:r>
    </w:p>
    <w:p w14:paraId="04CD5651" w14:textId="77777777" w:rsidR="00B004C3" w:rsidRDefault="00B004C3" w:rsidP="00B004C3">
      <w:pPr>
        <w:pStyle w:val="NormalWeb"/>
        <w:spacing w:before="0" w:beforeAutospacing="0" w:line="360" w:lineRule="auto"/>
        <w:rPr>
          <w:rFonts w:ascii="Arial" w:hAnsi="Arial" w:cs="Arial"/>
          <w:sz w:val="22"/>
          <w:szCs w:val="22"/>
        </w:rPr>
      </w:pPr>
      <w:r w:rsidRPr="00AF1F73">
        <w:rPr>
          <w:rFonts w:ascii="Arial" w:hAnsi="Arial" w:cs="Arial"/>
          <w:sz w:val="22"/>
          <w:szCs w:val="22"/>
        </w:rPr>
        <w:t>The analysis performs a monetary assessment of both hotel chains by examining their total earnings as well as their market standing and growth opportunities in addition to their CSR expenditures. The analysis relies on financial statements and industry reports and authentic online resources to execute a data-oriented assessment of their financial execution and strategic strategies (Yahoo Finance, 2025).</w:t>
      </w:r>
    </w:p>
    <w:p w14:paraId="5475059D" w14:textId="77777777" w:rsidR="00B004C3" w:rsidRDefault="00B004C3" w:rsidP="00B004C3">
      <w:pPr>
        <w:pStyle w:val="NormalWeb"/>
        <w:spacing w:before="0" w:beforeAutospacing="0" w:line="360" w:lineRule="auto"/>
        <w:rPr>
          <w:rFonts w:ascii="Arial" w:hAnsi="Arial" w:cs="Arial"/>
          <w:sz w:val="22"/>
          <w:szCs w:val="22"/>
        </w:rPr>
      </w:pPr>
    </w:p>
    <w:p w14:paraId="28654DF9" w14:textId="77777777" w:rsidR="00B004C3" w:rsidRDefault="00B004C3" w:rsidP="00B004C3">
      <w:pPr>
        <w:pStyle w:val="NormalWeb"/>
        <w:spacing w:before="0" w:beforeAutospacing="0" w:line="360" w:lineRule="auto"/>
        <w:rPr>
          <w:rFonts w:ascii="Arial" w:hAnsi="Arial" w:cs="Arial"/>
          <w:sz w:val="22"/>
          <w:szCs w:val="22"/>
        </w:rPr>
      </w:pPr>
    </w:p>
    <w:p w14:paraId="516D1F8D" w14:textId="77777777" w:rsidR="00B004C3" w:rsidRDefault="00B004C3" w:rsidP="00B004C3">
      <w:pPr>
        <w:pStyle w:val="NormalWeb"/>
        <w:spacing w:before="0" w:beforeAutospacing="0" w:line="360" w:lineRule="auto"/>
        <w:rPr>
          <w:rFonts w:ascii="Arial" w:hAnsi="Arial" w:cs="Arial"/>
          <w:sz w:val="22"/>
          <w:szCs w:val="22"/>
        </w:rPr>
      </w:pPr>
    </w:p>
    <w:p w14:paraId="626032BF" w14:textId="77777777"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3" w:name="_Toc191313925"/>
      <w:r w:rsidRPr="00EE3A61">
        <w:rPr>
          <w:rFonts w:ascii="Arial" w:hAnsi="Arial" w:cs="Arial"/>
          <w:sz w:val="22"/>
          <w:szCs w:val="22"/>
          <w:shd w:val="clear" w:color="auto" w:fill="FFFFFF"/>
        </w:rPr>
        <w:lastRenderedPageBreak/>
        <w:t>Financial Comparison and Analysis</w:t>
      </w:r>
      <w:bookmarkEnd w:id="3"/>
    </w:p>
    <w:p w14:paraId="1F87B104" w14:textId="77777777" w:rsidR="00B004C3" w:rsidRPr="00EE3A61" w:rsidRDefault="00B004C3" w:rsidP="00B004C3">
      <w:pPr>
        <w:pStyle w:val="Heading2"/>
        <w:spacing w:before="0" w:line="360" w:lineRule="auto"/>
        <w:rPr>
          <w:rFonts w:ascii="Arial" w:hAnsi="Arial" w:cs="Arial"/>
          <w:sz w:val="22"/>
          <w:szCs w:val="22"/>
          <w:shd w:val="clear" w:color="auto" w:fill="FFFFFF"/>
        </w:rPr>
      </w:pPr>
      <w:bookmarkStart w:id="4" w:name="_Toc191313926"/>
      <w:r w:rsidRPr="00EE3A61">
        <w:rPr>
          <w:rFonts w:ascii="Arial" w:hAnsi="Arial" w:cs="Arial"/>
          <w:sz w:val="22"/>
          <w:szCs w:val="22"/>
          <w:shd w:val="clear" w:color="auto" w:fill="FFFFFF"/>
        </w:rPr>
        <w:t>Total Revenue and Financial Performance</w:t>
      </w:r>
      <w:bookmarkEnd w:id="4"/>
      <w:r w:rsidRPr="00EE3A61">
        <w:rPr>
          <w:rFonts w:ascii="Arial" w:hAnsi="Arial" w:cs="Arial"/>
          <w:sz w:val="22"/>
          <w:szCs w:val="22"/>
          <w:shd w:val="clear" w:color="auto" w:fill="FFFFFF"/>
        </w:rPr>
        <w:t xml:space="preserve"> </w:t>
      </w:r>
    </w:p>
    <w:p w14:paraId="339EA1F3" w14:textId="77777777" w:rsidR="00B004C3" w:rsidRPr="00744A2E" w:rsidRDefault="00B004C3" w:rsidP="00B004C3">
      <w:pPr>
        <w:spacing w:after="100" w:afterAutospacing="1" w:line="360" w:lineRule="auto"/>
        <w:outlineLvl w:val="3"/>
        <w:rPr>
          <w:rFonts w:ascii="Arial" w:eastAsia="Times New Roman" w:hAnsi="Arial" w:cs="Arial"/>
          <w:b/>
          <w:bCs/>
          <w:lang w:val="en-GB" w:eastAsia="en-GB"/>
        </w:rPr>
      </w:pPr>
      <w:r w:rsidRPr="00744A2E">
        <w:rPr>
          <w:rFonts w:ascii="Arial" w:eastAsia="Times New Roman" w:hAnsi="Arial" w:cs="Arial"/>
          <w:b/>
          <w:bCs/>
          <w:lang w:val="en-GB" w:eastAsia="en-GB"/>
        </w:rPr>
        <w:t>Table 1: Financial Performance Comparison of Shangri-La Hotels and Premier Inn Hotels</w:t>
      </w:r>
    </w:p>
    <w:p w14:paraId="67B7A34B" w14:textId="77777777" w:rsidR="00B004C3" w:rsidRDefault="00B004C3" w:rsidP="00B004C3">
      <w:pPr>
        <w:pStyle w:val="Heading2"/>
        <w:spacing w:before="0" w:line="360" w:lineRule="auto"/>
        <w:rPr>
          <w:rFonts w:ascii="Arial" w:eastAsia="Times New Roman" w:hAnsi="Arial" w:cs="Arial"/>
          <w:sz w:val="22"/>
          <w:szCs w:val="22"/>
          <w:lang w:eastAsia="en-GB"/>
        </w:rPr>
      </w:pPr>
      <w:bookmarkStart w:id="5" w:name="_Toc191313927"/>
      <w:r w:rsidRPr="00E14236">
        <w:rPr>
          <w:rFonts w:ascii="Arial" w:eastAsia="Times New Roman" w:hAnsi="Arial" w:cs="Arial"/>
          <w:noProof/>
          <w:sz w:val="22"/>
          <w:szCs w:val="22"/>
          <w:lang w:eastAsia="en-GB"/>
        </w:rPr>
        <w:drawing>
          <wp:inline distT="0" distB="0" distL="0" distR="0" wp14:anchorId="05A48254" wp14:editId="12792692">
            <wp:extent cx="5901883" cy="3897085"/>
            <wp:effectExtent l="0" t="0" r="3810" b="8255"/>
            <wp:docPr id="3" name="Picture 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table with text on it&#10;&#10;AI-generated content may be incorrect."/>
                    <pic:cNvPicPr/>
                  </pic:nvPicPr>
                  <pic:blipFill>
                    <a:blip r:embed="rId5"/>
                    <a:stretch>
                      <a:fillRect/>
                    </a:stretch>
                  </pic:blipFill>
                  <pic:spPr>
                    <a:xfrm>
                      <a:off x="0" y="0"/>
                      <a:ext cx="5914382" cy="3905339"/>
                    </a:xfrm>
                    <a:prstGeom prst="rect">
                      <a:avLst/>
                    </a:prstGeom>
                  </pic:spPr>
                </pic:pic>
              </a:graphicData>
            </a:graphic>
          </wp:inline>
        </w:drawing>
      </w:r>
    </w:p>
    <w:p w14:paraId="0B00610C" w14:textId="77777777" w:rsidR="00B004C3" w:rsidRPr="00EE3A61" w:rsidRDefault="00B004C3" w:rsidP="00B004C3">
      <w:pPr>
        <w:pStyle w:val="Heading2"/>
        <w:spacing w:before="0" w:line="360" w:lineRule="auto"/>
        <w:rPr>
          <w:rFonts w:ascii="Arial" w:eastAsia="Times New Roman" w:hAnsi="Arial" w:cs="Arial"/>
          <w:sz w:val="22"/>
          <w:szCs w:val="22"/>
          <w:lang w:eastAsia="en-GB"/>
        </w:rPr>
      </w:pPr>
      <w:r w:rsidRPr="00EE3A61">
        <w:rPr>
          <w:rFonts w:ascii="Arial" w:eastAsia="Times New Roman" w:hAnsi="Arial" w:cs="Arial"/>
          <w:sz w:val="22"/>
          <w:szCs w:val="22"/>
          <w:lang w:eastAsia="en-GB"/>
        </w:rPr>
        <w:t>Revenue Analysis and Financial Performance</w:t>
      </w:r>
      <w:bookmarkEnd w:id="5"/>
    </w:p>
    <w:p w14:paraId="2897B2F2" w14:textId="77777777" w:rsidR="00B004C3" w:rsidRPr="00387A13" w:rsidRDefault="00B004C3" w:rsidP="00B004C3">
      <w:pPr>
        <w:spacing w:after="100" w:afterAutospacing="1" w:line="360" w:lineRule="auto"/>
        <w:rPr>
          <w:rFonts w:ascii="Arial" w:eastAsia="Times New Roman" w:hAnsi="Arial" w:cs="Arial"/>
          <w:lang w:val="en-GB" w:eastAsia="en-GB"/>
        </w:rPr>
      </w:pPr>
      <w:r w:rsidRPr="00387A13">
        <w:rPr>
          <w:rFonts w:ascii="Arial" w:eastAsia="Times New Roman" w:hAnsi="Arial" w:cs="Arial"/>
          <w:lang w:val="en-GB" w:eastAsia="en-GB"/>
        </w:rPr>
        <w:t>Premier Inn Hotels generates more total revenue with £2.8 billion whereas Shangri-La Hotels maintains $2.3 billion. Premier Inn achieves high occupancy rates of 80-90% because it offers affordable prices combined with extensive locations in the UK (Statista, 2025). The luxury brand Shangri-La operates with an occupancy rate of 65-75% which results in nightly rates between $200-$500 because its prices exceed those of Premier Inn by £60-£120 (Yahoo Finance, 2025).</w:t>
      </w:r>
    </w:p>
    <w:p w14:paraId="5EB8C07C" w14:textId="77777777" w:rsidR="00B004C3" w:rsidRPr="00387A13" w:rsidRDefault="00B004C3" w:rsidP="00B004C3">
      <w:pPr>
        <w:spacing w:after="100" w:afterAutospacing="1" w:line="360" w:lineRule="auto"/>
        <w:rPr>
          <w:rFonts w:ascii="Arial" w:eastAsia="Times New Roman" w:hAnsi="Arial" w:cs="Arial"/>
          <w:lang w:val="en-GB" w:eastAsia="en-GB"/>
        </w:rPr>
      </w:pPr>
      <w:r w:rsidRPr="00387A13">
        <w:rPr>
          <w:rFonts w:ascii="Arial" w:eastAsia="Times New Roman" w:hAnsi="Arial" w:cs="Arial"/>
          <w:lang w:val="en-GB" w:eastAsia="en-GB"/>
        </w:rPr>
        <w:t xml:space="preserve">The hotel chains generate income through different channels that show marked variation between them. Premier Inn generates 85% of its revenue from room bookings and Shangri-La obtains 20% from food &amp; beverage service and 10% from event bookings due to their different business models (Shangri-La Group, 2024). The elevated rate of operational expenses at Shangri-La arise from premium hospitality features coupled with elevated property maintenance requirements yet </w:t>
      </w:r>
      <w:r w:rsidRPr="00387A13">
        <w:rPr>
          <w:rFonts w:ascii="Arial" w:eastAsia="Times New Roman" w:hAnsi="Arial" w:cs="Arial"/>
          <w:lang w:val="en-GB" w:eastAsia="en-GB"/>
        </w:rPr>
        <w:lastRenderedPageBreak/>
        <w:t>Premier Inn functions with affordable fixed costs through its standardized service platform (Shangri-La Group, 2024; Statista, 2025).</w:t>
      </w:r>
    </w:p>
    <w:p w14:paraId="70BD3554" w14:textId="77777777" w:rsidR="00B004C3" w:rsidRPr="00387A13" w:rsidRDefault="00B004C3" w:rsidP="00B004C3">
      <w:pPr>
        <w:spacing w:after="100" w:afterAutospacing="1" w:line="360" w:lineRule="auto"/>
        <w:rPr>
          <w:rFonts w:ascii="Arial" w:eastAsia="Times New Roman" w:hAnsi="Arial" w:cs="Arial"/>
          <w:lang w:val="en-GB" w:eastAsia="en-GB"/>
        </w:rPr>
      </w:pPr>
      <w:r w:rsidRPr="00387A13">
        <w:rPr>
          <w:rFonts w:ascii="Arial" w:eastAsia="Times New Roman" w:hAnsi="Arial" w:cs="Arial"/>
          <w:lang w:val="en-GB" w:eastAsia="en-GB"/>
        </w:rPr>
        <w:t>Premier Inn achieved substantial revenue recovery after COVID-19 by gaining customers from domestic travel and budget-minded consumers. The cost-effective business structure of Premier Inn provides advantages over Shangri-La Hotels during difficult economic times because the luxury-focused company faces instability from worldwide market changes and swing in upscale travel patterns (Yahoo Finance, 2025). Shangri-La Group experienced gradual growth because international luxury tourism demand, combined with rising international travel, started to increase (Shangri-La Group, 2024).</w:t>
      </w:r>
    </w:p>
    <w:p w14:paraId="25B3C104" w14:textId="77777777" w:rsidR="00B004C3" w:rsidRPr="00744A2E" w:rsidRDefault="00B004C3" w:rsidP="00B004C3">
      <w:pPr>
        <w:spacing w:after="100" w:afterAutospacing="1" w:line="360" w:lineRule="auto"/>
        <w:rPr>
          <w:rFonts w:ascii="Arial" w:eastAsia="Times New Roman" w:hAnsi="Arial" w:cs="Arial"/>
          <w:lang w:val="en-GB" w:eastAsia="en-GB"/>
        </w:rPr>
      </w:pPr>
      <w:r w:rsidRPr="00387A13">
        <w:rPr>
          <w:rFonts w:ascii="Arial" w:eastAsia="Times New Roman" w:hAnsi="Arial" w:cs="Arial"/>
          <w:lang w:val="en-GB" w:eastAsia="en-GB"/>
        </w:rPr>
        <w:t>The financial structure of Premier Inn demonstrates greater stability while the luxurious strategy of Shangri-La provides higher customer earnings at risk of economic instability. The future success of Shangri-La will depend on revenue stream diversification and operational enhancement but also provides Premier Inn with possibilities for international business expansion.</w:t>
      </w:r>
    </w:p>
    <w:p w14:paraId="7C0086B3" w14:textId="77777777" w:rsidR="00B004C3" w:rsidRPr="00EE3A61" w:rsidRDefault="00B004C3" w:rsidP="00B004C3">
      <w:pPr>
        <w:pStyle w:val="Heading2"/>
        <w:spacing w:before="0" w:line="360" w:lineRule="auto"/>
        <w:rPr>
          <w:rFonts w:ascii="Arial" w:hAnsi="Arial" w:cs="Arial"/>
          <w:sz w:val="22"/>
          <w:szCs w:val="22"/>
          <w:shd w:val="clear" w:color="auto" w:fill="FFFFFF"/>
        </w:rPr>
      </w:pPr>
      <w:bookmarkStart w:id="6" w:name="_Toc191313928"/>
      <w:r w:rsidRPr="00EE3A61">
        <w:rPr>
          <w:rFonts w:ascii="Arial" w:hAnsi="Arial" w:cs="Arial"/>
          <w:sz w:val="22"/>
          <w:szCs w:val="22"/>
          <w:shd w:val="clear" w:color="auto" w:fill="FFFFFF"/>
        </w:rPr>
        <w:t>Market Positioning</w:t>
      </w:r>
      <w:bookmarkEnd w:id="6"/>
      <w:r w:rsidRPr="00EE3A61">
        <w:rPr>
          <w:rFonts w:ascii="Arial" w:hAnsi="Arial" w:cs="Arial"/>
          <w:sz w:val="22"/>
          <w:szCs w:val="22"/>
          <w:shd w:val="clear" w:color="auto" w:fill="FFFFFF"/>
        </w:rPr>
        <w:t xml:space="preserve"> </w:t>
      </w:r>
    </w:p>
    <w:p w14:paraId="3B3C6F79" w14:textId="77777777" w:rsidR="00B004C3" w:rsidRPr="00387A13" w:rsidRDefault="00B004C3" w:rsidP="00B004C3">
      <w:pPr>
        <w:pStyle w:val="NormalWeb"/>
        <w:spacing w:line="360" w:lineRule="auto"/>
        <w:rPr>
          <w:rFonts w:ascii="Arial" w:hAnsi="Arial" w:cs="Arial"/>
          <w:sz w:val="22"/>
          <w:szCs w:val="22"/>
        </w:rPr>
      </w:pPr>
      <w:r w:rsidRPr="00387A13">
        <w:rPr>
          <w:rFonts w:ascii="Arial" w:hAnsi="Arial" w:cs="Arial"/>
          <w:sz w:val="22"/>
          <w:szCs w:val="22"/>
        </w:rPr>
        <w:t>Shangri-La Hotels operates separately from Premier Inn Hotels through different customer segment targeting and operational approaches. The luxury hospitality brand Shangri-La Hotels maintains a worldwide business footprint because it operates across Asia and Europe besides North America and the Middle East (Shangri-La Group, 2024). The hotel serves clients who hold executive positions in business and occupy the top range of economic bracket while embracing luxurious living standards. World-class hospitality provider Shangri-La Hotels connects its brand to magnificence and superior guest care and gourmet dining facilities. Premier Inn functions as a budget hotel chain that serves travelers in the UK, Ireland and Germany by targeting business clients and families together with visitors seeking affordable options (Statista, 2025). The business meets market demands through price-effective services that target customer convenience and dependability while providing typical facilities at budget-friendly rates. Simple statistics demonstrate that Premier Inn controls a vast portion of the budget and mid-scale hotel business across the United Kingdom while Shangri-La maintains its greatest market strength in luxury hotels (Statista, 2025).</w:t>
      </w:r>
    </w:p>
    <w:p w14:paraId="188D44E9" w14:textId="77777777" w:rsidR="00B004C3" w:rsidRPr="00EE3A61" w:rsidRDefault="00B004C3" w:rsidP="00B004C3">
      <w:pPr>
        <w:pStyle w:val="NormalWeb"/>
        <w:spacing w:before="0" w:beforeAutospacing="0" w:line="360" w:lineRule="auto"/>
        <w:rPr>
          <w:rFonts w:ascii="Arial" w:hAnsi="Arial" w:cs="Arial"/>
          <w:sz w:val="22"/>
          <w:szCs w:val="22"/>
        </w:rPr>
      </w:pPr>
      <w:r w:rsidRPr="00387A13">
        <w:rPr>
          <w:rFonts w:ascii="Arial" w:hAnsi="Arial" w:cs="Arial"/>
          <w:sz w:val="22"/>
          <w:szCs w:val="22"/>
        </w:rPr>
        <w:t xml:space="preserve">The different brand images and marketing approaches serve to distinguish between the two hotel chains. Affluent travelers choose Shangri-La Hotels because they rely on their luxury brand status </w:t>
      </w:r>
      <w:r w:rsidRPr="00387A13">
        <w:rPr>
          <w:rFonts w:ascii="Arial" w:hAnsi="Arial" w:cs="Arial"/>
          <w:sz w:val="22"/>
          <w:szCs w:val="22"/>
        </w:rPr>
        <w:lastRenderedPageBreak/>
        <w:t>combined with heritage elements and superior service delivery to draw them in. Through its promotion campaigns Shangri-La Group emphasizes luxurious confinement and cultural encounters while providing five-star service and runs repeat customer loyalty programs alongside digital marketing initiatives (Shangri-La Group, 2024). The marketing strategy of Premier Inn emphasizes value for money combined with well-known brand status and service-focused convenience-based approaches. The competitive advantages of this hotel chain belong to its expansive network of lodging facilities along with reliable customer service standards and budget-friendly pricing that attracts travellers on tight budgets and working professionals. Strong advertising campaigns backed by travel platform and television partnerships enable Red Lion to maintain market dominance in UK as per Statista (2025). Shangri-La stands apart through exclusive and luxurious services while Premier Inn reaches wide audiences by offering affordable accommodations that maintain steady demand throughout all locations.</w:t>
      </w:r>
    </w:p>
    <w:p w14:paraId="7E994AD9" w14:textId="77777777" w:rsidR="00B004C3" w:rsidRPr="00EE3A61" w:rsidRDefault="00B004C3" w:rsidP="00B004C3">
      <w:pPr>
        <w:pStyle w:val="Heading2"/>
        <w:spacing w:before="0" w:line="360" w:lineRule="auto"/>
        <w:rPr>
          <w:rFonts w:ascii="Arial" w:hAnsi="Arial" w:cs="Arial"/>
          <w:sz w:val="22"/>
          <w:szCs w:val="22"/>
          <w:shd w:val="clear" w:color="auto" w:fill="FFFFFF"/>
        </w:rPr>
      </w:pPr>
      <w:bookmarkStart w:id="7" w:name="_Toc191313929"/>
      <w:r w:rsidRPr="00EE3A61">
        <w:rPr>
          <w:rFonts w:ascii="Arial" w:hAnsi="Arial" w:cs="Arial"/>
          <w:sz w:val="22"/>
          <w:szCs w:val="22"/>
          <w:shd w:val="clear" w:color="auto" w:fill="FFFFFF"/>
        </w:rPr>
        <w:t>Growth Potential</w:t>
      </w:r>
      <w:bookmarkEnd w:id="7"/>
      <w:r w:rsidRPr="00EE3A61">
        <w:rPr>
          <w:rFonts w:ascii="Arial" w:hAnsi="Arial" w:cs="Arial"/>
          <w:sz w:val="22"/>
          <w:szCs w:val="22"/>
          <w:shd w:val="clear" w:color="auto" w:fill="FFFFFF"/>
        </w:rPr>
        <w:t xml:space="preserve"> </w:t>
      </w:r>
    </w:p>
    <w:p w14:paraId="59D96D7A" w14:textId="77777777" w:rsidR="00B004C3" w:rsidRPr="00387A13" w:rsidRDefault="00B004C3" w:rsidP="00B004C3">
      <w:pPr>
        <w:pStyle w:val="NormalWeb"/>
        <w:spacing w:line="360" w:lineRule="auto"/>
        <w:rPr>
          <w:rFonts w:ascii="Arial" w:hAnsi="Arial" w:cs="Arial"/>
          <w:sz w:val="22"/>
          <w:szCs w:val="22"/>
        </w:rPr>
      </w:pPr>
      <w:r w:rsidRPr="00387A13">
        <w:rPr>
          <w:rFonts w:ascii="Arial" w:hAnsi="Arial" w:cs="Arial"/>
          <w:sz w:val="22"/>
          <w:szCs w:val="22"/>
        </w:rPr>
        <w:t>The hotel companies Shangri-La Hotels and Premier Inn Hotels use different expansion plans based on their market segmentation goals. Shangri-La Hotels concentrates its growth strategy on entering premium tourism destinations throughout Asia and Europe as well as the Middle East (Shangri-La Group, 2024). The company puts resources into developing luxurious new properties in developing regions which meet rising demand for high-end hotel services. Shangri-La implements digital innovations through improved online booking systems together with mobile applications and AI-powered customer support to enhance operational efficiency and guest interaction (Yahoo Finance, 2025). Premier Inn dedicates its growth plan to European markets when it invests heavily in developing Germany into their primary budget hotel chain across the region (Statista, 2025). The company uses an affordable approach to expand by purchasing and developing properties throughout crucial metropolitan locations to raise its market visibility. The luxury hotel segment represents Shangri-La's target market, but Premier Inn focuses its budget-friendly property development on new markets throughout Europe using its affordable brand recognition.</w:t>
      </w:r>
    </w:p>
    <w:p w14:paraId="0549CAE6" w14:textId="77777777" w:rsidR="00B004C3" w:rsidRPr="00EE3A61" w:rsidRDefault="00B004C3" w:rsidP="00B004C3">
      <w:pPr>
        <w:pStyle w:val="NormalWeb"/>
        <w:spacing w:before="0" w:beforeAutospacing="0" w:line="360" w:lineRule="auto"/>
        <w:rPr>
          <w:rFonts w:ascii="Arial" w:hAnsi="Arial" w:cs="Arial"/>
          <w:sz w:val="22"/>
          <w:szCs w:val="22"/>
        </w:rPr>
      </w:pPr>
      <w:r w:rsidRPr="00387A13">
        <w:rPr>
          <w:rFonts w:ascii="Arial" w:hAnsi="Arial" w:cs="Arial"/>
          <w:sz w:val="22"/>
          <w:szCs w:val="22"/>
        </w:rPr>
        <w:t xml:space="preserve">Both hotel chains encounter obstacles and obstacles while pursuing their expansions. The vulnerability of Shangri-La arises from market downturns and geopolitical tensions together with variations in high-end travel needs given that these factors affect its plans for market expansion (Shangri-La Group, 2024). Rapid growth of premium properties is restricted by the monetary expenses required for their preservation. Premier Inn endures several regulatory obstacles while </w:t>
      </w:r>
      <w:r w:rsidRPr="00387A13">
        <w:rPr>
          <w:rFonts w:ascii="Arial" w:hAnsi="Arial" w:cs="Arial"/>
          <w:sz w:val="22"/>
          <w:szCs w:val="22"/>
        </w:rPr>
        <w:lastRenderedPageBreak/>
        <w:t>fighting against budget-friendly hotel rivals and Airbnb together with uncertainties in customers' travel spending habits (Statista, 2025). Despite their differences Premier Inn and Shangri-La Group maintain potential avenues to expand their revenue streams. The Shangri-La Company could develop luxury wellness tourism and branded residences along with exclusive membership systems and Premier Inn could enhance restaurant options and create business travel bundles and maintain long-term residential properties (Yahoo Finance, 2025).</w:t>
      </w:r>
    </w:p>
    <w:p w14:paraId="7AF98A68" w14:textId="77777777" w:rsidR="00B004C3" w:rsidRPr="00EE3A61" w:rsidRDefault="00B004C3" w:rsidP="00B004C3">
      <w:pPr>
        <w:pStyle w:val="Heading2"/>
        <w:spacing w:before="0" w:line="360" w:lineRule="auto"/>
        <w:rPr>
          <w:rFonts w:ascii="Arial" w:hAnsi="Arial" w:cs="Arial"/>
          <w:sz w:val="22"/>
          <w:szCs w:val="22"/>
          <w:shd w:val="clear" w:color="auto" w:fill="FFFFFF"/>
        </w:rPr>
      </w:pPr>
      <w:bookmarkStart w:id="8" w:name="_Toc191313930"/>
      <w:r w:rsidRPr="00EE3A61">
        <w:rPr>
          <w:rFonts w:ascii="Arial" w:hAnsi="Arial" w:cs="Arial"/>
          <w:sz w:val="22"/>
          <w:szCs w:val="22"/>
          <w:shd w:val="clear" w:color="auto" w:fill="FFFFFF"/>
        </w:rPr>
        <w:t>Financial Commitment to CSR (Corporate Social Responsibility)</w:t>
      </w:r>
      <w:bookmarkEnd w:id="8"/>
    </w:p>
    <w:p w14:paraId="523FA21B" w14:textId="77777777" w:rsidR="00B004C3" w:rsidRPr="00387A13" w:rsidRDefault="00B004C3" w:rsidP="00B004C3">
      <w:pPr>
        <w:pStyle w:val="NormalWeb"/>
        <w:spacing w:line="360" w:lineRule="auto"/>
        <w:rPr>
          <w:rFonts w:ascii="Arial" w:hAnsi="Arial" w:cs="Arial"/>
          <w:sz w:val="22"/>
          <w:szCs w:val="22"/>
        </w:rPr>
      </w:pPr>
      <w:r w:rsidRPr="00387A13">
        <w:rPr>
          <w:rFonts w:ascii="Arial" w:hAnsi="Arial" w:cs="Arial"/>
          <w:sz w:val="22"/>
          <w:szCs w:val="22"/>
        </w:rPr>
        <w:t>CSR forms an integrated part of business models at Shangri-La Hotels and Premier Inn Hotels although the alignment between their strategies stems from market positioning differences. Shangri-La Hotels commits heavily to sustainability and environmental conservation and community development by following its "Sustainability and Social Responsibility" strategy (Shangri-La Group, 2024). The company spends major capital on building sustainable infrastructure including LEED-certified buildings with energy-efficient systems and waste reduction measures throughout its luxury properties which serve Asia and the Middle East market. The Shangri-La Group launched "Embrace" in 2009 to deliver educational programs for disadvantaged children by devoting substantial CSR funds to back school construction projects and scholarship schemes and skill development curriculum (Shangri-La Group, 2024). The company dedicates annual budgetary funds of millions toward sustainability initiatives that pair up with WWF for marine conservation and UNESCO for heritage site protection (Yahoo Finance, 2025). These environmentally focused initiatives help the group earn recognition as an eco-friendly luxury hospitality provider therefore adding value to its brand as it attracts sustainability-focused upscale customers.</w:t>
      </w:r>
    </w:p>
    <w:p w14:paraId="6E3AB60E" w14:textId="77777777" w:rsidR="00B004C3" w:rsidRPr="00EE3A61" w:rsidRDefault="00B004C3" w:rsidP="00B004C3">
      <w:pPr>
        <w:pStyle w:val="NormalWeb"/>
        <w:spacing w:before="0" w:beforeAutospacing="0" w:line="360" w:lineRule="auto"/>
        <w:rPr>
          <w:rFonts w:ascii="Arial" w:hAnsi="Arial" w:cs="Arial"/>
          <w:sz w:val="22"/>
          <w:szCs w:val="22"/>
        </w:rPr>
      </w:pPr>
      <w:r w:rsidRPr="00387A13">
        <w:rPr>
          <w:rFonts w:ascii="Arial" w:hAnsi="Arial" w:cs="Arial"/>
          <w:sz w:val="22"/>
          <w:szCs w:val="22"/>
        </w:rPr>
        <w:t xml:space="preserve">Premier Inn conducts affordable corporate social responsibility operations by prioritizing sustainable energy practices as well as waste reduction and social contribution projects through its “Force for Good” program (Statista, 2025). The organization continues to invest heavily in sustainable power infrastructure which results in green electricity serving more than 90% of its UK hotels and extends its climate reduction commitment until 2030 (Statista, 2025). Premier Inn works with Great Ormond Street Hospital (GOSH) through its charity programs to generate millions for child healthcare support. Premier Inn directs its community-oriented initiatives to UK settings where it runs large food donation programs and positions targeted employment opportunities at disadvantaged populations (Premier Inn, 2025). Shangri-La implements CSR programs that build brand prestige for luxury seekers watching environmental impact and Premier </w:t>
      </w:r>
      <w:r w:rsidRPr="00387A13">
        <w:rPr>
          <w:rFonts w:ascii="Arial" w:hAnsi="Arial" w:cs="Arial"/>
          <w:sz w:val="22"/>
          <w:szCs w:val="22"/>
        </w:rPr>
        <w:lastRenderedPageBreak/>
        <w:t>Inn establishes faith with cost-effective guests and socially mindful corporate clients (Shangri-La Group 2024, Statista 2025).</w:t>
      </w:r>
    </w:p>
    <w:p w14:paraId="5D672587" w14:textId="77777777"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9" w:name="_Toc191313931"/>
      <w:r w:rsidRPr="00EE3A61">
        <w:rPr>
          <w:rFonts w:ascii="Arial" w:hAnsi="Arial" w:cs="Arial"/>
          <w:sz w:val="22"/>
          <w:szCs w:val="22"/>
          <w:shd w:val="clear" w:color="auto" w:fill="FFFFFF"/>
        </w:rPr>
        <w:t>Recommendations</w:t>
      </w:r>
      <w:bookmarkEnd w:id="9"/>
    </w:p>
    <w:p w14:paraId="5917A25B" w14:textId="77777777" w:rsidR="00B004C3" w:rsidRPr="00387A13" w:rsidRDefault="00B004C3" w:rsidP="00B004C3">
      <w:pPr>
        <w:pStyle w:val="NormalWeb"/>
        <w:spacing w:line="360" w:lineRule="auto"/>
        <w:rPr>
          <w:rFonts w:ascii="Arial" w:hAnsi="Arial" w:cs="Arial"/>
          <w:sz w:val="22"/>
          <w:szCs w:val="22"/>
        </w:rPr>
      </w:pPr>
      <w:r w:rsidRPr="00387A13">
        <w:rPr>
          <w:rFonts w:ascii="Arial" w:hAnsi="Arial" w:cs="Arial"/>
          <w:sz w:val="22"/>
          <w:szCs w:val="22"/>
        </w:rPr>
        <w:t>Shangri-La Hotels should use the analysis findings to develop their revenue streams through luxury wellness tourism and branded residential properties. Shangri-La aims to use its prestigious brand identity to establish premium wellness resorts as well as form medical tourism alliances to respond to growing luxury wellness retreat and spa tourism and health travel market demand (Shangri-La Group, 2024). The company should invest in branded residences that include luxury apartments and villas under the Shangri-La brand because this will create dependable streams of revenue that extend past standard hotel operations (Yahoo Finance 2025). The current worldwide hospitality pattern shows luxury vacationers favoring long-term accommodations with top-end lifestyle facilities. The expansion into medical and business sectors allows Shangri-La to reduce economic downturn challenges in hotel stays and enhance leadership within luxury markets.</w:t>
      </w:r>
    </w:p>
    <w:p w14:paraId="7ABC4FA0" w14:textId="77777777" w:rsidR="00B004C3" w:rsidRPr="00EE3A61" w:rsidRDefault="00B004C3" w:rsidP="00B004C3">
      <w:pPr>
        <w:pStyle w:val="NormalWeb"/>
        <w:spacing w:before="0" w:beforeAutospacing="0" w:line="360" w:lineRule="auto"/>
        <w:rPr>
          <w:rFonts w:ascii="Arial" w:hAnsi="Arial" w:cs="Arial"/>
          <w:sz w:val="22"/>
          <w:szCs w:val="22"/>
        </w:rPr>
      </w:pPr>
      <w:r w:rsidRPr="00387A13">
        <w:rPr>
          <w:rFonts w:ascii="Arial" w:hAnsi="Arial" w:cs="Arial"/>
          <w:sz w:val="22"/>
          <w:szCs w:val="22"/>
        </w:rPr>
        <w:t>Premier Inn will benefit the most from speeding up digital transformation alongside sustainability efforts as a vital recommendation. Profits will grow according to Statista's projections (2025) if Shangri-La continues their energy efficiency work and starts new investments in artificial intelligence operations and smart pricing and automated support systems. Premier Inn will reach its targets by increasing smart hotel technology implementation such as keyless entry with AI-powered room service and personalized digital booking systems because this will enhance customer satisfaction while cutting operational expenses (Premier Inn, 2025). The brand image will strengthen through carbon-neutral operational transition and new environmentally friendly supplier partnerships which will also attract sustainable-minded customers. Premier Inn will defend its position in the budget hotel segment by adopting progressive technology while strengthening its green practices to support changing customer needs.</w:t>
      </w:r>
    </w:p>
    <w:p w14:paraId="2547B3C6" w14:textId="77777777"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10" w:name="_Toc191313932"/>
      <w:r w:rsidRPr="00EE3A61">
        <w:rPr>
          <w:rFonts w:ascii="Arial" w:hAnsi="Arial" w:cs="Arial"/>
          <w:sz w:val="22"/>
          <w:szCs w:val="22"/>
          <w:shd w:val="clear" w:color="auto" w:fill="FFFFFF"/>
        </w:rPr>
        <w:t>Conclusion</w:t>
      </w:r>
      <w:bookmarkEnd w:id="10"/>
    </w:p>
    <w:p w14:paraId="4AC87624" w14:textId="77777777" w:rsidR="00B004C3" w:rsidRPr="00387A13" w:rsidRDefault="00B004C3" w:rsidP="00B004C3">
      <w:pPr>
        <w:pStyle w:val="NormalWeb"/>
        <w:spacing w:line="360" w:lineRule="auto"/>
        <w:rPr>
          <w:rFonts w:ascii="Arial" w:hAnsi="Arial" w:cs="Arial"/>
          <w:sz w:val="22"/>
          <w:szCs w:val="22"/>
        </w:rPr>
      </w:pPr>
      <w:r w:rsidRPr="00387A13">
        <w:rPr>
          <w:rFonts w:ascii="Arial" w:hAnsi="Arial" w:cs="Arial"/>
          <w:sz w:val="22"/>
          <w:szCs w:val="22"/>
        </w:rPr>
        <w:t xml:space="preserve">The research presents in-depth details about Shangri-La Hotels and Premier Inn Hotels and evaluates their financial management tactics throughout total revenue assessment and marketplace placements and business expansion prospects alongside their CSR investments. Shangri-La Hotels derives most of its income from high-end room prices and restaurant revenues </w:t>
      </w:r>
      <w:r w:rsidRPr="00387A13">
        <w:rPr>
          <w:rFonts w:ascii="Arial" w:hAnsi="Arial" w:cs="Arial"/>
          <w:sz w:val="22"/>
          <w:szCs w:val="22"/>
        </w:rPr>
        <w:lastRenderedPageBreak/>
        <w:t>and elite services while Premier Inn achieves success through its high customer occupancy levels combined with cost-effective pricing options (Shangri-La Group, 2024; Statista, 2025). Shangri-La concentrates their financial operations on global luxury tourism while Premier Inn leads the UK budget sector.</w:t>
      </w:r>
    </w:p>
    <w:p w14:paraId="07691A4C" w14:textId="77777777" w:rsidR="00B004C3" w:rsidRDefault="00B004C3" w:rsidP="00B004C3">
      <w:pPr>
        <w:pStyle w:val="NormalWeb"/>
        <w:spacing w:before="0" w:beforeAutospacing="0" w:line="360" w:lineRule="auto"/>
        <w:rPr>
          <w:rFonts w:ascii="Arial" w:hAnsi="Arial" w:cs="Arial"/>
          <w:sz w:val="22"/>
          <w:szCs w:val="22"/>
        </w:rPr>
      </w:pPr>
      <w:r w:rsidRPr="00387A13">
        <w:rPr>
          <w:rFonts w:ascii="Arial" w:hAnsi="Arial" w:cs="Arial"/>
          <w:sz w:val="22"/>
          <w:szCs w:val="22"/>
        </w:rPr>
        <w:t>Even though they operate in different markets both enterprises need to modify their financial initiatives to comply with advancing industry direction. The future growth of Shangri-La depends on creating more diversified revenue streams which include wellness tourism and branded residential development to protect the company from economic downturns. Digital transformation and sustainable initiatives at Premier Inn represent the keys to market success since the hotel chain requires these elements to stay competitive against rising customer environmental consciousness (Yahoo Finance 2025). The hotel industry demands constant evolution from these chains through improved financial strategies because consumer expectations along with economic conditions and technological progress continue to transform the market.</w:t>
      </w:r>
    </w:p>
    <w:p w14:paraId="66229991" w14:textId="77777777" w:rsidR="00B004C3" w:rsidRDefault="00B004C3" w:rsidP="00B004C3">
      <w:pPr>
        <w:pStyle w:val="NormalWeb"/>
        <w:spacing w:before="0" w:beforeAutospacing="0" w:line="360" w:lineRule="auto"/>
        <w:rPr>
          <w:rFonts w:ascii="Arial" w:hAnsi="Arial" w:cs="Arial"/>
          <w:sz w:val="22"/>
          <w:szCs w:val="22"/>
        </w:rPr>
      </w:pPr>
    </w:p>
    <w:p w14:paraId="586A4636" w14:textId="77777777" w:rsidR="00B004C3" w:rsidRDefault="00B004C3" w:rsidP="00B004C3">
      <w:pPr>
        <w:pStyle w:val="NormalWeb"/>
        <w:spacing w:before="0" w:beforeAutospacing="0" w:line="360" w:lineRule="auto"/>
        <w:rPr>
          <w:rFonts w:ascii="Arial" w:hAnsi="Arial" w:cs="Arial"/>
          <w:sz w:val="22"/>
          <w:szCs w:val="22"/>
        </w:rPr>
      </w:pPr>
    </w:p>
    <w:p w14:paraId="00146D19" w14:textId="77777777" w:rsidR="00B004C3" w:rsidRDefault="00B004C3" w:rsidP="00B004C3">
      <w:pPr>
        <w:pStyle w:val="NormalWeb"/>
        <w:spacing w:before="0" w:beforeAutospacing="0" w:line="360" w:lineRule="auto"/>
        <w:rPr>
          <w:rFonts w:ascii="Arial" w:hAnsi="Arial" w:cs="Arial"/>
          <w:sz w:val="22"/>
          <w:szCs w:val="22"/>
        </w:rPr>
      </w:pPr>
    </w:p>
    <w:p w14:paraId="2AAA05A4" w14:textId="77777777" w:rsidR="00B004C3" w:rsidRDefault="00B004C3" w:rsidP="00B004C3">
      <w:pPr>
        <w:pStyle w:val="NormalWeb"/>
        <w:spacing w:before="0" w:beforeAutospacing="0" w:line="360" w:lineRule="auto"/>
        <w:rPr>
          <w:rFonts w:ascii="Arial" w:hAnsi="Arial" w:cs="Arial"/>
          <w:sz w:val="22"/>
          <w:szCs w:val="22"/>
        </w:rPr>
      </w:pPr>
    </w:p>
    <w:p w14:paraId="57A728D7" w14:textId="77777777" w:rsidR="00B004C3" w:rsidRDefault="00B004C3" w:rsidP="00B004C3">
      <w:pPr>
        <w:pStyle w:val="NormalWeb"/>
        <w:spacing w:before="0" w:beforeAutospacing="0" w:line="360" w:lineRule="auto"/>
        <w:rPr>
          <w:rFonts w:ascii="Arial" w:hAnsi="Arial" w:cs="Arial"/>
          <w:sz w:val="22"/>
          <w:szCs w:val="22"/>
        </w:rPr>
      </w:pPr>
    </w:p>
    <w:p w14:paraId="42D6936D" w14:textId="77777777" w:rsidR="00B004C3" w:rsidRDefault="00B004C3" w:rsidP="00B004C3">
      <w:pPr>
        <w:pStyle w:val="NormalWeb"/>
        <w:spacing w:before="0" w:beforeAutospacing="0" w:line="360" w:lineRule="auto"/>
        <w:rPr>
          <w:rFonts w:ascii="Arial" w:hAnsi="Arial" w:cs="Arial"/>
          <w:sz w:val="22"/>
          <w:szCs w:val="22"/>
        </w:rPr>
      </w:pPr>
    </w:p>
    <w:p w14:paraId="3CE295D6" w14:textId="77777777" w:rsidR="00B004C3" w:rsidRDefault="00B004C3" w:rsidP="00B004C3">
      <w:pPr>
        <w:pStyle w:val="NormalWeb"/>
        <w:spacing w:before="0" w:beforeAutospacing="0" w:line="360" w:lineRule="auto"/>
        <w:rPr>
          <w:rFonts w:ascii="Arial" w:hAnsi="Arial" w:cs="Arial"/>
          <w:sz w:val="22"/>
          <w:szCs w:val="22"/>
        </w:rPr>
      </w:pPr>
    </w:p>
    <w:p w14:paraId="5B9B1965" w14:textId="77777777" w:rsidR="00B004C3" w:rsidRDefault="00B004C3" w:rsidP="00B004C3">
      <w:pPr>
        <w:pStyle w:val="NormalWeb"/>
        <w:spacing w:before="0" w:beforeAutospacing="0" w:line="360" w:lineRule="auto"/>
        <w:rPr>
          <w:rFonts w:ascii="Arial" w:hAnsi="Arial" w:cs="Arial"/>
          <w:sz w:val="22"/>
          <w:szCs w:val="22"/>
        </w:rPr>
      </w:pPr>
    </w:p>
    <w:p w14:paraId="682A0BAF" w14:textId="77777777" w:rsidR="00B004C3" w:rsidRDefault="00B004C3" w:rsidP="00B004C3">
      <w:pPr>
        <w:pStyle w:val="NormalWeb"/>
        <w:spacing w:before="0" w:beforeAutospacing="0" w:line="360" w:lineRule="auto"/>
        <w:rPr>
          <w:rFonts w:ascii="Arial" w:hAnsi="Arial" w:cs="Arial"/>
          <w:sz w:val="22"/>
          <w:szCs w:val="22"/>
        </w:rPr>
      </w:pPr>
    </w:p>
    <w:p w14:paraId="300F2A2B" w14:textId="77777777" w:rsidR="00B004C3" w:rsidRDefault="00B004C3" w:rsidP="00B004C3">
      <w:pPr>
        <w:pStyle w:val="NormalWeb"/>
        <w:spacing w:before="0" w:beforeAutospacing="0" w:line="360" w:lineRule="auto"/>
        <w:rPr>
          <w:rFonts w:ascii="Arial" w:hAnsi="Arial" w:cs="Arial"/>
          <w:sz w:val="22"/>
          <w:szCs w:val="22"/>
        </w:rPr>
      </w:pPr>
    </w:p>
    <w:p w14:paraId="50D1752F" w14:textId="77777777" w:rsidR="00B004C3" w:rsidRDefault="00B004C3" w:rsidP="00B004C3">
      <w:pPr>
        <w:pStyle w:val="NormalWeb"/>
        <w:spacing w:before="0" w:beforeAutospacing="0" w:line="360" w:lineRule="auto"/>
        <w:rPr>
          <w:rFonts w:ascii="Arial" w:hAnsi="Arial" w:cs="Arial"/>
          <w:sz w:val="22"/>
          <w:szCs w:val="22"/>
        </w:rPr>
      </w:pPr>
    </w:p>
    <w:p w14:paraId="0E896372" w14:textId="77777777" w:rsidR="00B004C3" w:rsidRPr="00EE3A61" w:rsidRDefault="00B004C3" w:rsidP="00B004C3">
      <w:pPr>
        <w:pStyle w:val="NormalWeb"/>
        <w:spacing w:before="0" w:beforeAutospacing="0" w:line="360" w:lineRule="auto"/>
        <w:rPr>
          <w:rFonts w:ascii="Arial" w:hAnsi="Arial" w:cs="Arial"/>
          <w:sz w:val="22"/>
          <w:szCs w:val="22"/>
        </w:rPr>
      </w:pPr>
    </w:p>
    <w:p w14:paraId="47B8B7F2" w14:textId="77777777" w:rsidR="00B004C3" w:rsidRPr="00EE3A61" w:rsidRDefault="00B004C3" w:rsidP="00B004C3">
      <w:pPr>
        <w:pStyle w:val="Heading1"/>
        <w:spacing w:before="0" w:line="360" w:lineRule="auto"/>
        <w:jc w:val="center"/>
        <w:rPr>
          <w:rFonts w:ascii="Arial" w:hAnsi="Arial" w:cs="Arial"/>
          <w:sz w:val="22"/>
          <w:szCs w:val="22"/>
          <w:shd w:val="clear" w:color="auto" w:fill="FFFFFF"/>
        </w:rPr>
      </w:pPr>
      <w:bookmarkStart w:id="11" w:name="_Toc191313933"/>
      <w:r w:rsidRPr="00EE3A61">
        <w:rPr>
          <w:rFonts w:ascii="Arial" w:hAnsi="Arial" w:cs="Arial"/>
          <w:sz w:val="22"/>
          <w:szCs w:val="22"/>
          <w:shd w:val="clear" w:color="auto" w:fill="FFFFFF"/>
        </w:rPr>
        <w:t>References</w:t>
      </w:r>
      <w:bookmarkEnd w:id="11"/>
    </w:p>
    <w:p w14:paraId="1475AD36"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Akbari, M., Nazarian, A., Foroudi, P., Seyyed Amiri, N. and Ezatabadipoor, E., 2021. How corporate social responsibility contributes to strengthening brand loyalty, hotel positioning and intention to revisit?. </w:t>
      </w:r>
      <w:r w:rsidRPr="00EE3A61">
        <w:rPr>
          <w:rFonts w:ascii="Arial" w:hAnsi="Arial" w:cs="Arial"/>
          <w:i/>
          <w:iCs/>
          <w:color w:val="222222"/>
          <w:shd w:val="clear" w:color="auto" w:fill="FFFFFF"/>
        </w:rPr>
        <w:t>Current Issues in Tourism</w:t>
      </w:r>
      <w:r w:rsidRPr="00EE3A61">
        <w:rPr>
          <w:rFonts w:ascii="Arial" w:hAnsi="Arial" w:cs="Arial"/>
          <w:color w:val="222222"/>
          <w:shd w:val="clear" w:color="auto" w:fill="FFFFFF"/>
        </w:rPr>
        <w:t>, </w:t>
      </w:r>
      <w:r w:rsidRPr="00EE3A61">
        <w:rPr>
          <w:rFonts w:ascii="Arial" w:hAnsi="Arial" w:cs="Arial"/>
          <w:i/>
          <w:iCs/>
          <w:color w:val="222222"/>
          <w:shd w:val="clear" w:color="auto" w:fill="FFFFFF"/>
        </w:rPr>
        <w:t>24</w:t>
      </w:r>
      <w:r w:rsidRPr="00EE3A61">
        <w:rPr>
          <w:rFonts w:ascii="Arial" w:hAnsi="Arial" w:cs="Arial"/>
          <w:color w:val="222222"/>
          <w:shd w:val="clear" w:color="auto" w:fill="FFFFFF"/>
        </w:rPr>
        <w:t>(13), pp.1897-1917.</w:t>
      </w:r>
    </w:p>
    <w:p w14:paraId="0182B27C"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Serra-Cantallops, A., Peña-Miranda, D.D., Ramón-Cardona, J. and Martorell-Cunill, O., 2018. Progress in research on CSR and the hotel industry (2006-2015). </w:t>
      </w:r>
      <w:r w:rsidRPr="00EE3A61">
        <w:rPr>
          <w:rFonts w:ascii="Arial" w:hAnsi="Arial" w:cs="Arial"/>
          <w:i/>
          <w:iCs/>
          <w:color w:val="222222"/>
          <w:shd w:val="clear" w:color="auto" w:fill="FFFFFF"/>
        </w:rPr>
        <w:t>Cornell Hospitality Quarterly</w:t>
      </w:r>
      <w:r w:rsidRPr="00EE3A61">
        <w:rPr>
          <w:rFonts w:ascii="Arial" w:hAnsi="Arial" w:cs="Arial"/>
          <w:color w:val="222222"/>
          <w:shd w:val="clear" w:color="auto" w:fill="FFFFFF"/>
        </w:rPr>
        <w:t>, </w:t>
      </w:r>
      <w:r w:rsidRPr="00EE3A61">
        <w:rPr>
          <w:rFonts w:ascii="Arial" w:hAnsi="Arial" w:cs="Arial"/>
          <w:i/>
          <w:iCs/>
          <w:color w:val="222222"/>
          <w:shd w:val="clear" w:color="auto" w:fill="FFFFFF"/>
        </w:rPr>
        <w:t>59</w:t>
      </w:r>
      <w:r w:rsidRPr="00EE3A61">
        <w:rPr>
          <w:rFonts w:ascii="Arial" w:hAnsi="Arial" w:cs="Arial"/>
          <w:color w:val="222222"/>
          <w:shd w:val="clear" w:color="auto" w:fill="FFFFFF"/>
        </w:rPr>
        <w:t>(1), pp.15-38.</w:t>
      </w:r>
    </w:p>
    <w:p w14:paraId="0E05E590"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Farmaki, A., 2019. Corporate social responsibility in hotels: a stakeholder approach. </w:t>
      </w:r>
      <w:r w:rsidRPr="00EE3A61">
        <w:rPr>
          <w:rFonts w:ascii="Arial" w:hAnsi="Arial" w:cs="Arial"/>
          <w:i/>
          <w:iCs/>
          <w:color w:val="222222"/>
          <w:shd w:val="clear" w:color="auto" w:fill="FFFFFF"/>
        </w:rPr>
        <w:t>International Journal of Contemporary Hospitality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31</w:t>
      </w:r>
      <w:r w:rsidRPr="00EE3A61">
        <w:rPr>
          <w:rFonts w:ascii="Arial" w:hAnsi="Arial" w:cs="Arial"/>
          <w:color w:val="222222"/>
          <w:shd w:val="clear" w:color="auto" w:fill="FFFFFF"/>
        </w:rPr>
        <w:t>(6), pp.2297-2320.</w:t>
      </w:r>
    </w:p>
    <w:p w14:paraId="134486BB"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Levy, S.E. and Park, S.Y., 2011. An analysis of CSR activities in the lodging industry. </w:t>
      </w:r>
      <w:r w:rsidRPr="00EE3A61">
        <w:rPr>
          <w:rFonts w:ascii="Arial" w:hAnsi="Arial" w:cs="Arial"/>
          <w:i/>
          <w:iCs/>
          <w:color w:val="222222"/>
          <w:shd w:val="clear" w:color="auto" w:fill="FFFFFF"/>
        </w:rPr>
        <w:t>Journal of Hospitality and Tourism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18</w:t>
      </w:r>
      <w:r w:rsidRPr="00EE3A61">
        <w:rPr>
          <w:rFonts w:ascii="Arial" w:hAnsi="Arial" w:cs="Arial"/>
          <w:color w:val="222222"/>
          <w:shd w:val="clear" w:color="auto" w:fill="FFFFFF"/>
        </w:rPr>
        <w:t>(1), pp.147-154.</w:t>
      </w:r>
    </w:p>
    <w:p w14:paraId="46F16280"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B. Casado-Díaz, A., L. Nicolau, J., Ruiz-Moreno, F. and Sellers, R., 2014. Industry-specific effect of CSR initiatives: hotels and airlines. </w:t>
      </w:r>
      <w:r w:rsidRPr="00EE3A61">
        <w:rPr>
          <w:rFonts w:ascii="Arial" w:hAnsi="Arial" w:cs="Arial"/>
          <w:i/>
          <w:iCs/>
          <w:color w:val="222222"/>
          <w:shd w:val="clear" w:color="auto" w:fill="FFFFFF"/>
        </w:rPr>
        <w:t>Kybernetes</w:t>
      </w:r>
      <w:r w:rsidRPr="00EE3A61">
        <w:rPr>
          <w:rFonts w:ascii="Arial" w:hAnsi="Arial" w:cs="Arial"/>
          <w:color w:val="222222"/>
          <w:shd w:val="clear" w:color="auto" w:fill="FFFFFF"/>
        </w:rPr>
        <w:t>, </w:t>
      </w:r>
      <w:r w:rsidRPr="00EE3A61">
        <w:rPr>
          <w:rFonts w:ascii="Arial" w:hAnsi="Arial" w:cs="Arial"/>
          <w:i/>
          <w:iCs/>
          <w:color w:val="222222"/>
          <w:shd w:val="clear" w:color="auto" w:fill="FFFFFF"/>
        </w:rPr>
        <w:t>43</w:t>
      </w:r>
      <w:r w:rsidRPr="00EE3A61">
        <w:rPr>
          <w:rFonts w:ascii="Arial" w:hAnsi="Arial" w:cs="Arial"/>
          <w:color w:val="222222"/>
          <w:shd w:val="clear" w:color="auto" w:fill="FFFFFF"/>
        </w:rPr>
        <w:t>(3/4), pp.547-564.</w:t>
      </w:r>
    </w:p>
    <w:p w14:paraId="355CB14A"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Punitha, S. and Rasdi, R.M., 2013. Corporate social responsibility: Adoption of green marketing by hotel industry. </w:t>
      </w:r>
      <w:r w:rsidRPr="00EE3A61">
        <w:rPr>
          <w:rFonts w:ascii="Arial" w:hAnsi="Arial" w:cs="Arial"/>
          <w:i/>
          <w:iCs/>
          <w:color w:val="222222"/>
          <w:shd w:val="clear" w:color="auto" w:fill="FFFFFF"/>
        </w:rPr>
        <w:t>Asian Social Science</w:t>
      </w:r>
      <w:r w:rsidRPr="00EE3A61">
        <w:rPr>
          <w:rFonts w:ascii="Arial" w:hAnsi="Arial" w:cs="Arial"/>
          <w:color w:val="222222"/>
          <w:shd w:val="clear" w:color="auto" w:fill="FFFFFF"/>
        </w:rPr>
        <w:t>, </w:t>
      </w:r>
      <w:r w:rsidRPr="00EE3A61">
        <w:rPr>
          <w:rFonts w:ascii="Arial" w:hAnsi="Arial" w:cs="Arial"/>
          <w:i/>
          <w:iCs/>
          <w:color w:val="222222"/>
          <w:shd w:val="clear" w:color="auto" w:fill="FFFFFF"/>
        </w:rPr>
        <w:t>9</w:t>
      </w:r>
      <w:r w:rsidRPr="00EE3A61">
        <w:rPr>
          <w:rFonts w:ascii="Arial" w:hAnsi="Arial" w:cs="Arial"/>
          <w:color w:val="222222"/>
          <w:shd w:val="clear" w:color="auto" w:fill="FFFFFF"/>
        </w:rPr>
        <w:t>(17), p.79.</w:t>
      </w:r>
    </w:p>
    <w:p w14:paraId="400A2B84"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Martínez, P., Pérez, A. and Del Bosque, I.R., 2014. CSR influence on hotel brand image and loyalty. </w:t>
      </w:r>
      <w:r w:rsidRPr="00EE3A61">
        <w:rPr>
          <w:rFonts w:ascii="Arial" w:hAnsi="Arial" w:cs="Arial"/>
          <w:i/>
          <w:iCs/>
          <w:color w:val="222222"/>
          <w:shd w:val="clear" w:color="auto" w:fill="FFFFFF"/>
        </w:rPr>
        <w:t>Academia Revista Latinoamericana de Administración</w:t>
      </w:r>
      <w:r w:rsidRPr="00EE3A61">
        <w:rPr>
          <w:rFonts w:ascii="Arial" w:hAnsi="Arial" w:cs="Arial"/>
          <w:color w:val="222222"/>
          <w:shd w:val="clear" w:color="auto" w:fill="FFFFFF"/>
        </w:rPr>
        <w:t>, </w:t>
      </w:r>
      <w:r w:rsidRPr="00EE3A61">
        <w:rPr>
          <w:rFonts w:ascii="Arial" w:hAnsi="Arial" w:cs="Arial"/>
          <w:i/>
          <w:iCs/>
          <w:color w:val="222222"/>
          <w:shd w:val="clear" w:color="auto" w:fill="FFFFFF"/>
        </w:rPr>
        <w:t>27</w:t>
      </w:r>
      <w:r w:rsidRPr="00EE3A61">
        <w:rPr>
          <w:rFonts w:ascii="Arial" w:hAnsi="Arial" w:cs="Arial"/>
          <w:color w:val="222222"/>
          <w:shd w:val="clear" w:color="auto" w:fill="FFFFFF"/>
        </w:rPr>
        <w:t>(2), pp.267-283.</w:t>
      </w:r>
    </w:p>
    <w:p w14:paraId="6134334E"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De Grosbois, D., 2012. Corporate social responsibility reporting by the global hotel industry: Commitment, initiatives and performance. </w:t>
      </w:r>
      <w:r w:rsidRPr="00EE3A61">
        <w:rPr>
          <w:rFonts w:ascii="Arial" w:hAnsi="Arial" w:cs="Arial"/>
          <w:i/>
          <w:iCs/>
          <w:color w:val="222222"/>
          <w:shd w:val="clear" w:color="auto" w:fill="FFFFFF"/>
        </w:rPr>
        <w:t>International Journal of Hospitality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31</w:t>
      </w:r>
      <w:r w:rsidRPr="00EE3A61">
        <w:rPr>
          <w:rFonts w:ascii="Arial" w:hAnsi="Arial" w:cs="Arial"/>
          <w:color w:val="222222"/>
          <w:shd w:val="clear" w:color="auto" w:fill="FFFFFF"/>
        </w:rPr>
        <w:t>(3), pp.896-905.</w:t>
      </w:r>
    </w:p>
    <w:p w14:paraId="2AA114B3"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Tingchi Liu, M., Anthony Wong, I., Rongwei, C. and Tseng, T.H., 2014. Do perceived CSR initiatives enhance customer preference and loyalty in casinos?. </w:t>
      </w:r>
      <w:r w:rsidRPr="00EE3A61">
        <w:rPr>
          <w:rFonts w:ascii="Arial" w:hAnsi="Arial" w:cs="Arial"/>
          <w:i/>
          <w:iCs/>
          <w:color w:val="222222"/>
          <w:shd w:val="clear" w:color="auto" w:fill="FFFFFF"/>
        </w:rPr>
        <w:t>International Journal of Contemporary Hospitality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26</w:t>
      </w:r>
      <w:r w:rsidRPr="00EE3A61">
        <w:rPr>
          <w:rFonts w:ascii="Arial" w:hAnsi="Arial" w:cs="Arial"/>
          <w:color w:val="222222"/>
          <w:shd w:val="clear" w:color="auto" w:fill="FFFFFF"/>
        </w:rPr>
        <w:t>(7), pp.1024-1045.</w:t>
      </w:r>
    </w:p>
    <w:p w14:paraId="00A3D6F2"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Ertuna, B., Karatas-Ozkan, M. and Yamak, S., 2019. Diffusion of sustainability and CSR discourse in hospitality industry: Dynamics of local context. </w:t>
      </w:r>
      <w:r w:rsidRPr="00EE3A61">
        <w:rPr>
          <w:rFonts w:ascii="Arial" w:hAnsi="Arial" w:cs="Arial"/>
          <w:i/>
          <w:iCs/>
          <w:color w:val="222222"/>
          <w:shd w:val="clear" w:color="auto" w:fill="FFFFFF"/>
        </w:rPr>
        <w:t>International Journal of Contemporary Hospitality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31</w:t>
      </w:r>
      <w:r w:rsidRPr="00EE3A61">
        <w:rPr>
          <w:rFonts w:ascii="Arial" w:hAnsi="Arial" w:cs="Arial"/>
          <w:color w:val="222222"/>
          <w:shd w:val="clear" w:color="auto" w:fill="FFFFFF"/>
        </w:rPr>
        <w:t>(6), pp.2564-2581.</w:t>
      </w:r>
    </w:p>
    <w:p w14:paraId="2879B312"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lastRenderedPageBreak/>
        <w:t>Ettinger, A., Grabner-Kräuter, S. and Terlutter, R., 2018. Online CSR communication in the hotel industry: Evidence from small hotels. </w:t>
      </w:r>
      <w:r w:rsidRPr="00EE3A61">
        <w:rPr>
          <w:rFonts w:ascii="Arial" w:hAnsi="Arial" w:cs="Arial"/>
          <w:i/>
          <w:iCs/>
          <w:color w:val="222222"/>
          <w:shd w:val="clear" w:color="auto" w:fill="FFFFFF"/>
        </w:rPr>
        <w:t>International Journal of Hospitality Management</w:t>
      </w:r>
      <w:r w:rsidRPr="00EE3A61">
        <w:rPr>
          <w:rFonts w:ascii="Arial" w:hAnsi="Arial" w:cs="Arial"/>
          <w:color w:val="222222"/>
          <w:shd w:val="clear" w:color="auto" w:fill="FFFFFF"/>
        </w:rPr>
        <w:t>, </w:t>
      </w:r>
      <w:r w:rsidRPr="00EE3A61">
        <w:rPr>
          <w:rFonts w:ascii="Arial" w:hAnsi="Arial" w:cs="Arial"/>
          <w:i/>
          <w:iCs/>
          <w:color w:val="222222"/>
          <w:shd w:val="clear" w:color="auto" w:fill="FFFFFF"/>
        </w:rPr>
        <w:t>68</w:t>
      </w:r>
      <w:r w:rsidRPr="00EE3A61">
        <w:rPr>
          <w:rFonts w:ascii="Arial" w:hAnsi="Arial" w:cs="Arial"/>
          <w:color w:val="222222"/>
          <w:shd w:val="clear" w:color="auto" w:fill="FFFFFF"/>
        </w:rPr>
        <w:t>, pp.94-104.</w:t>
      </w:r>
    </w:p>
    <w:p w14:paraId="5FD77302"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Qu, R., 2014. Market orientation and organizational performance linkage in Chinese hotels: The mediating roles of corporate social responsibility and customer satisfaction. </w:t>
      </w:r>
      <w:r w:rsidRPr="00EE3A61">
        <w:rPr>
          <w:rFonts w:ascii="Arial" w:hAnsi="Arial" w:cs="Arial"/>
          <w:i/>
          <w:iCs/>
          <w:color w:val="222222"/>
          <w:shd w:val="clear" w:color="auto" w:fill="FFFFFF"/>
        </w:rPr>
        <w:t>Asia Pacific Journal of Tourism Research</w:t>
      </w:r>
      <w:r w:rsidRPr="00EE3A61">
        <w:rPr>
          <w:rFonts w:ascii="Arial" w:hAnsi="Arial" w:cs="Arial"/>
          <w:color w:val="222222"/>
          <w:shd w:val="clear" w:color="auto" w:fill="FFFFFF"/>
        </w:rPr>
        <w:t>, </w:t>
      </w:r>
      <w:r w:rsidRPr="00EE3A61">
        <w:rPr>
          <w:rFonts w:ascii="Arial" w:hAnsi="Arial" w:cs="Arial"/>
          <w:i/>
          <w:iCs/>
          <w:color w:val="222222"/>
          <w:shd w:val="clear" w:color="auto" w:fill="FFFFFF"/>
        </w:rPr>
        <w:t>19</w:t>
      </w:r>
      <w:r w:rsidRPr="00EE3A61">
        <w:rPr>
          <w:rFonts w:ascii="Arial" w:hAnsi="Arial" w:cs="Arial"/>
          <w:color w:val="222222"/>
          <w:shd w:val="clear" w:color="auto" w:fill="FFFFFF"/>
        </w:rPr>
        <w:t>(12), pp.1399-1416.</w:t>
      </w:r>
    </w:p>
    <w:p w14:paraId="67640547" w14:textId="77777777" w:rsidR="00B004C3" w:rsidRPr="00EE3A61" w:rsidRDefault="00B004C3" w:rsidP="00B004C3">
      <w:pPr>
        <w:spacing w:line="360" w:lineRule="auto"/>
        <w:rPr>
          <w:rFonts w:ascii="Arial" w:hAnsi="Arial" w:cs="Arial"/>
          <w:color w:val="222222"/>
          <w:shd w:val="clear" w:color="auto" w:fill="FFFFFF"/>
        </w:rPr>
      </w:pPr>
      <w:r w:rsidRPr="00EE3A61">
        <w:rPr>
          <w:rFonts w:ascii="Arial" w:hAnsi="Arial" w:cs="Arial"/>
          <w:color w:val="222222"/>
          <w:shd w:val="clear" w:color="auto" w:fill="FFFFFF"/>
        </w:rPr>
        <w:t>Su, L., Pan, Y. and Chen, X., 2017. Corporate social responsibility: Findings from the Chinese hospitality industry. </w:t>
      </w:r>
      <w:r w:rsidRPr="00EE3A61">
        <w:rPr>
          <w:rFonts w:ascii="Arial" w:hAnsi="Arial" w:cs="Arial"/>
          <w:i/>
          <w:iCs/>
          <w:color w:val="222222"/>
          <w:shd w:val="clear" w:color="auto" w:fill="FFFFFF"/>
        </w:rPr>
        <w:t>Journal of retailing and consumer services</w:t>
      </w:r>
      <w:r w:rsidRPr="00EE3A61">
        <w:rPr>
          <w:rFonts w:ascii="Arial" w:hAnsi="Arial" w:cs="Arial"/>
          <w:color w:val="222222"/>
          <w:shd w:val="clear" w:color="auto" w:fill="FFFFFF"/>
        </w:rPr>
        <w:t>, </w:t>
      </w:r>
      <w:r w:rsidRPr="00EE3A61">
        <w:rPr>
          <w:rFonts w:ascii="Arial" w:hAnsi="Arial" w:cs="Arial"/>
          <w:i/>
          <w:iCs/>
          <w:color w:val="222222"/>
          <w:shd w:val="clear" w:color="auto" w:fill="FFFFFF"/>
        </w:rPr>
        <w:t>34</w:t>
      </w:r>
      <w:r w:rsidRPr="00EE3A61">
        <w:rPr>
          <w:rFonts w:ascii="Arial" w:hAnsi="Arial" w:cs="Arial"/>
          <w:color w:val="222222"/>
          <w:shd w:val="clear" w:color="auto" w:fill="FFFFFF"/>
        </w:rPr>
        <w:t>, pp.240-247.</w:t>
      </w:r>
    </w:p>
    <w:p w14:paraId="032B6C62" w14:textId="77777777" w:rsidR="00B004C3" w:rsidRPr="00744A2E" w:rsidRDefault="00B004C3" w:rsidP="00B004C3">
      <w:pPr>
        <w:spacing w:line="360" w:lineRule="auto"/>
        <w:rPr>
          <w:rFonts w:ascii="Arial" w:hAnsi="Arial" w:cs="Arial"/>
          <w:color w:val="222222"/>
          <w:shd w:val="clear" w:color="auto" w:fill="FFFFFF"/>
          <w:lang w:val="en-GB"/>
        </w:rPr>
      </w:pPr>
      <w:r w:rsidRPr="00EE3A61">
        <w:rPr>
          <w:rFonts w:ascii="Arial" w:hAnsi="Arial" w:cs="Arial"/>
          <w:b/>
          <w:bCs/>
          <w:color w:val="222222"/>
          <w:shd w:val="clear" w:color="auto" w:fill="FFFFFF"/>
          <w:lang w:val="en-GB"/>
        </w:rPr>
        <w:t>ResearchGate</w:t>
      </w:r>
      <w:r w:rsidRPr="00744A2E">
        <w:rPr>
          <w:rFonts w:ascii="Arial" w:hAnsi="Arial" w:cs="Arial"/>
          <w:color w:val="222222"/>
          <w:shd w:val="clear" w:color="auto" w:fill="FFFFFF"/>
          <w:lang w:val="en-GB"/>
        </w:rPr>
        <w:t xml:space="preserve"> (2021) </w:t>
      </w:r>
      <w:r w:rsidRPr="00744A2E">
        <w:rPr>
          <w:rFonts w:ascii="Arial" w:hAnsi="Arial" w:cs="Arial"/>
          <w:i/>
          <w:iCs/>
          <w:color w:val="222222"/>
          <w:shd w:val="clear" w:color="auto" w:fill="FFFFFF"/>
          <w:lang w:val="en-GB"/>
        </w:rPr>
        <w:t>Financial analysis of Shangri-La Hotel</w:t>
      </w:r>
      <w:r w:rsidRPr="00744A2E">
        <w:rPr>
          <w:rFonts w:ascii="Arial" w:hAnsi="Arial" w:cs="Arial"/>
          <w:color w:val="222222"/>
          <w:shd w:val="clear" w:color="auto" w:fill="FFFFFF"/>
          <w:lang w:val="en-GB"/>
        </w:rPr>
        <w:t xml:space="preserve">. ResearchGate. Available at: </w:t>
      </w:r>
      <w:hyperlink r:id="rId6" w:tgtFrame="_new" w:history="1">
        <w:r w:rsidRPr="00744A2E">
          <w:rPr>
            <w:rStyle w:val="Hyperlink"/>
            <w:rFonts w:ascii="Arial" w:hAnsi="Arial" w:cs="Arial"/>
            <w:shd w:val="clear" w:color="auto" w:fill="FFFFFF"/>
            <w:lang w:val="en-GB"/>
          </w:rPr>
          <w:t>https://www.researchgate.net/publication/355169936_Financial_analysis_of_Shangri-La_Hotel</w:t>
        </w:r>
      </w:hyperlink>
      <w:r w:rsidRPr="00744A2E">
        <w:rPr>
          <w:rFonts w:ascii="Arial" w:hAnsi="Arial" w:cs="Arial"/>
          <w:color w:val="222222"/>
          <w:shd w:val="clear" w:color="auto" w:fill="FFFFFF"/>
          <w:lang w:val="en-GB"/>
        </w:rPr>
        <w:t xml:space="preserve"> (Accessed: 24 February 2025).</w:t>
      </w:r>
    </w:p>
    <w:p w14:paraId="33E99B2F" w14:textId="77777777" w:rsidR="00B004C3" w:rsidRPr="00744A2E" w:rsidRDefault="00B004C3" w:rsidP="00B004C3">
      <w:pPr>
        <w:spacing w:line="360" w:lineRule="auto"/>
        <w:rPr>
          <w:rFonts w:ascii="Arial" w:hAnsi="Arial" w:cs="Arial"/>
          <w:color w:val="222222"/>
          <w:shd w:val="clear" w:color="auto" w:fill="FFFFFF"/>
          <w:lang w:val="en-GB"/>
        </w:rPr>
      </w:pPr>
      <w:r w:rsidRPr="00744A2E">
        <w:rPr>
          <w:rFonts w:ascii="Arial" w:hAnsi="Arial" w:cs="Arial"/>
          <w:b/>
          <w:bCs/>
          <w:color w:val="222222"/>
          <w:shd w:val="clear" w:color="auto" w:fill="FFFFFF"/>
          <w:lang w:val="en-GB"/>
        </w:rPr>
        <w:t>Shangri-La Group</w:t>
      </w:r>
      <w:r w:rsidRPr="00744A2E">
        <w:rPr>
          <w:rFonts w:ascii="Arial" w:hAnsi="Arial" w:cs="Arial"/>
          <w:color w:val="222222"/>
          <w:shd w:val="clear" w:color="auto" w:fill="FFFFFF"/>
          <w:lang w:val="en-GB"/>
        </w:rPr>
        <w:t xml:space="preserve"> (2024) </w:t>
      </w:r>
      <w:r w:rsidRPr="00744A2E">
        <w:rPr>
          <w:rFonts w:ascii="Arial" w:hAnsi="Arial" w:cs="Arial"/>
          <w:i/>
          <w:iCs/>
          <w:color w:val="222222"/>
          <w:shd w:val="clear" w:color="auto" w:fill="FFFFFF"/>
          <w:lang w:val="en-GB"/>
        </w:rPr>
        <w:t>Shangri-La Group Releases 2023 Full Year Results</w:t>
      </w:r>
      <w:r w:rsidRPr="00744A2E">
        <w:rPr>
          <w:rFonts w:ascii="Arial" w:hAnsi="Arial" w:cs="Arial"/>
          <w:color w:val="222222"/>
          <w:shd w:val="clear" w:color="auto" w:fill="FFFFFF"/>
          <w:lang w:val="en-GB"/>
        </w:rPr>
        <w:t xml:space="preserve">. Available at: </w:t>
      </w:r>
      <w:hyperlink r:id="rId7" w:tgtFrame="_new" w:history="1">
        <w:r w:rsidRPr="00744A2E">
          <w:rPr>
            <w:rStyle w:val="Hyperlink"/>
            <w:rFonts w:ascii="Arial" w:hAnsi="Arial" w:cs="Arial"/>
            <w:shd w:val="clear" w:color="auto" w:fill="FFFFFF"/>
            <w:lang w:val="en-GB"/>
          </w:rPr>
          <w:t>https://www.shangri-la.com/group/media/media_post?post=Shangri-La%20Group%20Releases%202023%20Full%20Year%20Results</w:t>
        </w:r>
      </w:hyperlink>
      <w:r w:rsidRPr="00744A2E">
        <w:rPr>
          <w:rFonts w:ascii="Arial" w:hAnsi="Arial" w:cs="Arial"/>
          <w:color w:val="222222"/>
          <w:shd w:val="clear" w:color="auto" w:fill="FFFFFF"/>
          <w:lang w:val="en-GB"/>
        </w:rPr>
        <w:t xml:space="preserve"> (Accessed: 24 February 2025).</w:t>
      </w:r>
    </w:p>
    <w:p w14:paraId="23F31AAB" w14:textId="77777777" w:rsidR="00B004C3" w:rsidRPr="00744A2E" w:rsidRDefault="00B004C3" w:rsidP="00B004C3">
      <w:pPr>
        <w:spacing w:line="360" w:lineRule="auto"/>
        <w:rPr>
          <w:rFonts w:ascii="Arial" w:hAnsi="Arial" w:cs="Arial"/>
          <w:color w:val="222222"/>
          <w:shd w:val="clear" w:color="auto" w:fill="FFFFFF"/>
          <w:lang w:val="en-GB"/>
        </w:rPr>
      </w:pPr>
      <w:r w:rsidRPr="00744A2E">
        <w:rPr>
          <w:rFonts w:ascii="Arial" w:hAnsi="Arial" w:cs="Arial"/>
          <w:b/>
          <w:bCs/>
          <w:color w:val="222222"/>
          <w:shd w:val="clear" w:color="auto" w:fill="FFFFFF"/>
          <w:lang w:val="en-GB"/>
        </w:rPr>
        <w:t>Yahoo Finance</w:t>
      </w:r>
      <w:r w:rsidRPr="00744A2E">
        <w:rPr>
          <w:rFonts w:ascii="Arial" w:hAnsi="Arial" w:cs="Arial"/>
          <w:color w:val="222222"/>
          <w:shd w:val="clear" w:color="auto" w:fill="FFFFFF"/>
          <w:lang w:val="en-GB"/>
        </w:rPr>
        <w:t xml:space="preserve"> (2025) </w:t>
      </w:r>
      <w:r w:rsidRPr="00744A2E">
        <w:rPr>
          <w:rFonts w:ascii="Arial" w:hAnsi="Arial" w:cs="Arial"/>
          <w:i/>
          <w:iCs/>
          <w:color w:val="222222"/>
          <w:shd w:val="clear" w:color="auto" w:fill="FFFFFF"/>
          <w:lang w:val="en-GB"/>
        </w:rPr>
        <w:t>Shangri-La Hotels financial statistics</w:t>
      </w:r>
      <w:r w:rsidRPr="00744A2E">
        <w:rPr>
          <w:rFonts w:ascii="Arial" w:hAnsi="Arial" w:cs="Arial"/>
          <w:color w:val="222222"/>
          <w:shd w:val="clear" w:color="auto" w:fill="FFFFFF"/>
          <w:lang w:val="en-GB"/>
        </w:rPr>
        <w:t xml:space="preserve">. Available at: </w:t>
      </w:r>
      <w:hyperlink r:id="rId8" w:tgtFrame="_new" w:history="1">
        <w:r w:rsidRPr="00744A2E">
          <w:rPr>
            <w:rStyle w:val="Hyperlink"/>
            <w:rFonts w:ascii="Arial" w:hAnsi="Arial" w:cs="Arial"/>
            <w:shd w:val="clear" w:color="auto" w:fill="FFFFFF"/>
            <w:lang w:val="en-GB"/>
          </w:rPr>
          <w:t>https://finance.yahoo.com/quote/SHANG.BK/key-statistics/</w:t>
        </w:r>
      </w:hyperlink>
      <w:r w:rsidRPr="00744A2E">
        <w:rPr>
          <w:rFonts w:ascii="Arial" w:hAnsi="Arial" w:cs="Arial"/>
          <w:color w:val="222222"/>
          <w:shd w:val="clear" w:color="auto" w:fill="FFFFFF"/>
          <w:lang w:val="en-GB"/>
        </w:rPr>
        <w:t xml:space="preserve"> (Accessed: 24 February 2025).</w:t>
      </w:r>
    </w:p>
    <w:p w14:paraId="4052CC44" w14:textId="77777777" w:rsidR="00B004C3" w:rsidRPr="00744A2E" w:rsidRDefault="00B004C3" w:rsidP="00B004C3">
      <w:pPr>
        <w:spacing w:line="360" w:lineRule="auto"/>
        <w:rPr>
          <w:rFonts w:ascii="Arial" w:hAnsi="Arial" w:cs="Arial"/>
          <w:color w:val="222222"/>
          <w:shd w:val="clear" w:color="auto" w:fill="FFFFFF"/>
          <w:lang w:val="en-GB"/>
        </w:rPr>
      </w:pPr>
      <w:r w:rsidRPr="00744A2E">
        <w:rPr>
          <w:rFonts w:ascii="Arial" w:hAnsi="Arial" w:cs="Arial"/>
          <w:b/>
          <w:bCs/>
          <w:color w:val="222222"/>
          <w:shd w:val="clear" w:color="auto" w:fill="FFFFFF"/>
          <w:lang w:val="en-GB"/>
        </w:rPr>
        <w:t>Statista</w:t>
      </w:r>
      <w:r w:rsidRPr="00744A2E">
        <w:rPr>
          <w:rFonts w:ascii="Arial" w:hAnsi="Arial" w:cs="Arial"/>
          <w:color w:val="222222"/>
          <w:shd w:val="clear" w:color="auto" w:fill="FFFFFF"/>
          <w:lang w:val="en-GB"/>
        </w:rPr>
        <w:t xml:space="preserve"> (2025) </w:t>
      </w:r>
      <w:r w:rsidRPr="00744A2E">
        <w:rPr>
          <w:rFonts w:ascii="Arial" w:hAnsi="Arial" w:cs="Arial"/>
          <w:i/>
          <w:iCs/>
          <w:color w:val="222222"/>
          <w:shd w:val="clear" w:color="auto" w:fill="FFFFFF"/>
          <w:lang w:val="en-GB"/>
        </w:rPr>
        <w:t>Number of Premier Inn hotel rooms in the United Kingdom (UK)</w:t>
      </w:r>
      <w:r w:rsidRPr="00744A2E">
        <w:rPr>
          <w:rFonts w:ascii="Arial" w:hAnsi="Arial" w:cs="Arial"/>
          <w:color w:val="222222"/>
          <w:shd w:val="clear" w:color="auto" w:fill="FFFFFF"/>
          <w:lang w:val="en-GB"/>
        </w:rPr>
        <w:t xml:space="preserve">. Available at: </w:t>
      </w:r>
      <w:hyperlink r:id="rId9" w:tgtFrame="_new" w:history="1">
        <w:r w:rsidRPr="00744A2E">
          <w:rPr>
            <w:rStyle w:val="Hyperlink"/>
            <w:rFonts w:ascii="Arial" w:hAnsi="Arial" w:cs="Arial"/>
            <w:shd w:val="clear" w:color="auto" w:fill="FFFFFF"/>
            <w:lang w:val="en-GB"/>
          </w:rPr>
          <w:t>https://www.statista.com/statistics/629446/whitbread-premier-inn-hotel-rooms-united-kingdom-uk/</w:t>
        </w:r>
      </w:hyperlink>
      <w:r w:rsidRPr="00744A2E">
        <w:rPr>
          <w:rFonts w:ascii="Arial" w:hAnsi="Arial" w:cs="Arial"/>
          <w:color w:val="222222"/>
          <w:shd w:val="clear" w:color="auto" w:fill="FFFFFF"/>
          <w:lang w:val="en-GB"/>
        </w:rPr>
        <w:t xml:space="preserve"> (Accessed: 24 February 2025).</w:t>
      </w:r>
    </w:p>
    <w:p w14:paraId="437324BE" w14:textId="77777777" w:rsidR="00B004C3" w:rsidRPr="00EE3A61" w:rsidRDefault="00B004C3" w:rsidP="00B004C3">
      <w:pPr>
        <w:spacing w:line="360" w:lineRule="auto"/>
        <w:rPr>
          <w:rFonts w:ascii="Arial" w:hAnsi="Arial" w:cs="Arial"/>
          <w:color w:val="222222"/>
          <w:shd w:val="clear" w:color="auto" w:fill="FFFFFF"/>
        </w:rPr>
      </w:pPr>
    </w:p>
    <w:p w14:paraId="33557746" w14:textId="77777777" w:rsidR="00B004C3" w:rsidRPr="00EE3A61" w:rsidRDefault="00B004C3" w:rsidP="00B004C3">
      <w:pPr>
        <w:spacing w:line="360" w:lineRule="auto"/>
        <w:rPr>
          <w:rFonts w:ascii="Arial" w:hAnsi="Arial" w:cs="Arial"/>
        </w:rPr>
      </w:pPr>
    </w:p>
    <w:p w14:paraId="2DEB587A" w14:textId="77777777" w:rsidR="00BC7671" w:rsidRDefault="00BC7671"/>
    <w:sectPr w:rsidR="00BC7671" w:rsidSect="00B004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4C3"/>
    <w:rsid w:val="000216C5"/>
    <w:rsid w:val="00185A4F"/>
    <w:rsid w:val="002A3FDD"/>
    <w:rsid w:val="00423307"/>
    <w:rsid w:val="00531E4D"/>
    <w:rsid w:val="00577ACF"/>
    <w:rsid w:val="00B004C3"/>
    <w:rsid w:val="00BC7671"/>
    <w:rsid w:val="00F20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87F14"/>
  <w15:chartTrackingRefBased/>
  <w15:docId w15:val="{2EBC6397-FDAC-1047-BA08-BBBDEE446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4C3"/>
    <w:pPr>
      <w:spacing w:after="160" w:line="252" w:lineRule="auto"/>
      <w:jc w:val="both"/>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B004C3"/>
    <w:pPr>
      <w:keepNext/>
      <w:keepLines/>
      <w:spacing w:before="360" w:after="80" w:line="240"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B004C3"/>
    <w:pPr>
      <w:keepNext/>
      <w:keepLines/>
      <w:spacing w:before="160" w:after="80" w:line="240"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B004C3"/>
    <w:pPr>
      <w:keepNext/>
      <w:keepLines/>
      <w:spacing w:before="160" w:after="80" w:line="240" w:lineRule="auto"/>
      <w:jc w:val="left"/>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B004C3"/>
    <w:pPr>
      <w:keepNext/>
      <w:keepLines/>
      <w:spacing w:before="80" w:after="40" w:line="240" w:lineRule="auto"/>
      <w:jc w:val="left"/>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B004C3"/>
    <w:pPr>
      <w:keepNext/>
      <w:keepLines/>
      <w:spacing w:before="80" w:after="40" w:line="240" w:lineRule="auto"/>
      <w:jc w:val="left"/>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B004C3"/>
    <w:pPr>
      <w:keepNext/>
      <w:keepLines/>
      <w:spacing w:before="40" w:after="0" w:line="240" w:lineRule="auto"/>
      <w:jc w:val="left"/>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B004C3"/>
    <w:pPr>
      <w:keepNext/>
      <w:keepLines/>
      <w:spacing w:before="40" w:after="0" w:line="240" w:lineRule="auto"/>
      <w:jc w:val="left"/>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B004C3"/>
    <w:pPr>
      <w:keepNext/>
      <w:keepLines/>
      <w:spacing w:after="0" w:line="240" w:lineRule="auto"/>
      <w:jc w:val="left"/>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B004C3"/>
    <w:pPr>
      <w:keepNext/>
      <w:keepLines/>
      <w:spacing w:after="0" w:line="240" w:lineRule="auto"/>
      <w:jc w:val="left"/>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4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04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4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04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4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4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4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4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4C3"/>
    <w:rPr>
      <w:rFonts w:eastAsiaTheme="majorEastAsia" w:cstheme="majorBidi"/>
      <w:color w:val="272727" w:themeColor="text1" w:themeTint="D8"/>
    </w:rPr>
  </w:style>
  <w:style w:type="paragraph" w:styleId="Title">
    <w:name w:val="Title"/>
    <w:basedOn w:val="Normal"/>
    <w:next w:val="Normal"/>
    <w:link w:val="TitleChar"/>
    <w:uiPriority w:val="10"/>
    <w:qFormat/>
    <w:rsid w:val="00B004C3"/>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B004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4C3"/>
    <w:pPr>
      <w:numPr>
        <w:ilvl w:val="1"/>
      </w:numPr>
      <w:spacing w:line="240" w:lineRule="auto"/>
      <w:jc w:val="left"/>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B004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4C3"/>
    <w:pPr>
      <w:spacing w:before="160" w:line="240"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B004C3"/>
    <w:rPr>
      <w:i/>
      <w:iCs/>
      <w:color w:val="404040" w:themeColor="text1" w:themeTint="BF"/>
    </w:rPr>
  </w:style>
  <w:style w:type="paragraph" w:styleId="ListParagraph">
    <w:name w:val="List Paragraph"/>
    <w:basedOn w:val="Normal"/>
    <w:uiPriority w:val="34"/>
    <w:qFormat/>
    <w:rsid w:val="00B004C3"/>
    <w:pPr>
      <w:spacing w:after="0" w:line="240" w:lineRule="auto"/>
      <w:ind w:left="720"/>
      <w:contextualSpacing/>
      <w:jc w:val="left"/>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B004C3"/>
    <w:rPr>
      <w:i/>
      <w:iCs/>
      <w:color w:val="0F4761" w:themeColor="accent1" w:themeShade="BF"/>
    </w:rPr>
  </w:style>
  <w:style w:type="paragraph" w:styleId="IntenseQuote">
    <w:name w:val="Intense Quote"/>
    <w:basedOn w:val="Normal"/>
    <w:next w:val="Normal"/>
    <w:link w:val="IntenseQuoteChar"/>
    <w:uiPriority w:val="30"/>
    <w:qFormat/>
    <w:rsid w:val="00B004C3"/>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B004C3"/>
    <w:rPr>
      <w:i/>
      <w:iCs/>
      <w:color w:val="0F4761" w:themeColor="accent1" w:themeShade="BF"/>
    </w:rPr>
  </w:style>
  <w:style w:type="character" w:styleId="IntenseReference">
    <w:name w:val="Intense Reference"/>
    <w:basedOn w:val="DefaultParagraphFont"/>
    <w:uiPriority w:val="32"/>
    <w:qFormat/>
    <w:rsid w:val="00B004C3"/>
    <w:rPr>
      <w:b/>
      <w:bCs/>
      <w:smallCaps/>
      <w:color w:val="0F4761" w:themeColor="accent1" w:themeShade="BF"/>
      <w:spacing w:val="5"/>
    </w:rPr>
  </w:style>
  <w:style w:type="character" w:styleId="Hyperlink">
    <w:name w:val="Hyperlink"/>
    <w:basedOn w:val="DefaultParagraphFont"/>
    <w:uiPriority w:val="99"/>
    <w:unhideWhenUsed/>
    <w:rsid w:val="00B004C3"/>
    <w:rPr>
      <w:color w:val="467886" w:themeColor="hyperlink"/>
      <w:u w:val="single"/>
    </w:rPr>
  </w:style>
  <w:style w:type="paragraph" w:styleId="NormalWeb">
    <w:name w:val="Normal (Web)"/>
    <w:basedOn w:val="Normal"/>
    <w:uiPriority w:val="99"/>
    <w:semiHidden/>
    <w:unhideWhenUsed/>
    <w:rsid w:val="00B004C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B004C3"/>
    <w:pPr>
      <w:spacing w:before="320" w:after="40" w:line="252" w:lineRule="auto"/>
      <w:jc w:val="both"/>
      <w:outlineLvl w:val="9"/>
    </w:pPr>
    <w:rPr>
      <w:b/>
      <w:bCs/>
      <w:caps/>
      <w:color w:val="auto"/>
      <w:spacing w:val="4"/>
      <w:kern w:val="0"/>
      <w:sz w:val="28"/>
      <w:szCs w:val="28"/>
      <w:lang w:val="en-US"/>
      <w14:ligatures w14:val="none"/>
    </w:rPr>
  </w:style>
  <w:style w:type="paragraph" w:styleId="TOC1">
    <w:name w:val="toc 1"/>
    <w:basedOn w:val="Normal"/>
    <w:next w:val="Normal"/>
    <w:autoRedefine/>
    <w:uiPriority w:val="39"/>
    <w:unhideWhenUsed/>
    <w:rsid w:val="00B004C3"/>
    <w:pPr>
      <w:spacing w:after="100"/>
    </w:pPr>
  </w:style>
  <w:style w:type="paragraph" w:styleId="TOC2">
    <w:name w:val="toc 2"/>
    <w:basedOn w:val="Normal"/>
    <w:next w:val="Normal"/>
    <w:autoRedefine/>
    <w:uiPriority w:val="39"/>
    <w:unhideWhenUsed/>
    <w:rsid w:val="00B004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e.yahoo.com/quote/SHANG.BK/key-statistics/" TargetMode="External"/><Relationship Id="rId3" Type="http://schemas.openxmlformats.org/officeDocument/2006/relationships/webSettings" Target="webSettings.xml"/><Relationship Id="rId7" Type="http://schemas.openxmlformats.org/officeDocument/2006/relationships/hyperlink" Target="https://www.shangri-la.com/group/media/media_post?post=Shangri-La%20Group%20Releases%202023%20Full%20Year%20Resul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55169936_Financial_analysis_of_Shangri-La_Hotel"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statista.com/statistics/629446/whitbread-premier-inn-hotel-rooms-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3179</Words>
  <Characters>18123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Nicolae Tilica</dc:creator>
  <cp:keywords/>
  <dc:description/>
  <cp:lastModifiedBy>Mircea Nicolae Tilica (2246572)</cp:lastModifiedBy>
  <cp:revision>4</cp:revision>
  <dcterms:created xsi:type="dcterms:W3CDTF">2025-02-27T12:26:00Z</dcterms:created>
  <dcterms:modified xsi:type="dcterms:W3CDTF">2025-02-28T22:41:00Z</dcterms:modified>
  <cp:category/>
</cp:coreProperties>
</file>