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E27A3" w14:textId="77777777" w:rsidR="00782232" w:rsidRPr="00F2765E" w:rsidRDefault="00782232">
      <w:pPr>
        <w:spacing w:before="240" w:after="240"/>
        <w:rPr>
          <w:rFonts w:ascii="Times New Roman" w:hAnsi="Times New Roman" w:cs="Times New Roman"/>
          <w:b/>
          <w:bCs/>
          <w:sz w:val="27"/>
          <w:szCs w:val="27"/>
        </w:rPr>
      </w:pPr>
    </w:p>
    <w:p w14:paraId="60439E69" w14:textId="77777777" w:rsidR="00782232" w:rsidRPr="00F2765E" w:rsidRDefault="00782232">
      <w:pPr>
        <w:spacing w:before="240" w:after="240"/>
        <w:jc w:val="center"/>
        <w:rPr>
          <w:rFonts w:ascii="Times New Roman" w:hAnsi="Times New Roman" w:cs="Times New Roman"/>
          <w:b/>
          <w:bCs/>
          <w:sz w:val="27"/>
          <w:szCs w:val="27"/>
        </w:rPr>
      </w:pPr>
    </w:p>
    <w:p w14:paraId="1D210846" w14:textId="77777777" w:rsidR="00782232" w:rsidRPr="00F2765E" w:rsidRDefault="00782232">
      <w:pPr>
        <w:spacing w:before="240" w:after="240"/>
        <w:jc w:val="center"/>
        <w:rPr>
          <w:rFonts w:ascii="Times New Roman" w:hAnsi="Times New Roman" w:cs="Times New Roman"/>
          <w:b/>
          <w:bCs/>
          <w:sz w:val="27"/>
          <w:szCs w:val="27"/>
        </w:rPr>
      </w:pPr>
    </w:p>
    <w:p w14:paraId="17472F03" w14:textId="77777777" w:rsidR="00782232" w:rsidRPr="00F2765E" w:rsidRDefault="00782232">
      <w:pPr>
        <w:spacing w:before="240" w:after="240"/>
        <w:jc w:val="center"/>
        <w:rPr>
          <w:rFonts w:ascii="Times New Roman" w:hAnsi="Times New Roman" w:cs="Times New Roman"/>
          <w:b/>
          <w:bCs/>
          <w:sz w:val="27"/>
          <w:szCs w:val="27"/>
        </w:rPr>
      </w:pPr>
    </w:p>
    <w:p w14:paraId="20E347CE" w14:textId="77777777" w:rsidR="00782232" w:rsidRPr="00F2765E" w:rsidRDefault="00126B44">
      <w:pPr>
        <w:spacing w:before="240" w:after="240"/>
        <w:jc w:val="center"/>
        <w:rPr>
          <w:rFonts w:ascii="Times New Roman" w:hAnsi="Times New Roman" w:cs="Times New Roman"/>
          <w:b/>
          <w:bCs/>
          <w:sz w:val="28"/>
          <w:szCs w:val="28"/>
        </w:rPr>
      </w:pPr>
      <w:r w:rsidRPr="00F2765E">
        <w:rPr>
          <w:rFonts w:ascii="Times New Roman" w:hAnsi="Times New Roman" w:cs="Times New Roman"/>
          <w:b/>
          <w:bCs/>
          <w:sz w:val="28"/>
          <w:szCs w:val="28"/>
        </w:rPr>
        <w:t>Module Name: Management Accounting for Managers</w:t>
      </w:r>
    </w:p>
    <w:p w14:paraId="4A4668C7" w14:textId="0E097934" w:rsidR="00782232" w:rsidRPr="00F2765E" w:rsidRDefault="00126B44">
      <w:pPr>
        <w:spacing w:before="240" w:after="240"/>
        <w:jc w:val="center"/>
        <w:rPr>
          <w:rFonts w:ascii="Times New Roman" w:hAnsi="Times New Roman" w:cs="Times New Roman"/>
          <w:b/>
          <w:bCs/>
          <w:sz w:val="28"/>
          <w:szCs w:val="28"/>
        </w:rPr>
      </w:pPr>
      <w:r w:rsidRPr="00F2765E">
        <w:rPr>
          <w:rFonts w:ascii="Times New Roman" w:hAnsi="Times New Roman" w:cs="Times New Roman"/>
          <w:b/>
          <w:bCs/>
          <w:sz w:val="28"/>
          <w:szCs w:val="28"/>
        </w:rPr>
        <w:t>Module: LCBB5010</w:t>
      </w:r>
    </w:p>
    <w:p w14:paraId="0A2E63F3" w14:textId="5DFFD545" w:rsidR="00782232" w:rsidRPr="00F2765E" w:rsidRDefault="773A799C">
      <w:pPr>
        <w:spacing w:before="240" w:after="240"/>
        <w:jc w:val="center"/>
        <w:rPr>
          <w:rFonts w:ascii="Times New Roman" w:hAnsi="Times New Roman" w:cs="Times New Roman"/>
          <w:b/>
          <w:bCs/>
          <w:sz w:val="28"/>
          <w:szCs w:val="28"/>
        </w:rPr>
      </w:pPr>
      <w:r w:rsidRPr="7FA5C959">
        <w:rPr>
          <w:rFonts w:ascii="Times New Roman" w:hAnsi="Times New Roman" w:cs="Times New Roman"/>
          <w:b/>
          <w:bCs/>
          <w:sz w:val="28"/>
          <w:szCs w:val="28"/>
          <w:lang w:val="en-US"/>
        </w:rPr>
        <w:t>Component 1</w:t>
      </w:r>
    </w:p>
    <w:p w14:paraId="30BD29F6" w14:textId="77777777" w:rsidR="00782232" w:rsidRPr="00F2765E" w:rsidRDefault="00782232">
      <w:pPr>
        <w:spacing w:before="240" w:after="240"/>
        <w:jc w:val="center"/>
        <w:rPr>
          <w:rFonts w:ascii="Times New Roman" w:hAnsi="Times New Roman" w:cs="Times New Roman"/>
          <w:b/>
          <w:bCs/>
          <w:sz w:val="28"/>
          <w:szCs w:val="28"/>
        </w:rPr>
      </w:pPr>
    </w:p>
    <w:p w14:paraId="6279FCB0" w14:textId="652771BA" w:rsidR="00782232" w:rsidRPr="00F2765E" w:rsidRDefault="00D313C4" w:rsidP="00D313C4">
      <w:pPr>
        <w:spacing w:before="240" w:after="240"/>
        <w:rPr>
          <w:rFonts w:ascii="Times New Roman" w:hAnsi="Times New Roman" w:cs="Times New Roman"/>
          <w:b/>
          <w:bCs/>
          <w:sz w:val="28"/>
          <w:szCs w:val="28"/>
        </w:rPr>
      </w:pPr>
      <w:r>
        <w:rPr>
          <w:rFonts w:ascii="Times New Roman" w:hAnsi="Times New Roman" w:cs="Times New Roman"/>
          <w:b/>
          <w:bCs/>
          <w:sz w:val="28"/>
          <w:szCs w:val="28"/>
        </w:rPr>
        <w:t xml:space="preserve">                                          </w:t>
      </w:r>
      <w:r w:rsidR="00126B44" w:rsidRPr="7FA5C959">
        <w:rPr>
          <w:rFonts w:ascii="Times New Roman" w:hAnsi="Times New Roman" w:cs="Times New Roman"/>
          <w:b/>
          <w:bCs/>
          <w:sz w:val="28"/>
          <w:szCs w:val="28"/>
        </w:rPr>
        <w:t xml:space="preserve">Student Name: </w:t>
      </w:r>
      <w:r w:rsidR="51D9C7D9" w:rsidRPr="7FA5C959">
        <w:rPr>
          <w:rFonts w:ascii="Times New Roman" w:hAnsi="Times New Roman" w:cs="Times New Roman"/>
          <w:b/>
          <w:bCs/>
          <w:sz w:val="28"/>
          <w:szCs w:val="28"/>
        </w:rPr>
        <w:t>LIPOVANU SIMONA DIANA</w:t>
      </w:r>
    </w:p>
    <w:p w14:paraId="7CDFDE33" w14:textId="2C8C939C" w:rsidR="00782232" w:rsidRPr="00F2765E" w:rsidRDefault="00D313C4" w:rsidP="00D313C4">
      <w:pPr>
        <w:spacing w:before="240" w:after="240"/>
        <w:rPr>
          <w:rFonts w:ascii="Times New Roman" w:hAnsi="Times New Roman" w:cs="Times New Roman"/>
          <w:b/>
          <w:bCs/>
          <w:sz w:val="28"/>
          <w:szCs w:val="28"/>
        </w:rPr>
      </w:pPr>
      <w:r>
        <w:rPr>
          <w:rFonts w:ascii="Times New Roman" w:hAnsi="Times New Roman" w:cs="Times New Roman"/>
          <w:b/>
          <w:bCs/>
          <w:sz w:val="28"/>
          <w:szCs w:val="28"/>
        </w:rPr>
        <w:t xml:space="preserve">                                          </w:t>
      </w:r>
      <w:r w:rsidR="00126B44" w:rsidRPr="7FA5C959">
        <w:rPr>
          <w:rFonts w:ascii="Times New Roman" w:hAnsi="Times New Roman" w:cs="Times New Roman"/>
          <w:b/>
          <w:bCs/>
          <w:sz w:val="28"/>
          <w:szCs w:val="28"/>
        </w:rPr>
        <w:t xml:space="preserve">Student </w:t>
      </w:r>
      <w:r w:rsidR="003C3686">
        <w:rPr>
          <w:rFonts w:ascii="Times New Roman" w:hAnsi="Times New Roman" w:cs="Times New Roman"/>
          <w:b/>
          <w:bCs/>
          <w:sz w:val="28"/>
          <w:szCs w:val="28"/>
        </w:rPr>
        <w:t>number</w:t>
      </w:r>
      <w:r w:rsidR="00126B44" w:rsidRPr="7FA5C959">
        <w:rPr>
          <w:rFonts w:ascii="Times New Roman" w:hAnsi="Times New Roman" w:cs="Times New Roman"/>
          <w:b/>
          <w:bCs/>
          <w:sz w:val="28"/>
          <w:szCs w:val="28"/>
        </w:rPr>
        <w:t>:</w:t>
      </w:r>
      <w:r w:rsidR="43481A9F" w:rsidRPr="7FA5C959">
        <w:rPr>
          <w:rFonts w:ascii="Times New Roman" w:hAnsi="Times New Roman" w:cs="Times New Roman"/>
          <w:b/>
          <w:bCs/>
          <w:sz w:val="28"/>
          <w:szCs w:val="28"/>
        </w:rPr>
        <w:t xml:space="preserve"> 2312374</w:t>
      </w:r>
      <w:r w:rsidR="00126B44" w:rsidRPr="7FA5C959">
        <w:rPr>
          <w:rFonts w:ascii="Times New Roman" w:hAnsi="Times New Roman" w:cs="Times New Roman"/>
          <w:b/>
          <w:bCs/>
          <w:sz w:val="28"/>
          <w:szCs w:val="28"/>
        </w:rPr>
        <w:t xml:space="preserve"> </w:t>
      </w:r>
      <w:r w:rsidR="00126B44" w:rsidRPr="7FA5C959">
        <w:rPr>
          <w:rFonts w:ascii="Times New Roman" w:hAnsi="Times New Roman" w:cs="Times New Roman"/>
        </w:rPr>
        <w:br w:type="page"/>
      </w:r>
    </w:p>
    <w:p w14:paraId="335C4ACE" w14:textId="77777777" w:rsidR="00782232" w:rsidRPr="00F2765E" w:rsidRDefault="00126B44">
      <w:pPr>
        <w:spacing w:before="240" w:after="240"/>
        <w:jc w:val="center"/>
        <w:rPr>
          <w:rFonts w:ascii="Times New Roman" w:hAnsi="Times New Roman" w:cs="Times New Roman"/>
          <w:b/>
          <w:bCs/>
          <w:sz w:val="28"/>
          <w:szCs w:val="28"/>
        </w:rPr>
      </w:pPr>
      <w:bookmarkStart w:id="0" w:name="_heading=h.s60o315jqoge" w:colFirst="0" w:colLast="0"/>
      <w:bookmarkEnd w:id="0"/>
      <w:r w:rsidRPr="00F2765E">
        <w:rPr>
          <w:rFonts w:ascii="Times New Roman" w:hAnsi="Times New Roman" w:cs="Times New Roman"/>
          <w:b/>
          <w:bCs/>
          <w:sz w:val="28"/>
          <w:szCs w:val="28"/>
        </w:rPr>
        <w:lastRenderedPageBreak/>
        <w:t>Table of Contents</w:t>
      </w:r>
    </w:p>
    <w:sdt>
      <w:sdtPr>
        <w:rPr>
          <w:rFonts w:ascii="Times New Roman" w:hAnsi="Times New Roman" w:cs="Times New Roman"/>
          <w:szCs w:val="24"/>
        </w:rPr>
        <w:id w:val="1822236079"/>
        <w:docPartObj>
          <w:docPartGallery w:val="Table of Contents"/>
          <w:docPartUnique/>
        </w:docPartObj>
      </w:sdtPr>
      <w:sdtContent>
        <w:p w14:paraId="7091D741" w14:textId="2998B984" w:rsidR="0006015E" w:rsidRPr="00F2765E" w:rsidRDefault="00126B44">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r w:rsidRPr="00F2765E">
            <w:rPr>
              <w:rFonts w:ascii="Times New Roman" w:hAnsi="Times New Roman" w:cs="Times New Roman"/>
            </w:rPr>
            <w:fldChar w:fldCharType="begin"/>
          </w:r>
          <w:r w:rsidRPr="00F2765E">
            <w:rPr>
              <w:rFonts w:ascii="Times New Roman" w:hAnsi="Times New Roman" w:cs="Times New Roman"/>
            </w:rPr>
            <w:instrText xml:space="preserve"> TOC \h \u \z \t "Heading 1,1,Heading 2,2,Heading 3,3,Heading 4,4,Heading 5,5,Heading 6,6,"</w:instrText>
          </w:r>
          <w:r w:rsidRPr="00F2765E">
            <w:rPr>
              <w:rFonts w:ascii="Times New Roman" w:hAnsi="Times New Roman" w:cs="Times New Roman"/>
            </w:rPr>
            <w:fldChar w:fldCharType="separate"/>
          </w:r>
          <w:hyperlink w:anchor="_Toc232518509" w:history="1">
            <w:r w:rsidR="0006015E" w:rsidRPr="00F2765E">
              <w:rPr>
                <w:rStyle w:val="Hyperlink"/>
                <w:rFonts w:ascii="Times New Roman" w:hAnsi="Times New Roman" w:cs="Times New Roman"/>
                <w:noProof/>
                <w:color w:val="auto"/>
              </w:rPr>
              <w:t>Introduction</w:t>
            </w:r>
            <w:r w:rsidR="0006015E" w:rsidRPr="00F2765E">
              <w:rPr>
                <w:rFonts w:ascii="Times New Roman" w:hAnsi="Times New Roman" w:cs="Times New Roman"/>
                <w:noProof/>
                <w:webHidden/>
              </w:rPr>
              <w:tab/>
            </w:r>
            <w:r w:rsidR="0006015E" w:rsidRPr="00F2765E">
              <w:rPr>
                <w:rFonts w:ascii="Times New Roman" w:hAnsi="Times New Roman" w:cs="Times New Roman"/>
                <w:noProof/>
                <w:webHidden/>
              </w:rPr>
              <w:fldChar w:fldCharType="begin"/>
            </w:r>
            <w:r w:rsidR="0006015E" w:rsidRPr="00F2765E">
              <w:rPr>
                <w:rFonts w:ascii="Times New Roman" w:hAnsi="Times New Roman" w:cs="Times New Roman"/>
                <w:noProof/>
                <w:webHidden/>
              </w:rPr>
              <w:instrText xml:space="preserve"> PAGEREF _Toc232518509 \h </w:instrText>
            </w:r>
            <w:r w:rsidR="0006015E" w:rsidRPr="00F2765E">
              <w:rPr>
                <w:rFonts w:ascii="Times New Roman" w:hAnsi="Times New Roman" w:cs="Times New Roman"/>
                <w:noProof/>
                <w:webHidden/>
              </w:rPr>
            </w:r>
            <w:r w:rsidR="0006015E" w:rsidRPr="00F2765E">
              <w:rPr>
                <w:rFonts w:ascii="Times New Roman" w:hAnsi="Times New Roman" w:cs="Times New Roman"/>
                <w:noProof/>
                <w:webHidden/>
              </w:rPr>
              <w:fldChar w:fldCharType="separate"/>
            </w:r>
            <w:r w:rsidR="0006015E" w:rsidRPr="00F2765E">
              <w:rPr>
                <w:rFonts w:ascii="Times New Roman" w:hAnsi="Times New Roman" w:cs="Times New Roman"/>
                <w:noProof/>
                <w:webHidden/>
              </w:rPr>
              <w:t>3</w:t>
            </w:r>
            <w:r w:rsidR="0006015E" w:rsidRPr="00F2765E">
              <w:rPr>
                <w:rFonts w:ascii="Times New Roman" w:hAnsi="Times New Roman" w:cs="Times New Roman"/>
                <w:noProof/>
                <w:webHidden/>
              </w:rPr>
              <w:fldChar w:fldCharType="end"/>
            </w:r>
          </w:hyperlink>
        </w:p>
        <w:p w14:paraId="25FBDE4A" w14:textId="38F6769D"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0" w:history="1">
            <w:r w:rsidRPr="00F2765E">
              <w:rPr>
                <w:rStyle w:val="Hyperlink"/>
                <w:rFonts w:ascii="Times New Roman" w:hAnsi="Times New Roman" w:cs="Times New Roman"/>
                <w:noProof/>
                <w:color w:val="auto"/>
              </w:rPr>
              <w:t xml:space="preserve">Cost </w:t>
            </w:r>
            <w:r w:rsidR="0050406B">
              <w:rPr>
                <w:rStyle w:val="Hyperlink"/>
                <w:rFonts w:ascii="Times New Roman" w:hAnsi="Times New Roman" w:cs="Times New Roman"/>
                <w:noProof/>
                <w:color w:val="auto"/>
              </w:rPr>
              <w:t>A</w:t>
            </w:r>
            <w:r w:rsidRPr="00F2765E">
              <w:rPr>
                <w:rStyle w:val="Hyperlink"/>
                <w:rFonts w:ascii="Times New Roman" w:hAnsi="Times New Roman" w:cs="Times New Roman"/>
                <w:noProof/>
                <w:color w:val="auto"/>
              </w:rPr>
              <w:t xml:space="preserve">nalysis and </w:t>
            </w:r>
            <w:r w:rsidR="0050406B">
              <w:rPr>
                <w:rStyle w:val="Hyperlink"/>
                <w:rFonts w:ascii="Times New Roman" w:hAnsi="Times New Roman" w:cs="Times New Roman"/>
                <w:noProof/>
                <w:color w:val="auto"/>
              </w:rPr>
              <w:t>B</w:t>
            </w:r>
            <w:r w:rsidRPr="00F2765E">
              <w:rPr>
                <w:rStyle w:val="Hyperlink"/>
                <w:rFonts w:ascii="Times New Roman" w:hAnsi="Times New Roman" w:cs="Times New Roman"/>
                <w:noProof/>
                <w:color w:val="auto"/>
              </w:rPr>
              <w:t xml:space="preserve">usiness </w:t>
            </w:r>
            <w:r w:rsidR="0050406B">
              <w:rPr>
                <w:rStyle w:val="Hyperlink"/>
                <w:rFonts w:ascii="Times New Roman" w:hAnsi="Times New Roman" w:cs="Times New Roman"/>
                <w:noProof/>
                <w:color w:val="auto"/>
              </w:rPr>
              <w:t>M</w:t>
            </w:r>
            <w:r w:rsidRPr="00F2765E">
              <w:rPr>
                <w:rStyle w:val="Hyperlink"/>
                <w:rFonts w:ascii="Times New Roman" w:hAnsi="Times New Roman" w:cs="Times New Roman"/>
                <w:noProof/>
                <w:color w:val="auto"/>
              </w:rPr>
              <w:t>odel</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_Toc232518510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3</w:t>
            </w:r>
            <w:r w:rsidRPr="00F2765E">
              <w:rPr>
                <w:rFonts w:ascii="Times New Roman" w:hAnsi="Times New Roman" w:cs="Times New Roman"/>
                <w:noProof/>
                <w:webHidden/>
              </w:rPr>
              <w:fldChar w:fldCharType="end"/>
            </w:r>
          </w:hyperlink>
        </w:p>
        <w:p w14:paraId="4A8B7228" w14:textId="51BB6AB8"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1" w:history="1">
            <w:r w:rsidRPr="00F2765E">
              <w:rPr>
                <w:rStyle w:val="Hyperlink"/>
                <w:rFonts w:ascii="Times New Roman" w:hAnsi="Times New Roman" w:cs="Times New Roman"/>
                <w:noProof/>
                <w:color w:val="auto"/>
              </w:rPr>
              <w:t xml:space="preserve">Budgeting and </w:t>
            </w:r>
            <w:r w:rsidR="0050406B">
              <w:rPr>
                <w:rStyle w:val="Hyperlink"/>
                <w:rFonts w:ascii="Times New Roman" w:hAnsi="Times New Roman" w:cs="Times New Roman"/>
                <w:noProof/>
                <w:color w:val="auto"/>
              </w:rPr>
              <w:t>F</w:t>
            </w:r>
            <w:r w:rsidRPr="00F2765E">
              <w:rPr>
                <w:rStyle w:val="Hyperlink"/>
                <w:rFonts w:ascii="Times New Roman" w:hAnsi="Times New Roman" w:cs="Times New Roman"/>
                <w:noProof/>
                <w:color w:val="auto"/>
              </w:rPr>
              <w:t xml:space="preserve">inancial </w:t>
            </w:r>
            <w:r w:rsidR="0050406B">
              <w:rPr>
                <w:rStyle w:val="Hyperlink"/>
                <w:rFonts w:ascii="Times New Roman" w:hAnsi="Times New Roman" w:cs="Times New Roman"/>
                <w:noProof/>
                <w:color w:val="auto"/>
              </w:rPr>
              <w:t>P</w:t>
            </w:r>
            <w:r w:rsidRPr="00F2765E">
              <w:rPr>
                <w:rStyle w:val="Hyperlink"/>
                <w:rFonts w:ascii="Times New Roman" w:hAnsi="Times New Roman" w:cs="Times New Roman"/>
                <w:noProof/>
                <w:color w:val="auto"/>
              </w:rPr>
              <w:t>lanning</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_Toc232518511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6</w:t>
            </w:r>
            <w:r w:rsidRPr="00F2765E">
              <w:rPr>
                <w:rFonts w:ascii="Times New Roman" w:hAnsi="Times New Roman" w:cs="Times New Roman"/>
                <w:noProof/>
                <w:webHidden/>
              </w:rPr>
              <w:fldChar w:fldCharType="end"/>
            </w:r>
          </w:hyperlink>
        </w:p>
        <w:p w14:paraId="62A747FD" w14:textId="2C185ED8"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2" w:history="1">
            <w:r w:rsidRPr="00F2765E">
              <w:rPr>
                <w:rStyle w:val="Hyperlink"/>
                <w:rFonts w:ascii="Times New Roman" w:hAnsi="Times New Roman" w:cs="Times New Roman"/>
                <w:noProof/>
                <w:color w:val="auto"/>
              </w:rPr>
              <w:t xml:space="preserve">Performance </w:t>
            </w:r>
            <w:r w:rsidR="0050406B">
              <w:rPr>
                <w:rStyle w:val="Hyperlink"/>
                <w:rFonts w:ascii="Times New Roman" w:hAnsi="Times New Roman" w:cs="Times New Roman"/>
                <w:noProof/>
                <w:color w:val="auto"/>
              </w:rPr>
              <w:t>M</w:t>
            </w:r>
            <w:r w:rsidRPr="00F2765E">
              <w:rPr>
                <w:rStyle w:val="Hyperlink"/>
                <w:rFonts w:ascii="Times New Roman" w:hAnsi="Times New Roman" w:cs="Times New Roman"/>
                <w:noProof/>
                <w:color w:val="auto"/>
              </w:rPr>
              <w:t xml:space="preserve">easurement and </w:t>
            </w:r>
            <w:r w:rsidR="0050406B">
              <w:rPr>
                <w:rStyle w:val="Hyperlink"/>
                <w:rFonts w:ascii="Times New Roman" w:hAnsi="Times New Roman" w:cs="Times New Roman"/>
                <w:noProof/>
                <w:color w:val="auto"/>
              </w:rPr>
              <w:t>D</w:t>
            </w:r>
            <w:r w:rsidRPr="00F2765E">
              <w:rPr>
                <w:rStyle w:val="Hyperlink"/>
                <w:rFonts w:ascii="Times New Roman" w:hAnsi="Times New Roman" w:cs="Times New Roman"/>
                <w:noProof/>
                <w:color w:val="auto"/>
              </w:rPr>
              <w:t xml:space="preserve">ecision </w:t>
            </w:r>
            <w:r w:rsidR="0050406B">
              <w:rPr>
                <w:rStyle w:val="Hyperlink"/>
                <w:rFonts w:ascii="Times New Roman" w:hAnsi="Times New Roman" w:cs="Times New Roman"/>
                <w:noProof/>
                <w:color w:val="auto"/>
              </w:rPr>
              <w:t>M</w:t>
            </w:r>
            <w:r w:rsidRPr="00F2765E">
              <w:rPr>
                <w:rStyle w:val="Hyperlink"/>
                <w:rFonts w:ascii="Times New Roman" w:hAnsi="Times New Roman" w:cs="Times New Roman"/>
                <w:noProof/>
                <w:color w:val="auto"/>
              </w:rPr>
              <w:t>aking</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_Toc232518512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7</w:t>
            </w:r>
            <w:r w:rsidRPr="00F2765E">
              <w:rPr>
                <w:rFonts w:ascii="Times New Roman" w:hAnsi="Times New Roman" w:cs="Times New Roman"/>
                <w:noProof/>
                <w:webHidden/>
              </w:rPr>
              <w:fldChar w:fldCharType="end"/>
            </w:r>
          </w:hyperlink>
        </w:p>
        <w:p w14:paraId="46819E7C" w14:textId="7BB3B4E2"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3" w:history="1">
            <w:r w:rsidRPr="00F2765E">
              <w:rPr>
                <w:rStyle w:val="Hyperlink"/>
                <w:rFonts w:ascii="Times New Roman" w:hAnsi="Times New Roman" w:cs="Times New Roman"/>
                <w:noProof/>
                <w:color w:val="auto"/>
              </w:rPr>
              <w:t xml:space="preserve">Sustainability and </w:t>
            </w:r>
            <w:r w:rsidR="0050406B">
              <w:rPr>
                <w:rStyle w:val="Hyperlink"/>
                <w:rFonts w:ascii="Times New Roman" w:hAnsi="Times New Roman" w:cs="Times New Roman"/>
                <w:noProof/>
                <w:color w:val="auto"/>
              </w:rPr>
              <w:t>E</w:t>
            </w:r>
            <w:r w:rsidRPr="00F2765E">
              <w:rPr>
                <w:rStyle w:val="Hyperlink"/>
                <w:rFonts w:ascii="Times New Roman" w:hAnsi="Times New Roman" w:cs="Times New Roman"/>
                <w:noProof/>
                <w:color w:val="auto"/>
              </w:rPr>
              <w:t>thical Considerations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_Toc232518513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8</w:t>
            </w:r>
            <w:r w:rsidRPr="00F2765E">
              <w:rPr>
                <w:rFonts w:ascii="Times New Roman" w:hAnsi="Times New Roman" w:cs="Times New Roman"/>
                <w:noProof/>
                <w:webHidden/>
              </w:rPr>
              <w:fldChar w:fldCharType="end"/>
            </w:r>
          </w:hyperlink>
        </w:p>
        <w:p w14:paraId="75A9D243" w14:textId="27543A1F"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4" w:history="1">
            <w:r w:rsidRPr="00F2765E">
              <w:rPr>
                <w:rStyle w:val="Hyperlink"/>
                <w:rFonts w:ascii="Times New Roman" w:hAnsi="Times New Roman" w:cs="Times New Roman"/>
                <w:noProof/>
                <w:color w:val="auto"/>
              </w:rPr>
              <w:t xml:space="preserve">Conclusion and </w:t>
            </w:r>
            <w:r w:rsidR="0050406B">
              <w:rPr>
                <w:rStyle w:val="Hyperlink"/>
                <w:rFonts w:ascii="Times New Roman" w:hAnsi="Times New Roman" w:cs="Times New Roman"/>
                <w:noProof/>
                <w:color w:val="auto"/>
              </w:rPr>
              <w:t>R</w:t>
            </w:r>
            <w:r w:rsidRPr="00F2765E">
              <w:rPr>
                <w:rStyle w:val="Hyperlink"/>
                <w:rFonts w:ascii="Times New Roman" w:hAnsi="Times New Roman" w:cs="Times New Roman"/>
                <w:noProof/>
                <w:color w:val="auto"/>
              </w:rPr>
              <w:t>ecommendations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_Toc232518514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9</w:t>
            </w:r>
            <w:r w:rsidRPr="00F2765E">
              <w:rPr>
                <w:rFonts w:ascii="Times New Roman" w:hAnsi="Times New Roman" w:cs="Times New Roman"/>
                <w:noProof/>
                <w:webHidden/>
              </w:rPr>
              <w:fldChar w:fldCharType="end"/>
            </w:r>
          </w:hyperlink>
        </w:p>
        <w:p w14:paraId="0EF43EAB" w14:textId="1C7B76F7"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5" w:history="1">
            <w:r w:rsidRPr="00F2765E">
              <w:rPr>
                <w:rStyle w:val="Hyperlink"/>
                <w:rFonts w:ascii="Times New Roman" w:hAnsi="Times New Roman" w:cs="Times New Roman"/>
                <w:noProof/>
                <w:color w:val="auto"/>
              </w:rPr>
              <w:t>References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_Toc232518515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11</w:t>
            </w:r>
            <w:r w:rsidRPr="00F2765E">
              <w:rPr>
                <w:rFonts w:ascii="Times New Roman" w:hAnsi="Times New Roman" w:cs="Times New Roman"/>
                <w:noProof/>
                <w:webHidden/>
              </w:rPr>
              <w:fldChar w:fldCharType="end"/>
            </w:r>
          </w:hyperlink>
        </w:p>
        <w:p w14:paraId="4B14D001" w14:textId="2FAC6239" w:rsidR="0006015E" w:rsidRPr="00F2765E" w:rsidRDefault="0006015E">
          <w:pPr>
            <w:pStyle w:val="TOC1"/>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6" w:history="1">
            <w:r w:rsidRPr="00F2765E">
              <w:rPr>
                <w:rStyle w:val="Hyperlink"/>
                <w:rFonts w:ascii="Times New Roman" w:hAnsi="Times New Roman" w:cs="Times New Roman"/>
                <w:noProof/>
                <w:color w:val="auto"/>
              </w:rPr>
              <w:t>Appendices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_Toc232518516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13</w:t>
            </w:r>
            <w:r w:rsidRPr="00F2765E">
              <w:rPr>
                <w:rFonts w:ascii="Times New Roman" w:hAnsi="Times New Roman" w:cs="Times New Roman"/>
                <w:noProof/>
                <w:webHidden/>
              </w:rPr>
              <w:fldChar w:fldCharType="end"/>
            </w:r>
          </w:hyperlink>
        </w:p>
        <w:p w14:paraId="787CA4CE" w14:textId="6C671593" w:rsidR="0006015E" w:rsidRPr="00F2765E" w:rsidRDefault="0006015E">
          <w:pPr>
            <w:pStyle w:val="TOC3"/>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7" w:history="1">
            <w:r w:rsidRPr="00F2765E">
              <w:rPr>
                <w:rStyle w:val="Hyperlink"/>
                <w:rFonts w:ascii="Times New Roman" w:hAnsi="Times New Roman" w:cs="Times New Roman"/>
                <w:b/>
                <w:bCs/>
                <w:noProof/>
                <w:color w:val="auto"/>
              </w:rPr>
              <w:t>Year-on-Year Operating Expense Analysis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_Toc232518517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13</w:t>
            </w:r>
            <w:r w:rsidRPr="00F2765E">
              <w:rPr>
                <w:rFonts w:ascii="Times New Roman" w:hAnsi="Times New Roman" w:cs="Times New Roman"/>
                <w:noProof/>
                <w:webHidden/>
              </w:rPr>
              <w:fldChar w:fldCharType="end"/>
            </w:r>
          </w:hyperlink>
        </w:p>
        <w:p w14:paraId="60CB68FF" w14:textId="0CEAC477" w:rsidR="0006015E" w:rsidRPr="00F2765E" w:rsidRDefault="0006015E">
          <w:pPr>
            <w:pStyle w:val="TOC3"/>
            <w:tabs>
              <w:tab w:val="right" w:leader="dot" w:pos="9350"/>
            </w:tabs>
            <w:rPr>
              <w:rFonts w:ascii="Times New Roman" w:eastAsiaTheme="minorEastAsia" w:hAnsi="Times New Roman" w:cs="Times New Roman"/>
              <w:noProof/>
              <w:kern w:val="2"/>
              <w:szCs w:val="24"/>
              <w:lang w:val="en-IN" w:eastAsia="en-IN" w:bidi="ar-SA"/>
              <w14:ligatures w14:val="standardContextual"/>
            </w:rPr>
          </w:pPr>
          <w:hyperlink w:anchor="_Toc232518518" w:history="1">
            <w:r w:rsidRPr="00F2765E">
              <w:rPr>
                <w:rStyle w:val="Hyperlink"/>
                <w:rFonts w:ascii="Times New Roman" w:hAnsi="Times New Roman" w:cs="Times New Roman"/>
                <w:b/>
                <w:bCs/>
                <w:noProof/>
                <w:color w:val="auto"/>
              </w:rPr>
              <w:t>Key Performance Indicators (KPIs)</w:t>
            </w:r>
            <w:r w:rsidRPr="00F2765E">
              <w:rPr>
                <w:rFonts w:ascii="Times New Roman" w:hAnsi="Times New Roman" w:cs="Times New Roman"/>
                <w:noProof/>
                <w:webHidden/>
              </w:rPr>
              <w:tab/>
            </w:r>
            <w:r w:rsidRPr="00F2765E">
              <w:rPr>
                <w:rFonts w:ascii="Times New Roman" w:hAnsi="Times New Roman" w:cs="Times New Roman"/>
                <w:noProof/>
                <w:webHidden/>
              </w:rPr>
              <w:fldChar w:fldCharType="begin"/>
            </w:r>
            <w:r w:rsidRPr="00F2765E">
              <w:rPr>
                <w:rFonts w:ascii="Times New Roman" w:hAnsi="Times New Roman" w:cs="Times New Roman"/>
                <w:noProof/>
                <w:webHidden/>
              </w:rPr>
              <w:instrText xml:space="preserve"> PAGEREF _Toc232518518 \h </w:instrText>
            </w:r>
            <w:r w:rsidRPr="00F2765E">
              <w:rPr>
                <w:rFonts w:ascii="Times New Roman" w:hAnsi="Times New Roman" w:cs="Times New Roman"/>
                <w:noProof/>
                <w:webHidden/>
              </w:rPr>
            </w:r>
            <w:r w:rsidRPr="00F2765E">
              <w:rPr>
                <w:rFonts w:ascii="Times New Roman" w:hAnsi="Times New Roman" w:cs="Times New Roman"/>
                <w:noProof/>
                <w:webHidden/>
              </w:rPr>
              <w:fldChar w:fldCharType="separate"/>
            </w:r>
            <w:r w:rsidRPr="00F2765E">
              <w:rPr>
                <w:rFonts w:ascii="Times New Roman" w:hAnsi="Times New Roman" w:cs="Times New Roman"/>
                <w:noProof/>
                <w:webHidden/>
              </w:rPr>
              <w:t>13</w:t>
            </w:r>
            <w:r w:rsidRPr="00F2765E">
              <w:rPr>
                <w:rFonts w:ascii="Times New Roman" w:hAnsi="Times New Roman" w:cs="Times New Roman"/>
                <w:noProof/>
                <w:webHidden/>
              </w:rPr>
              <w:fldChar w:fldCharType="end"/>
            </w:r>
          </w:hyperlink>
        </w:p>
        <w:p w14:paraId="4EB57132" w14:textId="7687E9B5" w:rsidR="00782232" w:rsidRPr="00F2765E" w:rsidRDefault="00126B44">
          <w:pPr>
            <w:widowControl w:val="0"/>
            <w:tabs>
              <w:tab w:val="right" w:pos="12000"/>
            </w:tabs>
            <w:spacing w:before="60" w:line="240" w:lineRule="auto"/>
            <w:ind w:left="720"/>
            <w:jc w:val="left"/>
            <w:rPr>
              <w:rFonts w:ascii="Times New Roman" w:hAnsi="Times New Roman" w:cs="Times New Roman"/>
            </w:rPr>
          </w:pPr>
          <w:r w:rsidRPr="00F2765E">
            <w:rPr>
              <w:rFonts w:ascii="Times New Roman" w:hAnsi="Times New Roman" w:cs="Times New Roman"/>
            </w:rPr>
            <w:fldChar w:fldCharType="end"/>
          </w:r>
        </w:p>
      </w:sdtContent>
    </w:sdt>
    <w:p w14:paraId="21C47963" w14:textId="77777777" w:rsidR="00782232" w:rsidRPr="00F2765E" w:rsidRDefault="00126B44">
      <w:pPr>
        <w:spacing w:before="240" w:after="240"/>
        <w:jc w:val="center"/>
        <w:rPr>
          <w:rFonts w:ascii="Times New Roman" w:hAnsi="Times New Roman" w:cs="Times New Roman"/>
          <w:b/>
          <w:bCs/>
          <w:sz w:val="28"/>
          <w:szCs w:val="28"/>
        </w:rPr>
      </w:pPr>
      <w:r w:rsidRPr="00F2765E">
        <w:rPr>
          <w:rFonts w:ascii="Times New Roman" w:hAnsi="Times New Roman" w:cs="Times New Roman"/>
        </w:rPr>
        <w:br w:type="page"/>
      </w:r>
    </w:p>
    <w:p w14:paraId="097185DD" w14:textId="77777777" w:rsidR="00782232" w:rsidRPr="00F2765E" w:rsidRDefault="00126B44">
      <w:pPr>
        <w:pStyle w:val="Heading1"/>
        <w:rPr>
          <w:rFonts w:ascii="Times New Roman" w:hAnsi="Times New Roman" w:cs="Times New Roman"/>
        </w:rPr>
      </w:pPr>
      <w:bookmarkStart w:id="1" w:name="_Toc232518509"/>
      <w:r w:rsidRPr="00F2765E">
        <w:rPr>
          <w:rFonts w:ascii="Times New Roman" w:hAnsi="Times New Roman" w:cs="Times New Roman"/>
        </w:rPr>
        <w:lastRenderedPageBreak/>
        <w:t>Introduction</w:t>
      </w:r>
      <w:bookmarkEnd w:id="1"/>
    </w:p>
    <w:p w14:paraId="632919EB" w14:textId="77777777" w:rsidR="00782232" w:rsidRPr="00F2765E" w:rsidRDefault="00126B44">
      <w:pPr>
        <w:spacing w:line="240" w:lineRule="auto"/>
        <w:jc w:val="center"/>
        <w:rPr>
          <w:rFonts w:ascii="Times New Roman" w:eastAsia="Times New Roman" w:hAnsi="Times New Roman" w:cs="Times New Roman"/>
        </w:rPr>
      </w:pPr>
      <w:r w:rsidRPr="00F2765E">
        <w:rPr>
          <w:rFonts w:ascii="Times New Roman" w:eastAsia="Times New Roman" w:hAnsi="Times New Roman" w:cs="Times New Roman"/>
          <w:noProof/>
        </w:rPr>
        <w:drawing>
          <wp:inline distT="114300" distB="114300" distL="114300" distR="114300" wp14:anchorId="73B77F70" wp14:editId="61A0E96A">
            <wp:extent cx="4319588" cy="243245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19588" cy="2432459"/>
                    </a:xfrm>
                    <a:prstGeom prst="rect">
                      <a:avLst/>
                    </a:prstGeom>
                    <a:ln/>
                  </pic:spPr>
                </pic:pic>
              </a:graphicData>
            </a:graphic>
          </wp:inline>
        </w:drawing>
      </w:r>
    </w:p>
    <w:p w14:paraId="3AD433C6" w14:textId="77777777" w:rsidR="00782232" w:rsidRPr="00F2765E" w:rsidRDefault="00126B44">
      <w:pPr>
        <w:jc w:val="center"/>
        <w:rPr>
          <w:rFonts w:ascii="Times New Roman" w:eastAsia="Times New Roman" w:hAnsi="Times New Roman" w:cs="Times New Roman"/>
        </w:rPr>
      </w:pPr>
      <w:r w:rsidRPr="00F2765E">
        <w:rPr>
          <w:rFonts w:ascii="Times New Roman" w:eastAsia="Times New Roman" w:hAnsi="Times New Roman" w:cs="Times New Roman"/>
          <w:b/>
          <w:bCs/>
          <w:i/>
          <w:iCs/>
        </w:rPr>
        <w:t xml:space="preserve">Figure 1: </w:t>
      </w:r>
      <w:r w:rsidRPr="00F2765E">
        <w:rPr>
          <w:rFonts w:ascii="Times New Roman" w:eastAsia="Times New Roman" w:hAnsi="Times New Roman" w:cs="Times New Roman"/>
        </w:rPr>
        <w:t>Logo of Netflix</w:t>
      </w:r>
    </w:p>
    <w:p w14:paraId="79D2FFE1" w14:textId="77777777" w:rsidR="00782232" w:rsidRPr="00F2765E" w:rsidRDefault="00126B44">
      <w:pPr>
        <w:jc w:val="center"/>
        <w:rPr>
          <w:rFonts w:ascii="Times New Roman" w:eastAsia="Times New Roman" w:hAnsi="Times New Roman" w:cs="Times New Roman"/>
        </w:rPr>
      </w:pPr>
      <w:r w:rsidRPr="00F2765E">
        <w:rPr>
          <w:rFonts w:ascii="Times New Roman" w:eastAsia="Times New Roman" w:hAnsi="Times New Roman" w:cs="Times New Roman"/>
          <w:b/>
          <w:bCs/>
          <w:i/>
          <w:iCs/>
        </w:rPr>
        <w:t xml:space="preserve">Source: </w:t>
      </w:r>
      <w:r w:rsidRPr="00F2765E">
        <w:rPr>
          <w:rFonts w:ascii="Times New Roman" w:eastAsia="Times New Roman" w:hAnsi="Times New Roman" w:cs="Times New Roman"/>
        </w:rPr>
        <w:t>Netflix, Inc. (2024)</w:t>
      </w:r>
    </w:p>
    <w:p w14:paraId="73F66A13" w14:textId="4F4D5D00" w:rsidR="005D4A3B" w:rsidRPr="00F2765E" w:rsidRDefault="004C13B4" w:rsidP="005D4A3B">
      <w:pPr>
        <w:rPr>
          <w:rFonts w:ascii="Times New Roman" w:hAnsi="Times New Roman" w:cs="Times New Roman"/>
          <w:lang w:val="en-IN"/>
        </w:rPr>
      </w:pPr>
      <w:r w:rsidRPr="00F2765E">
        <w:rPr>
          <w:rFonts w:ascii="Times New Roman" w:hAnsi="Times New Roman" w:cs="Times New Roman"/>
          <w:lang w:val="en-IN"/>
        </w:rPr>
        <w:t>However, the status of the following is identical for the Internet entertainment service provider company Netflix as follows: Netflix is the leading Internet entertainment service provider company with a global reach that spans over 190 countries and it is a title owner under the name Netflix (Netflix, 2026). Having its beginnings in 1997, our headquarters located in Los Gatos, California, we provide a subscription-based service to movies, TV shows, games and original programming. YFYR Result: Netflix announced full year net revenue of $39.0 billion for 2024, with 301.6 million paid subscribers globally, an 16% increase from the revenue in 2023 (X, 2025). The excellent financial add to business precedent were also demonstrated in the groups performance as well as operating profit 106 billion and operating margin 27% (Analystlens, 2025). The manager can also use it to plan, control and make internal decisions because of the financial and nonfinancial data that is useful to him/her. Management accounting also helps Netflix in when to the affairs to give at the bottom line, and to further solidify its hold on the top spot in the rapidly changing stream purists universe with a set-up for financial, cost and performance evaluation.</w:t>
      </w:r>
    </w:p>
    <w:p w14:paraId="24654051" w14:textId="6F6EEAAB" w:rsidR="00782232" w:rsidRPr="00F2765E" w:rsidRDefault="00126B44">
      <w:pPr>
        <w:pStyle w:val="Heading1"/>
        <w:rPr>
          <w:rFonts w:ascii="Times New Roman" w:hAnsi="Times New Roman" w:cs="Times New Roman"/>
        </w:rPr>
      </w:pPr>
      <w:bookmarkStart w:id="2" w:name="_Toc232518510"/>
      <w:r w:rsidRPr="00F2765E">
        <w:rPr>
          <w:rFonts w:ascii="Times New Roman" w:hAnsi="Times New Roman" w:cs="Times New Roman"/>
        </w:rPr>
        <w:t xml:space="preserve">Cost </w:t>
      </w:r>
      <w:r w:rsidR="0050406B">
        <w:rPr>
          <w:rFonts w:ascii="Times New Roman" w:hAnsi="Times New Roman" w:cs="Times New Roman"/>
        </w:rPr>
        <w:t>A</w:t>
      </w:r>
      <w:r w:rsidRPr="00F2765E">
        <w:rPr>
          <w:rFonts w:ascii="Times New Roman" w:hAnsi="Times New Roman" w:cs="Times New Roman"/>
        </w:rPr>
        <w:t xml:space="preserve">nalysis and </w:t>
      </w:r>
      <w:r w:rsidR="0050406B">
        <w:rPr>
          <w:rFonts w:ascii="Times New Roman" w:hAnsi="Times New Roman" w:cs="Times New Roman"/>
        </w:rPr>
        <w:t>B</w:t>
      </w:r>
      <w:r w:rsidRPr="00F2765E">
        <w:rPr>
          <w:rFonts w:ascii="Times New Roman" w:hAnsi="Times New Roman" w:cs="Times New Roman"/>
        </w:rPr>
        <w:t xml:space="preserve">usiness </w:t>
      </w:r>
      <w:r w:rsidR="0050406B">
        <w:rPr>
          <w:rFonts w:ascii="Times New Roman" w:hAnsi="Times New Roman" w:cs="Times New Roman"/>
        </w:rPr>
        <w:t>M</w:t>
      </w:r>
      <w:r w:rsidRPr="00F2765E">
        <w:rPr>
          <w:rFonts w:ascii="Times New Roman" w:hAnsi="Times New Roman" w:cs="Times New Roman"/>
        </w:rPr>
        <w:t>odel</w:t>
      </w:r>
      <w:bookmarkEnd w:id="2"/>
    </w:p>
    <w:p w14:paraId="2A4FFBAB" w14:textId="77777777" w:rsidR="005D4A3B" w:rsidRPr="00F2765E" w:rsidRDefault="005D4A3B" w:rsidP="005D4A3B">
      <w:pPr>
        <w:rPr>
          <w:rFonts w:ascii="Times New Roman" w:hAnsi="Times New Roman" w:cs="Times New Roman"/>
          <w:b/>
          <w:bCs/>
          <w:lang w:val="en-IN"/>
        </w:rPr>
      </w:pPr>
      <w:r w:rsidRPr="00F2765E">
        <w:rPr>
          <w:rFonts w:ascii="Times New Roman" w:hAnsi="Times New Roman" w:cs="Times New Roman"/>
          <w:b/>
          <w:bCs/>
          <w:lang w:val="en-IN"/>
        </w:rPr>
        <w:t>Netflix’s revenue model</w:t>
      </w:r>
    </w:p>
    <w:p w14:paraId="34C9F5B6" w14:textId="73773588" w:rsidR="00A17665" w:rsidRPr="00F2765E" w:rsidRDefault="00C16B80" w:rsidP="00A17665">
      <w:pPr>
        <w:rPr>
          <w:rFonts w:ascii="Times New Roman" w:hAnsi="Times New Roman" w:cs="Times New Roman"/>
          <w:lang w:val="en-IN"/>
        </w:rPr>
      </w:pPr>
      <w:r w:rsidRPr="00F2765E">
        <w:rPr>
          <w:rFonts w:ascii="Times New Roman" w:hAnsi="Times New Roman" w:cs="Times New Roman"/>
          <w:lang w:val="en-IN"/>
        </w:rPr>
        <w:lastRenderedPageBreak/>
        <w:t>Netflix operates on a subscription model to generate revenue, and mobile users are charged a monthly rate for streaming. Now, its revenue is primarily derived from subscriptions. The company has some flexibility to tailor the prices for its Standard with Ads, Standard, and Premium packages, thereby appealing to different kinds of users on a pay-per-income basis (Netflix, 2026). Till this date, Netflix has ushered in a non-</w:t>
      </w:r>
      <w:r w:rsidR="00BE5087" w:rsidRPr="00F2765E">
        <w:rPr>
          <w:rFonts w:ascii="Times New Roman" w:hAnsi="Times New Roman" w:cs="Times New Roman"/>
          <w:lang w:val="en-IN"/>
        </w:rPr>
        <w:t>subscription-based</w:t>
      </w:r>
      <w:r w:rsidRPr="00F2765E">
        <w:rPr>
          <w:rFonts w:ascii="Times New Roman" w:hAnsi="Times New Roman" w:cs="Times New Roman"/>
          <w:lang w:val="en-IN"/>
        </w:rPr>
        <w:t xml:space="preserve"> stream of income in the form of an ad-supported tier. Hence, the source of the company’s income is the subscription fees and advertising fees and many other services and in 301+ countries and territories and 301 million paid users worldwide and solutions. Analysis of earnings statement: Revenue of Netflix grew by 16% to USD 39.0 Bn in 2024 from USD 33.7 Bn in 2023 (Business of Apps, 2026). Revenue increased primarily due to growth in the number of paid members, and the selective price increases in certain markets.</w:t>
      </w:r>
    </w:p>
    <w:p w14:paraId="59769301" w14:textId="3A82D330" w:rsidR="005D4A3B" w:rsidRPr="00F2765E" w:rsidRDefault="005D4A3B" w:rsidP="005D4A3B">
      <w:pPr>
        <w:jc w:val="center"/>
        <w:rPr>
          <w:rFonts w:ascii="Times New Roman" w:hAnsi="Times New Roman" w:cs="Times New Roman"/>
          <w:lang w:val="en-IN"/>
        </w:rPr>
      </w:pPr>
      <w:r w:rsidRPr="00F2765E">
        <w:rPr>
          <w:rFonts w:ascii="Times New Roman" w:hAnsi="Times New Roman" w:cs="Times New Roman"/>
          <w:noProof/>
          <w:lang w:val="en-IN"/>
        </w:rPr>
        <w:drawing>
          <wp:inline distT="0" distB="0" distL="0" distR="0" wp14:anchorId="7D444F46" wp14:editId="5FC8EEED">
            <wp:extent cx="5737860" cy="3230880"/>
            <wp:effectExtent l="0" t="0" r="0" b="7620"/>
            <wp:docPr id="2924940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7860" cy="3230880"/>
                    </a:xfrm>
                    <a:prstGeom prst="rect">
                      <a:avLst/>
                    </a:prstGeom>
                    <a:noFill/>
                    <a:ln>
                      <a:noFill/>
                    </a:ln>
                  </pic:spPr>
                </pic:pic>
              </a:graphicData>
            </a:graphic>
          </wp:inline>
        </w:drawing>
      </w:r>
    </w:p>
    <w:p w14:paraId="34F27CEF" w14:textId="4DDED526" w:rsidR="005D4A3B" w:rsidRPr="00F2765E" w:rsidRDefault="005D4A3B" w:rsidP="005D4A3B">
      <w:pPr>
        <w:jc w:val="center"/>
        <w:rPr>
          <w:rFonts w:ascii="Times New Roman" w:hAnsi="Times New Roman" w:cs="Times New Roman"/>
          <w:lang w:val="en-IN"/>
        </w:rPr>
      </w:pPr>
      <w:r w:rsidRPr="00F2765E">
        <w:rPr>
          <w:rFonts w:ascii="Times New Roman" w:eastAsia="Times New Roman" w:hAnsi="Times New Roman" w:cs="Times New Roman"/>
          <w:b/>
          <w:bCs/>
          <w:i/>
          <w:iCs/>
        </w:rPr>
        <w:t xml:space="preserve">Figure 2: </w:t>
      </w:r>
      <w:r w:rsidRPr="00F2765E">
        <w:rPr>
          <w:rFonts w:ascii="Times New Roman" w:hAnsi="Times New Roman" w:cs="Times New Roman"/>
          <w:lang w:val="en-IN"/>
        </w:rPr>
        <w:t>Netflix’s revenue model</w:t>
      </w:r>
    </w:p>
    <w:p w14:paraId="55AFA20F" w14:textId="07B40B0E" w:rsidR="005D4A3B" w:rsidRPr="00F2765E" w:rsidRDefault="005D4A3B" w:rsidP="005D4A3B">
      <w:pPr>
        <w:jc w:val="center"/>
        <w:rPr>
          <w:rFonts w:ascii="Times New Roman" w:hAnsi="Times New Roman" w:cs="Times New Roman"/>
          <w:lang w:val="en-IN"/>
        </w:rPr>
      </w:pPr>
      <w:r w:rsidRPr="00F2765E">
        <w:rPr>
          <w:rFonts w:ascii="Times New Roman" w:hAnsi="Times New Roman" w:cs="Times New Roman"/>
          <w:b/>
          <w:bCs/>
          <w:i/>
          <w:iCs/>
          <w:lang w:val="en-IN"/>
        </w:rPr>
        <w:t>Source:</w:t>
      </w:r>
      <w:r w:rsidRPr="00F2765E">
        <w:rPr>
          <w:rFonts w:ascii="Times New Roman" w:hAnsi="Times New Roman" w:cs="Times New Roman"/>
          <w:lang w:val="en-IN"/>
        </w:rPr>
        <w:t xml:space="preserve"> Visuwire, (2026)</w:t>
      </w:r>
    </w:p>
    <w:p w14:paraId="4DE8ECFE" w14:textId="164E3531" w:rsidR="005D4A3B" w:rsidRPr="00F2765E" w:rsidRDefault="00BE5087" w:rsidP="005D4A3B">
      <w:pPr>
        <w:rPr>
          <w:rFonts w:ascii="Times New Roman" w:hAnsi="Times New Roman" w:cs="Times New Roman"/>
          <w:lang w:val="en-IN"/>
        </w:rPr>
      </w:pPr>
      <w:r w:rsidRPr="00F2765E">
        <w:rPr>
          <w:rFonts w:ascii="Times New Roman" w:hAnsi="Times New Roman" w:cs="Times New Roman"/>
          <w:lang w:val="en-IN"/>
        </w:rPr>
        <w:t>This ‘content first later' model is the company’s business mantra. Netflix has been engaged in a costly arms race to attract and hold subscribers to their film and TV service, splashing cash on original movies, TV shows, documentaries and games. The company also leverages big data and AI to analyze viewing patterns and provide personalized viewing content recommendations and promotions to users (Visuwire, 2026).</w:t>
      </w:r>
      <w:r w:rsidR="000B56EA" w:rsidRPr="00F2765E">
        <w:rPr>
          <w:rFonts w:ascii="Times New Roman" w:hAnsi="Times New Roman" w:cs="Times New Roman"/>
          <w:lang w:val="en-IN"/>
        </w:rPr>
        <w:t xml:space="preserve"> As for investments, these capabilities are expected to offer </w:t>
      </w:r>
      <w:r w:rsidR="000B56EA" w:rsidRPr="00F2765E">
        <w:rPr>
          <w:rFonts w:ascii="Times New Roman" w:hAnsi="Times New Roman" w:cs="Times New Roman"/>
          <w:lang w:val="en-IN"/>
        </w:rPr>
        <w:lastRenderedPageBreak/>
        <w:t>helpful information to the Netflix's content decision process as well as pricing strategies, making it even more competitive.</w:t>
      </w:r>
    </w:p>
    <w:p w14:paraId="7BD8BA6A" w14:textId="528BA75A" w:rsidR="005D4A3B" w:rsidRPr="00F2765E" w:rsidRDefault="005D4A3B" w:rsidP="005D4A3B">
      <w:pPr>
        <w:jc w:val="center"/>
        <w:rPr>
          <w:rFonts w:ascii="Times New Roman" w:hAnsi="Times New Roman" w:cs="Times New Roman"/>
          <w:lang w:val="en-IN"/>
        </w:rPr>
      </w:pPr>
      <w:r w:rsidRPr="00F2765E">
        <w:rPr>
          <w:rFonts w:ascii="Times New Roman" w:hAnsi="Times New Roman" w:cs="Times New Roman"/>
          <w:noProof/>
          <w:lang w:val="en-IN"/>
        </w:rPr>
        <w:drawing>
          <wp:inline distT="0" distB="0" distL="0" distR="0" wp14:anchorId="40A23820" wp14:editId="1EB64BEE">
            <wp:extent cx="5730240" cy="2217420"/>
            <wp:effectExtent l="0" t="0" r="3810" b="0"/>
            <wp:docPr id="5632883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2217420"/>
                    </a:xfrm>
                    <a:prstGeom prst="rect">
                      <a:avLst/>
                    </a:prstGeom>
                    <a:noFill/>
                    <a:ln>
                      <a:noFill/>
                    </a:ln>
                  </pic:spPr>
                </pic:pic>
              </a:graphicData>
            </a:graphic>
          </wp:inline>
        </w:drawing>
      </w:r>
    </w:p>
    <w:p w14:paraId="44747529" w14:textId="2C75D4C1" w:rsidR="005D4A3B" w:rsidRPr="00F2765E" w:rsidRDefault="005D4A3B" w:rsidP="005D4A3B">
      <w:pPr>
        <w:jc w:val="center"/>
        <w:rPr>
          <w:rFonts w:ascii="Times New Roman" w:hAnsi="Times New Roman" w:cs="Times New Roman"/>
          <w:lang w:val="en-IN"/>
        </w:rPr>
      </w:pPr>
      <w:r w:rsidRPr="00F2765E">
        <w:rPr>
          <w:rFonts w:ascii="Times New Roman" w:hAnsi="Times New Roman" w:cs="Times New Roman"/>
          <w:b/>
          <w:bCs/>
          <w:i/>
          <w:iCs/>
          <w:lang w:val="en-IN"/>
        </w:rPr>
        <w:t xml:space="preserve">Figure 3: </w:t>
      </w:r>
      <w:r w:rsidRPr="00F2765E">
        <w:rPr>
          <w:rFonts w:ascii="Times New Roman" w:hAnsi="Times New Roman" w:cs="Times New Roman"/>
          <w:lang w:val="en-IN"/>
        </w:rPr>
        <w:t>Revenue Breakdown</w:t>
      </w:r>
    </w:p>
    <w:p w14:paraId="42BF7B17" w14:textId="0B9EFAA4" w:rsidR="005D4A3B" w:rsidRPr="00F2765E" w:rsidRDefault="005D4A3B" w:rsidP="005D4A3B">
      <w:pPr>
        <w:jc w:val="center"/>
        <w:rPr>
          <w:rFonts w:ascii="Times New Roman" w:hAnsi="Times New Roman" w:cs="Times New Roman"/>
          <w:lang w:val="en-IN"/>
        </w:rPr>
      </w:pPr>
      <w:r w:rsidRPr="00F2765E">
        <w:rPr>
          <w:rFonts w:ascii="Times New Roman" w:hAnsi="Times New Roman" w:cs="Times New Roman"/>
          <w:b/>
          <w:bCs/>
          <w:i/>
          <w:iCs/>
          <w:lang w:val="en-IN"/>
        </w:rPr>
        <w:t>Source:</w:t>
      </w:r>
      <w:r w:rsidRPr="00F2765E">
        <w:rPr>
          <w:rFonts w:ascii="Times New Roman" w:hAnsi="Times New Roman" w:cs="Times New Roman"/>
          <w:lang w:val="en-IN"/>
        </w:rPr>
        <w:t xml:space="preserve"> Visuwire, (2026)</w:t>
      </w:r>
    </w:p>
    <w:p w14:paraId="46E1E8FD" w14:textId="77777777" w:rsidR="005D4A3B" w:rsidRPr="00F2765E" w:rsidRDefault="005D4A3B" w:rsidP="005D4A3B">
      <w:pPr>
        <w:rPr>
          <w:rFonts w:ascii="Times New Roman" w:hAnsi="Times New Roman" w:cs="Times New Roman"/>
          <w:lang w:val="en-IN"/>
        </w:rPr>
      </w:pPr>
      <w:r w:rsidRPr="00F2765E">
        <w:rPr>
          <w:rFonts w:ascii="Times New Roman" w:hAnsi="Times New Roman" w:cs="Times New Roman"/>
          <w:b/>
          <w:bCs/>
          <w:lang w:val="en-IN"/>
        </w:rPr>
        <w:t xml:space="preserve">Netflix’s key cost structure </w:t>
      </w:r>
    </w:p>
    <w:p w14:paraId="77BAF8A1" w14:textId="0AE0BA93" w:rsidR="00A17665" w:rsidRPr="00F2765E" w:rsidRDefault="00A9624D" w:rsidP="00A17665">
      <w:pPr>
        <w:rPr>
          <w:rFonts w:ascii="Times New Roman" w:hAnsi="Times New Roman" w:cs="Times New Roman"/>
          <w:lang w:val="en-IN"/>
        </w:rPr>
      </w:pPr>
      <w:r w:rsidRPr="00F2765E">
        <w:rPr>
          <w:rFonts w:ascii="Times New Roman" w:hAnsi="Times New Roman" w:cs="Times New Roman"/>
          <w:lang w:val="en-IN"/>
        </w:rPr>
        <w:t>From a managerial accounting perspective, Netflix is able to break down its cost structure into fixed and variable costs. Fixed costs are fees that don’t vary that much with the number of subscribers in the short run. The biggest fixed cost is the content cost, which includes the acquisition, licensing and production of content. Netflix and one of its long-time competitors, Amazon, had approximately $23.2B in content obligations stated in its 2024 Annual Report, it continues to commit to a broad content slate (Annual-statements, 2024). Other significant fixed expenditures are IT infrastructure, software development, office space, and employee compensation. That bills must be paid even if short-term subscriber numbers dwindle.</w:t>
      </w:r>
    </w:p>
    <w:p w14:paraId="37EC4EF7" w14:textId="768693D1" w:rsidR="00BB3C0D" w:rsidRPr="00F2765E" w:rsidRDefault="00BB3C0D" w:rsidP="00BB3C0D">
      <w:pPr>
        <w:rPr>
          <w:rFonts w:ascii="Times New Roman" w:hAnsi="Times New Roman" w:cs="Times New Roman"/>
          <w:lang w:val="en-IN"/>
        </w:rPr>
      </w:pPr>
      <w:r w:rsidRPr="00F2765E">
        <w:rPr>
          <w:rFonts w:ascii="Times New Roman" w:hAnsi="Times New Roman" w:cs="Times New Roman"/>
          <w:lang w:val="en-IN"/>
        </w:rPr>
        <w:t>The information given is modelled in a way that the variable costs change with the size of the business and the number of new subscribers. These include charges associated with payment processing, customer service, content delivery, advertising and marketing (Netflix, 2025). As Netflix grows in more subs/new markets these costs will probably be</w:t>
      </w:r>
      <w:r w:rsidR="00DD502A" w:rsidRPr="00F2765E">
        <w:rPr>
          <w:rFonts w:ascii="Times New Roman" w:hAnsi="Times New Roman" w:cs="Times New Roman"/>
          <w:lang w:val="en-IN"/>
        </w:rPr>
        <w:t xml:space="preserve"> </w:t>
      </w:r>
      <w:r w:rsidRPr="00F2765E">
        <w:rPr>
          <w:rFonts w:ascii="Times New Roman" w:hAnsi="Times New Roman" w:cs="Times New Roman"/>
          <w:lang w:val="en-IN"/>
        </w:rPr>
        <w:t>above these. Through management accounting, Netflix can forecast its fixed and variable costs and predict how they will behave, assess profitability, set pricing, and make strategic decisions with respect to, for example, content spending and international growth.</w:t>
      </w:r>
    </w:p>
    <w:p w14:paraId="190D31CD" w14:textId="3960215A" w:rsidR="005D4A3B" w:rsidRPr="00F2765E" w:rsidRDefault="005D4A3B" w:rsidP="005D4A3B">
      <w:pPr>
        <w:rPr>
          <w:rFonts w:ascii="Times New Roman" w:hAnsi="Times New Roman" w:cs="Times New Roman"/>
          <w:lang w:val="en-IN"/>
        </w:rPr>
      </w:pPr>
    </w:p>
    <w:p w14:paraId="6B84852D" w14:textId="1EF395A6" w:rsidR="00782232" w:rsidRPr="00F2765E" w:rsidRDefault="00126B44">
      <w:pPr>
        <w:pStyle w:val="Heading1"/>
        <w:rPr>
          <w:rFonts w:ascii="Times New Roman" w:hAnsi="Times New Roman" w:cs="Times New Roman"/>
        </w:rPr>
      </w:pPr>
      <w:bookmarkStart w:id="3" w:name="_Toc232518511"/>
      <w:r w:rsidRPr="00F2765E">
        <w:rPr>
          <w:rFonts w:ascii="Times New Roman" w:hAnsi="Times New Roman" w:cs="Times New Roman"/>
        </w:rPr>
        <w:lastRenderedPageBreak/>
        <w:t xml:space="preserve">Budgeting and </w:t>
      </w:r>
      <w:r w:rsidR="0050406B">
        <w:rPr>
          <w:rFonts w:ascii="Times New Roman" w:hAnsi="Times New Roman" w:cs="Times New Roman"/>
        </w:rPr>
        <w:t>F</w:t>
      </w:r>
      <w:r w:rsidRPr="00F2765E">
        <w:rPr>
          <w:rFonts w:ascii="Times New Roman" w:hAnsi="Times New Roman" w:cs="Times New Roman"/>
        </w:rPr>
        <w:t xml:space="preserve">inancial </w:t>
      </w:r>
      <w:r w:rsidR="0050406B">
        <w:rPr>
          <w:rFonts w:ascii="Times New Roman" w:hAnsi="Times New Roman" w:cs="Times New Roman"/>
        </w:rPr>
        <w:t>P</w:t>
      </w:r>
      <w:r w:rsidRPr="00F2765E">
        <w:rPr>
          <w:rFonts w:ascii="Times New Roman" w:hAnsi="Times New Roman" w:cs="Times New Roman"/>
        </w:rPr>
        <w:t>lanning</w:t>
      </w:r>
      <w:bookmarkEnd w:id="3"/>
    </w:p>
    <w:p w14:paraId="55F60835"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A key management accounting tool that would assist Netflix in planning, controlling and monitoring its financial resources is budgeting. Netflix is a worldwide streaming provider, and they use budgeting to decide how to invest their money into new content they want to create, the development of new technologies, marketing campaigns, and overseas expansion. The budgeting process used is a comprehensive process that allows management to anticipate future revenues, estimate the operating costs of the projects and ensure that resources are allocated to projects that are providing the best return. But budgeting is key for Netflix, with a billion-dollar budget being spent every year on original content, so getting it right is important.</w:t>
      </w:r>
    </w:p>
    <w:p w14:paraId="5AA5B2A4"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Netflix uses financial planning to assess opportunities to invest in projects, to identify risk associated with content creation and competition. Management makes forecasts by considering advertiser expectations and content performance measures as well as subscriber growth trends. Such predictions are useful when a capital investment decision is made in the production of a new film, in acquiring new technology and in a marketing effort for new customers. Budgeting also aids cash flow management by ensuring a surplus of cash for large-scale content initiatives and cover operating expenses.</w:t>
      </w:r>
    </w:p>
    <w:p w14:paraId="21C3322B"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Netflix’s financial results show that there were substantial jumps in operating expenses from 2024 to 2025. Financial data shows that operating costs rose from US$28.583 billion to US$31.856 billion a year. This growth is driven by Netflix’s ongoing commitment to original programming, technological advancements and expansion into the international market. On the upside, revenue rose from US$39.001 billion to US$45.183 billion, showing business is performing better and that revenue is growing faster than expenditure. Despite the increase in expenditure, this company continued to manage costs on its operating side extremely well as evidenced by the growth of its operating income from US$10.418 billion to US$13.327 billion.</w:t>
      </w:r>
    </w:p>
    <w:p w14:paraId="5868675F" w14:textId="4CFA13CB" w:rsidR="00782232" w:rsidRPr="00F2765E" w:rsidRDefault="00126B44">
      <w:pPr>
        <w:pStyle w:val="Heading1"/>
        <w:rPr>
          <w:rFonts w:ascii="Times New Roman" w:hAnsi="Times New Roman" w:cs="Times New Roman"/>
        </w:rPr>
      </w:pPr>
      <w:bookmarkStart w:id="4" w:name="_Toc232518512"/>
      <w:r w:rsidRPr="00F2765E">
        <w:rPr>
          <w:rFonts w:ascii="Times New Roman" w:hAnsi="Times New Roman" w:cs="Times New Roman"/>
        </w:rPr>
        <w:t xml:space="preserve">Performance </w:t>
      </w:r>
      <w:r w:rsidR="0050406B">
        <w:rPr>
          <w:rFonts w:ascii="Times New Roman" w:hAnsi="Times New Roman" w:cs="Times New Roman"/>
        </w:rPr>
        <w:t>M</w:t>
      </w:r>
      <w:r w:rsidRPr="00F2765E">
        <w:rPr>
          <w:rFonts w:ascii="Times New Roman" w:hAnsi="Times New Roman" w:cs="Times New Roman"/>
        </w:rPr>
        <w:t xml:space="preserve">easurement and </w:t>
      </w:r>
      <w:r w:rsidR="0050406B">
        <w:rPr>
          <w:rFonts w:ascii="Times New Roman" w:hAnsi="Times New Roman" w:cs="Times New Roman"/>
        </w:rPr>
        <w:t>D</w:t>
      </w:r>
      <w:r w:rsidRPr="00F2765E">
        <w:rPr>
          <w:rFonts w:ascii="Times New Roman" w:hAnsi="Times New Roman" w:cs="Times New Roman"/>
        </w:rPr>
        <w:t xml:space="preserve">ecision </w:t>
      </w:r>
      <w:r w:rsidR="0050406B">
        <w:rPr>
          <w:rFonts w:ascii="Times New Roman" w:hAnsi="Times New Roman" w:cs="Times New Roman"/>
        </w:rPr>
        <w:t>M</w:t>
      </w:r>
      <w:r w:rsidRPr="00F2765E">
        <w:rPr>
          <w:rFonts w:ascii="Times New Roman" w:hAnsi="Times New Roman" w:cs="Times New Roman"/>
        </w:rPr>
        <w:t>aking</w:t>
      </w:r>
      <w:bookmarkEnd w:id="4"/>
    </w:p>
    <w:p w14:paraId="385299DA"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 xml:space="preserve">Performance measurement plays a critical role in management accounting by allowing companies to assess their efficiency within operations, track strategic goals, and assist in making informed decisions. Netflix'S key performance indicators (KPIs) can be financial (KPIs-P) or non-financial (KPIs-NP).Netflix's key performance indicators (KPIs) are of both types: financial key </w:t>
      </w:r>
      <w:r w:rsidRPr="7FA5C959">
        <w:rPr>
          <w:rFonts w:ascii="Times New Roman" w:hAnsi="Times New Roman" w:cs="Times New Roman"/>
          <w:lang w:val="en-US"/>
        </w:rPr>
        <w:lastRenderedPageBreak/>
        <w:t>performance indicators (KPIs-P) and non-financial key performance indicators (KPIs-NP). These metrics offer insights that management can use to know how profitable and how it is growing, to gain better understanding of customer engagement, and to see how effective its operations are.</w:t>
      </w:r>
    </w:p>
    <w:p w14:paraId="53E52114"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Revenue is one of the important financial metrics, which helps to gauge Netflix's income generation capabilities on subscription and advertising. This will amount to around US$45.18 billion in 2025, which marks steady growth from the previous year. The operating income stood at US$13.33 billion and the operating margin rose to 29.5%, which suggests better operating efficiency and profitability. These financial KPIs enable management to determine if their investments in content, technology and international growth are benefiting enough.</w:t>
      </w:r>
    </w:p>
    <w:p w14:paraId="1832D0CA"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However, Netflix has other key performance indicators that it keeps an eye on, apart from financial ones. Perhaps the most significant is the number of paid subscribers, which surpassed 325 million that same year across the world. Subscriber growth is a measure of how satisfied the customers are, how spread around the market the growth is, and how good the content offerings are. One of the most significant actions taken is a measure of Average Revenue per Membership (ARM) for management which enables them to evaluate their pricing effectiveness and customer value. Netflix also measures engagement, popular content, customer retention, and advertising tier use to assess the effectiveness of its strategies.</w:t>
      </w:r>
    </w:p>
    <w:p w14:paraId="708084A9"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Performance data has played a key role in some of Netflix's key decisions. Management responded to the positive financial results based on subscriber demand, raising the investment in the production of original content. The company has spent billions of dollars every year on creating original movies and TV shows in an effort to stand out from the crowd. In addition, the data revealed that consumers wanted a subscription service that was cheaper, so advertising-supported was built in and expanded. By doing this, this decision generated a new source of revenue, bringing in price-sensitive customers.</w:t>
      </w:r>
    </w:p>
    <w:p w14:paraId="0D6E38D7" w14:textId="77777777" w:rsidR="00782232" w:rsidRPr="00F2765E" w:rsidRDefault="00126B44" w:rsidP="7FA5C959">
      <w:pPr>
        <w:rPr>
          <w:rFonts w:ascii="Times New Roman" w:hAnsi="Times New Roman" w:cs="Times New Roman"/>
          <w:lang w:val="en-US"/>
        </w:rPr>
      </w:pPr>
      <w:r w:rsidRPr="004D0FCC">
        <w:rPr>
          <w:rFonts w:ascii="Times New Roman" w:hAnsi="Times New Roman" w:cs="Times New Roman"/>
          <w:lang w:val="en-US"/>
        </w:rPr>
        <w:t>Non-financial</w:t>
      </w:r>
      <w:r w:rsidRPr="7FA5C959">
        <w:rPr>
          <w:rFonts w:ascii="Times New Roman" w:hAnsi="Times New Roman" w:cs="Times New Roman"/>
          <w:lang w:val="en-US"/>
        </w:rPr>
        <w:t xml:space="preserve"> data also has been used to heavily influence decisions. Viewer analytics and engagement metrics help Netflix figure out which genres, actors and content formats have the highest audience engagement, allowing the streaming giant to shape its strategy accordingly. These findings inform decision making for future investments in production, cancellation and renewal of content. Besides that, data on subscriber behaviour have defined plans for overseas expansion, as it has enabled the identification of markets where good growth can be observed. By combining financial and non-financial metrics, Netflix can rely on verified data for better decisions to </w:t>
      </w:r>
      <w:r w:rsidRPr="7FA5C959">
        <w:rPr>
          <w:rFonts w:ascii="Times New Roman" w:hAnsi="Times New Roman" w:cs="Times New Roman"/>
          <w:lang w:val="en-US"/>
        </w:rPr>
        <w:lastRenderedPageBreak/>
        <w:t>maximize profit, boost customer satisfaction, and strengthen its competitive position in the ever-changing streaming market.</w:t>
      </w:r>
    </w:p>
    <w:p w14:paraId="588743E1" w14:textId="26AF632E" w:rsidR="00782232" w:rsidRPr="00F2765E" w:rsidRDefault="00126B44">
      <w:pPr>
        <w:pStyle w:val="Heading1"/>
        <w:rPr>
          <w:rFonts w:ascii="Times New Roman" w:hAnsi="Times New Roman" w:cs="Times New Roman"/>
        </w:rPr>
      </w:pPr>
      <w:bookmarkStart w:id="5" w:name="_Toc232518513"/>
      <w:r w:rsidRPr="00F2765E">
        <w:rPr>
          <w:rFonts w:ascii="Times New Roman" w:hAnsi="Times New Roman" w:cs="Times New Roman"/>
        </w:rPr>
        <w:t xml:space="preserve">Sustainability and </w:t>
      </w:r>
      <w:r w:rsidR="0050406B">
        <w:rPr>
          <w:rFonts w:ascii="Times New Roman" w:hAnsi="Times New Roman" w:cs="Times New Roman"/>
        </w:rPr>
        <w:t>E</w:t>
      </w:r>
      <w:r w:rsidRPr="00F2765E">
        <w:rPr>
          <w:rFonts w:ascii="Times New Roman" w:hAnsi="Times New Roman" w:cs="Times New Roman"/>
        </w:rPr>
        <w:t>thical Considerations</w:t>
      </w:r>
      <w:bookmarkEnd w:id="5"/>
    </w:p>
    <w:p w14:paraId="5843FC48"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Netflix's strategic and monetary predictions are furnished with sustainability.Sustainability is an important part of Netflix's strategic and monetary decision making. The firm embeds environmental, social and governance (ESG) principles into its own strategy to support long term value creation and minimise business risks. In November, Netflix announced that it would achieve net zero emissions in its efforts to limit the impact of its products—invoice reductions, show emissions, access to content and its office spaces and delivery network—by 2030, by investing in both renewable energy and sustainable infrastructure. The company conducts annual carbon emission measurements and reporting and invests in renewable energy projects and nature-based carbon removal projects. Netflix estimated their total emissions in 2024 at around 1.1 million metric tonnes of CO₂ equivalent and continued to roll out sustainability projects around the world with productions. Sustainability-related investments are accounted as part of a company's budget and investment decisions because of the potential effects on future regulatory costs, optimizing the use of resources, and boosting the corporate image (Jiang and Wen, 2022).</w:t>
      </w:r>
    </w:p>
    <w:p w14:paraId="4332456D"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Netflix also contributes to social sustainability with its programs on diversity, equity, and inclusion (DEI). The company invests in the development of their employees, inclusive storytelling and a variety of talent. Such investments facilitate enhanced stakeholder connections, expand global user base, and drive revenue growth and sustainable profitability for Netflix.</w:t>
      </w:r>
    </w:p>
    <w:p w14:paraId="7A9E3651"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The same applies to Netflix's cost-control and pricing policies. Subscription pricing decisions must be written back to the customer fairly and transparently – management have a vested interest to maximize profits. Netflix previously hiked the price of their subscriptions for a variety of reasons ranging from rising content and operational expenses, but too high a price tag can make it less affordable and can erode customer trust in Netflix. But, to produce profit, all management has to take into consideration the needs of customers. Likewise, ethical cost management calls for good quality content and control of expenditure. Kaiser Takaki recounts Maya’s story as she navigates through a time of economic instability.The story starts with Maya, who finds herself in a world of economic turmoil, and Kaiser Takaki brings her tale to life.</w:t>
      </w:r>
    </w:p>
    <w:p w14:paraId="2296CBD2"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lastRenderedPageBreak/>
        <w:t xml:space="preserve">In addition, Netflix has an ethical duty in terms of data privacy and consumers' information. The company gathers a huge amount of user viewing data to personalize them with a better and enhanced customer experience. To manage ethically, transparency, confidentiality of the information about the customers and conformance with international privacy standards are necessary (Jiang and Wen, 2022). In sum, Netflix clearly illustrates that sustainable and ethical financial decision-making can contribute to competitive advantage, trustworthiness of shareholders and stakeholder relationships, and ultimately, long-term business success.  </w:t>
      </w:r>
    </w:p>
    <w:p w14:paraId="0E15FDA6" w14:textId="1414E486" w:rsidR="00782232" w:rsidRPr="00F2765E" w:rsidRDefault="00126B44">
      <w:pPr>
        <w:pStyle w:val="Heading1"/>
        <w:rPr>
          <w:rFonts w:ascii="Times New Roman" w:hAnsi="Times New Roman" w:cs="Times New Roman"/>
        </w:rPr>
      </w:pPr>
      <w:bookmarkStart w:id="6" w:name="_Toc232518514"/>
      <w:r w:rsidRPr="00F2765E">
        <w:rPr>
          <w:rFonts w:ascii="Times New Roman" w:hAnsi="Times New Roman" w:cs="Times New Roman"/>
        </w:rPr>
        <w:t xml:space="preserve">Conclusion and </w:t>
      </w:r>
      <w:r w:rsidR="0050406B">
        <w:rPr>
          <w:rFonts w:ascii="Times New Roman" w:hAnsi="Times New Roman" w:cs="Times New Roman"/>
        </w:rPr>
        <w:t>R</w:t>
      </w:r>
      <w:r w:rsidRPr="00F2765E">
        <w:rPr>
          <w:rFonts w:ascii="Times New Roman" w:hAnsi="Times New Roman" w:cs="Times New Roman"/>
        </w:rPr>
        <w:t>ecommendations</w:t>
      </w:r>
      <w:bookmarkEnd w:id="6"/>
      <w:r w:rsidRPr="00F2765E">
        <w:rPr>
          <w:rFonts w:ascii="Times New Roman" w:hAnsi="Times New Roman" w:cs="Times New Roman"/>
        </w:rPr>
        <w:t xml:space="preserve"> </w:t>
      </w:r>
    </w:p>
    <w:p w14:paraId="7CB09248" w14:textId="77777777" w:rsidR="00782232" w:rsidRDefault="00126B44" w:rsidP="7FA5C959">
      <w:pPr>
        <w:rPr>
          <w:rFonts w:ascii="Times New Roman" w:hAnsi="Times New Roman" w:cs="Times New Roman"/>
          <w:lang w:val="en-US"/>
        </w:rPr>
      </w:pPr>
      <w:r w:rsidRPr="7FA5C959">
        <w:rPr>
          <w:rFonts w:ascii="Times New Roman" w:hAnsi="Times New Roman" w:cs="Times New Roman"/>
          <w:lang w:val="en-US"/>
        </w:rPr>
        <w:t>The Report has emphasised that the implementation of management accounting can be very helpful in improving Netflix's decision making procedure for both strategy and operations. One of the world's largest streaming platforms, Netflix has a subscription model and a revenue stream from advertising; it is estimated that generated US$ 45.2 billion in 2025. The analysis revealed the main cost points of the company: the important investments in the production of content, technological infrastructure and marketing activities. Expenditures were mentioned as important for the School's operations and its long-term development and the share of operating expenditures increased by 11.45% between 2024 and 2025. It was determined that budgeting and financial planning were crucial components of curbing spending and fostering sustainable development (Jiang and Wen, 2022). The business also uses key performance indicators—both financial and non-financial—to measure performance and make business decisions about the strategy for the business. Moreover, Netflix’s dedication to sustainability and ethical business practices underscores the increasing significance of conducting sustainability and social assessments as part of financial decision making. Overall, Netflix's management accounting system is critical for helping the company remain profitable, efficient and competitive in the entertainment industry.</w:t>
      </w:r>
    </w:p>
    <w:p w14:paraId="1FC75B39" w14:textId="77777777" w:rsidR="0050406B" w:rsidRPr="00F2765E" w:rsidRDefault="0050406B" w:rsidP="7FA5C959">
      <w:pPr>
        <w:rPr>
          <w:rFonts w:ascii="Times New Roman" w:hAnsi="Times New Roman" w:cs="Times New Roman"/>
          <w:lang w:val="en-US"/>
        </w:rPr>
      </w:pPr>
    </w:p>
    <w:p w14:paraId="20E4181B" w14:textId="697D7D34" w:rsidR="0050406B" w:rsidRPr="00F2765E" w:rsidRDefault="00126B44">
      <w:pPr>
        <w:rPr>
          <w:rFonts w:ascii="Times New Roman" w:hAnsi="Times New Roman" w:cs="Times New Roman"/>
          <w:b/>
          <w:bCs/>
          <w:i/>
          <w:iCs/>
        </w:rPr>
      </w:pPr>
      <w:r w:rsidRPr="00F2765E">
        <w:rPr>
          <w:rFonts w:ascii="Times New Roman" w:hAnsi="Times New Roman" w:cs="Times New Roman"/>
          <w:b/>
          <w:bCs/>
          <w:i/>
          <w:iCs/>
        </w:rPr>
        <w:t>Recommendations</w:t>
      </w:r>
    </w:p>
    <w:p w14:paraId="2AAEE49A"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First is to make more effective use of activity-based budgeting methods to control costs and know what works and what doesn't when it comes to profitability of content projects, Netflix needs to do better. This would mean that management would be able to identify sections of stock that aren't working effectively and dedicate time and effort towards identifying new content that put them on a trajectory to achieve their objectives.</w:t>
      </w:r>
    </w:p>
    <w:p w14:paraId="1284B593" w14:textId="77777777"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lastRenderedPageBreak/>
        <w:t>Secondly, the company must continue to grow advertising-supported subscription in its target emerging market. These can be opportunities for revenue diversification and can attract price sensitive users, can drive subscription growth without compromising pricing and can educate users that they have alternatives to their own providers.</w:t>
      </w:r>
    </w:p>
    <w:p w14:paraId="083682C6" w14:textId="2294231E" w:rsidR="00782232" w:rsidRPr="00F2765E" w:rsidRDefault="00126B44" w:rsidP="7FA5C959">
      <w:pPr>
        <w:rPr>
          <w:rFonts w:ascii="Times New Roman" w:hAnsi="Times New Roman" w:cs="Times New Roman"/>
          <w:lang w:val="en-US"/>
        </w:rPr>
      </w:pPr>
      <w:r w:rsidRPr="7FA5C959">
        <w:rPr>
          <w:rFonts w:ascii="Times New Roman" w:hAnsi="Times New Roman" w:cs="Times New Roman"/>
          <w:lang w:val="en-US"/>
        </w:rPr>
        <w:t>Thirdly, Netflix should continue to leverage its advanced data analysis capabilities and artificial intelligence to increase its predictive capabilities,</w:t>
      </w:r>
      <w:r w:rsidR="0050406B">
        <w:rPr>
          <w:rFonts w:ascii="Times New Roman" w:hAnsi="Times New Roman" w:cs="Times New Roman"/>
          <w:lang w:val="en-US"/>
        </w:rPr>
        <w:t xml:space="preserve"> </w:t>
      </w:r>
      <w:r w:rsidRPr="7FA5C959">
        <w:rPr>
          <w:rFonts w:ascii="Times New Roman" w:hAnsi="Times New Roman" w:cs="Times New Roman"/>
          <w:lang w:val="en-US"/>
        </w:rPr>
        <w:t>and make better business decisions. Predictive analytics can help management to select the right content, retain customers, plan and allocate resources, and enhance overall financial outcomes and shareholder values in the long term.</w:t>
      </w:r>
      <w:r w:rsidRPr="7FA5C959">
        <w:rPr>
          <w:rFonts w:ascii="Times New Roman" w:hAnsi="Times New Roman" w:cs="Times New Roman"/>
          <w:lang w:val="en-US"/>
        </w:rPr>
        <w:br w:type="page"/>
      </w:r>
    </w:p>
    <w:p w14:paraId="2E43AC83" w14:textId="6B6CA816" w:rsidR="00782232" w:rsidRPr="00F2765E" w:rsidRDefault="00126B44">
      <w:pPr>
        <w:pStyle w:val="Heading1"/>
        <w:rPr>
          <w:rFonts w:ascii="Times New Roman" w:hAnsi="Times New Roman" w:cs="Times New Roman"/>
        </w:rPr>
      </w:pPr>
      <w:bookmarkStart w:id="7" w:name="_Toc232518515"/>
      <w:r w:rsidRPr="00F2765E">
        <w:rPr>
          <w:rFonts w:ascii="Times New Roman" w:hAnsi="Times New Roman" w:cs="Times New Roman"/>
        </w:rPr>
        <w:lastRenderedPageBreak/>
        <w:t>References</w:t>
      </w:r>
      <w:bookmarkEnd w:id="7"/>
    </w:p>
    <w:p w14:paraId="48C40BDE"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Analystlens (2025) </w:t>
      </w:r>
      <w:r w:rsidRPr="00F2765E">
        <w:rPr>
          <w:rFonts w:ascii="Times New Roman" w:hAnsi="Times New Roman" w:cs="Times New Roman"/>
          <w:i/>
          <w:iCs/>
          <w:lang w:val="en-IN"/>
        </w:rPr>
        <w:t>NETFLIX INC Annual Report, Year Ended Dec 31, 2024.</w:t>
      </w:r>
      <w:r w:rsidRPr="00F2765E">
        <w:rPr>
          <w:rFonts w:ascii="Times New Roman" w:hAnsi="Times New Roman" w:cs="Times New Roman"/>
          <w:lang w:val="en-IN"/>
        </w:rPr>
        <w:t xml:space="preserve"> Available at: </w:t>
      </w:r>
      <w:hyperlink r:id="rId11" w:history="1">
        <w:r w:rsidRPr="00F2765E">
          <w:rPr>
            <w:rStyle w:val="Hyperlink"/>
            <w:rFonts w:ascii="Times New Roman" w:hAnsi="Times New Roman" w:cs="Times New Roman"/>
            <w:color w:val="auto"/>
            <w:lang w:val="en-IN"/>
          </w:rPr>
          <w:t>https://www.analystlens.com/stocks/nflx/10k/fy2024</w:t>
        </w:r>
      </w:hyperlink>
      <w:r w:rsidRPr="00F2765E">
        <w:rPr>
          <w:rFonts w:ascii="Times New Roman" w:hAnsi="Times New Roman" w:cs="Times New Roman"/>
          <w:lang w:val="en-IN"/>
        </w:rPr>
        <w:t xml:space="preserve"> (Accessed: 16 June 2026).</w:t>
      </w:r>
    </w:p>
    <w:p w14:paraId="24082030"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Annual-statements (2024) </w:t>
      </w:r>
      <w:r w:rsidRPr="00F2765E">
        <w:rPr>
          <w:rFonts w:ascii="Times New Roman" w:hAnsi="Times New Roman" w:cs="Times New Roman"/>
          <w:i/>
          <w:iCs/>
          <w:lang w:val="en-IN"/>
        </w:rPr>
        <w:t>NETFLIX INC - Annual Report: 2024 (Form 10-K).</w:t>
      </w:r>
      <w:r w:rsidRPr="00F2765E">
        <w:rPr>
          <w:rFonts w:ascii="Times New Roman" w:hAnsi="Times New Roman" w:cs="Times New Roman"/>
          <w:lang w:val="en-IN"/>
        </w:rPr>
        <w:t xml:space="preserve"> Available at: </w:t>
      </w:r>
      <w:hyperlink r:id="rId12" w:history="1">
        <w:r w:rsidRPr="00F2765E">
          <w:rPr>
            <w:rStyle w:val="Hyperlink"/>
            <w:rFonts w:ascii="Times New Roman" w:hAnsi="Times New Roman" w:cs="Times New Roman"/>
            <w:color w:val="auto"/>
            <w:lang w:val="en-IN"/>
          </w:rPr>
          <w:t>https://annual-statements.com/company/netflix-inc/annual-report-2024-form-10k-369348</w:t>
        </w:r>
      </w:hyperlink>
      <w:r w:rsidRPr="00F2765E">
        <w:rPr>
          <w:rFonts w:ascii="Times New Roman" w:hAnsi="Times New Roman" w:cs="Times New Roman"/>
          <w:lang w:val="en-IN"/>
        </w:rPr>
        <w:t xml:space="preserve"> (Accessed: 16 June 2026).</w:t>
      </w:r>
    </w:p>
    <w:p w14:paraId="66C7916D" w14:textId="77777777" w:rsidR="00BD5022" w:rsidRPr="00F2765E" w:rsidRDefault="00BD5022" w:rsidP="7FA5C959">
      <w:pPr>
        <w:spacing w:before="240" w:after="240"/>
        <w:rPr>
          <w:rFonts w:ascii="Times New Roman" w:hAnsi="Times New Roman" w:cs="Times New Roman"/>
          <w:lang w:val="en-US"/>
        </w:rPr>
      </w:pPr>
      <w:r w:rsidRPr="7FA5C959">
        <w:rPr>
          <w:rFonts w:ascii="Times New Roman" w:hAnsi="Times New Roman" w:cs="Times New Roman"/>
          <w:lang w:val="en-US"/>
        </w:rPr>
        <w:t xml:space="preserve">Bhimani, A., Horngren, C.T., Datar, S.M. and Rajan, M.V. (2022) </w:t>
      </w:r>
      <w:r w:rsidRPr="7FA5C959">
        <w:rPr>
          <w:rFonts w:ascii="Times New Roman" w:hAnsi="Times New Roman" w:cs="Times New Roman"/>
          <w:i/>
          <w:iCs/>
          <w:lang w:val="en-US"/>
        </w:rPr>
        <w:t>Management and Cost Accounting</w:t>
      </w:r>
      <w:r w:rsidRPr="7FA5C959">
        <w:rPr>
          <w:rFonts w:ascii="Times New Roman" w:hAnsi="Times New Roman" w:cs="Times New Roman"/>
          <w:lang w:val="en-US"/>
        </w:rPr>
        <w:t>. 7th edn. Harlow: Pearson.</w:t>
      </w:r>
    </w:p>
    <w:p w14:paraId="1122E116"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Business of Apps (2026) Netflix Revenue and Usage Statistics (2026). Available at: </w:t>
      </w:r>
      <w:hyperlink r:id="rId13" w:history="1">
        <w:r w:rsidRPr="00F2765E">
          <w:rPr>
            <w:rStyle w:val="Hyperlink"/>
            <w:rFonts w:ascii="Times New Roman" w:hAnsi="Times New Roman" w:cs="Times New Roman"/>
            <w:color w:val="auto"/>
            <w:lang w:val="en-IN"/>
          </w:rPr>
          <w:t>https://www.businessofapps.com/data/netflix-statistics/</w:t>
        </w:r>
      </w:hyperlink>
      <w:r w:rsidRPr="00F2765E">
        <w:rPr>
          <w:rFonts w:ascii="Times New Roman" w:hAnsi="Times New Roman" w:cs="Times New Roman"/>
          <w:lang w:val="en-IN"/>
        </w:rPr>
        <w:t xml:space="preserve"> (Accessed: 16 June 2026).</w:t>
      </w:r>
    </w:p>
    <w:p w14:paraId="0221BE58" w14:textId="77777777" w:rsidR="00BD5022" w:rsidRPr="00F2765E" w:rsidRDefault="00BD5022" w:rsidP="7FA5C959">
      <w:pPr>
        <w:spacing w:before="240" w:after="240"/>
        <w:rPr>
          <w:rFonts w:ascii="Times New Roman" w:hAnsi="Times New Roman" w:cs="Times New Roman"/>
          <w:lang w:val="en-US"/>
        </w:rPr>
      </w:pPr>
      <w:r w:rsidRPr="7FA5C959">
        <w:rPr>
          <w:rFonts w:ascii="Times New Roman" w:hAnsi="Times New Roman" w:cs="Times New Roman"/>
          <w:lang w:val="en-US"/>
        </w:rPr>
        <w:t xml:space="preserve">Cinquini, L. and Tenucci, A. (2022) ‘Strategic management accounting and business strategy: A loose coupling?’, </w:t>
      </w:r>
      <w:r w:rsidRPr="7FA5C959">
        <w:rPr>
          <w:rFonts w:ascii="Times New Roman" w:hAnsi="Times New Roman" w:cs="Times New Roman"/>
          <w:i/>
          <w:iCs/>
          <w:lang w:val="en-US"/>
        </w:rPr>
        <w:t>Journal of Accounting &amp; Organizational Change</w:t>
      </w:r>
      <w:r w:rsidRPr="7FA5C959">
        <w:rPr>
          <w:rFonts w:ascii="Times New Roman" w:hAnsi="Times New Roman" w:cs="Times New Roman"/>
          <w:lang w:val="en-US"/>
        </w:rPr>
        <w:t>, 18(3), pp. 295–318.</w:t>
      </w:r>
    </w:p>
    <w:p w14:paraId="638FF608" w14:textId="77777777" w:rsidR="00BD5022" w:rsidRPr="00F2765E" w:rsidRDefault="00BD5022" w:rsidP="7FA5C959">
      <w:pPr>
        <w:spacing w:before="240" w:after="240"/>
        <w:rPr>
          <w:rFonts w:ascii="Times New Roman" w:hAnsi="Times New Roman" w:cs="Times New Roman"/>
          <w:lang w:val="en-US"/>
        </w:rPr>
      </w:pPr>
      <w:r w:rsidRPr="7FA5C959">
        <w:rPr>
          <w:rFonts w:ascii="Times New Roman" w:hAnsi="Times New Roman" w:cs="Times New Roman"/>
          <w:lang w:val="en-US"/>
        </w:rPr>
        <w:t xml:space="preserve">Drury, C. (2021) </w:t>
      </w:r>
      <w:r w:rsidRPr="7FA5C959">
        <w:rPr>
          <w:rFonts w:ascii="Times New Roman" w:hAnsi="Times New Roman" w:cs="Times New Roman"/>
          <w:i/>
          <w:iCs/>
          <w:lang w:val="en-US"/>
        </w:rPr>
        <w:t>Management and Cost Accounting</w:t>
      </w:r>
      <w:r w:rsidRPr="7FA5C959">
        <w:rPr>
          <w:rFonts w:ascii="Times New Roman" w:hAnsi="Times New Roman" w:cs="Times New Roman"/>
          <w:lang w:val="en-US"/>
        </w:rPr>
        <w:t>. 10th edn. Andover: Cengage Learning.</w:t>
      </w:r>
    </w:p>
    <w:p w14:paraId="24DE765D" w14:textId="77777777" w:rsidR="00BD5022" w:rsidRPr="00F2765E" w:rsidRDefault="00BD5022" w:rsidP="7FA5C959">
      <w:pPr>
        <w:spacing w:before="240" w:after="240"/>
        <w:rPr>
          <w:rFonts w:ascii="Times New Roman" w:hAnsi="Times New Roman" w:cs="Times New Roman"/>
          <w:lang w:val="en-US"/>
        </w:rPr>
      </w:pPr>
      <w:r w:rsidRPr="7FA5C959">
        <w:rPr>
          <w:rFonts w:ascii="Times New Roman" w:hAnsi="Times New Roman" w:cs="Times New Roman"/>
          <w:lang w:val="en-US"/>
        </w:rPr>
        <w:t xml:space="preserve">Jiang, Z. and Wen, H. (2022) ‘Cash flow management in subscription-based digital platforms: Evidence from streaming services’, </w:t>
      </w:r>
      <w:r w:rsidRPr="7FA5C959">
        <w:rPr>
          <w:rFonts w:ascii="Times New Roman" w:hAnsi="Times New Roman" w:cs="Times New Roman"/>
          <w:i/>
          <w:iCs/>
          <w:lang w:val="en-US"/>
        </w:rPr>
        <w:t>International Journal of Financial Studies</w:t>
      </w:r>
      <w:r w:rsidRPr="7FA5C959">
        <w:rPr>
          <w:rFonts w:ascii="Times New Roman" w:hAnsi="Times New Roman" w:cs="Times New Roman"/>
          <w:lang w:val="en-US"/>
        </w:rPr>
        <w:t>, 10(4), p. 89. Available at:</w:t>
      </w:r>
      <w:hyperlink r:id="rId14">
        <w:r w:rsidRPr="7FA5C959">
          <w:rPr>
            <w:rFonts w:ascii="Times New Roman" w:hAnsi="Times New Roman" w:cs="Times New Roman"/>
            <w:lang w:val="en-US"/>
          </w:rPr>
          <w:t xml:space="preserve"> </w:t>
        </w:r>
      </w:hyperlink>
      <w:hyperlink r:id="rId15">
        <w:r w:rsidRPr="7FA5C959">
          <w:rPr>
            <w:rFonts w:ascii="Times New Roman" w:hAnsi="Times New Roman" w:cs="Times New Roman"/>
            <w:u w:val="single"/>
            <w:lang w:val="en-US"/>
          </w:rPr>
          <w:t>https://doi.org/10.3390/ijfs10040089</w:t>
        </w:r>
      </w:hyperlink>
      <w:r w:rsidRPr="7FA5C959">
        <w:rPr>
          <w:rFonts w:ascii="Times New Roman" w:hAnsi="Times New Roman" w:cs="Times New Roman"/>
          <w:lang w:val="en-US"/>
        </w:rPr>
        <w:t xml:space="preserve"> (Accessed: 14 June 2026).</w:t>
      </w:r>
    </w:p>
    <w:p w14:paraId="056F9605"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Mazzucato, M. and Kattel, R. (2020) ‘COVID-19 and public-sector capacity’, </w:t>
      </w:r>
      <w:r w:rsidRPr="00F2765E">
        <w:rPr>
          <w:rFonts w:ascii="Times New Roman" w:hAnsi="Times New Roman" w:cs="Times New Roman"/>
          <w:i/>
          <w:iCs/>
        </w:rPr>
        <w:t>Oxford Review of Economic Policy</w:t>
      </w:r>
      <w:r w:rsidRPr="00F2765E">
        <w:rPr>
          <w:rFonts w:ascii="Times New Roman" w:hAnsi="Times New Roman" w:cs="Times New Roman"/>
        </w:rPr>
        <w:t>, 36(S1), pp. S256–S269.</w:t>
      </w:r>
    </w:p>
    <w:p w14:paraId="24DAF531"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Netflix (2023) </w:t>
      </w:r>
      <w:r w:rsidRPr="00F2765E">
        <w:rPr>
          <w:rFonts w:ascii="Times New Roman" w:hAnsi="Times New Roman" w:cs="Times New Roman"/>
          <w:i/>
          <w:iCs/>
        </w:rPr>
        <w:t>Q2 2023 Shareholder Letter</w:t>
      </w:r>
      <w:r w:rsidRPr="00F2765E">
        <w:rPr>
          <w:rFonts w:ascii="Times New Roman" w:hAnsi="Times New Roman" w:cs="Times New Roman"/>
        </w:rPr>
        <w:t>. Available at:</w:t>
      </w:r>
      <w:hyperlink r:id="rId16">
        <w:r w:rsidRPr="00F2765E">
          <w:rPr>
            <w:rFonts w:ascii="Times New Roman" w:hAnsi="Times New Roman" w:cs="Times New Roman"/>
          </w:rPr>
          <w:t xml:space="preserve"> </w:t>
        </w:r>
      </w:hyperlink>
      <w:hyperlink r:id="rId17">
        <w:r w:rsidRPr="00F2765E">
          <w:rPr>
            <w:rFonts w:ascii="Times New Roman" w:hAnsi="Times New Roman" w:cs="Times New Roman"/>
            <w:u w:val="single"/>
          </w:rPr>
          <w:t>https://s22.q4cdn.com/959853165/files/doc_earnings/2023/q2/FINAL-Q2-23-Shareholder-Letter.pdf</w:t>
        </w:r>
      </w:hyperlink>
      <w:r w:rsidRPr="00F2765E">
        <w:rPr>
          <w:rFonts w:ascii="Times New Roman" w:hAnsi="Times New Roman" w:cs="Times New Roman"/>
        </w:rPr>
        <w:t xml:space="preserve"> (Accessed: 14 June 2026).</w:t>
      </w:r>
    </w:p>
    <w:p w14:paraId="7EFD1531"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Netflix (2024a) </w:t>
      </w:r>
      <w:r w:rsidRPr="00F2765E">
        <w:rPr>
          <w:rFonts w:ascii="Times New Roman" w:hAnsi="Times New Roman" w:cs="Times New Roman"/>
          <w:i/>
          <w:iCs/>
        </w:rPr>
        <w:t>Q2 2024 Shareholder Letter</w:t>
      </w:r>
      <w:r w:rsidRPr="00F2765E">
        <w:rPr>
          <w:rFonts w:ascii="Times New Roman" w:hAnsi="Times New Roman" w:cs="Times New Roman"/>
        </w:rPr>
        <w:t>. Available at:</w:t>
      </w:r>
      <w:hyperlink r:id="rId18">
        <w:r w:rsidRPr="00F2765E">
          <w:rPr>
            <w:rFonts w:ascii="Times New Roman" w:hAnsi="Times New Roman" w:cs="Times New Roman"/>
          </w:rPr>
          <w:t xml:space="preserve"> </w:t>
        </w:r>
      </w:hyperlink>
      <w:hyperlink r:id="rId19">
        <w:r w:rsidRPr="00F2765E">
          <w:rPr>
            <w:rFonts w:ascii="Times New Roman" w:hAnsi="Times New Roman" w:cs="Times New Roman"/>
            <w:u w:val="single"/>
          </w:rPr>
          <w:t>https://s22.q4cdn.com/959853165/files/doc_earnings/2024/q2/FINAL-Q2-24-Shareholder-Letter.pdf</w:t>
        </w:r>
      </w:hyperlink>
      <w:r w:rsidRPr="00F2765E">
        <w:rPr>
          <w:rFonts w:ascii="Times New Roman" w:hAnsi="Times New Roman" w:cs="Times New Roman"/>
        </w:rPr>
        <w:t xml:space="preserve"> (Accessed: 14 June 2026).</w:t>
      </w:r>
    </w:p>
    <w:p w14:paraId="4E22E213"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lastRenderedPageBreak/>
        <w:t xml:space="preserve">Netflix (2024b) </w:t>
      </w:r>
      <w:r w:rsidRPr="00F2765E">
        <w:rPr>
          <w:rFonts w:ascii="Times New Roman" w:hAnsi="Times New Roman" w:cs="Times New Roman"/>
          <w:i/>
          <w:iCs/>
        </w:rPr>
        <w:t>Q4 2023 Shareholder Letter</w:t>
      </w:r>
      <w:r w:rsidRPr="00F2765E">
        <w:rPr>
          <w:rFonts w:ascii="Times New Roman" w:hAnsi="Times New Roman" w:cs="Times New Roman"/>
        </w:rPr>
        <w:t>. Available at:</w:t>
      </w:r>
      <w:hyperlink r:id="rId20">
        <w:r w:rsidRPr="00F2765E">
          <w:rPr>
            <w:rFonts w:ascii="Times New Roman" w:hAnsi="Times New Roman" w:cs="Times New Roman"/>
          </w:rPr>
          <w:t xml:space="preserve"> </w:t>
        </w:r>
      </w:hyperlink>
      <w:hyperlink r:id="rId21">
        <w:r w:rsidRPr="00F2765E">
          <w:rPr>
            <w:rFonts w:ascii="Times New Roman" w:hAnsi="Times New Roman" w:cs="Times New Roman"/>
            <w:u w:val="single"/>
          </w:rPr>
          <w:t>https://s22.q4cdn.com/959853165/files/doc_earnings/2023/q4/FINAL-Q4-23-Shareholder-Letter.pdf</w:t>
        </w:r>
      </w:hyperlink>
      <w:r w:rsidRPr="00F2765E">
        <w:rPr>
          <w:rFonts w:ascii="Times New Roman" w:hAnsi="Times New Roman" w:cs="Times New Roman"/>
        </w:rPr>
        <w:t xml:space="preserve"> (Accessed: 14 June 2026).</w:t>
      </w:r>
    </w:p>
    <w:p w14:paraId="2B47D4AF"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Netflix (2024c) </w:t>
      </w:r>
      <w:r w:rsidRPr="00F2765E">
        <w:rPr>
          <w:rFonts w:ascii="Times New Roman" w:hAnsi="Times New Roman" w:cs="Times New Roman"/>
          <w:i/>
          <w:iCs/>
        </w:rPr>
        <w:t>Form 10-Q for the Quarter Ended 30 September 2024</w:t>
      </w:r>
      <w:r w:rsidRPr="00F2765E">
        <w:rPr>
          <w:rFonts w:ascii="Times New Roman" w:hAnsi="Times New Roman" w:cs="Times New Roman"/>
        </w:rPr>
        <w:t>. Available at:</w:t>
      </w:r>
      <w:hyperlink r:id="rId22">
        <w:r w:rsidRPr="00F2765E">
          <w:rPr>
            <w:rFonts w:ascii="Times New Roman" w:hAnsi="Times New Roman" w:cs="Times New Roman"/>
          </w:rPr>
          <w:t xml:space="preserve"> </w:t>
        </w:r>
      </w:hyperlink>
      <w:hyperlink r:id="rId23">
        <w:r w:rsidRPr="00F2765E">
          <w:rPr>
            <w:rFonts w:ascii="Times New Roman" w:hAnsi="Times New Roman" w:cs="Times New Roman"/>
            <w:u w:val="single"/>
          </w:rPr>
          <w:t>https://s22.q4cdn.com/959853165/files/doc_financials/2024/q3/nflx-20240930.htm</w:t>
        </w:r>
      </w:hyperlink>
      <w:r w:rsidRPr="00F2765E">
        <w:rPr>
          <w:rFonts w:ascii="Times New Roman" w:hAnsi="Times New Roman" w:cs="Times New Roman"/>
        </w:rPr>
        <w:t xml:space="preserve"> (Accessed: 14 June 2026).</w:t>
      </w:r>
    </w:p>
    <w:p w14:paraId="7DB718FC"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Netflix (2024d) </w:t>
      </w:r>
      <w:r w:rsidRPr="00F2765E">
        <w:rPr>
          <w:rFonts w:ascii="Times New Roman" w:hAnsi="Times New Roman" w:cs="Times New Roman"/>
          <w:i/>
          <w:iCs/>
        </w:rPr>
        <w:t>Q3 2024 Shareholder Letter</w:t>
      </w:r>
      <w:r w:rsidRPr="00F2765E">
        <w:rPr>
          <w:rFonts w:ascii="Times New Roman" w:hAnsi="Times New Roman" w:cs="Times New Roman"/>
        </w:rPr>
        <w:t>. Available at:</w:t>
      </w:r>
      <w:hyperlink r:id="rId24">
        <w:r w:rsidRPr="00F2765E">
          <w:rPr>
            <w:rFonts w:ascii="Times New Roman" w:hAnsi="Times New Roman" w:cs="Times New Roman"/>
          </w:rPr>
          <w:t xml:space="preserve"> </w:t>
        </w:r>
      </w:hyperlink>
      <w:hyperlink r:id="rId25">
        <w:r w:rsidRPr="00F2765E">
          <w:rPr>
            <w:rFonts w:ascii="Times New Roman" w:hAnsi="Times New Roman" w:cs="Times New Roman"/>
            <w:u w:val="single"/>
          </w:rPr>
          <w:t>https://s22.q4cdn.com/959853165/files/doc_earnings/2024/q3/FINAL-Q3-24-Shareholder-Letter.pdf</w:t>
        </w:r>
      </w:hyperlink>
      <w:r w:rsidRPr="00F2765E">
        <w:rPr>
          <w:rFonts w:ascii="Times New Roman" w:hAnsi="Times New Roman" w:cs="Times New Roman"/>
        </w:rPr>
        <w:t xml:space="preserve"> (Accessed: 14 June 2026).</w:t>
      </w:r>
    </w:p>
    <w:p w14:paraId="74466C76"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Netflix (2025) </w:t>
      </w:r>
      <w:r w:rsidRPr="00F2765E">
        <w:rPr>
          <w:rFonts w:ascii="Times New Roman" w:hAnsi="Times New Roman" w:cs="Times New Roman"/>
          <w:i/>
          <w:iCs/>
          <w:lang w:val="en-IN"/>
        </w:rPr>
        <w:t>Annual Reports &amp; Proxies.</w:t>
      </w:r>
      <w:r w:rsidRPr="00F2765E">
        <w:rPr>
          <w:rFonts w:ascii="Times New Roman" w:hAnsi="Times New Roman" w:cs="Times New Roman"/>
          <w:lang w:val="en-IN"/>
        </w:rPr>
        <w:t xml:space="preserve"> Available at: </w:t>
      </w:r>
      <w:hyperlink r:id="rId26" w:history="1">
        <w:r w:rsidRPr="00F2765E">
          <w:rPr>
            <w:rStyle w:val="Hyperlink"/>
            <w:rFonts w:ascii="Times New Roman" w:hAnsi="Times New Roman" w:cs="Times New Roman"/>
            <w:color w:val="auto"/>
            <w:lang w:val="en-IN"/>
          </w:rPr>
          <w:t>https://ir.netflix.net/financials/annual-reports-and-proxies/default.aspx</w:t>
        </w:r>
      </w:hyperlink>
      <w:r w:rsidRPr="00F2765E">
        <w:rPr>
          <w:rFonts w:ascii="Times New Roman" w:hAnsi="Times New Roman" w:cs="Times New Roman"/>
          <w:lang w:val="en-IN"/>
        </w:rPr>
        <w:t xml:space="preserve"> (Accessed: 16 June 2026).</w:t>
      </w:r>
    </w:p>
    <w:p w14:paraId="4CBBE0E1" w14:textId="77777777" w:rsidR="00BD5022" w:rsidRPr="00F2765E" w:rsidRDefault="00BD5022" w:rsidP="00386967">
      <w:pPr>
        <w:spacing w:before="240" w:after="240"/>
        <w:rPr>
          <w:rFonts w:ascii="Times New Roman" w:hAnsi="Times New Roman" w:cs="Times New Roman"/>
        </w:rPr>
      </w:pPr>
      <w:r w:rsidRPr="00F2765E">
        <w:rPr>
          <w:rFonts w:ascii="Times New Roman" w:hAnsi="Times New Roman" w:cs="Times New Roman"/>
        </w:rPr>
        <w:t xml:space="preserve">Netflix (2025a) </w:t>
      </w:r>
      <w:r w:rsidRPr="00F2765E">
        <w:rPr>
          <w:rFonts w:ascii="Times New Roman" w:hAnsi="Times New Roman" w:cs="Times New Roman"/>
          <w:i/>
          <w:iCs/>
        </w:rPr>
        <w:t>Form 10-K for the Year Ended 31 December 2024</w:t>
      </w:r>
      <w:r w:rsidRPr="00F2765E">
        <w:rPr>
          <w:rFonts w:ascii="Times New Roman" w:hAnsi="Times New Roman" w:cs="Times New Roman"/>
        </w:rPr>
        <w:t>. Available at:</w:t>
      </w:r>
      <w:hyperlink r:id="rId27">
        <w:r w:rsidRPr="00F2765E">
          <w:rPr>
            <w:rFonts w:ascii="Times New Roman" w:hAnsi="Times New Roman" w:cs="Times New Roman"/>
          </w:rPr>
          <w:t xml:space="preserve"> </w:t>
        </w:r>
      </w:hyperlink>
      <w:hyperlink r:id="rId28">
        <w:r w:rsidRPr="00F2765E">
          <w:rPr>
            <w:rFonts w:ascii="Times New Roman" w:hAnsi="Times New Roman" w:cs="Times New Roman"/>
            <w:u w:val="single"/>
          </w:rPr>
          <w:t>https://s22.q4cdn.com/959853165/files/doc_financials/2024/ar/nflx-20241231.htm</w:t>
        </w:r>
      </w:hyperlink>
      <w:r w:rsidRPr="00F2765E">
        <w:rPr>
          <w:rFonts w:ascii="Times New Roman" w:hAnsi="Times New Roman" w:cs="Times New Roman"/>
        </w:rPr>
        <w:t xml:space="preserve"> (Accessed: 14 June 2026).</w:t>
      </w:r>
    </w:p>
    <w:p w14:paraId="5EAEF4DF"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Netflix (2026) </w:t>
      </w:r>
      <w:r w:rsidRPr="00F2765E">
        <w:rPr>
          <w:rFonts w:ascii="Times New Roman" w:hAnsi="Times New Roman" w:cs="Times New Roman"/>
          <w:i/>
          <w:iCs/>
          <w:lang w:val="en-IN"/>
        </w:rPr>
        <w:t>Company Profile.</w:t>
      </w:r>
      <w:r w:rsidRPr="00F2765E">
        <w:rPr>
          <w:rFonts w:ascii="Times New Roman" w:hAnsi="Times New Roman" w:cs="Times New Roman"/>
          <w:lang w:val="en-IN"/>
        </w:rPr>
        <w:t xml:space="preserve"> Available at: </w:t>
      </w:r>
      <w:hyperlink r:id="rId29" w:history="1">
        <w:r w:rsidRPr="00F2765E">
          <w:rPr>
            <w:rStyle w:val="Hyperlink"/>
            <w:rFonts w:ascii="Times New Roman" w:hAnsi="Times New Roman" w:cs="Times New Roman"/>
            <w:color w:val="auto"/>
            <w:lang w:val="en-IN"/>
          </w:rPr>
          <w:t>https://ir.netflix.net/ir-overview/profile/default.aspx</w:t>
        </w:r>
      </w:hyperlink>
      <w:r w:rsidRPr="00F2765E">
        <w:rPr>
          <w:rFonts w:ascii="Times New Roman" w:hAnsi="Times New Roman" w:cs="Times New Roman"/>
          <w:lang w:val="en-IN"/>
        </w:rPr>
        <w:t xml:space="preserve"> (Accessed: 16 June 2026).</w:t>
      </w:r>
    </w:p>
    <w:p w14:paraId="78F506BE"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Netflix (2026) </w:t>
      </w:r>
      <w:r w:rsidRPr="00F2765E">
        <w:rPr>
          <w:rFonts w:ascii="Times New Roman" w:hAnsi="Times New Roman" w:cs="Times New Roman"/>
          <w:i/>
          <w:iCs/>
          <w:lang w:val="en-IN"/>
        </w:rPr>
        <w:t>Plans and Pricing.</w:t>
      </w:r>
      <w:r w:rsidRPr="00F2765E">
        <w:rPr>
          <w:rFonts w:ascii="Times New Roman" w:hAnsi="Times New Roman" w:cs="Times New Roman"/>
          <w:lang w:val="en-IN"/>
        </w:rPr>
        <w:t xml:space="preserve"> Available at: </w:t>
      </w:r>
      <w:hyperlink r:id="rId30" w:history="1">
        <w:r w:rsidRPr="00F2765E">
          <w:rPr>
            <w:rStyle w:val="Hyperlink"/>
            <w:rFonts w:ascii="Times New Roman" w:hAnsi="Times New Roman" w:cs="Times New Roman"/>
            <w:color w:val="auto"/>
            <w:lang w:val="en-IN"/>
          </w:rPr>
          <w:t>https://help.netflix.com/en/node/24926</w:t>
        </w:r>
      </w:hyperlink>
      <w:r w:rsidRPr="00F2765E">
        <w:rPr>
          <w:rFonts w:ascii="Times New Roman" w:hAnsi="Times New Roman" w:cs="Times New Roman"/>
          <w:lang w:val="en-IN"/>
        </w:rPr>
        <w:t xml:space="preserve"> (Accessed: 16 June 2026).</w:t>
      </w:r>
    </w:p>
    <w:p w14:paraId="6B10B144"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Visuwire (2026) </w:t>
      </w:r>
      <w:r w:rsidRPr="00F2765E">
        <w:rPr>
          <w:rFonts w:ascii="Times New Roman" w:hAnsi="Times New Roman" w:cs="Times New Roman"/>
          <w:i/>
          <w:iCs/>
          <w:lang w:val="en-IN"/>
        </w:rPr>
        <w:t>How Netflix Makes its Money: Revenue Breakdown (FY2024 + Q1 2026).</w:t>
      </w:r>
      <w:r w:rsidRPr="00F2765E">
        <w:rPr>
          <w:rFonts w:ascii="Times New Roman" w:hAnsi="Times New Roman" w:cs="Times New Roman"/>
          <w:lang w:val="en-IN"/>
        </w:rPr>
        <w:t xml:space="preserve"> Available at: </w:t>
      </w:r>
      <w:hyperlink r:id="rId31" w:history="1">
        <w:r w:rsidRPr="00F2765E">
          <w:rPr>
            <w:rStyle w:val="Hyperlink"/>
            <w:rFonts w:ascii="Times New Roman" w:hAnsi="Times New Roman" w:cs="Times New Roman"/>
            <w:color w:val="auto"/>
            <w:lang w:val="en-IN"/>
          </w:rPr>
          <w:t>https://visuwire.com/companies/netflix/</w:t>
        </w:r>
      </w:hyperlink>
      <w:r w:rsidRPr="00F2765E">
        <w:rPr>
          <w:rFonts w:ascii="Times New Roman" w:hAnsi="Times New Roman" w:cs="Times New Roman"/>
          <w:lang w:val="en-IN"/>
        </w:rPr>
        <w:t xml:space="preserve"> (Accessed: 16 June 2026).</w:t>
      </w:r>
    </w:p>
    <w:p w14:paraId="7A6D5C7C" w14:textId="77777777" w:rsidR="00BD5022" w:rsidRPr="00F2765E" w:rsidRDefault="00BD5022" w:rsidP="00386967">
      <w:pPr>
        <w:spacing w:before="240" w:after="240"/>
        <w:rPr>
          <w:rFonts w:ascii="Times New Roman" w:hAnsi="Times New Roman" w:cs="Times New Roman"/>
          <w:lang w:val="en-IN"/>
        </w:rPr>
      </w:pPr>
      <w:r w:rsidRPr="00F2765E">
        <w:rPr>
          <w:rFonts w:ascii="Times New Roman" w:hAnsi="Times New Roman" w:cs="Times New Roman"/>
          <w:lang w:val="en-IN"/>
        </w:rPr>
        <w:t xml:space="preserve">X (2025) </w:t>
      </w:r>
      <w:r w:rsidRPr="00F2765E">
        <w:rPr>
          <w:rFonts w:ascii="Times New Roman" w:hAnsi="Times New Roman" w:cs="Times New Roman"/>
          <w:i/>
          <w:iCs/>
          <w:lang w:val="en-IN"/>
        </w:rPr>
        <w:t>Netflix closed 2024 with 301.6 million paid subscribers.</w:t>
      </w:r>
      <w:r w:rsidRPr="00F2765E">
        <w:rPr>
          <w:rFonts w:ascii="Times New Roman" w:hAnsi="Times New Roman" w:cs="Times New Roman"/>
          <w:lang w:val="en-IN"/>
        </w:rPr>
        <w:t xml:space="preserve"> Available at: </w:t>
      </w:r>
      <w:hyperlink r:id="rId32" w:history="1">
        <w:r w:rsidRPr="00F2765E">
          <w:rPr>
            <w:rStyle w:val="Hyperlink"/>
            <w:rFonts w:ascii="Times New Roman" w:hAnsi="Times New Roman" w:cs="Times New Roman"/>
            <w:color w:val="auto"/>
            <w:lang w:val="en-IN"/>
          </w:rPr>
          <w:t>https://x.com/kuwaittimesnews/status/1897954344676311293</w:t>
        </w:r>
      </w:hyperlink>
      <w:r w:rsidRPr="00F2765E">
        <w:rPr>
          <w:rFonts w:ascii="Times New Roman" w:hAnsi="Times New Roman" w:cs="Times New Roman"/>
          <w:lang w:val="en-IN"/>
        </w:rPr>
        <w:t xml:space="preserve"> (Accessed: 16 June 2026).</w:t>
      </w:r>
    </w:p>
    <w:p w14:paraId="16EF687A" w14:textId="77777777" w:rsidR="00782232" w:rsidRPr="00F2765E" w:rsidRDefault="00126B44" w:rsidP="00BD5022">
      <w:pPr>
        <w:rPr>
          <w:rFonts w:ascii="Times New Roman" w:hAnsi="Times New Roman" w:cs="Times New Roman"/>
        </w:rPr>
      </w:pPr>
      <w:r w:rsidRPr="00F2765E">
        <w:rPr>
          <w:rFonts w:ascii="Times New Roman" w:hAnsi="Times New Roman" w:cs="Times New Roman"/>
        </w:rPr>
        <w:br w:type="page"/>
      </w:r>
    </w:p>
    <w:p w14:paraId="7987C30B" w14:textId="77777777" w:rsidR="00782232" w:rsidRPr="00F2765E" w:rsidRDefault="00126B44">
      <w:pPr>
        <w:pStyle w:val="Heading1"/>
        <w:rPr>
          <w:rFonts w:ascii="Times New Roman" w:hAnsi="Times New Roman" w:cs="Times New Roman"/>
        </w:rPr>
      </w:pPr>
      <w:bookmarkStart w:id="8" w:name="_Toc232518516"/>
      <w:r w:rsidRPr="00F2765E">
        <w:rPr>
          <w:rFonts w:ascii="Times New Roman" w:hAnsi="Times New Roman" w:cs="Times New Roman"/>
        </w:rPr>
        <w:lastRenderedPageBreak/>
        <w:t>Appendices</w:t>
      </w:r>
      <w:bookmarkEnd w:id="8"/>
    </w:p>
    <w:p w14:paraId="68527C13" w14:textId="77777777" w:rsidR="00782232" w:rsidRPr="00F2765E" w:rsidRDefault="00126B44">
      <w:pPr>
        <w:pStyle w:val="Heading3"/>
        <w:keepNext w:val="0"/>
        <w:keepLines w:val="0"/>
        <w:spacing w:before="280"/>
        <w:rPr>
          <w:rFonts w:ascii="Times New Roman" w:hAnsi="Times New Roman" w:cs="Times New Roman"/>
          <w:b/>
          <w:bCs/>
          <w:color w:val="auto"/>
          <w:sz w:val="26"/>
          <w:szCs w:val="26"/>
        </w:rPr>
      </w:pPr>
      <w:bookmarkStart w:id="9" w:name="_Toc232518517"/>
      <w:r w:rsidRPr="00F2765E">
        <w:rPr>
          <w:rFonts w:ascii="Times New Roman" w:hAnsi="Times New Roman" w:cs="Times New Roman"/>
          <w:b/>
          <w:bCs/>
          <w:color w:val="auto"/>
          <w:sz w:val="26"/>
          <w:szCs w:val="26"/>
        </w:rPr>
        <w:t>Year-on-Year Operating Expense Analysis</w:t>
      </w:r>
      <w:bookmarkEnd w:id="9"/>
    </w:p>
    <w:tbl>
      <w:tblPr>
        <w:tblStyle w:val="a"/>
        <w:tblW w:w="936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2013"/>
        <w:gridCol w:w="1942"/>
        <w:gridCol w:w="1942"/>
        <w:gridCol w:w="2216"/>
        <w:gridCol w:w="1247"/>
      </w:tblGrid>
      <w:tr w:rsidR="00782232" w:rsidRPr="00F2765E" w14:paraId="5AE26FE8" w14:textId="77777777">
        <w:trPr>
          <w:trHeight w:val="770"/>
        </w:trPr>
        <w:tc>
          <w:tcPr>
            <w:tcW w:w="2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6EC124"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Item</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F44C8F"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2024 (US$ Billion)</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29D28E"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2025 (US$ Billion)</w:t>
            </w:r>
          </w:p>
        </w:tc>
        <w:tc>
          <w:tcPr>
            <w:tcW w:w="2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7F6BCD"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Change (US$ Billion)</w:t>
            </w:r>
          </w:p>
        </w:tc>
        <w:tc>
          <w:tcPr>
            <w:tcW w:w="12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57659F"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 Change</w:t>
            </w:r>
          </w:p>
        </w:tc>
      </w:tr>
      <w:tr w:rsidR="00782232" w:rsidRPr="00F2765E" w14:paraId="6686C90A" w14:textId="77777777">
        <w:trPr>
          <w:trHeight w:val="500"/>
        </w:trPr>
        <w:tc>
          <w:tcPr>
            <w:tcW w:w="2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EC0DBE" w14:textId="77777777" w:rsidR="00782232" w:rsidRPr="00F2765E" w:rsidRDefault="00126B44">
            <w:pPr>
              <w:rPr>
                <w:rFonts w:ascii="Times New Roman" w:hAnsi="Times New Roman" w:cs="Times New Roman"/>
              </w:rPr>
            </w:pPr>
            <w:r w:rsidRPr="00F2765E">
              <w:rPr>
                <w:rFonts w:ascii="Times New Roman" w:hAnsi="Times New Roman" w:cs="Times New Roman"/>
              </w:rPr>
              <w:t>Revenue</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81287" w14:textId="77777777" w:rsidR="00782232" w:rsidRPr="00F2765E" w:rsidRDefault="00126B44">
            <w:pPr>
              <w:rPr>
                <w:rFonts w:ascii="Times New Roman" w:hAnsi="Times New Roman" w:cs="Times New Roman"/>
              </w:rPr>
            </w:pPr>
            <w:r w:rsidRPr="00F2765E">
              <w:rPr>
                <w:rFonts w:ascii="Times New Roman" w:hAnsi="Times New Roman" w:cs="Times New Roman"/>
              </w:rPr>
              <w:t>39.001</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4BC373" w14:textId="77777777" w:rsidR="00782232" w:rsidRPr="00F2765E" w:rsidRDefault="00126B44">
            <w:pPr>
              <w:rPr>
                <w:rFonts w:ascii="Times New Roman" w:hAnsi="Times New Roman" w:cs="Times New Roman"/>
              </w:rPr>
            </w:pPr>
            <w:r w:rsidRPr="00F2765E">
              <w:rPr>
                <w:rFonts w:ascii="Times New Roman" w:hAnsi="Times New Roman" w:cs="Times New Roman"/>
              </w:rPr>
              <w:t>45.183</w:t>
            </w:r>
          </w:p>
        </w:tc>
        <w:tc>
          <w:tcPr>
            <w:tcW w:w="2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95D6A9" w14:textId="77777777" w:rsidR="00782232" w:rsidRPr="00F2765E" w:rsidRDefault="00126B44">
            <w:pPr>
              <w:rPr>
                <w:rFonts w:ascii="Times New Roman" w:hAnsi="Times New Roman" w:cs="Times New Roman"/>
              </w:rPr>
            </w:pPr>
            <w:r w:rsidRPr="00F2765E">
              <w:rPr>
                <w:rFonts w:ascii="Times New Roman" w:hAnsi="Times New Roman" w:cs="Times New Roman"/>
              </w:rPr>
              <w:t>6.182</w:t>
            </w:r>
          </w:p>
        </w:tc>
        <w:tc>
          <w:tcPr>
            <w:tcW w:w="12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5900F6" w14:textId="77777777" w:rsidR="00782232" w:rsidRPr="00F2765E" w:rsidRDefault="00126B44">
            <w:pPr>
              <w:rPr>
                <w:rFonts w:ascii="Times New Roman" w:hAnsi="Times New Roman" w:cs="Times New Roman"/>
              </w:rPr>
            </w:pPr>
            <w:r w:rsidRPr="00F2765E">
              <w:rPr>
                <w:rFonts w:ascii="Times New Roman" w:hAnsi="Times New Roman" w:cs="Times New Roman"/>
              </w:rPr>
              <w:t>15.85%</w:t>
            </w:r>
          </w:p>
        </w:tc>
      </w:tr>
      <w:tr w:rsidR="00782232" w:rsidRPr="00F2765E" w14:paraId="440FE417" w14:textId="77777777">
        <w:trPr>
          <w:trHeight w:val="770"/>
        </w:trPr>
        <w:tc>
          <w:tcPr>
            <w:tcW w:w="2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B5F38" w14:textId="77777777" w:rsidR="00782232" w:rsidRPr="00F2765E" w:rsidRDefault="00126B44">
            <w:pPr>
              <w:rPr>
                <w:rFonts w:ascii="Times New Roman" w:hAnsi="Times New Roman" w:cs="Times New Roman"/>
              </w:rPr>
            </w:pPr>
            <w:r w:rsidRPr="00F2765E">
              <w:rPr>
                <w:rFonts w:ascii="Times New Roman" w:hAnsi="Times New Roman" w:cs="Times New Roman"/>
              </w:rPr>
              <w:t>Operating Expenses</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E0D857" w14:textId="77777777" w:rsidR="00782232" w:rsidRPr="00F2765E" w:rsidRDefault="00126B44">
            <w:pPr>
              <w:rPr>
                <w:rFonts w:ascii="Times New Roman" w:hAnsi="Times New Roman" w:cs="Times New Roman"/>
              </w:rPr>
            </w:pPr>
            <w:r w:rsidRPr="00F2765E">
              <w:rPr>
                <w:rFonts w:ascii="Times New Roman" w:hAnsi="Times New Roman" w:cs="Times New Roman"/>
              </w:rPr>
              <w:t>28.583</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D831CA" w14:textId="77777777" w:rsidR="00782232" w:rsidRPr="00F2765E" w:rsidRDefault="00126B44">
            <w:pPr>
              <w:rPr>
                <w:rFonts w:ascii="Times New Roman" w:hAnsi="Times New Roman" w:cs="Times New Roman"/>
              </w:rPr>
            </w:pPr>
            <w:r w:rsidRPr="00F2765E">
              <w:rPr>
                <w:rFonts w:ascii="Times New Roman" w:hAnsi="Times New Roman" w:cs="Times New Roman"/>
              </w:rPr>
              <w:t>31.856</w:t>
            </w:r>
          </w:p>
        </w:tc>
        <w:tc>
          <w:tcPr>
            <w:tcW w:w="2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FABDFE" w14:textId="77777777" w:rsidR="00782232" w:rsidRPr="00F2765E" w:rsidRDefault="00126B44">
            <w:pPr>
              <w:rPr>
                <w:rFonts w:ascii="Times New Roman" w:hAnsi="Times New Roman" w:cs="Times New Roman"/>
              </w:rPr>
            </w:pPr>
            <w:r w:rsidRPr="00F2765E">
              <w:rPr>
                <w:rFonts w:ascii="Times New Roman" w:hAnsi="Times New Roman" w:cs="Times New Roman"/>
              </w:rPr>
              <w:t>3.273</w:t>
            </w:r>
          </w:p>
        </w:tc>
        <w:tc>
          <w:tcPr>
            <w:tcW w:w="12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57882D" w14:textId="77777777" w:rsidR="00782232" w:rsidRPr="00F2765E" w:rsidRDefault="00126B44">
            <w:pPr>
              <w:rPr>
                <w:rFonts w:ascii="Times New Roman" w:hAnsi="Times New Roman" w:cs="Times New Roman"/>
              </w:rPr>
            </w:pPr>
            <w:r w:rsidRPr="00F2765E">
              <w:rPr>
                <w:rFonts w:ascii="Times New Roman" w:hAnsi="Times New Roman" w:cs="Times New Roman"/>
              </w:rPr>
              <w:t>11.45%</w:t>
            </w:r>
          </w:p>
        </w:tc>
      </w:tr>
      <w:tr w:rsidR="00782232" w:rsidRPr="00F2765E" w14:paraId="5F149303" w14:textId="77777777">
        <w:trPr>
          <w:trHeight w:val="500"/>
        </w:trPr>
        <w:tc>
          <w:tcPr>
            <w:tcW w:w="2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AE139C" w14:textId="77777777" w:rsidR="00782232" w:rsidRPr="00F2765E" w:rsidRDefault="00126B44">
            <w:pPr>
              <w:rPr>
                <w:rFonts w:ascii="Times New Roman" w:hAnsi="Times New Roman" w:cs="Times New Roman"/>
              </w:rPr>
            </w:pPr>
            <w:r w:rsidRPr="00F2765E">
              <w:rPr>
                <w:rFonts w:ascii="Times New Roman" w:hAnsi="Times New Roman" w:cs="Times New Roman"/>
              </w:rPr>
              <w:t>Operating Income</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330591" w14:textId="77777777" w:rsidR="00782232" w:rsidRPr="00F2765E" w:rsidRDefault="00126B44">
            <w:pPr>
              <w:rPr>
                <w:rFonts w:ascii="Times New Roman" w:hAnsi="Times New Roman" w:cs="Times New Roman"/>
              </w:rPr>
            </w:pPr>
            <w:r w:rsidRPr="00F2765E">
              <w:rPr>
                <w:rFonts w:ascii="Times New Roman" w:hAnsi="Times New Roman" w:cs="Times New Roman"/>
              </w:rPr>
              <w:t>10.418</w:t>
            </w:r>
          </w:p>
        </w:tc>
        <w:tc>
          <w:tcPr>
            <w:tcW w:w="19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694080" w14:textId="77777777" w:rsidR="00782232" w:rsidRPr="00F2765E" w:rsidRDefault="00126B44">
            <w:pPr>
              <w:rPr>
                <w:rFonts w:ascii="Times New Roman" w:hAnsi="Times New Roman" w:cs="Times New Roman"/>
              </w:rPr>
            </w:pPr>
            <w:r w:rsidRPr="00F2765E">
              <w:rPr>
                <w:rFonts w:ascii="Times New Roman" w:hAnsi="Times New Roman" w:cs="Times New Roman"/>
              </w:rPr>
              <w:t>13.327</w:t>
            </w:r>
          </w:p>
        </w:tc>
        <w:tc>
          <w:tcPr>
            <w:tcW w:w="22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DC4A84" w14:textId="77777777" w:rsidR="00782232" w:rsidRPr="00F2765E" w:rsidRDefault="00126B44">
            <w:pPr>
              <w:rPr>
                <w:rFonts w:ascii="Times New Roman" w:hAnsi="Times New Roman" w:cs="Times New Roman"/>
              </w:rPr>
            </w:pPr>
            <w:r w:rsidRPr="00F2765E">
              <w:rPr>
                <w:rFonts w:ascii="Times New Roman" w:hAnsi="Times New Roman" w:cs="Times New Roman"/>
              </w:rPr>
              <w:t>2.909</w:t>
            </w:r>
          </w:p>
        </w:tc>
        <w:tc>
          <w:tcPr>
            <w:tcW w:w="12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35F86" w14:textId="77777777" w:rsidR="00782232" w:rsidRPr="00F2765E" w:rsidRDefault="00126B44">
            <w:pPr>
              <w:rPr>
                <w:rFonts w:ascii="Times New Roman" w:hAnsi="Times New Roman" w:cs="Times New Roman"/>
              </w:rPr>
            </w:pPr>
            <w:r w:rsidRPr="00F2765E">
              <w:rPr>
                <w:rFonts w:ascii="Times New Roman" w:hAnsi="Times New Roman" w:cs="Times New Roman"/>
              </w:rPr>
              <w:t>27.92%</w:t>
            </w:r>
          </w:p>
        </w:tc>
      </w:tr>
    </w:tbl>
    <w:p w14:paraId="3358B32E" w14:textId="77777777" w:rsidR="00782232" w:rsidRPr="00F2765E" w:rsidRDefault="00126B44">
      <w:pPr>
        <w:spacing w:before="240" w:after="240"/>
        <w:rPr>
          <w:rFonts w:ascii="Times New Roman" w:hAnsi="Times New Roman" w:cs="Times New Roman"/>
          <w:b/>
          <w:bCs/>
        </w:rPr>
      </w:pPr>
      <w:r w:rsidRPr="00F2765E">
        <w:rPr>
          <w:rFonts w:ascii="Times New Roman" w:hAnsi="Times New Roman" w:cs="Times New Roman"/>
          <w:b/>
          <w:bCs/>
        </w:rPr>
        <w:t>Calculation of Operating Expense Growth</w:t>
      </w:r>
    </w:p>
    <w:p w14:paraId="6CDEC46C" w14:textId="77777777" w:rsidR="00782232" w:rsidRPr="00F2765E" w:rsidRDefault="00126B44">
      <w:pPr>
        <w:spacing w:before="240" w:after="240"/>
        <w:rPr>
          <w:rFonts w:ascii="Times New Roman" w:hAnsi="Times New Roman" w:cs="Times New Roman"/>
        </w:rPr>
      </w:pPr>
      <w:r w:rsidRPr="00F2765E">
        <w:rPr>
          <w:rFonts w:ascii="Times New Roman" w:hAnsi="Times New Roman" w:cs="Times New Roman"/>
        </w:rPr>
        <w:t>Operating Expense Growth (%) = ((2025 Expenses − 2024 Expenses) ÷ 2024 Expenses) × 100</w:t>
      </w:r>
    </w:p>
    <w:p w14:paraId="392265D6" w14:textId="77777777" w:rsidR="00782232" w:rsidRPr="00F2765E" w:rsidRDefault="00126B44">
      <w:pPr>
        <w:spacing w:before="240" w:after="240"/>
        <w:rPr>
          <w:rFonts w:ascii="Times New Roman" w:hAnsi="Times New Roman" w:cs="Times New Roman"/>
        </w:rPr>
      </w:pPr>
      <w:r w:rsidRPr="00F2765E">
        <w:rPr>
          <w:rFonts w:ascii="Times New Roman" w:hAnsi="Times New Roman" w:cs="Times New Roman"/>
        </w:rPr>
        <w:t>= ((31.856 − 28.583) ÷ 28.583) × 100</w:t>
      </w:r>
    </w:p>
    <w:p w14:paraId="77A98D4B" w14:textId="77777777" w:rsidR="00782232" w:rsidRPr="00F2765E" w:rsidRDefault="00126B44">
      <w:pPr>
        <w:spacing w:before="240" w:after="240"/>
        <w:rPr>
          <w:rFonts w:ascii="Times New Roman" w:hAnsi="Times New Roman" w:cs="Times New Roman"/>
        </w:rPr>
      </w:pPr>
      <w:r w:rsidRPr="00F2765E">
        <w:rPr>
          <w:rFonts w:ascii="Times New Roman" w:hAnsi="Times New Roman" w:cs="Times New Roman"/>
        </w:rPr>
        <w:t>= (3.273 ÷ 28.583) × 100</w:t>
      </w:r>
    </w:p>
    <w:p w14:paraId="3E9E6C2F" w14:textId="77777777" w:rsidR="00782232" w:rsidRPr="00F2765E" w:rsidRDefault="00126B44">
      <w:pPr>
        <w:spacing w:before="240" w:after="240"/>
        <w:rPr>
          <w:rFonts w:ascii="Times New Roman" w:hAnsi="Times New Roman" w:cs="Times New Roman"/>
          <w:b/>
          <w:bCs/>
        </w:rPr>
      </w:pPr>
      <w:r w:rsidRPr="00F2765E">
        <w:rPr>
          <w:rFonts w:ascii="Times New Roman" w:hAnsi="Times New Roman" w:cs="Times New Roman"/>
        </w:rPr>
        <w:t xml:space="preserve">= </w:t>
      </w:r>
      <w:r w:rsidRPr="00F2765E">
        <w:rPr>
          <w:rFonts w:ascii="Times New Roman" w:hAnsi="Times New Roman" w:cs="Times New Roman"/>
          <w:b/>
          <w:bCs/>
        </w:rPr>
        <w:t>11.45%</w:t>
      </w:r>
    </w:p>
    <w:p w14:paraId="5EA91D51" w14:textId="77777777" w:rsidR="00782232" w:rsidRPr="00F2765E" w:rsidRDefault="00782232">
      <w:pPr>
        <w:rPr>
          <w:rFonts w:ascii="Times New Roman" w:hAnsi="Times New Roman" w:cs="Times New Roman"/>
        </w:rPr>
      </w:pPr>
    </w:p>
    <w:p w14:paraId="18D688E4" w14:textId="77777777" w:rsidR="00782232" w:rsidRPr="00F2765E" w:rsidRDefault="00126B44">
      <w:pPr>
        <w:pStyle w:val="Heading3"/>
        <w:keepNext w:val="0"/>
        <w:keepLines w:val="0"/>
        <w:spacing w:before="280"/>
        <w:rPr>
          <w:rFonts w:ascii="Times New Roman" w:hAnsi="Times New Roman" w:cs="Times New Roman"/>
          <w:b/>
          <w:bCs/>
          <w:color w:val="auto"/>
          <w:sz w:val="26"/>
          <w:szCs w:val="26"/>
        </w:rPr>
      </w:pPr>
      <w:bookmarkStart w:id="10" w:name="_Toc232518518"/>
      <w:r w:rsidRPr="00F2765E">
        <w:rPr>
          <w:rFonts w:ascii="Times New Roman" w:hAnsi="Times New Roman" w:cs="Times New Roman"/>
          <w:b/>
          <w:bCs/>
          <w:color w:val="auto"/>
          <w:sz w:val="26"/>
          <w:szCs w:val="26"/>
        </w:rPr>
        <w:t>Key Performance Indicators (KPIs)</w:t>
      </w:r>
      <w:bookmarkEnd w:id="10"/>
    </w:p>
    <w:tbl>
      <w:tblPr>
        <w:tblStyle w:val="a0"/>
        <w:tblW w:w="936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4730"/>
        <w:gridCol w:w="3070"/>
        <w:gridCol w:w="1560"/>
      </w:tblGrid>
      <w:tr w:rsidR="00782232" w:rsidRPr="00F2765E" w14:paraId="69FABA20" w14:textId="77777777">
        <w:trPr>
          <w:trHeight w:val="50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4E4BD8"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KPI</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C0A670"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2025 Result</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BDF207" w14:textId="77777777" w:rsidR="00782232" w:rsidRPr="00F2765E" w:rsidRDefault="00126B44">
            <w:pPr>
              <w:jc w:val="center"/>
              <w:rPr>
                <w:rFonts w:ascii="Times New Roman" w:hAnsi="Times New Roman" w:cs="Times New Roman"/>
              </w:rPr>
            </w:pPr>
            <w:r w:rsidRPr="00F2765E">
              <w:rPr>
                <w:rFonts w:ascii="Times New Roman" w:hAnsi="Times New Roman" w:cs="Times New Roman"/>
                <w:b/>
                <w:bCs/>
              </w:rPr>
              <w:t>Type</w:t>
            </w:r>
          </w:p>
        </w:tc>
      </w:tr>
      <w:tr w:rsidR="00782232" w:rsidRPr="00F2765E" w14:paraId="4C96001D" w14:textId="77777777">
        <w:trPr>
          <w:trHeight w:val="50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C357AF" w14:textId="77777777" w:rsidR="00782232" w:rsidRPr="00F2765E" w:rsidRDefault="00126B44">
            <w:pPr>
              <w:rPr>
                <w:rFonts w:ascii="Times New Roman" w:hAnsi="Times New Roman" w:cs="Times New Roman"/>
              </w:rPr>
            </w:pPr>
            <w:r w:rsidRPr="00F2765E">
              <w:rPr>
                <w:rFonts w:ascii="Times New Roman" w:hAnsi="Times New Roman" w:cs="Times New Roman"/>
              </w:rPr>
              <w:t>Revenue</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07AA4B" w14:textId="77777777" w:rsidR="00782232" w:rsidRPr="00F2765E" w:rsidRDefault="00126B44">
            <w:pPr>
              <w:rPr>
                <w:rFonts w:ascii="Times New Roman" w:hAnsi="Times New Roman" w:cs="Times New Roman"/>
              </w:rPr>
            </w:pPr>
            <w:r w:rsidRPr="00F2765E">
              <w:rPr>
                <w:rFonts w:ascii="Times New Roman" w:hAnsi="Times New Roman" w:cs="Times New Roman"/>
              </w:rPr>
              <w:t>US$45.18 billion</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1CD14A" w14:textId="77777777" w:rsidR="00782232" w:rsidRPr="00F2765E" w:rsidRDefault="00126B44">
            <w:pPr>
              <w:rPr>
                <w:rFonts w:ascii="Times New Roman" w:hAnsi="Times New Roman" w:cs="Times New Roman"/>
              </w:rPr>
            </w:pPr>
            <w:r w:rsidRPr="00F2765E">
              <w:rPr>
                <w:rFonts w:ascii="Times New Roman" w:hAnsi="Times New Roman" w:cs="Times New Roman"/>
              </w:rPr>
              <w:t>Financial</w:t>
            </w:r>
          </w:p>
        </w:tc>
      </w:tr>
      <w:tr w:rsidR="00782232" w:rsidRPr="00F2765E" w14:paraId="40E5E81A" w14:textId="77777777">
        <w:trPr>
          <w:trHeight w:val="50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8F3885" w14:textId="77777777" w:rsidR="00782232" w:rsidRPr="00F2765E" w:rsidRDefault="00126B44">
            <w:pPr>
              <w:rPr>
                <w:rFonts w:ascii="Times New Roman" w:hAnsi="Times New Roman" w:cs="Times New Roman"/>
              </w:rPr>
            </w:pPr>
            <w:r w:rsidRPr="00F2765E">
              <w:rPr>
                <w:rFonts w:ascii="Times New Roman" w:hAnsi="Times New Roman" w:cs="Times New Roman"/>
              </w:rPr>
              <w:t>Operating Income</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7813F1" w14:textId="77777777" w:rsidR="00782232" w:rsidRPr="00F2765E" w:rsidRDefault="00126B44">
            <w:pPr>
              <w:rPr>
                <w:rFonts w:ascii="Times New Roman" w:hAnsi="Times New Roman" w:cs="Times New Roman"/>
              </w:rPr>
            </w:pPr>
            <w:r w:rsidRPr="00F2765E">
              <w:rPr>
                <w:rFonts w:ascii="Times New Roman" w:hAnsi="Times New Roman" w:cs="Times New Roman"/>
              </w:rPr>
              <w:t>US$13.33 billion</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A1E549" w14:textId="77777777" w:rsidR="00782232" w:rsidRPr="00F2765E" w:rsidRDefault="00126B44">
            <w:pPr>
              <w:rPr>
                <w:rFonts w:ascii="Times New Roman" w:hAnsi="Times New Roman" w:cs="Times New Roman"/>
              </w:rPr>
            </w:pPr>
            <w:r w:rsidRPr="00F2765E">
              <w:rPr>
                <w:rFonts w:ascii="Times New Roman" w:hAnsi="Times New Roman" w:cs="Times New Roman"/>
              </w:rPr>
              <w:t>Financial</w:t>
            </w:r>
          </w:p>
        </w:tc>
      </w:tr>
      <w:tr w:rsidR="00782232" w:rsidRPr="00F2765E" w14:paraId="364052FA" w14:textId="77777777">
        <w:trPr>
          <w:trHeight w:val="50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60B54" w14:textId="77777777" w:rsidR="00782232" w:rsidRPr="00F2765E" w:rsidRDefault="00126B44">
            <w:pPr>
              <w:rPr>
                <w:rFonts w:ascii="Times New Roman" w:hAnsi="Times New Roman" w:cs="Times New Roman"/>
              </w:rPr>
            </w:pPr>
            <w:r w:rsidRPr="00F2765E">
              <w:rPr>
                <w:rFonts w:ascii="Times New Roman" w:hAnsi="Times New Roman" w:cs="Times New Roman"/>
              </w:rPr>
              <w:t>Operating Margin</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ED8635" w14:textId="77777777" w:rsidR="00782232" w:rsidRPr="00F2765E" w:rsidRDefault="00126B44">
            <w:pPr>
              <w:rPr>
                <w:rFonts w:ascii="Times New Roman" w:hAnsi="Times New Roman" w:cs="Times New Roman"/>
              </w:rPr>
            </w:pPr>
            <w:r w:rsidRPr="00F2765E">
              <w:rPr>
                <w:rFonts w:ascii="Times New Roman" w:hAnsi="Times New Roman" w:cs="Times New Roman"/>
              </w:rPr>
              <w:t>29.5%</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428048" w14:textId="77777777" w:rsidR="00782232" w:rsidRPr="00F2765E" w:rsidRDefault="00126B44">
            <w:pPr>
              <w:rPr>
                <w:rFonts w:ascii="Times New Roman" w:hAnsi="Times New Roman" w:cs="Times New Roman"/>
              </w:rPr>
            </w:pPr>
            <w:r w:rsidRPr="00F2765E">
              <w:rPr>
                <w:rFonts w:ascii="Times New Roman" w:hAnsi="Times New Roman" w:cs="Times New Roman"/>
              </w:rPr>
              <w:t>Financial</w:t>
            </w:r>
          </w:p>
        </w:tc>
      </w:tr>
      <w:tr w:rsidR="00782232" w:rsidRPr="00F2765E" w14:paraId="631567A5" w14:textId="77777777">
        <w:trPr>
          <w:trHeight w:val="77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C0E5F" w14:textId="77777777" w:rsidR="00782232" w:rsidRPr="00F2765E" w:rsidRDefault="00126B44">
            <w:pPr>
              <w:rPr>
                <w:rFonts w:ascii="Times New Roman" w:hAnsi="Times New Roman" w:cs="Times New Roman"/>
              </w:rPr>
            </w:pPr>
            <w:r w:rsidRPr="00F2765E">
              <w:rPr>
                <w:rFonts w:ascii="Times New Roman" w:hAnsi="Times New Roman" w:cs="Times New Roman"/>
              </w:rPr>
              <w:lastRenderedPageBreak/>
              <w:t>Paid Subscribers</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802C47" w14:textId="77777777" w:rsidR="00782232" w:rsidRPr="00F2765E" w:rsidRDefault="00126B44">
            <w:pPr>
              <w:rPr>
                <w:rFonts w:ascii="Times New Roman" w:hAnsi="Times New Roman" w:cs="Times New Roman"/>
              </w:rPr>
            </w:pPr>
            <w:r w:rsidRPr="00F2765E">
              <w:rPr>
                <w:rFonts w:ascii="Times New Roman" w:hAnsi="Times New Roman" w:cs="Times New Roman"/>
              </w:rPr>
              <w:t>325 million+</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2F6A80" w14:textId="77777777" w:rsidR="00782232" w:rsidRPr="00F2765E" w:rsidRDefault="00126B44">
            <w:pPr>
              <w:rPr>
                <w:rFonts w:ascii="Times New Roman" w:hAnsi="Times New Roman" w:cs="Times New Roman"/>
              </w:rPr>
            </w:pPr>
            <w:r w:rsidRPr="00F2765E">
              <w:rPr>
                <w:rFonts w:ascii="Times New Roman" w:hAnsi="Times New Roman" w:cs="Times New Roman"/>
              </w:rPr>
              <w:t>Non-Financial</w:t>
            </w:r>
          </w:p>
        </w:tc>
      </w:tr>
      <w:tr w:rsidR="00782232" w:rsidRPr="00F2765E" w14:paraId="510DBCE1" w14:textId="77777777">
        <w:trPr>
          <w:trHeight w:val="770"/>
        </w:trPr>
        <w:tc>
          <w:tcPr>
            <w:tcW w:w="4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361928" w14:textId="77777777" w:rsidR="00782232" w:rsidRPr="00F2765E" w:rsidRDefault="00126B44">
            <w:pPr>
              <w:rPr>
                <w:rFonts w:ascii="Times New Roman" w:hAnsi="Times New Roman" w:cs="Times New Roman"/>
              </w:rPr>
            </w:pPr>
            <w:r w:rsidRPr="00F2765E">
              <w:rPr>
                <w:rFonts w:ascii="Times New Roman" w:hAnsi="Times New Roman" w:cs="Times New Roman"/>
              </w:rPr>
              <w:t>Average Revenue per Membership (ARM) Growth</w:t>
            </w:r>
          </w:p>
        </w:tc>
        <w:tc>
          <w:tcPr>
            <w:tcW w:w="3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6FE2CF" w14:textId="77777777" w:rsidR="00782232" w:rsidRPr="00F2765E" w:rsidRDefault="00126B44">
            <w:pPr>
              <w:rPr>
                <w:rFonts w:ascii="Times New Roman" w:hAnsi="Times New Roman" w:cs="Times New Roman"/>
              </w:rPr>
            </w:pPr>
            <w:r w:rsidRPr="00F2765E">
              <w:rPr>
                <w:rFonts w:ascii="Times New Roman" w:hAnsi="Times New Roman" w:cs="Times New Roman"/>
              </w:rPr>
              <w:t>1% (Foreign Exchange Neutral)</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5CD96B" w14:textId="77777777" w:rsidR="00782232" w:rsidRPr="00F2765E" w:rsidRDefault="00126B44">
            <w:pPr>
              <w:rPr>
                <w:rFonts w:ascii="Times New Roman" w:hAnsi="Times New Roman" w:cs="Times New Roman"/>
              </w:rPr>
            </w:pPr>
            <w:r w:rsidRPr="00F2765E">
              <w:rPr>
                <w:rFonts w:ascii="Times New Roman" w:hAnsi="Times New Roman" w:cs="Times New Roman"/>
              </w:rPr>
              <w:t>Non-</w:t>
            </w:r>
          </w:p>
        </w:tc>
      </w:tr>
    </w:tbl>
    <w:p w14:paraId="1713F555" w14:textId="77777777" w:rsidR="00782232" w:rsidRPr="00F2765E" w:rsidRDefault="00782232">
      <w:pPr>
        <w:rPr>
          <w:rFonts w:ascii="Times New Roman" w:hAnsi="Times New Roman" w:cs="Times New Roman"/>
        </w:rPr>
      </w:pPr>
    </w:p>
    <w:sectPr w:rsidR="00782232" w:rsidRPr="00F2765E">
      <w:footerReference w:type="default" r:id="rId3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90587" w14:textId="77777777" w:rsidR="008B113B" w:rsidRDefault="008B113B">
      <w:pPr>
        <w:spacing w:line="240" w:lineRule="auto"/>
      </w:pPr>
      <w:r>
        <w:separator/>
      </w:r>
    </w:p>
  </w:endnote>
  <w:endnote w:type="continuationSeparator" w:id="0">
    <w:p w14:paraId="6D72FDCC" w14:textId="77777777" w:rsidR="008B113B" w:rsidRDefault="008B11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A63E211E-FA75-45CB-B279-B072D9DC23AC}"/>
    <w:embedBold r:id="rId2" w:fontKey="{7D6803DC-11B9-4DA0-AC59-7BB1C506CF70}"/>
    <w:embedItalic r:id="rId3" w:fontKey="{4F204EF4-E7D3-42A6-B6CB-248AAE04471B}"/>
    <w:embedBoldItalic r:id="rId4" w:fontKey="{E9399A11-8B18-439F-8874-EE3438C76FC7}"/>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5" w:fontKey="{67A624D0-914F-4454-98D7-377F58F6ED2D}"/>
  </w:font>
  <w:font w:name="Cambria">
    <w:panose1 w:val="02040503050406030204"/>
    <w:charset w:val="00"/>
    <w:family w:val="roman"/>
    <w:pitch w:val="variable"/>
    <w:sig w:usb0="E00006FF" w:usb1="420024FF" w:usb2="02000000" w:usb3="00000000" w:csb0="0000019F" w:csb1="00000000"/>
    <w:embedRegular r:id="rId6" w:fontKey="{BBA79ACE-3B7B-417B-B4FC-8026A425A8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50B29" w14:textId="77777777" w:rsidR="00782232" w:rsidRDefault="00126B44">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E447CA">
      <w:rPr>
        <w:noProof/>
        <w:color w:val="000000"/>
      </w:rPr>
      <w:t>2</w:t>
    </w:r>
    <w:r>
      <w:rPr>
        <w:color w:val="000000"/>
      </w:rPr>
      <w:fldChar w:fldCharType="end"/>
    </w:r>
  </w:p>
  <w:p w14:paraId="3AD9F5DE" w14:textId="77777777" w:rsidR="00782232" w:rsidRDefault="0078223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56B90" w14:textId="77777777" w:rsidR="008B113B" w:rsidRDefault="008B113B">
      <w:pPr>
        <w:spacing w:line="240" w:lineRule="auto"/>
      </w:pPr>
      <w:r>
        <w:separator/>
      </w:r>
    </w:p>
  </w:footnote>
  <w:footnote w:type="continuationSeparator" w:id="0">
    <w:p w14:paraId="58755725" w14:textId="77777777" w:rsidR="008B113B" w:rsidRDefault="008B11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232"/>
    <w:rsid w:val="00000BE1"/>
    <w:rsid w:val="00037EAE"/>
    <w:rsid w:val="0006015E"/>
    <w:rsid w:val="00072AE9"/>
    <w:rsid w:val="000B56EA"/>
    <w:rsid w:val="001154DB"/>
    <w:rsid w:val="00126B44"/>
    <w:rsid w:val="001A7E7A"/>
    <w:rsid w:val="002343E2"/>
    <w:rsid w:val="002F4BE7"/>
    <w:rsid w:val="00310FE0"/>
    <w:rsid w:val="00372F8A"/>
    <w:rsid w:val="00376DED"/>
    <w:rsid w:val="00386967"/>
    <w:rsid w:val="003C3686"/>
    <w:rsid w:val="003F0300"/>
    <w:rsid w:val="004329B4"/>
    <w:rsid w:val="00460BE9"/>
    <w:rsid w:val="00472A62"/>
    <w:rsid w:val="004808F0"/>
    <w:rsid w:val="004C13B4"/>
    <w:rsid w:val="004C2BEA"/>
    <w:rsid w:val="004D0FCC"/>
    <w:rsid w:val="0050406B"/>
    <w:rsid w:val="005D4A3B"/>
    <w:rsid w:val="00623FBB"/>
    <w:rsid w:val="00782232"/>
    <w:rsid w:val="00786D8C"/>
    <w:rsid w:val="008626B2"/>
    <w:rsid w:val="00876062"/>
    <w:rsid w:val="008B113B"/>
    <w:rsid w:val="008C2BBB"/>
    <w:rsid w:val="008F01A1"/>
    <w:rsid w:val="009319A1"/>
    <w:rsid w:val="009E4AAF"/>
    <w:rsid w:val="009E7BD5"/>
    <w:rsid w:val="009F0C4C"/>
    <w:rsid w:val="00A17665"/>
    <w:rsid w:val="00A9624D"/>
    <w:rsid w:val="00AD772B"/>
    <w:rsid w:val="00AE5970"/>
    <w:rsid w:val="00B87899"/>
    <w:rsid w:val="00BB3C0D"/>
    <w:rsid w:val="00BC43FB"/>
    <w:rsid w:val="00BD5022"/>
    <w:rsid w:val="00BE5087"/>
    <w:rsid w:val="00BF1965"/>
    <w:rsid w:val="00C16B80"/>
    <w:rsid w:val="00C515DA"/>
    <w:rsid w:val="00D13E16"/>
    <w:rsid w:val="00D16A0B"/>
    <w:rsid w:val="00D313C4"/>
    <w:rsid w:val="00D43B2D"/>
    <w:rsid w:val="00D71F28"/>
    <w:rsid w:val="00DB2F65"/>
    <w:rsid w:val="00DD502A"/>
    <w:rsid w:val="00DD5767"/>
    <w:rsid w:val="00E1136A"/>
    <w:rsid w:val="00E447CA"/>
    <w:rsid w:val="00E46C7B"/>
    <w:rsid w:val="00F2765E"/>
    <w:rsid w:val="00F71F89"/>
    <w:rsid w:val="04836CD7"/>
    <w:rsid w:val="43481A9F"/>
    <w:rsid w:val="51D9C7D9"/>
    <w:rsid w:val="5AEA0E10"/>
    <w:rsid w:val="6800B43E"/>
    <w:rsid w:val="773A799C"/>
    <w:rsid w:val="7FA5C95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AC370"/>
  <w15:docId w15:val="{CF4EDFF3-2BF0-4BD0-B887-9C92D0703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GB"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left"/>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character" w:styleId="Hyperlink">
    <w:name w:val="Hyperlink"/>
    <w:basedOn w:val="DefaultParagraphFont"/>
    <w:uiPriority w:val="99"/>
    <w:unhideWhenUsed/>
    <w:rsid w:val="00BD5022"/>
    <w:rPr>
      <w:color w:val="0000FF" w:themeColor="hyperlink"/>
      <w:u w:val="single"/>
    </w:rPr>
  </w:style>
  <w:style w:type="character" w:styleId="UnresolvedMention">
    <w:name w:val="Unresolved Mention"/>
    <w:basedOn w:val="DefaultParagraphFont"/>
    <w:uiPriority w:val="99"/>
    <w:semiHidden/>
    <w:unhideWhenUsed/>
    <w:rsid w:val="00BD5022"/>
    <w:rPr>
      <w:color w:val="605E5C"/>
      <w:shd w:val="clear" w:color="auto" w:fill="E1DFDD"/>
    </w:rPr>
  </w:style>
  <w:style w:type="paragraph" w:styleId="TOC1">
    <w:name w:val="toc 1"/>
    <w:basedOn w:val="Normal"/>
    <w:next w:val="Normal"/>
    <w:autoRedefine/>
    <w:uiPriority w:val="39"/>
    <w:unhideWhenUsed/>
    <w:rsid w:val="0006015E"/>
    <w:pPr>
      <w:spacing w:after="100"/>
    </w:pPr>
    <w:rPr>
      <w:szCs w:val="30"/>
    </w:rPr>
  </w:style>
  <w:style w:type="paragraph" w:styleId="TOC3">
    <w:name w:val="toc 3"/>
    <w:basedOn w:val="Normal"/>
    <w:next w:val="Normal"/>
    <w:autoRedefine/>
    <w:uiPriority w:val="39"/>
    <w:unhideWhenUsed/>
    <w:rsid w:val="0006015E"/>
    <w:pPr>
      <w:spacing w:after="100"/>
      <w:ind w:left="48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ofapps.com/data/netflix-statistics/" TargetMode="External"/><Relationship Id="rId18" Type="http://schemas.openxmlformats.org/officeDocument/2006/relationships/hyperlink" Target="https://s22.q4cdn.com/959853165/files/doc_earnings/2024/q2/FINAL-Q2-24-Shareholder-Letter.pdf" TargetMode="External"/><Relationship Id="rId26" Type="http://schemas.openxmlformats.org/officeDocument/2006/relationships/hyperlink" Target="https://ir.netflix.net/financials/annual-reports-and-proxies/default.aspx" TargetMode="External"/><Relationship Id="rId3" Type="http://schemas.openxmlformats.org/officeDocument/2006/relationships/styles" Target="styles.xml"/><Relationship Id="rId21" Type="http://schemas.openxmlformats.org/officeDocument/2006/relationships/hyperlink" Target="https://s22.q4cdn.com/959853165/files/doc_earnings/2023/q4/FINAL-Q4-23-Shareholder-Letter.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nnual-statements.com/company/netflix-inc/annual-report-2024-form-10k-369348" TargetMode="External"/><Relationship Id="rId17" Type="http://schemas.openxmlformats.org/officeDocument/2006/relationships/hyperlink" Target="https://s22.q4cdn.com/959853165/files/doc_earnings/2023/q2/FINAL-Q2-23-Shareholder-Letter.pdf" TargetMode="External"/><Relationship Id="rId25" Type="http://schemas.openxmlformats.org/officeDocument/2006/relationships/hyperlink" Target="https://s22.q4cdn.com/959853165/files/doc_earnings/2024/q3/FINAL-Q3-24-Shareholder-Letter.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22.q4cdn.com/959853165/files/doc_earnings/2023/q2/FINAL-Q2-23-Shareholder-Letter.pdf" TargetMode="External"/><Relationship Id="rId20" Type="http://schemas.openxmlformats.org/officeDocument/2006/relationships/hyperlink" Target="https://s22.q4cdn.com/959853165/files/doc_earnings/2023/q4/FINAL-Q4-23-Shareholder-Letter.pdf" TargetMode="External"/><Relationship Id="rId29" Type="http://schemas.openxmlformats.org/officeDocument/2006/relationships/hyperlink" Target="https://ir.netflix.net/ir-overview/profile/defaul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alystlens.com/stocks/nflx/10k/fy2024" TargetMode="External"/><Relationship Id="rId24" Type="http://schemas.openxmlformats.org/officeDocument/2006/relationships/hyperlink" Target="https://s22.q4cdn.com/959853165/files/doc_earnings/2024/q3/FINAL-Q3-24-Shareholder-Letter.pdf" TargetMode="External"/><Relationship Id="rId32" Type="http://schemas.openxmlformats.org/officeDocument/2006/relationships/hyperlink" Target="https://x.com/kuwaittimesnews/status/1897954344676311293" TargetMode="External"/><Relationship Id="rId5" Type="http://schemas.openxmlformats.org/officeDocument/2006/relationships/webSettings" Target="webSettings.xml"/><Relationship Id="rId15" Type="http://schemas.openxmlformats.org/officeDocument/2006/relationships/hyperlink" Target="https://doi.org/10.3390/ijfs10040089" TargetMode="External"/><Relationship Id="rId23" Type="http://schemas.openxmlformats.org/officeDocument/2006/relationships/hyperlink" Target="https://s22.q4cdn.com/959853165/files/doc_financials/2024/q3/nflx-20240930.htm" TargetMode="External"/><Relationship Id="rId28" Type="http://schemas.openxmlformats.org/officeDocument/2006/relationships/hyperlink" Target="https://s22.q4cdn.com/959853165/files/doc_financials/2024/ar/nflx-20241231.htm" TargetMode="External"/><Relationship Id="rId10" Type="http://schemas.openxmlformats.org/officeDocument/2006/relationships/image" Target="media/image3.png"/><Relationship Id="rId19" Type="http://schemas.openxmlformats.org/officeDocument/2006/relationships/hyperlink" Target="https://s22.q4cdn.com/959853165/files/doc_earnings/2024/q2/FINAL-Q2-24-Shareholder-Letter.pdf" TargetMode="External"/><Relationship Id="rId31" Type="http://schemas.openxmlformats.org/officeDocument/2006/relationships/hyperlink" Target="https://visuwire.com/companies/netfli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ijfs10040089" TargetMode="External"/><Relationship Id="rId22" Type="http://schemas.openxmlformats.org/officeDocument/2006/relationships/hyperlink" Target="https://s22.q4cdn.com/959853165/files/doc_financials/2024/q3/nflx-20240930.htm" TargetMode="External"/><Relationship Id="rId27" Type="http://schemas.openxmlformats.org/officeDocument/2006/relationships/hyperlink" Target="https://s22.q4cdn.com/959853165/files/doc_financials/2024/ar/nflx-20241231.htm" TargetMode="External"/><Relationship Id="rId30" Type="http://schemas.openxmlformats.org/officeDocument/2006/relationships/hyperlink" Target="https://help.netflix.com/en/node/24926" TargetMode="External"/><Relationship Id="rId35"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AQfSBy+5ZXOUIOabiYqQc/zYkA==">CgMxLjAyDmguczYwbzMxNWpxb2dlMg1oLnc0emlvNmVkOHVhMg5oLmtjNnl2cmRwb211bzIOaC5hMDV5MGpxeGsyaGEyDmguMXYwNGlzNnB4czNwMg5oLnQ3NHJ3cjVwdjlndTIOaC5pbWkwN2lkd3R1emQyDmguanY3aDZjdW03bTNwMg5oLmJkZHB0NTUwaTI5ZTIOaC5peGRkZXZneTlsejcyDmguOG1tODllZ2E5Y25wMg5oLjhnOTBpdXd2Y2xqbTgAciExQlhMSklYa3hxX3d4Y3EzMjBiWWFaTi1yaDgyYnVDZWM=</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141A126-DD27-482E-A300-22B74B764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3395</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Simona-Diana Lipovanu (2312374)</cp:lastModifiedBy>
  <cp:revision>10</cp:revision>
  <dcterms:created xsi:type="dcterms:W3CDTF">2026-06-17T09:24:00Z</dcterms:created>
  <dcterms:modified xsi:type="dcterms:W3CDTF">2026-06-19T11:02:00Z</dcterms:modified>
</cp:coreProperties>
</file>