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64CF4" w14:textId="77777777" w:rsidR="00913B12" w:rsidRPr="002A5681" w:rsidRDefault="00913B12" w:rsidP="00913B12">
      <w:pPr>
        <w:spacing w:line="360" w:lineRule="auto"/>
        <w:jc w:val="both"/>
        <w:rPr>
          <w:rFonts w:ascii="Arial" w:hAnsi="Arial" w:cs="Arial"/>
          <w:sz w:val="36"/>
          <w:szCs w:val="36"/>
        </w:rPr>
      </w:pPr>
      <w:r w:rsidRPr="002A5681">
        <w:rPr>
          <w:rFonts w:ascii="Arial" w:hAnsi="Arial" w:cs="Arial"/>
          <w:noProof/>
          <w:sz w:val="36"/>
          <w:szCs w:val="36"/>
        </w:rPr>
        <w:drawing>
          <wp:inline distT="0" distB="0" distL="0" distR="0" wp14:anchorId="2429CC6F" wp14:editId="72947279">
            <wp:extent cx="3889375" cy="1548198"/>
            <wp:effectExtent l="0" t="0" r="0" b="0"/>
            <wp:docPr id="1314536013" name="Picture 2"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1027" cy="1552836"/>
                    </a:xfrm>
                    <a:prstGeom prst="rect">
                      <a:avLst/>
                    </a:prstGeom>
                    <a:noFill/>
                    <a:ln>
                      <a:noFill/>
                    </a:ln>
                  </pic:spPr>
                </pic:pic>
              </a:graphicData>
            </a:graphic>
          </wp:inline>
        </w:drawing>
      </w:r>
    </w:p>
    <w:p w14:paraId="21B30369" w14:textId="77777777" w:rsidR="00913B12" w:rsidRPr="002A5681" w:rsidRDefault="00913B12" w:rsidP="00913B12">
      <w:pPr>
        <w:spacing w:line="360" w:lineRule="auto"/>
        <w:rPr>
          <w:rFonts w:ascii="Arial" w:hAnsi="Arial" w:cs="Arial"/>
          <w:sz w:val="36"/>
          <w:szCs w:val="36"/>
        </w:rPr>
      </w:pPr>
      <w:r w:rsidRPr="002A5681">
        <w:rPr>
          <w:rFonts w:ascii="Arial" w:hAnsi="Arial" w:cs="Arial"/>
          <w:sz w:val="36"/>
          <w:szCs w:val="36"/>
        </w:rPr>
        <w:t> </w:t>
      </w:r>
    </w:p>
    <w:p w14:paraId="6B9693A8" w14:textId="6B1B8DC1"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 xml:space="preserve">Module Name: </w:t>
      </w:r>
      <w:r w:rsidR="001661AF" w:rsidRPr="001661AF">
        <w:rPr>
          <w:rFonts w:ascii="Arial" w:hAnsi="Arial" w:cs="Arial"/>
          <w:b/>
          <w:bCs/>
          <w:sz w:val="36"/>
          <w:szCs w:val="36"/>
        </w:rPr>
        <w:t xml:space="preserve">Problem Solving and Innovation </w:t>
      </w:r>
    </w:p>
    <w:p w14:paraId="0AAB7CEF" w14:textId="64735C45"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 xml:space="preserve">Module Code:  </w:t>
      </w:r>
      <w:r w:rsidR="001661AF" w:rsidRPr="001661AF">
        <w:rPr>
          <w:rFonts w:ascii="Arial" w:hAnsi="Arial" w:cs="Arial"/>
          <w:b/>
          <w:bCs/>
          <w:sz w:val="36"/>
          <w:szCs w:val="36"/>
        </w:rPr>
        <w:t>BMSW4014</w:t>
      </w:r>
    </w:p>
    <w:p w14:paraId="6FE49BB0" w14:textId="3DA9FFF1"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Assignment Name:</w:t>
      </w:r>
      <w:r w:rsidRPr="002A5681">
        <w:rPr>
          <w:rFonts w:ascii="Arial" w:hAnsi="Arial" w:cs="Arial"/>
          <w:sz w:val="36"/>
          <w:szCs w:val="36"/>
        </w:rPr>
        <w:t xml:space="preserve"> </w:t>
      </w:r>
      <w:r w:rsidR="005529F6" w:rsidRPr="005529F6">
        <w:rPr>
          <w:rFonts w:ascii="Arial" w:hAnsi="Arial" w:cs="Arial"/>
          <w:sz w:val="36"/>
          <w:szCs w:val="36"/>
        </w:rPr>
        <w:t xml:space="preserve">Greenwashing in the Automobile </w:t>
      </w:r>
      <w:r w:rsidR="005529F6">
        <w:rPr>
          <w:rFonts w:ascii="Arial" w:hAnsi="Arial" w:cs="Arial"/>
          <w:sz w:val="36"/>
          <w:szCs w:val="36"/>
        </w:rPr>
        <w:t>I</w:t>
      </w:r>
      <w:r w:rsidR="005529F6" w:rsidRPr="005529F6">
        <w:rPr>
          <w:rFonts w:ascii="Arial" w:hAnsi="Arial" w:cs="Arial"/>
          <w:sz w:val="36"/>
          <w:szCs w:val="36"/>
        </w:rPr>
        <w:t>ndustry</w:t>
      </w:r>
    </w:p>
    <w:p w14:paraId="303597FD" w14:textId="77777777"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Student Name:</w:t>
      </w:r>
      <w:r w:rsidRPr="002A5681">
        <w:rPr>
          <w:rFonts w:ascii="Arial" w:hAnsi="Arial" w:cs="Arial"/>
          <w:sz w:val="36"/>
          <w:szCs w:val="36"/>
        </w:rPr>
        <w:t> Adelina Georgiana Cozma</w:t>
      </w:r>
    </w:p>
    <w:p w14:paraId="131491DD" w14:textId="77777777"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Student Number:</w:t>
      </w:r>
      <w:r w:rsidRPr="002A5681">
        <w:rPr>
          <w:rFonts w:ascii="Arial" w:hAnsi="Arial" w:cs="Arial"/>
          <w:sz w:val="36"/>
          <w:szCs w:val="36"/>
        </w:rPr>
        <w:t> 2431275</w:t>
      </w:r>
    </w:p>
    <w:p w14:paraId="172C93AB" w14:textId="6B69CFDC" w:rsidR="00913B12" w:rsidRPr="002A5681" w:rsidRDefault="00913B12" w:rsidP="00913B12">
      <w:pPr>
        <w:spacing w:line="360" w:lineRule="auto"/>
        <w:rPr>
          <w:rFonts w:ascii="Arial" w:hAnsi="Arial" w:cs="Arial"/>
          <w:sz w:val="36"/>
          <w:szCs w:val="36"/>
        </w:rPr>
      </w:pPr>
      <w:r w:rsidRPr="002A5681">
        <w:rPr>
          <w:rFonts w:ascii="Arial" w:hAnsi="Arial" w:cs="Arial"/>
          <w:b/>
          <w:bCs/>
          <w:sz w:val="36"/>
          <w:szCs w:val="36"/>
        </w:rPr>
        <w:t xml:space="preserve">Lecturer: </w:t>
      </w:r>
      <w:r w:rsidR="009D541A">
        <w:rPr>
          <w:rFonts w:ascii="Arial" w:hAnsi="Arial" w:cs="Arial"/>
          <w:b/>
          <w:bCs/>
          <w:sz w:val="36"/>
          <w:szCs w:val="36"/>
        </w:rPr>
        <w:t>Arpu Kumar</w:t>
      </w:r>
      <w:r w:rsidRPr="002A5681">
        <w:rPr>
          <w:rFonts w:ascii="Arial" w:hAnsi="Arial" w:cs="Arial"/>
          <w:sz w:val="36"/>
          <w:szCs w:val="36"/>
        </w:rPr>
        <w:br/>
      </w:r>
      <w:r w:rsidRPr="002A5681">
        <w:rPr>
          <w:rFonts w:ascii="Arial" w:hAnsi="Arial" w:cs="Arial"/>
          <w:b/>
          <w:bCs/>
          <w:sz w:val="36"/>
          <w:szCs w:val="36"/>
        </w:rPr>
        <w:t xml:space="preserve">Deadline: </w:t>
      </w:r>
      <w:r w:rsidR="00104262" w:rsidRPr="00104262">
        <w:rPr>
          <w:rFonts w:ascii="Arial" w:hAnsi="Arial" w:cs="Arial"/>
          <w:sz w:val="36"/>
          <w:szCs w:val="36"/>
        </w:rPr>
        <w:t>14th November 2025 at 23:59</w:t>
      </w:r>
    </w:p>
    <w:p w14:paraId="4209946F" w14:textId="77777777" w:rsidR="003E3D9C" w:rsidRDefault="003E3D9C"/>
    <w:p w14:paraId="029AF817" w14:textId="77777777" w:rsidR="00104262" w:rsidRDefault="00104262"/>
    <w:p w14:paraId="536C701E" w14:textId="77777777" w:rsidR="00104262" w:rsidRDefault="00104262"/>
    <w:p w14:paraId="2143F0D4" w14:textId="77777777" w:rsidR="00104262" w:rsidRDefault="00104262"/>
    <w:p w14:paraId="6C8D3C34" w14:textId="77777777" w:rsidR="00104262" w:rsidRDefault="00104262"/>
    <w:p w14:paraId="47C5D55F" w14:textId="77777777" w:rsidR="00104262" w:rsidRDefault="00104262"/>
    <w:p w14:paraId="4BE1BF4E" w14:textId="77777777" w:rsidR="00104262" w:rsidRDefault="00104262"/>
    <w:p w14:paraId="597EC934" w14:textId="7E044F7D" w:rsidR="00104262" w:rsidRPr="00E61684" w:rsidRDefault="00E61684" w:rsidP="00E61684">
      <w:pPr>
        <w:jc w:val="right"/>
        <w:rPr>
          <w:b/>
          <w:bCs/>
        </w:rPr>
      </w:pPr>
      <w:r w:rsidRPr="00E61684">
        <w:rPr>
          <w:b/>
          <w:bCs/>
        </w:rPr>
        <w:t>Words count: 516.</w:t>
      </w:r>
    </w:p>
    <w:p w14:paraId="56925AEF" w14:textId="77777777" w:rsidR="004064C9" w:rsidRPr="00D06B83" w:rsidRDefault="004064C9" w:rsidP="004064C9"/>
    <w:p w14:paraId="29A38139" w14:textId="77777777" w:rsidR="00F4013E" w:rsidRPr="00AE148C" w:rsidRDefault="00F4013E" w:rsidP="000B605A">
      <w:pPr>
        <w:pStyle w:val="Heading1"/>
        <w:jc w:val="center"/>
        <w:rPr>
          <w:rFonts w:ascii="Arial" w:hAnsi="Arial" w:cs="Arial"/>
          <w:sz w:val="36"/>
          <w:szCs w:val="36"/>
        </w:rPr>
      </w:pPr>
      <w:r w:rsidRPr="00AE148C">
        <w:rPr>
          <w:rFonts w:ascii="Arial" w:hAnsi="Arial" w:cs="Arial"/>
          <w:sz w:val="36"/>
          <w:szCs w:val="36"/>
        </w:rPr>
        <w:t>Greenwashing in the Automobile Industry</w:t>
      </w:r>
    </w:p>
    <w:p w14:paraId="7DF7934B" w14:textId="77777777" w:rsidR="000B605A" w:rsidRDefault="000B605A" w:rsidP="00F4013E">
      <w:pPr>
        <w:jc w:val="both"/>
        <w:rPr>
          <w:rFonts w:ascii="Arial" w:hAnsi="Arial" w:cs="Arial"/>
          <w:sz w:val="40"/>
          <w:szCs w:val="40"/>
        </w:rPr>
      </w:pPr>
    </w:p>
    <w:p w14:paraId="47AD4973" w14:textId="0171C16E" w:rsidR="00870446" w:rsidRPr="00C27208" w:rsidRDefault="00EB74B2" w:rsidP="000B605A">
      <w:pPr>
        <w:spacing w:line="240" w:lineRule="auto"/>
        <w:jc w:val="both"/>
        <w:rPr>
          <w:rFonts w:ascii="Arial" w:hAnsi="Arial" w:cs="Arial"/>
          <w:sz w:val="28"/>
          <w:szCs w:val="28"/>
        </w:rPr>
      </w:pPr>
      <w:r w:rsidRPr="00C27208">
        <w:rPr>
          <w:rFonts w:ascii="Arial" w:hAnsi="Arial" w:cs="Arial"/>
          <w:sz w:val="28"/>
          <w:szCs w:val="28"/>
        </w:rPr>
        <w:t xml:space="preserve">Greenwashing is a dishonest marketing tactic in which businesses lie to the public about how their goods and services are good for the </w:t>
      </w:r>
      <w:r w:rsidR="00BF6F05" w:rsidRPr="00C27208">
        <w:rPr>
          <w:rFonts w:ascii="Arial" w:hAnsi="Arial" w:cs="Arial"/>
          <w:sz w:val="28"/>
          <w:szCs w:val="28"/>
        </w:rPr>
        <w:t>environment. As</w:t>
      </w:r>
      <w:r w:rsidR="00870446" w:rsidRPr="00C27208">
        <w:rPr>
          <w:rFonts w:ascii="Arial" w:hAnsi="Arial" w:cs="Arial"/>
          <w:sz w:val="28"/>
          <w:szCs w:val="28"/>
        </w:rPr>
        <w:t xml:space="preserve"> the automobile industry builds up itself as an industry that leads the way in sustainable mobility with ideas like “eco-friendly,” raising the level of greenwashing which is making exaggerated environmental claims for marketing and promotional </w:t>
      </w:r>
      <w:r w:rsidR="00FD419A" w:rsidRPr="00C27208">
        <w:rPr>
          <w:rFonts w:ascii="Arial" w:hAnsi="Arial" w:cs="Arial"/>
          <w:sz w:val="28"/>
          <w:szCs w:val="28"/>
        </w:rPr>
        <w:t>goals. Greenwashing</w:t>
      </w:r>
      <w:r w:rsidR="00870446" w:rsidRPr="00C27208">
        <w:rPr>
          <w:rFonts w:ascii="Arial" w:hAnsi="Arial" w:cs="Arial"/>
          <w:sz w:val="28"/>
          <w:szCs w:val="28"/>
        </w:rPr>
        <w:t xml:space="preserve"> erodes consumer trust and hampers progress in environmental sustainability. Kell (2022); Koch &amp; Denner (2025) revealed that </w:t>
      </w:r>
      <w:proofErr w:type="gramStart"/>
      <w:r w:rsidR="00870446" w:rsidRPr="00C27208">
        <w:rPr>
          <w:rFonts w:ascii="Arial" w:hAnsi="Arial" w:cs="Arial"/>
          <w:sz w:val="28"/>
          <w:szCs w:val="28"/>
        </w:rPr>
        <w:t>many</w:t>
      </w:r>
      <w:proofErr w:type="gramEnd"/>
      <w:r w:rsidR="00870446" w:rsidRPr="00C27208">
        <w:rPr>
          <w:rFonts w:ascii="Arial" w:hAnsi="Arial" w:cs="Arial"/>
          <w:sz w:val="28"/>
          <w:szCs w:val="28"/>
        </w:rPr>
        <w:t xml:space="preserve"> automakers often lie about emissions and efficiency because they lack in their promises about sustainability effectiveness, a mismatch between image and reality</w:t>
      </w:r>
      <w:r w:rsidR="00F80F00" w:rsidRPr="00C27208">
        <w:rPr>
          <w:rFonts w:ascii="Arial" w:hAnsi="Arial" w:cs="Arial"/>
          <w:sz w:val="28"/>
          <w:szCs w:val="28"/>
        </w:rPr>
        <w:t xml:space="preserve">. </w:t>
      </w:r>
    </w:p>
    <w:p w14:paraId="4C8D0F8E" w14:textId="4755F538" w:rsidR="00F4013E"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Volkswagen's “Diesel gate” scandal is an example of greenwashing in the automobile industry. As noted by Kell (2022) and Boiral et al. (2022), the company fabricated the environmental credentials of its diesel vehicles by misleading customers with an emission test which involved using software to induce a test of nitrogen oxide emissions up to forty times above legal limits. Consequently, massive fines, recalls, and reputational damage followed and the trust of the consumers as well as tighter regulations. According to Syal (2025), this incident exposed a broad industry-wide pattern of misleading sustainability claims.</w:t>
      </w:r>
    </w:p>
    <w:p w14:paraId="5A9A9672" w14:textId="77777777" w:rsidR="00F4013E" w:rsidRPr="00C27208" w:rsidRDefault="00F4013E" w:rsidP="000B605A">
      <w:pPr>
        <w:spacing w:line="240" w:lineRule="auto"/>
        <w:jc w:val="both"/>
        <w:rPr>
          <w:rFonts w:ascii="Arial" w:hAnsi="Arial" w:cs="Arial"/>
          <w:b/>
          <w:bCs/>
          <w:sz w:val="28"/>
          <w:szCs w:val="28"/>
        </w:rPr>
      </w:pPr>
      <w:r w:rsidRPr="00C27208">
        <w:rPr>
          <w:rFonts w:ascii="Arial" w:hAnsi="Arial" w:cs="Arial"/>
          <w:b/>
          <w:bCs/>
          <w:sz w:val="28"/>
          <w:szCs w:val="28"/>
        </w:rPr>
        <w:t xml:space="preserve"> Root Cause Analysis (RCA)</w:t>
      </w:r>
    </w:p>
    <w:p w14:paraId="778A87C6" w14:textId="77777777" w:rsidR="00F4013E"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A root cause analysis explains why greenwashing still takes place in the automobile industry:</w:t>
      </w:r>
    </w:p>
    <w:p w14:paraId="1887BA82" w14:textId="42FB758F" w:rsidR="00F4013E" w:rsidRPr="00C27208" w:rsidRDefault="00F4013E" w:rsidP="000B605A">
      <w:pPr>
        <w:pStyle w:val="ListParagraph"/>
        <w:numPr>
          <w:ilvl w:val="0"/>
          <w:numId w:val="7"/>
        </w:numPr>
        <w:spacing w:line="240" w:lineRule="auto"/>
        <w:jc w:val="both"/>
        <w:rPr>
          <w:rFonts w:ascii="Arial" w:hAnsi="Arial" w:cs="Arial"/>
          <w:sz w:val="28"/>
          <w:szCs w:val="28"/>
        </w:rPr>
      </w:pPr>
      <w:r w:rsidRPr="00C27208">
        <w:rPr>
          <w:rFonts w:ascii="Arial" w:hAnsi="Arial" w:cs="Arial"/>
          <w:sz w:val="28"/>
          <w:szCs w:val="28"/>
        </w:rPr>
        <w:t>Strict environmental standards, such as the EU’s CO</w:t>
      </w:r>
      <w:r w:rsidRPr="00C27208">
        <w:rPr>
          <w:rFonts w:ascii="Cambria Math" w:hAnsi="Cambria Math" w:cs="Cambria Math"/>
          <w:sz w:val="28"/>
          <w:szCs w:val="28"/>
        </w:rPr>
        <w:t>₂</w:t>
      </w:r>
      <w:r w:rsidRPr="00C27208">
        <w:rPr>
          <w:rFonts w:ascii="Arial" w:hAnsi="Arial" w:cs="Arial"/>
          <w:sz w:val="28"/>
          <w:szCs w:val="28"/>
        </w:rPr>
        <w:t xml:space="preserve"> emission goals, have given manufacturers immense incentive to </w:t>
      </w:r>
      <w:r w:rsidR="00F80F00" w:rsidRPr="00C27208">
        <w:rPr>
          <w:rFonts w:ascii="Arial" w:hAnsi="Arial" w:cs="Arial"/>
          <w:sz w:val="28"/>
          <w:szCs w:val="28"/>
        </w:rPr>
        <w:t>prove</w:t>
      </w:r>
      <w:r w:rsidRPr="00C27208">
        <w:rPr>
          <w:rFonts w:ascii="Arial" w:hAnsi="Arial" w:cs="Arial"/>
          <w:sz w:val="28"/>
          <w:szCs w:val="28"/>
        </w:rPr>
        <w:t xml:space="preserve"> compliance. </w:t>
      </w:r>
      <w:r w:rsidR="00BF6F05" w:rsidRPr="00C27208">
        <w:rPr>
          <w:rFonts w:ascii="Arial" w:hAnsi="Arial" w:cs="Arial"/>
          <w:sz w:val="28"/>
          <w:szCs w:val="28"/>
        </w:rPr>
        <w:t xml:space="preserve">Lack of better </w:t>
      </w:r>
      <w:r w:rsidRPr="00C27208">
        <w:rPr>
          <w:rFonts w:ascii="Arial" w:hAnsi="Arial" w:cs="Arial"/>
          <w:sz w:val="28"/>
          <w:szCs w:val="28"/>
        </w:rPr>
        <w:t xml:space="preserve">technology, </w:t>
      </w:r>
      <w:proofErr w:type="gramStart"/>
      <w:r w:rsidRPr="00C27208">
        <w:rPr>
          <w:rFonts w:ascii="Arial" w:hAnsi="Arial" w:cs="Arial"/>
          <w:sz w:val="28"/>
          <w:szCs w:val="28"/>
        </w:rPr>
        <w:t>some</w:t>
      </w:r>
      <w:proofErr w:type="gramEnd"/>
      <w:r w:rsidRPr="00C27208">
        <w:rPr>
          <w:rFonts w:ascii="Arial" w:hAnsi="Arial" w:cs="Arial"/>
          <w:sz w:val="28"/>
          <w:szCs w:val="28"/>
        </w:rPr>
        <w:t xml:space="preserve"> companies have resorted to manipulation instead of real change. Weak enforcement mechanisms and loopholes in testing protocols have made fertile ground for fraudulent practices (Boiral, et al., 2022). </w:t>
      </w:r>
    </w:p>
    <w:p w14:paraId="2A0ABF35" w14:textId="0EF44CFA" w:rsidR="00F4013E" w:rsidRPr="00C27208" w:rsidRDefault="00F4013E" w:rsidP="000B605A">
      <w:pPr>
        <w:pStyle w:val="ListParagraph"/>
        <w:numPr>
          <w:ilvl w:val="0"/>
          <w:numId w:val="7"/>
        </w:numPr>
        <w:spacing w:line="240" w:lineRule="auto"/>
        <w:jc w:val="both"/>
        <w:rPr>
          <w:rFonts w:ascii="Arial" w:hAnsi="Arial" w:cs="Arial"/>
          <w:sz w:val="28"/>
          <w:szCs w:val="28"/>
        </w:rPr>
      </w:pPr>
      <w:r w:rsidRPr="00C27208">
        <w:rPr>
          <w:rFonts w:ascii="Arial" w:hAnsi="Arial" w:cs="Arial"/>
          <w:sz w:val="28"/>
          <w:szCs w:val="28"/>
        </w:rPr>
        <w:t xml:space="preserve">The automotive industry is </w:t>
      </w:r>
      <w:r w:rsidR="00F80F00" w:rsidRPr="00C27208">
        <w:rPr>
          <w:rFonts w:ascii="Arial" w:hAnsi="Arial" w:cs="Arial"/>
          <w:sz w:val="28"/>
          <w:szCs w:val="28"/>
        </w:rPr>
        <w:t>extremely competitive</w:t>
      </w:r>
      <w:r w:rsidRPr="00C27208">
        <w:rPr>
          <w:rFonts w:ascii="Arial" w:hAnsi="Arial" w:cs="Arial"/>
          <w:sz w:val="28"/>
          <w:szCs w:val="28"/>
        </w:rPr>
        <w:t xml:space="preserve"> and intense with sustainability</w:t>
      </w:r>
      <w:r w:rsidR="00F80F00" w:rsidRPr="00C27208">
        <w:rPr>
          <w:rFonts w:ascii="Arial" w:hAnsi="Arial" w:cs="Arial"/>
          <w:sz w:val="28"/>
          <w:szCs w:val="28"/>
        </w:rPr>
        <w:t>,</w:t>
      </w:r>
      <w:r w:rsidRPr="00C27208">
        <w:rPr>
          <w:rFonts w:ascii="Arial" w:hAnsi="Arial" w:cs="Arial"/>
          <w:sz w:val="28"/>
          <w:szCs w:val="28"/>
        </w:rPr>
        <w:t xml:space="preserve"> now being one of the main differentiators among them. Companies </w:t>
      </w:r>
      <w:r w:rsidR="00F80F00" w:rsidRPr="00C27208">
        <w:rPr>
          <w:rFonts w:ascii="Arial" w:hAnsi="Arial" w:cs="Arial"/>
          <w:sz w:val="28"/>
          <w:szCs w:val="28"/>
        </w:rPr>
        <w:t>keep</w:t>
      </w:r>
      <w:r w:rsidRPr="00C27208">
        <w:rPr>
          <w:rFonts w:ascii="Arial" w:hAnsi="Arial" w:cs="Arial"/>
          <w:sz w:val="28"/>
          <w:szCs w:val="28"/>
        </w:rPr>
        <w:t xml:space="preserve"> their position and may exaggerate their green credentials to meet consumer demands and ESG commitments (Koch and Denner, 2025).</w:t>
      </w:r>
    </w:p>
    <w:p w14:paraId="79560DA5" w14:textId="747723DA" w:rsidR="00F4013E" w:rsidRPr="00C27208" w:rsidRDefault="00F4013E" w:rsidP="000B605A">
      <w:pPr>
        <w:pStyle w:val="ListParagraph"/>
        <w:numPr>
          <w:ilvl w:val="0"/>
          <w:numId w:val="7"/>
        </w:numPr>
        <w:spacing w:line="240" w:lineRule="auto"/>
        <w:jc w:val="both"/>
        <w:rPr>
          <w:rFonts w:ascii="Arial" w:hAnsi="Arial" w:cs="Arial"/>
          <w:sz w:val="28"/>
          <w:szCs w:val="28"/>
        </w:rPr>
      </w:pPr>
      <w:r w:rsidRPr="00C27208">
        <w:rPr>
          <w:rFonts w:ascii="Arial" w:hAnsi="Arial" w:cs="Arial"/>
          <w:sz w:val="28"/>
          <w:szCs w:val="28"/>
        </w:rPr>
        <w:lastRenderedPageBreak/>
        <w:t xml:space="preserve">Boiral et </w:t>
      </w:r>
      <w:r w:rsidR="00BF6F05" w:rsidRPr="00C27208">
        <w:rPr>
          <w:rFonts w:ascii="Arial" w:hAnsi="Arial" w:cs="Arial"/>
          <w:sz w:val="28"/>
          <w:szCs w:val="28"/>
        </w:rPr>
        <w:t>al (</w:t>
      </w:r>
      <w:r w:rsidRPr="00C27208">
        <w:rPr>
          <w:rFonts w:ascii="Arial" w:hAnsi="Arial" w:cs="Arial"/>
          <w:sz w:val="28"/>
          <w:szCs w:val="28"/>
        </w:rPr>
        <w:t xml:space="preserve">2022) showed that companies often prioritise a quick return and protecting their reputation and non-taking a long-term environmental responsibility. </w:t>
      </w:r>
    </w:p>
    <w:p w14:paraId="75567863" w14:textId="77777777" w:rsidR="00F4013E" w:rsidRPr="00C27208" w:rsidRDefault="00F4013E" w:rsidP="000B605A">
      <w:pPr>
        <w:pStyle w:val="ListParagraph"/>
        <w:numPr>
          <w:ilvl w:val="0"/>
          <w:numId w:val="7"/>
        </w:numPr>
        <w:spacing w:line="240" w:lineRule="auto"/>
        <w:jc w:val="both"/>
        <w:rPr>
          <w:rFonts w:ascii="Arial" w:hAnsi="Arial" w:cs="Arial"/>
          <w:sz w:val="28"/>
          <w:szCs w:val="28"/>
        </w:rPr>
      </w:pPr>
      <w:r w:rsidRPr="00C27208">
        <w:rPr>
          <w:rFonts w:ascii="Arial" w:hAnsi="Arial" w:cs="Arial"/>
          <w:sz w:val="28"/>
          <w:szCs w:val="28"/>
        </w:rPr>
        <w:t>Consumers allow companies to misleading terms like “eco,” “sustainable,” or “zero emissions” without solid data (Koch and Denner, 2025).</w:t>
      </w:r>
    </w:p>
    <w:p w14:paraId="11555B23" w14:textId="77777777" w:rsidR="00F4013E"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In the future to avoid re-greenwashing, companies, such as VW, need to deal with the underlying causes seen through RCA.</w:t>
      </w:r>
    </w:p>
    <w:p w14:paraId="12961A38" w14:textId="77777777" w:rsidR="00F4013E"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 xml:space="preserve">The most important aspects include the following: </w:t>
      </w:r>
    </w:p>
    <w:p w14:paraId="64E9D0D3" w14:textId="0A3F017A" w:rsidR="00F4013E" w:rsidRPr="00C27208" w:rsidRDefault="00F4013E" w:rsidP="000B605A">
      <w:pPr>
        <w:pStyle w:val="ListParagraph"/>
        <w:numPr>
          <w:ilvl w:val="0"/>
          <w:numId w:val="6"/>
        </w:numPr>
        <w:spacing w:after="160" w:line="240" w:lineRule="auto"/>
        <w:jc w:val="both"/>
        <w:rPr>
          <w:rFonts w:ascii="Arial" w:hAnsi="Arial" w:cs="Arial"/>
          <w:sz w:val="28"/>
          <w:szCs w:val="28"/>
        </w:rPr>
      </w:pPr>
      <w:r w:rsidRPr="00C27208">
        <w:rPr>
          <w:rFonts w:ascii="Arial" w:hAnsi="Arial" w:cs="Arial"/>
          <w:sz w:val="28"/>
          <w:szCs w:val="28"/>
        </w:rPr>
        <w:t xml:space="preserve">Transitioning to low-emission or electric vehicles needs spending tens of millions in research, development, and infrastructure. Marketers with low technological capabilities may manipulate to put forward technological advancements but then backtrack by using old, dirty technologies, which would conclude to lack of progress (Syal, 2025). </w:t>
      </w:r>
    </w:p>
    <w:p w14:paraId="78FD2D47" w14:textId="77777777" w:rsidR="00F4013E" w:rsidRPr="00C27208" w:rsidRDefault="00F4013E" w:rsidP="000B605A">
      <w:pPr>
        <w:pStyle w:val="ListParagraph"/>
        <w:numPr>
          <w:ilvl w:val="0"/>
          <w:numId w:val="6"/>
        </w:numPr>
        <w:spacing w:after="160" w:line="240" w:lineRule="auto"/>
        <w:jc w:val="both"/>
        <w:rPr>
          <w:rFonts w:ascii="Arial" w:hAnsi="Arial" w:cs="Arial"/>
          <w:sz w:val="28"/>
          <w:szCs w:val="28"/>
        </w:rPr>
      </w:pPr>
      <w:r w:rsidRPr="00C27208">
        <w:rPr>
          <w:rFonts w:ascii="Arial" w:hAnsi="Arial" w:cs="Arial"/>
          <w:sz w:val="28"/>
          <w:szCs w:val="28"/>
        </w:rPr>
        <w:t xml:space="preserve">Organizations should focus on creating a climate of transparency and integrity, where sustainability goals can be in real time. </w:t>
      </w:r>
    </w:p>
    <w:p w14:paraId="23BEFBF3" w14:textId="4BF532AE" w:rsidR="00F4013E" w:rsidRPr="00C27208" w:rsidRDefault="00F4013E" w:rsidP="000B605A">
      <w:pPr>
        <w:pStyle w:val="ListParagraph"/>
        <w:numPr>
          <w:ilvl w:val="0"/>
          <w:numId w:val="6"/>
        </w:numPr>
        <w:spacing w:after="160" w:line="240" w:lineRule="auto"/>
        <w:jc w:val="both"/>
        <w:rPr>
          <w:rFonts w:ascii="Arial" w:hAnsi="Arial" w:cs="Arial"/>
          <w:sz w:val="28"/>
          <w:szCs w:val="28"/>
        </w:rPr>
      </w:pPr>
      <w:r w:rsidRPr="00C27208">
        <w:rPr>
          <w:rFonts w:ascii="Arial" w:hAnsi="Arial" w:cs="Arial"/>
          <w:sz w:val="28"/>
          <w:szCs w:val="28"/>
        </w:rPr>
        <w:t xml:space="preserve">Businesses </w:t>
      </w:r>
      <w:r w:rsidR="00F80F00" w:rsidRPr="00C27208">
        <w:rPr>
          <w:rFonts w:ascii="Arial" w:hAnsi="Arial" w:cs="Arial"/>
          <w:sz w:val="28"/>
          <w:szCs w:val="28"/>
        </w:rPr>
        <w:t>need to</w:t>
      </w:r>
      <w:r w:rsidRPr="00C27208">
        <w:rPr>
          <w:rFonts w:ascii="Arial" w:hAnsi="Arial" w:cs="Arial"/>
          <w:sz w:val="28"/>
          <w:szCs w:val="28"/>
        </w:rPr>
        <w:t xml:space="preserve"> stop taking shortcuts and focus on research and development, so they can make true sustainable products instead. </w:t>
      </w:r>
    </w:p>
    <w:p w14:paraId="3E155FB6" w14:textId="31425E18" w:rsidR="00E61684"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 xml:space="preserve">Volkswagen’s case shows how deceptive sustainability claims can produce short-term gains, at the cost of permanent damage to reputation and finances. Root causes are not just corporate actions, but a sweeping approach to regulation, technology blind spots, and customers’ </w:t>
      </w:r>
      <w:r w:rsidR="003A56E4" w:rsidRPr="00C27208">
        <w:rPr>
          <w:rFonts w:ascii="Arial" w:hAnsi="Arial" w:cs="Arial"/>
          <w:sz w:val="28"/>
          <w:szCs w:val="28"/>
        </w:rPr>
        <w:t xml:space="preserve">request </w:t>
      </w:r>
      <w:r w:rsidRPr="00C27208">
        <w:rPr>
          <w:rFonts w:ascii="Arial" w:hAnsi="Arial" w:cs="Arial"/>
          <w:sz w:val="28"/>
          <w:szCs w:val="28"/>
        </w:rPr>
        <w:t xml:space="preserve">for quick change. </w:t>
      </w:r>
    </w:p>
    <w:p w14:paraId="1CFB897E" w14:textId="6AFB19B0" w:rsidR="00F4013E" w:rsidRPr="00C27208" w:rsidRDefault="00F4013E" w:rsidP="000B605A">
      <w:pPr>
        <w:spacing w:line="240" w:lineRule="auto"/>
        <w:jc w:val="both"/>
        <w:rPr>
          <w:rFonts w:ascii="Arial" w:hAnsi="Arial" w:cs="Arial"/>
          <w:sz w:val="28"/>
          <w:szCs w:val="28"/>
        </w:rPr>
      </w:pPr>
      <w:r w:rsidRPr="00C27208">
        <w:rPr>
          <w:rFonts w:ascii="Arial" w:hAnsi="Arial" w:cs="Arial"/>
          <w:sz w:val="28"/>
          <w:szCs w:val="28"/>
        </w:rPr>
        <w:t>Sustainability, in its true sense, is putting integrity, innovation and accountability ahead of marketing. ahead of marketing.</w:t>
      </w:r>
    </w:p>
    <w:p w14:paraId="78D66BA1" w14:textId="77777777" w:rsidR="00F4013E" w:rsidRPr="00C27208" w:rsidRDefault="00F4013E" w:rsidP="000B605A">
      <w:pPr>
        <w:spacing w:line="240" w:lineRule="auto"/>
        <w:jc w:val="both"/>
        <w:rPr>
          <w:rFonts w:ascii="Arial" w:hAnsi="Arial" w:cs="Arial"/>
          <w:sz w:val="28"/>
          <w:szCs w:val="28"/>
        </w:rPr>
      </w:pPr>
    </w:p>
    <w:p w14:paraId="42266DF2" w14:textId="0E82FDCA" w:rsidR="004064C9" w:rsidRPr="00C27208" w:rsidRDefault="004064C9" w:rsidP="000B605A">
      <w:pPr>
        <w:spacing w:line="240" w:lineRule="auto"/>
        <w:jc w:val="both"/>
        <w:rPr>
          <w:rFonts w:ascii="Arial" w:hAnsi="Arial" w:cs="Arial"/>
          <w:sz w:val="28"/>
          <w:szCs w:val="28"/>
        </w:rPr>
      </w:pPr>
    </w:p>
    <w:p w14:paraId="73DA012A" w14:textId="77777777" w:rsidR="00E61684" w:rsidRPr="00C27208" w:rsidRDefault="00E61684" w:rsidP="000B605A">
      <w:pPr>
        <w:spacing w:line="240" w:lineRule="auto"/>
        <w:jc w:val="both"/>
        <w:rPr>
          <w:rFonts w:ascii="Arial" w:hAnsi="Arial" w:cs="Arial"/>
          <w:sz w:val="28"/>
          <w:szCs w:val="28"/>
        </w:rPr>
      </w:pPr>
    </w:p>
    <w:p w14:paraId="76EDFFD1" w14:textId="77777777" w:rsidR="00E61684" w:rsidRPr="00C27208" w:rsidRDefault="00E61684" w:rsidP="000B605A">
      <w:pPr>
        <w:spacing w:line="240" w:lineRule="auto"/>
        <w:jc w:val="both"/>
        <w:rPr>
          <w:rFonts w:ascii="Arial" w:hAnsi="Arial" w:cs="Arial"/>
          <w:sz w:val="28"/>
          <w:szCs w:val="28"/>
        </w:rPr>
      </w:pPr>
    </w:p>
    <w:p w14:paraId="64B16DBB" w14:textId="77777777" w:rsidR="00E61684" w:rsidRDefault="00E61684" w:rsidP="000B605A">
      <w:pPr>
        <w:spacing w:line="240" w:lineRule="auto"/>
        <w:jc w:val="both"/>
        <w:rPr>
          <w:rFonts w:ascii="Arial" w:hAnsi="Arial" w:cs="Arial"/>
          <w:sz w:val="24"/>
          <w:szCs w:val="24"/>
        </w:rPr>
      </w:pPr>
    </w:p>
    <w:p w14:paraId="6E490308" w14:textId="77777777" w:rsidR="00E61684" w:rsidRDefault="00E61684" w:rsidP="000B605A">
      <w:pPr>
        <w:spacing w:line="240" w:lineRule="auto"/>
        <w:jc w:val="both"/>
        <w:rPr>
          <w:rFonts w:ascii="Arial" w:hAnsi="Arial" w:cs="Arial"/>
          <w:sz w:val="24"/>
          <w:szCs w:val="24"/>
        </w:rPr>
      </w:pPr>
    </w:p>
    <w:p w14:paraId="64C77185" w14:textId="77777777" w:rsidR="00E61684" w:rsidRDefault="00E61684" w:rsidP="000B605A">
      <w:pPr>
        <w:spacing w:line="240" w:lineRule="auto"/>
        <w:jc w:val="both"/>
        <w:rPr>
          <w:rFonts w:ascii="Arial" w:hAnsi="Arial" w:cs="Arial"/>
          <w:sz w:val="24"/>
          <w:szCs w:val="24"/>
        </w:rPr>
      </w:pPr>
    </w:p>
    <w:p w14:paraId="2E914655" w14:textId="77777777" w:rsidR="00AE148C" w:rsidRDefault="00AE148C" w:rsidP="000B605A">
      <w:pPr>
        <w:spacing w:line="240" w:lineRule="auto"/>
        <w:jc w:val="both"/>
        <w:rPr>
          <w:rFonts w:ascii="Arial" w:hAnsi="Arial" w:cs="Arial"/>
          <w:sz w:val="24"/>
          <w:szCs w:val="24"/>
        </w:rPr>
      </w:pPr>
    </w:p>
    <w:p w14:paraId="0644FC71" w14:textId="77777777" w:rsidR="00E61684" w:rsidRDefault="00E61684" w:rsidP="000B605A">
      <w:pPr>
        <w:spacing w:line="240" w:lineRule="auto"/>
        <w:jc w:val="both"/>
        <w:rPr>
          <w:rFonts w:ascii="Arial" w:hAnsi="Arial" w:cs="Arial"/>
          <w:sz w:val="24"/>
          <w:szCs w:val="24"/>
        </w:rPr>
      </w:pPr>
    </w:p>
    <w:p w14:paraId="5754C7D6" w14:textId="2827EB99" w:rsidR="004064C9" w:rsidRPr="00D06B83" w:rsidRDefault="004064C9" w:rsidP="004064C9">
      <w:pPr>
        <w:rPr>
          <w:b/>
          <w:bCs/>
        </w:rPr>
      </w:pPr>
      <w:r w:rsidRPr="00D06B83">
        <w:rPr>
          <w:b/>
          <w:bCs/>
        </w:rPr>
        <w:lastRenderedPageBreak/>
        <w:t xml:space="preserve">References </w:t>
      </w:r>
    </w:p>
    <w:p w14:paraId="6A833E4C" w14:textId="39D7F787" w:rsidR="004064C9" w:rsidRDefault="004064C9" w:rsidP="004064C9">
      <w:pPr>
        <w:pStyle w:val="ListParagraph"/>
        <w:numPr>
          <w:ilvl w:val="0"/>
          <w:numId w:val="5"/>
        </w:numPr>
      </w:pPr>
      <w:r w:rsidRPr="00E75174">
        <w:t>Bill ,C,</w:t>
      </w:r>
      <w:r>
        <w:t>(</w:t>
      </w:r>
      <w:r w:rsidRPr="00E75174">
        <w:t>2015</w:t>
      </w:r>
      <w:r>
        <w:t>)</w:t>
      </w:r>
      <w:r w:rsidRPr="00E75174">
        <w:t xml:space="preserve"> 'It Was Installed For This Purpose,' VW's U.S. CEO Tells Congress</w:t>
      </w:r>
      <w:r>
        <w:t xml:space="preserve"> </w:t>
      </w:r>
      <w:r w:rsidRPr="00E75174">
        <w:t>About Defeat Device ; Two-way</w:t>
      </w:r>
      <w:r w:rsidR="00F80F00">
        <w:t xml:space="preserve"> Available at </w:t>
      </w:r>
      <w:r w:rsidRPr="00AD441F">
        <w:t xml:space="preserve">: </w:t>
      </w:r>
      <w:hyperlink r:id="rId9" w:history="1">
        <w:r w:rsidRPr="00AD441F">
          <w:rPr>
            <w:rStyle w:val="Hyperlink"/>
          </w:rPr>
          <w:t>https://www.npr.org/sections/thetwo-way/2015/10/08/446861855</w:t>
        </w:r>
      </w:hyperlink>
      <w:r w:rsidR="00F80F00">
        <w:t xml:space="preserve"> </w:t>
      </w:r>
      <w:r w:rsidR="00F80F00" w:rsidRPr="00D06B83">
        <w:t>(Accessed: 6 November 2025).</w:t>
      </w:r>
    </w:p>
    <w:p w14:paraId="47F9D67B" w14:textId="77777777" w:rsidR="004064C9" w:rsidRPr="00D06B83" w:rsidRDefault="004064C9" w:rsidP="004064C9">
      <w:pPr>
        <w:pStyle w:val="ListParagraph"/>
        <w:numPr>
          <w:ilvl w:val="0"/>
          <w:numId w:val="5"/>
        </w:numPr>
        <w:spacing w:after="160" w:line="278" w:lineRule="auto"/>
      </w:pPr>
      <w:r w:rsidRPr="00D06B83">
        <w:t xml:space="preserve">Boiral, O., Talbot, D. and Brotherton, M.C. (2022) </w:t>
      </w:r>
      <w:r w:rsidRPr="009369BB">
        <w:rPr>
          <w:i/>
          <w:iCs/>
        </w:rPr>
        <w:t>Through the Smokescreen of the Diesel gate Disclosure: Neutralizing the Impacts of a Major Sustainability Scandal.</w:t>
      </w:r>
      <w:r w:rsidRPr="00D06B83">
        <w:t xml:space="preserve"> Journal of Business Ethics, 178(4), pp. 789–808.</w:t>
      </w:r>
    </w:p>
    <w:p w14:paraId="56A60399" w14:textId="07C823F2" w:rsidR="004064C9" w:rsidRPr="00AD441F" w:rsidRDefault="004064C9" w:rsidP="004064C9">
      <w:pPr>
        <w:pStyle w:val="ListParagraph"/>
        <w:numPr>
          <w:ilvl w:val="0"/>
          <w:numId w:val="5"/>
        </w:numPr>
      </w:pPr>
      <w:r w:rsidRPr="00C83881">
        <w:t>Ioannou, I., Kassinis, G. &amp; Papagiannakis, G. The Impact of Perceived Greenwashing on Customer Satisfaction and the Contingent Role of Capability Reputation. </w:t>
      </w:r>
      <w:r w:rsidRPr="00C83881">
        <w:rPr>
          <w:i/>
          <w:iCs/>
        </w:rPr>
        <w:t>J Bus Ethics</w:t>
      </w:r>
      <w:r w:rsidRPr="00C83881">
        <w:t> </w:t>
      </w:r>
      <w:r w:rsidRPr="00C83881">
        <w:rPr>
          <w:b/>
          <w:bCs/>
        </w:rPr>
        <w:t>185</w:t>
      </w:r>
      <w:r w:rsidRPr="00C83881">
        <w:t>, 333–347 (2023).</w:t>
      </w:r>
      <w:r w:rsidR="00F80F00">
        <w:t xml:space="preserve"> Available at:</w:t>
      </w:r>
      <w:r w:rsidRPr="00C83881">
        <w:t xml:space="preserve"> </w:t>
      </w:r>
      <w:hyperlink r:id="rId10" w:history="1">
        <w:r w:rsidRPr="00490675">
          <w:rPr>
            <w:rStyle w:val="Hyperlink"/>
          </w:rPr>
          <w:t>https://doi.org/10.1007/s10551-022-05151-9</w:t>
        </w:r>
      </w:hyperlink>
      <w:r>
        <w:t xml:space="preserve"> </w:t>
      </w:r>
      <w:r w:rsidR="00F80F00" w:rsidRPr="00D06B83">
        <w:t xml:space="preserve">(Accessed: </w:t>
      </w:r>
      <w:r w:rsidR="00F80F00">
        <w:t xml:space="preserve">6 </w:t>
      </w:r>
      <w:r w:rsidR="00F80F00" w:rsidRPr="00D06B83">
        <w:t>November 2025).</w:t>
      </w:r>
    </w:p>
    <w:p w14:paraId="39E4F965" w14:textId="77777777" w:rsidR="004064C9" w:rsidRDefault="004064C9" w:rsidP="004064C9">
      <w:pPr>
        <w:pStyle w:val="ListParagraph"/>
        <w:numPr>
          <w:ilvl w:val="0"/>
          <w:numId w:val="5"/>
        </w:numPr>
      </w:pPr>
      <w:r>
        <w:t>Jack, O, &amp; Sophie, T, (2023) The Law Society press :</w:t>
      </w:r>
      <w:r w:rsidRPr="00EB2A58">
        <w:t xml:space="preserve"> </w:t>
      </w:r>
      <w:hyperlink r:id="rId11" w:history="1">
        <w:r w:rsidRPr="00490675">
          <w:rPr>
            <w:rStyle w:val="Hyperlink"/>
          </w:rPr>
          <w:t>https://www.lawsociety.org.uk/topics/climate-change/greenwashing-what-do-you-need-to-know</w:t>
        </w:r>
      </w:hyperlink>
    </w:p>
    <w:p w14:paraId="42CCFD8F" w14:textId="5AB04535" w:rsidR="00F80F00" w:rsidRDefault="004064C9" w:rsidP="004064C9">
      <w:pPr>
        <w:pStyle w:val="ListParagraph"/>
        <w:numPr>
          <w:ilvl w:val="0"/>
          <w:numId w:val="5"/>
        </w:numPr>
        <w:spacing w:after="160" w:line="278" w:lineRule="auto"/>
      </w:pPr>
      <w:r w:rsidRPr="00B120D1">
        <w:t xml:space="preserve">John, A, (2016) Volkswagen’s Emissions Scandal: Lessons for Corporate </w:t>
      </w:r>
      <w:r w:rsidR="00F80F00" w:rsidRPr="00B120D1">
        <w:t>Governance?</w:t>
      </w:r>
      <w:r w:rsidR="00F80F00" w:rsidRPr="00D06B83">
        <w:t xml:space="preserve"> Available at</w:t>
      </w:r>
      <w:r w:rsidR="00F80F00">
        <w:t xml:space="preserve"> : </w:t>
      </w:r>
      <w:hyperlink r:id="rId12" w:history="1">
        <w:r w:rsidRPr="00490675">
          <w:rPr>
            <w:rStyle w:val="Hyperlink"/>
          </w:rPr>
          <w:t>https://blogs.law.ox.ac.uk/business-law-blog/blog/2016/05/volkswagen%E2%80%99s-emissions-scandal-lessons-corporate-governance-part-2</w:t>
        </w:r>
      </w:hyperlink>
      <w:r w:rsidR="00F80F00">
        <w:t xml:space="preserve"> (Accessed:6 November 2025)</w:t>
      </w:r>
    </w:p>
    <w:p w14:paraId="2040785A" w14:textId="6B2342F7" w:rsidR="004064C9" w:rsidRPr="00D06B83" w:rsidRDefault="004064C9" w:rsidP="004064C9">
      <w:pPr>
        <w:pStyle w:val="ListParagraph"/>
        <w:numPr>
          <w:ilvl w:val="0"/>
          <w:numId w:val="5"/>
        </w:numPr>
        <w:spacing w:after="160" w:line="278" w:lineRule="auto"/>
      </w:pPr>
      <w:r w:rsidRPr="00D06B83">
        <w:t xml:space="preserve">Kell, G. (2022) </w:t>
      </w:r>
      <w:r w:rsidRPr="009369BB">
        <w:rPr>
          <w:i/>
          <w:iCs/>
        </w:rPr>
        <w:t>Volkswagen’s “Diesel gate” scandal continues to shape debates on greenwashing in the auto sector.</w:t>
      </w:r>
      <w:r w:rsidRPr="00D06B83">
        <w:t xml:space="preserve"> Forbes, 5 </w:t>
      </w:r>
      <w:r>
        <w:t>December</w:t>
      </w:r>
      <w:r w:rsidRPr="00D06B83">
        <w:t xml:space="preserve">. Available at: </w:t>
      </w:r>
      <w:hyperlink r:id="rId13" w:history="1">
        <w:r w:rsidRPr="00D06B83">
          <w:rPr>
            <w:rStyle w:val="Hyperlink"/>
          </w:rPr>
          <w:t>https://www.forbes.com</w:t>
        </w:r>
      </w:hyperlink>
      <w:r w:rsidRPr="00D06B83">
        <w:t xml:space="preserve"> (Accessed: 6 November 2025).</w:t>
      </w:r>
    </w:p>
    <w:p w14:paraId="7F5385C9" w14:textId="484EAD5F" w:rsidR="00F80F00" w:rsidRDefault="004064C9" w:rsidP="00F80F00">
      <w:pPr>
        <w:pStyle w:val="ListParagraph"/>
        <w:numPr>
          <w:ilvl w:val="0"/>
          <w:numId w:val="5"/>
        </w:numPr>
        <w:spacing w:after="160" w:line="278" w:lineRule="auto"/>
      </w:pPr>
      <w:r w:rsidRPr="00D06B83">
        <w:t xml:space="preserve">Koch, J. and Denner, N. (2025) </w:t>
      </w:r>
      <w:r w:rsidRPr="009369BB">
        <w:rPr>
          <w:i/>
          <w:iCs/>
        </w:rPr>
        <w:t>Different Shades of Green Deception: Greenwashing’s Adverse Effects on Corporate Image and Credibility.</w:t>
      </w:r>
      <w:r w:rsidRPr="00D06B83">
        <w:t xml:space="preserve"> Business Strategy and the Environment, 34(2), pp. 245–261.</w:t>
      </w:r>
    </w:p>
    <w:p w14:paraId="4375B530" w14:textId="7B780641" w:rsidR="00F80F00" w:rsidRDefault="004064C9" w:rsidP="00F80F00">
      <w:pPr>
        <w:pStyle w:val="ListParagraph"/>
        <w:numPr>
          <w:ilvl w:val="1"/>
          <w:numId w:val="9"/>
        </w:numPr>
      </w:pPr>
      <w:r>
        <w:t xml:space="preserve">Kyle </w:t>
      </w:r>
      <w:r w:rsidR="00F80F00">
        <w:t>P, CFI</w:t>
      </w:r>
      <w:r w:rsidR="00F80F00" w:rsidRPr="00D06B83">
        <w:t>.</w:t>
      </w:r>
      <w:r w:rsidR="00F80F00">
        <w:t xml:space="preserve"> </w:t>
      </w:r>
      <w:r w:rsidR="00F80F00" w:rsidRPr="00D06B83">
        <w:t>Available</w:t>
      </w:r>
      <w:r w:rsidR="00F80F00">
        <w:t xml:space="preserve"> </w:t>
      </w:r>
      <w:r w:rsidR="00F80F00" w:rsidRPr="00D06B83">
        <w:t>at</w:t>
      </w:r>
      <w:r w:rsidR="00F80F00">
        <w:t>:</w:t>
      </w:r>
      <w:hyperlink r:id="rId14" w:history="1">
        <w:r w:rsidRPr="00490675">
          <w:rPr>
            <w:rStyle w:val="Hyperlink"/>
          </w:rPr>
          <w:t>https://corporatefinanceinstitute.com/resources/esg/greenwashing/</w:t>
        </w:r>
      </w:hyperlink>
      <w:r w:rsidR="00F80F00" w:rsidRPr="00D06B83">
        <w:t>(Accessed: 6 November 2025).</w:t>
      </w:r>
    </w:p>
    <w:p w14:paraId="6F5A35B5" w14:textId="56FA6014" w:rsidR="004064C9" w:rsidRDefault="004064C9" w:rsidP="004064C9">
      <w:pPr>
        <w:pStyle w:val="ListParagraph"/>
        <w:numPr>
          <w:ilvl w:val="0"/>
          <w:numId w:val="5"/>
        </w:numPr>
      </w:pPr>
      <w:r w:rsidRPr="00871D60">
        <w:t xml:space="preserve">Liao, Y. &amp; Wu, L. (2024) ‘The Influence of Brand Greenwashing on EV Purchase Intention: The Moderating Role of Consumer Innovativeness and Peer Brand Attitude’, </w:t>
      </w:r>
      <w:r w:rsidRPr="00D73AE4">
        <w:rPr>
          <w:i/>
          <w:iCs/>
        </w:rPr>
        <w:t>World Electric Vehicle Journal</w:t>
      </w:r>
      <w:r w:rsidRPr="00871D60">
        <w:t>, 15(7), p. 313.</w:t>
      </w:r>
      <w:r w:rsidR="00F80F00">
        <w:t xml:space="preserve"> Available at: </w:t>
      </w:r>
      <w:r>
        <w:t xml:space="preserve"> </w:t>
      </w:r>
      <w:hyperlink r:id="rId15" w:history="1">
        <w:r w:rsidRPr="00490675">
          <w:rPr>
            <w:rStyle w:val="Hyperlink"/>
          </w:rPr>
          <w:t>https://www.mdpi.com/2032-6653/15/7/313</w:t>
        </w:r>
      </w:hyperlink>
      <w:r w:rsidR="00F80F00">
        <w:t xml:space="preserve"> </w:t>
      </w:r>
      <w:r w:rsidR="00F80F00" w:rsidRPr="00D06B83">
        <w:t>(Accessed: 6 November 2025).</w:t>
      </w:r>
    </w:p>
    <w:p w14:paraId="72CB454E" w14:textId="4486E9C0" w:rsidR="004064C9" w:rsidRDefault="004064C9" w:rsidP="004064C9">
      <w:pPr>
        <w:pStyle w:val="ListParagraph"/>
        <w:numPr>
          <w:ilvl w:val="0"/>
          <w:numId w:val="5"/>
        </w:numPr>
      </w:pPr>
      <w:r w:rsidRPr="006B26DE">
        <w:t xml:space="preserve">Mandy, M, (2016) Placing-Volkswagen-Into-the-Fraud-Triangle, Fraud Conference </w:t>
      </w:r>
      <w:r w:rsidR="00F80F00" w:rsidRPr="006B26DE">
        <w:t>News,</w:t>
      </w:r>
      <w:r w:rsidR="00F80F00">
        <w:t xml:space="preserve"> Available at</w:t>
      </w:r>
      <w:r w:rsidRPr="006B26DE">
        <w:t xml:space="preserve">: </w:t>
      </w:r>
      <w:hyperlink r:id="rId16" w:history="1">
        <w:r w:rsidRPr="00EC1C2E">
          <w:rPr>
            <w:rStyle w:val="Hyperlink"/>
          </w:rPr>
          <w:t>https://www.fraudconferencenews.com/home/2016/6/14/placing-volkswagen-into-the-fraud-triangle</w:t>
        </w:r>
      </w:hyperlink>
      <w:r>
        <w:t xml:space="preserve"> </w:t>
      </w:r>
      <w:r w:rsidR="00F80F00">
        <w:t xml:space="preserve"> </w:t>
      </w:r>
      <w:r w:rsidR="00F80F00" w:rsidRPr="00D06B83">
        <w:t>(Accessed: 6 November 2025).</w:t>
      </w:r>
    </w:p>
    <w:p w14:paraId="7B2EB88B" w14:textId="3F4039C9" w:rsidR="004064C9" w:rsidRPr="00D35982" w:rsidRDefault="004064C9" w:rsidP="00D35982">
      <w:pPr>
        <w:pStyle w:val="ListParagraph"/>
        <w:numPr>
          <w:ilvl w:val="0"/>
          <w:numId w:val="5"/>
        </w:numPr>
      </w:pPr>
      <w:r>
        <w:t>Neil ,B, 2021</w:t>
      </w:r>
      <w:r w:rsidRPr="00871D60">
        <w:t xml:space="preserve"> ‘Car industry accused of ‘greenwashing’ as we wait for electric revolution’, </w:t>
      </w:r>
      <w:r w:rsidRPr="00D35982">
        <w:rPr>
          <w:i/>
          <w:iCs/>
        </w:rPr>
        <w:t>The Irish Times</w:t>
      </w:r>
      <w:r w:rsidRPr="00871D60">
        <w:t>,</w:t>
      </w:r>
      <w:r w:rsidR="00F80F00">
        <w:t xml:space="preserve"> Available at</w:t>
      </w:r>
      <w:r>
        <w:t xml:space="preserve">  </w:t>
      </w:r>
      <w:hyperlink r:id="rId17" w:history="1">
        <w:r w:rsidRPr="00490675">
          <w:rPr>
            <w:rStyle w:val="Hyperlink"/>
          </w:rPr>
          <w:t>https://www.irishtimes.com/life-and-style/motors/car-industry-accused-of-greenwashing-as-we-wait-for-electric-revolution-1.4614887</w:t>
        </w:r>
      </w:hyperlink>
      <w:r w:rsidR="00F80F00">
        <w:t xml:space="preserve"> </w:t>
      </w:r>
      <w:r w:rsidR="00F80F00" w:rsidRPr="00D06B83">
        <w:t>(Accessed: 6 November 2025).</w:t>
      </w:r>
    </w:p>
    <w:p w14:paraId="4A6AAC66" w14:textId="77777777" w:rsidR="004064C9" w:rsidRDefault="004064C9" w:rsidP="004064C9">
      <w:pPr>
        <w:pStyle w:val="ListParagraph"/>
        <w:numPr>
          <w:ilvl w:val="0"/>
          <w:numId w:val="5"/>
        </w:numPr>
        <w:spacing w:after="160" w:line="278" w:lineRule="auto"/>
      </w:pPr>
      <w:r w:rsidRPr="00D06B83">
        <w:t xml:space="preserve">Syal, R. (2025) </w:t>
      </w:r>
      <w:r w:rsidRPr="009369BB">
        <w:rPr>
          <w:i/>
          <w:iCs/>
        </w:rPr>
        <w:t>Green Claims Under Scrutiny: How Carmakers Mislead Consumers on Emissions and Sustainability.</w:t>
      </w:r>
      <w:r w:rsidRPr="00D06B83">
        <w:t xml:space="preserve"> The Guardian, 12 January. Available at: </w:t>
      </w:r>
      <w:hyperlink r:id="rId18" w:history="1">
        <w:r w:rsidRPr="00D06B83">
          <w:rPr>
            <w:rStyle w:val="Hyperlink"/>
          </w:rPr>
          <w:t>https://www.theguardian.com</w:t>
        </w:r>
      </w:hyperlink>
      <w:r w:rsidRPr="00D06B83">
        <w:t xml:space="preserve"> (Accessed: 6 November 2025).</w:t>
      </w:r>
    </w:p>
    <w:p w14:paraId="7964A14A" w14:textId="77777777" w:rsidR="004064C9" w:rsidRDefault="004064C9" w:rsidP="004064C9">
      <w:pPr>
        <w:pStyle w:val="ListParagraph"/>
      </w:pPr>
    </w:p>
    <w:p w14:paraId="3C28FD9C" w14:textId="77777777" w:rsidR="00104262" w:rsidRDefault="00104262"/>
    <w:sectPr w:rsidR="00104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A7C69" w14:textId="77777777" w:rsidR="000A6117" w:rsidRDefault="000A6117" w:rsidP="000A6117">
      <w:pPr>
        <w:spacing w:after="0" w:line="240" w:lineRule="auto"/>
      </w:pPr>
      <w:r>
        <w:separator/>
      </w:r>
    </w:p>
  </w:endnote>
  <w:endnote w:type="continuationSeparator" w:id="0">
    <w:p w14:paraId="17CFB870" w14:textId="77777777" w:rsidR="000A6117" w:rsidRDefault="000A6117" w:rsidP="000A6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7B15C" w14:textId="77777777" w:rsidR="000A6117" w:rsidRDefault="000A6117" w:rsidP="000A6117">
      <w:pPr>
        <w:spacing w:after="0" w:line="240" w:lineRule="auto"/>
      </w:pPr>
      <w:r>
        <w:separator/>
      </w:r>
    </w:p>
  </w:footnote>
  <w:footnote w:type="continuationSeparator" w:id="0">
    <w:p w14:paraId="28648C5C" w14:textId="77777777" w:rsidR="000A6117" w:rsidRDefault="000A6117" w:rsidP="000A6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83470"/>
    <w:multiLevelType w:val="multilevel"/>
    <w:tmpl w:val="E29AA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38197B"/>
    <w:multiLevelType w:val="multilevel"/>
    <w:tmpl w:val="CB2E526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7494F"/>
    <w:multiLevelType w:val="multilevel"/>
    <w:tmpl w:val="CB2E5264"/>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E73642"/>
    <w:multiLevelType w:val="hybridMultilevel"/>
    <w:tmpl w:val="08368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98239F"/>
    <w:multiLevelType w:val="multilevel"/>
    <w:tmpl w:val="CB2E5264"/>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9662DD"/>
    <w:multiLevelType w:val="multilevel"/>
    <w:tmpl w:val="29F02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D64178"/>
    <w:multiLevelType w:val="hybridMultilevel"/>
    <w:tmpl w:val="BF50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EA3FD5"/>
    <w:multiLevelType w:val="multilevel"/>
    <w:tmpl w:val="8034D12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CF24FB"/>
    <w:multiLevelType w:val="hybridMultilevel"/>
    <w:tmpl w:val="B7442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218333">
    <w:abstractNumId w:val="5"/>
  </w:num>
  <w:num w:numId="2" w16cid:durableId="2009020862">
    <w:abstractNumId w:val="6"/>
  </w:num>
  <w:num w:numId="3" w16cid:durableId="357893278">
    <w:abstractNumId w:val="0"/>
  </w:num>
  <w:num w:numId="4" w16cid:durableId="1158422118">
    <w:abstractNumId w:val="1"/>
  </w:num>
  <w:num w:numId="5" w16cid:durableId="1162239737">
    <w:abstractNumId w:val="4"/>
  </w:num>
  <w:num w:numId="6" w16cid:durableId="1941835931">
    <w:abstractNumId w:val="3"/>
  </w:num>
  <w:num w:numId="7" w16cid:durableId="1663466090">
    <w:abstractNumId w:val="8"/>
  </w:num>
  <w:num w:numId="8" w16cid:durableId="890728355">
    <w:abstractNumId w:val="2"/>
  </w:num>
  <w:num w:numId="9" w16cid:durableId="1328660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CC3"/>
    <w:rsid w:val="000075E5"/>
    <w:rsid w:val="000A6117"/>
    <w:rsid w:val="000B605A"/>
    <w:rsid w:val="000C2A4D"/>
    <w:rsid w:val="00104262"/>
    <w:rsid w:val="0010747A"/>
    <w:rsid w:val="00160C24"/>
    <w:rsid w:val="001661AF"/>
    <w:rsid w:val="0020261F"/>
    <w:rsid w:val="00206BA6"/>
    <w:rsid w:val="002323FC"/>
    <w:rsid w:val="002547EC"/>
    <w:rsid w:val="002A4402"/>
    <w:rsid w:val="00393C3C"/>
    <w:rsid w:val="003A56E4"/>
    <w:rsid w:val="003A618C"/>
    <w:rsid w:val="003E3D9C"/>
    <w:rsid w:val="004064C9"/>
    <w:rsid w:val="00430AC6"/>
    <w:rsid w:val="004521C1"/>
    <w:rsid w:val="004825EF"/>
    <w:rsid w:val="004B1C62"/>
    <w:rsid w:val="005529F6"/>
    <w:rsid w:val="005664DA"/>
    <w:rsid w:val="0062582F"/>
    <w:rsid w:val="006A4C09"/>
    <w:rsid w:val="00715825"/>
    <w:rsid w:val="00796F11"/>
    <w:rsid w:val="00797410"/>
    <w:rsid w:val="00805AC8"/>
    <w:rsid w:val="008153EB"/>
    <w:rsid w:val="008613C2"/>
    <w:rsid w:val="00870446"/>
    <w:rsid w:val="00883B81"/>
    <w:rsid w:val="00886A27"/>
    <w:rsid w:val="008C28A8"/>
    <w:rsid w:val="00902CC3"/>
    <w:rsid w:val="00913B12"/>
    <w:rsid w:val="00926ACE"/>
    <w:rsid w:val="00980A53"/>
    <w:rsid w:val="0098650B"/>
    <w:rsid w:val="009C6628"/>
    <w:rsid w:val="009D541A"/>
    <w:rsid w:val="00A07AD0"/>
    <w:rsid w:val="00A1101F"/>
    <w:rsid w:val="00AE148C"/>
    <w:rsid w:val="00B77835"/>
    <w:rsid w:val="00BC1EE9"/>
    <w:rsid w:val="00BF6F05"/>
    <w:rsid w:val="00C10E28"/>
    <w:rsid w:val="00C27208"/>
    <w:rsid w:val="00C52FE1"/>
    <w:rsid w:val="00CF7224"/>
    <w:rsid w:val="00D35982"/>
    <w:rsid w:val="00E363B1"/>
    <w:rsid w:val="00E61684"/>
    <w:rsid w:val="00E720DD"/>
    <w:rsid w:val="00EB74B2"/>
    <w:rsid w:val="00ED5FA6"/>
    <w:rsid w:val="00F17954"/>
    <w:rsid w:val="00F4013E"/>
    <w:rsid w:val="00F80F00"/>
    <w:rsid w:val="00FB2585"/>
    <w:rsid w:val="00FD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99B0C"/>
  <w15:chartTrackingRefBased/>
  <w15:docId w15:val="{F317BE96-0919-4B84-8FE5-09B8E9702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402"/>
  </w:style>
  <w:style w:type="paragraph" w:styleId="Heading1">
    <w:name w:val="heading 1"/>
    <w:basedOn w:val="Normal"/>
    <w:next w:val="Normal"/>
    <w:link w:val="Heading1Char"/>
    <w:uiPriority w:val="9"/>
    <w:qFormat/>
    <w:rsid w:val="002A4402"/>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2A4402"/>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2A4402"/>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2A4402"/>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2A4402"/>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2A4402"/>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2A4402"/>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2A4402"/>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2A4402"/>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402"/>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2A4402"/>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2A4402"/>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2A4402"/>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2A4402"/>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2A4402"/>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2A4402"/>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2A4402"/>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2A4402"/>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2A440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A440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A440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A4402"/>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2A440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A4402"/>
    <w:rPr>
      <w:i/>
      <w:iCs/>
      <w:color w:val="262626" w:themeColor="text1" w:themeTint="D9"/>
    </w:rPr>
  </w:style>
  <w:style w:type="paragraph" w:styleId="ListParagraph">
    <w:name w:val="List Paragraph"/>
    <w:basedOn w:val="Normal"/>
    <w:uiPriority w:val="34"/>
    <w:qFormat/>
    <w:rsid w:val="00902CC3"/>
    <w:pPr>
      <w:ind w:left="720"/>
      <w:contextualSpacing/>
    </w:pPr>
  </w:style>
  <w:style w:type="character" w:styleId="IntenseEmphasis">
    <w:name w:val="Intense Emphasis"/>
    <w:basedOn w:val="DefaultParagraphFont"/>
    <w:uiPriority w:val="21"/>
    <w:qFormat/>
    <w:rsid w:val="002A4402"/>
    <w:rPr>
      <w:b/>
      <w:bCs/>
      <w:i/>
      <w:iCs/>
    </w:rPr>
  </w:style>
  <w:style w:type="paragraph" w:styleId="IntenseQuote">
    <w:name w:val="Intense Quote"/>
    <w:basedOn w:val="Normal"/>
    <w:next w:val="Normal"/>
    <w:link w:val="IntenseQuoteChar"/>
    <w:uiPriority w:val="30"/>
    <w:qFormat/>
    <w:rsid w:val="002A4402"/>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2A4402"/>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2A4402"/>
    <w:rPr>
      <w:b/>
      <w:bCs/>
      <w:smallCaps/>
      <w:color w:val="4EA72E" w:themeColor="accent6"/>
    </w:rPr>
  </w:style>
  <w:style w:type="character" w:styleId="Hyperlink">
    <w:name w:val="Hyperlink"/>
    <w:basedOn w:val="DefaultParagraphFont"/>
    <w:uiPriority w:val="99"/>
    <w:unhideWhenUsed/>
    <w:rsid w:val="0010747A"/>
    <w:rPr>
      <w:color w:val="467886" w:themeColor="hyperlink"/>
      <w:u w:val="single"/>
    </w:rPr>
  </w:style>
  <w:style w:type="character" w:styleId="FollowedHyperlink">
    <w:name w:val="FollowedHyperlink"/>
    <w:basedOn w:val="DefaultParagraphFont"/>
    <w:uiPriority w:val="99"/>
    <w:semiHidden/>
    <w:unhideWhenUsed/>
    <w:rsid w:val="008153EB"/>
    <w:rPr>
      <w:color w:val="96607D" w:themeColor="followedHyperlink"/>
      <w:u w:val="single"/>
    </w:rPr>
  </w:style>
  <w:style w:type="paragraph" w:styleId="Caption">
    <w:name w:val="caption"/>
    <w:basedOn w:val="Normal"/>
    <w:next w:val="Normal"/>
    <w:uiPriority w:val="35"/>
    <w:semiHidden/>
    <w:unhideWhenUsed/>
    <w:qFormat/>
    <w:rsid w:val="002A4402"/>
    <w:pPr>
      <w:spacing w:line="240" w:lineRule="auto"/>
    </w:pPr>
    <w:rPr>
      <w:b/>
      <w:bCs/>
      <w:smallCaps/>
      <w:color w:val="595959" w:themeColor="text1" w:themeTint="A6"/>
    </w:rPr>
  </w:style>
  <w:style w:type="character" w:styleId="Strong">
    <w:name w:val="Strong"/>
    <w:basedOn w:val="DefaultParagraphFont"/>
    <w:uiPriority w:val="22"/>
    <w:qFormat/>
    <w:rsid w:val="002A4402"/>
    <w:rPr>
      <w:b/>
      <w:bCs/>
    </w:rPr>
  </w:style>
  <w:style w:type="character" w:styleId="Emphasis">
    <w:name w:val="Emphasis"/>
    <w:basedOn w:val="DefaultParagraphFont"/>
    <w:uiPriority w:val="20"/>
    <w:qFormat/>
    <w:rsid w:val="002A4402"/>
    <w:rPr>
      <w:i/>
      <w:iCs/>
      <w:color w:val="4EA72E" w:themeColor="accent6"/>
    </w:rPr>
  </w:style>
  <w:style w:type="paragraph" w:styleId="NoSpacing">
    <w:name w:val="No Spacing"/>
    <w:link w:val="NoSpacingChar"/>
    <w:uiPriority w:val="1"/>
    <w:qFormat/>
    <w:rsid w:val="002A4402"/>
    <w:pPr>
      <w:spacing w:after="0" w:line="240" w:lineRule="auto"/>
    </w:pPr>
  </w:style>
  <w:style w:type="character" w:styleId="SubtleEmphasis">
    <w:name w:val="Subtle Emphasis"/>
    <w:basedOn w:val="DefaultParagraphFont"/>
    <w:uiPriority w:val="19"/>
    <w:qFormat/>
    <w:rsid w:val="002A4402"/>
    <w:rPr>
      <w:i/>
      <w:iCs/>
    </w:rPr>
  </w:style>
  <w:style w:type="character" w:styleId="SubtleReference">
    <w:name w:val="Subtle Reference"/>
    <w:basedOn w:val="DefaultParagraphFont"/>
    <w:uiPriority w:val="31"/>
    <w:qFormat/>
    <w:rsid w:val="002A4402"/>
    <w:rPr>
      <w:smallCaps/>
      <w:color w:val="595959" w:themeColor="text1" w:themeTint="A6"/>
    </w:rPr>
  </w:style>
  <w:style w:type="character" w:styleId="BookTitle">
    <w:name w:val="Book Title"/>
    <w:basedOn w:val="DefaultParagraphFont"/>
    <w:uiPriority w:val="33"/>
    <w:qFormat/>
    <w:rsid w:val="002A4402"/>
    <w:rPr>
      <w:b/>
      <w:bCs/>
      <w:caps w:val="0"/>
      <w:smallCaps/>
      <w:spacing w:val="7"/>
      <w:sz w:val="21"/>
      <w:szCs w:val="21"/>
    </w:rPr>
  </w:style>
  <w:style w:type="paragraph" w:styleId="TOCHeading">
    <w:name w:val="TOC Heading"/>
    <w:basedOn w:val="Heading1"/>
    <w:next w:val="Normal"/>
    <w:uiPriority w:val="39"/>
    <w:semiHidden/>
    <w:unhideWhenUsed/>
    <w:qFormat/>
    <w:rsid w:val="002A4402"/>
    <w:pPr>
      <w:outlineLvl w:val="9"/>
    </w:pPr>
  </w:style>
  <w:style w:type="character" w:styleId="UnresolvedMention">
    <w:name w:val="Unresolved Mention"/>
    <w:basedOn w:val="DefaultParagraphFont"/>
    <w:uiPriority w:val="99"/>
    <w:semiHidden/>
    <w:unhideWhenUsed/>
    <w:rsid w:val="005664DA"/>
    <w:rPr>
      <w:color w:val="605E5C"/>
      <w:shd w:val="clear" w:color="auto" w:fill="E1DFDD"/>
    </w:rPr>
  </w:style>
  <w:style w:type="paragraph" w:styleId="FootnoteText">
    <w:name w:val="footnote text"/>
    <w:basedOn w:val="Normal"/>
    <w:link w:val="FootnoteTextChar"/>
    <w:uiPriority w:val="99"/>
    <w:semiHidden/>
    <w:unhideWhenUsed/>
    <w:rsid w:val="000A61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6117"/>
    <w:rPr>
      <w:sz w:val="20"/>
      <w:szCs w:val="20"/>
    </w:rPr>
  </w:style>
  <w:style w:type="character" w:styleId="FootnoteReference">
    <w:name w:val="footnote reference"/>
    <w:basedOn w:val="DefaultParagraphFont"/>
    <w:uiPriority w:val="99"/>
    <w:semiHidden/>
    <w:unhideWhenUsed/>
    <w:rsid w:val="000A6117"/>
    <w:rPr>
      <w:vertAlign w:val="superscript"/>
    </w:rPr>
  </w:style>
  <w:style w:type="character" w:customStyle="1" w:styleId="NoSpacingChar">
    <w:name w:val="No Spacing Char"/>
    <w:basedOn w:val="DefaultParagraphFont"/>
    <w:link w:val="NoSpacing"/>
    <w:uiPriority w:val="1"/>
    <w:rsid w:val="00C27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 TargetMode="External"/><Relationship Id="rId18" Type="http://schemas.openxmlformats.org/officeDocument/2006/relationships/hyperlink" Target="https://www.theguardia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law.ox.ac.uk/business-law-blog/blog/2016/05/volkswagen%E2%80%99s-emissions-scandal-lessons-corporate-governance-part-2" TargetMode="External"/><Relationship Id="rId17" Type="http://schemas.openxmlformats.org/officeDocument/2006/relationships/hyperlink" Target="https://www.irishtimes.com/life-and-style/motors/car-industry-accused-of-greenwashing-as-we-wait-for-electric-revolution-1.4614887" TargetMode="External"/><Relationship Id="rId2" Type="http://schemas.openxmlformats.org/officeDocument/2006/relationships/numbering" Target="numbering.xml"/><Relationship Id="rId16" Type="http://schemas.openxmlformats.org/officeDocument/2006/relationships/hyperlink" Target="https://www.fraudconferencenews.com/home/2016/6/14/placing-volkswagen-into-the-fraud-triang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wsociety.org.uk/topics/climate-change/greenwashing-what-do-you-need-to-know" TargetMode="External"/><Relationship Id="rId5" Type="http://schemas.openxmlformats.org/officeDocument/2006/relationships/webSettings" Target="webSettings.xml"/><Relationship Id="rId15" Type="http://schemas.openxmlformats.org/officeDocument/2006/relationships/hyperlink" Target="https://www.mdpi.com/2032-6653/15/7/313" TargetMode="External"/><Relationship Id="rId10" Type="http://schemas.openxmlformats.org/officeDocument/2006/relationships/hyperlink" Target="https://doi.org/10.1007/s10551-022-05151-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pr.org/sections/thetwo-way/2015/10/08/446861855" TargetMode="External"/><Relationship Id="rId14" Type="http://schemas.openxmlformats.org/officeDocument/2006/relationships/hyperlink" Target="https://corporatefinanceinstitute.com/resources/esg/greenwa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70714B-E1CB-4D74-8509-F42677BD3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4</Pages>
  <Words>1210</Words>
  <Characters>6220</Characters>
  <Application>Microsoft Office Word</Application>
  <DocSecurity>0</DocSecurity>
  <Lines>159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50</cp:revision>
  <dcterms:created xsi:type="dcterms:W3CDTF">2025-11-06T13:17:00Z</dcterms:created>
  <dcterms:modified xsi:type="dcterms:W3CDTF">2025-11-14T11:31:00Z</dcterms:modified>
</cp:coreProperties>
</file>