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C28606" w14:textId="77777777" w:rsidR="00612D26" w:rsidRDefault="00000000">
      <w:pPr>
        <w:pStyle w:val="Title"/>
      </w:pPr>
      <w:bookmarkStart w:id="0" w:name="_heading=h.ssqb0hzcca5q" w:colFirst="0" w:colLast="0"/>
      <w:bookmarkEnd w:id="0"/>
      <w:r>
        <w:rPr>
          <w:noProof/>
        </w:rPr>
        <w:drawing>
          <wp:inline distT="0" distB="0" distL="0" distR="0" wp14:anchorId="513AA99D" wp14:editId="5289CAD2">
            <wp:extent cx="3400900" cy="131463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400900" cy="1314633"/>
                    </a:xfrm>
                    <a:prstGeom prst="rect">
                      <a:avLst/>
                    </a:prstGeom>
                    <a:ln/>
                  </pic:spPr>
                </pic:pic>
              </a:graphicData>
            </a:graphic>
          </wp:inline>
        </w:drawing>
      </w:r>
    </w:p>
    <w:p w14:paraId="0C9C5D50" w14:textId="77777777" w:rsidR="00612D26" w:rsidRDefault="00612D26"/>
    <w:p w14:paraId="65B48453" w14:textId="77777777" w:rsidR="00612D26" w:rsidRDefault="00612D26"/>
    <w:p w14:paraId="5945622E" w14:textId="77777777" w:rsidR="00612D26" w:rsidRDefault="00000000">
      <w:pPr>
        <w:pStyle w:val="Title"/>
      </w:pPr>
      <w:r>
        <w:t xml:space="preserve">MASTER OF BUSINESS ADMINISTRATION </w:t>
      </w:r>
    </w:p>
    <w:p w14:paraId="11C71801" w14:textId="77777777" w:rsidR="00940923" w:rsidRDefault="00940923" w:rsidP="00940923">
      <w:pPr>
        <w:pStyle w:val="Title"/>
        <w:jc w:val="both"/>
      </w:pPr>
    </w:p>
    <w:p w14:paraId="5152887E" w14:textId="1535D4EA" w:rsidR="00612D26" w:rsidRDefault="00940923" w:rsidP="00940923">
      <w:pPr>
        <w:pStyle w:val="Title"/>
        <w:jc w:val="both"/>
      </w:pPr>
      <w:r>
        <w:t xml:space="preserve">                              </w:t>
      </w:r>
      <w:r w:rsidR="00000000">
        <w:t xml:space="preserve">LCMB7035 - DISSERTATION </w:t>
      </w:r>
    </w:p>
    <w:p w14:paraId="23870CA7" w14:textId="77777777" w:rsidR="00940923" w:rsidRDefault="00940923" w:rsidP="00940923">
      <w:pPr>
        <w:pStyle w:val="Title"/>
        <w:jc w:val="both"/>
      </w:pPr>
      <w:bookmarkStart w:id="1" w:name="_heading=h.mghxhskllcb5" w:colFirst="0" w:colLast="0"/>
      <w:bookmarkEnd w:id="1"/>
    </w:p>
    <w:p w14:paraId="7B1100BA" w14:textId="6097A510" w:rsidR="00612D26" w:rsidRDefault="00940923" w:rsidP="00940923">
      <w:pPr>
        <w:pStyle w:val="Title"/>
        <w:jc w:val="both"/>
      </w:pPr>
      <w:r>
        <w:t xml:space="preserve">                              </w:t>
      </w:r>
      <w:r w:rsidR="00000000">
        <w:t>DISSERTATION PROPOSAL</w:t>
      </w:r>
    </w:p>
    <w:p w14:paraId="1D9CFDCB" w14:textId="77777777" w:rsidR="00940923" w:rsidRDefault="00940923" w:rsidP="00940923">
      <w:pPr>
        <w:pStyle w:val="Title"/>
        <w:jc w:val="both"/>
      </w:pPr>
      <w:bookmarkStart w:id="2" w:name="_heading=h.lxufqwrui3jz" w:colFirst="0" w:colLast="0"/>
      <w:bookmarkEnd w:id="2"/>
    </w:p>
    <w:p w14:paraId="4E1CB992" w14:textId="77777777" w:rsidR="00940923" w:rsidRDefault="00940923" w:rsidP="00940923">
      <w:pPr>
        <w:pStyle w:val="Title"/>
        <w:jc w:val="both"/>
        <w:rPr>
          <w:noProof/>
        </w:rPr>
      </w:pPr>
      <w:r>
        <w:t xml:space="preserve">TOPIC= </w:t>
      </w:r>
      <w:r w:rsidR="00000000">
        <w:t>HOW ARE DIGITAL-FIRST COMPANIES USING SUBJECTIVE REVENUE RECOGNITION RULES TO SMOOTH OUT EARNINGS IN THE UK?</w:t>
      </w:r>
      <w:r w:rsidRPr="00940923">
        <w:rPr>
          <w:noProof/>
        </w:rPr>
        <w:t xml:space="preserve"> </w:t>
      </w:r>
    </w:p>
    <w:p w14:paraId="43258387" w14:textId="2AC12106" w:rsidR="00612D26" w:rsidRDefault="00940923" w:rsidP="00940923">
      <w:pPr>
        <w:pStyle w:val="Title"/>
        <w:jc w:val="both"/>
      </w:pPr>
      <w:r w:rsidRPr="000E5A91">
        <w:rPr>
          <w:noProof/>
        </w:rPr>
        <w:drawing>
          <wp:inline distT="0" distB="0" distL="0" distR="0" wp14:anchorId="4E57610C" wp14:editId="0932F6AF">
            <wp:extent cx="5730240" cy="1181100"/>
            <wp:effectExtent l="0" t="0" r="0" b="0"/>
            <wp:docPr id="2028936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1181100"/>
                    </a:xfrm>
                    <a:prstGeom prst="rect">
                      <a:avLst/>
                    </a:prstGeom>
                    <a:noFill/>
                    <a:ln>
                      <a:noFill/>
                    </a:ln>
                  </pic:spPr>
                </pic:pic>
              </a:graphicData>
            </a:graphic>
          </wp:inline>
        </w:drawing>
      </w:r>
    </w:p>
    <w:p w14:paraId="05A14BCF" w14:textId="6BA381CB" w:rsidR="00940923" w:rsidRPr="00940923" w:rsidRDefault="00940923" w:rsidP="00940923"/>
    <w:p w14:paraId="1133975B" w14:textId="6958EF85" w:rsidR="00612D26" w:rsidRDefault="00000000">
      <w:pPr>
        <w:keepNext/>
        <w:keepLines/>
        <w:pBdr>
          <w:top w:val="nil"/>
          <w:left w:val="nil"/>
          <w:bottom w:val="nil"/>
          <w:right w:val="nil"/>
          <w:between w:val="nil"/>
        </w:pBdr>
        <w:spacing w:before="240"/>
        <w:jc w:val="center"/>
        <w:rPr>
          <w:b/>
          <w:bCs/>
        </w:rPr>
      </w:pPr>
      <w:r>
        <w:br w:type="page"/>
      </w:r>
    </w:p>
    <w:p w14:paraId="03423236" w14:textId="4478CF76" w:rsidR="00612D26" w:rsidRDefault="00000000">
      <w:pPr>
        <w:keepNext/>
        <w:keepLines/>
        <w:pBdr>
          <w:top w:val="nil"/>
          <w:left w:val="nil"/>
          <w:bottom w:val="nil"/>
          <w:right w:val="nil"/>
          <w:between w:val="nil"/>
        </w:pBdr>
        <w:spacing w:before="240"/>
        <w:jc w:val="center"/>
        <w:rPr>
          <w:b/>
          <w:bCs/>
          <w:color w:val="000000"/>
        </w:rPr>
      </w:pPr>
      <w:r>
        <w:rPr>
          <w:b/>
          <w:bCs/>
          <w:color w:val="000000"/>
        </w:rPr>
        <w:lastRenderedPageBreak/>
        <w:t>Table of Contents</w:t>
      </w:r>
    </w:p>
    <w:p w14:paraId="1D8D0548" w14:textId="77777777" w:rsidR="00612D26" w:rsidRDefault="00612D26"/>
    <w:sdt>
      <w:sdtPr>
        <w:id w:val="538515516"/>
        <w:docPartObj>
          <w:docPartGallery w:val="Table of Contents"/>
          <w:docPartUnique/>
        </w:docPartObj>
      </w:sdtPr>
      <w:sdtContent>
        <w:p w14:paraId="46104F75" w14:textId="77777777" w:rsidR="00612D26" w:rsidRDefault="00000000">
          <w:pPr>
            <w:widowControl w:val="0"/>
            <w:tabs>
              <w:tab w:val="right" w:leader="dot" w:pos="12000"/>
            </w:tabs>
            <w:spacing w:before="60"/>
            <w:rPr>
              <w:rFonts w:ascii="Arial" w:eastAsia="Arial" w:hAnsi="Arial" w:cs="Arial"/>
              <w:b/>
              <w:bCs/>
              <w:color w:val="000000"/>
            </w:rPr>
          </w:pPr>
          <w:r>
            <w:fldChar w:fldCharType="begin"/>
          </w:r>
          <w:r>
            <w:instrText xml:space="preserve"> TOC \h \u \z \t "Heading 1,1,Heading 2,2,Heading 3,3,"</w:instrText>
          </w:r>
          <w:r>
            <w:fldChar w:fldCharType="separate"/>
          </w:r>
          <w:hyperlink w:anchor="_heading=h.6g4jmatkhtxv">
            <w:r>
              <w:rPr>
                <w:color w:val="000000"/>
              </w:rPr>
              <w:t>1. Introduction</w:t>
            </w:r>
            <w:r>
              <w:rPr>
                <w:color w:val="000000"/>
              </w:rPr>
              <w:tab/>
              <w:t>4</w:t>
            </w:r>
          </w:hyperlink>
        </w:p>
        <w:p w14:paraId="7AC5241A" w14:textId="77777777" w:rsidR="00612D26" w:rsidRDefault="00000000">
          <w:pPr>
            <w:widowControl w:val="0"/>
            <w:tabs>
              <w:tab w:val="right" w:leader="dot" w:pos="12000"/>
            </w:tabs>
            <w:spacing w:before="60"/>
            <w:ind w:left="360"/>
            <w:rPr>
              <w:rFonts w:ascii="Arial" w:eastAsia="Arial" w:hAnsi="Arial" w:cs="Arial"/>
              <w:color w:val="000000"/>
            </w:rPr>
          </w:pPr>
          <w:hyperlink w:anchor="_heading=h.gjjybh41qtn0">
            <w:r>
              <w:rPr>
                <w:color w:val="000000"/>
              </w:rPr>
              <w:t>1.1 Background of the Study</w:t>
            </w:r>
            <w:r>
              <w:rPr>
                <w:color w:val="000000"/>
              </w:rPr>
              <w:tab/>
              <w:t>4</w:t>
            </w:r>
          </w:hyperlink>
        </w:p>
        <w:p w14:paraId="7806E929" w14:textId="77777777" w:rsidR="00612D26" w:rsidRDefault="00000000">
          <w:pPr>
            <w:widowControl w:val="0"/>
            <w:tabs>
              <w:tab w:val="right" w:leader="dot" w:pos="12000"/>
            </w:tabs>
            <w:spacing w:before="60"/>
            <w:ind w:left="360"/>
            <w:rPr>
              <w:rFonts w:ascii="Arial" w:eastAsia="Arial" w:hAnsi="Arial" w:cs="Arial"/>
              <w:color w:val="000000"/>
            </w:rPr>
          </w:pPr>
          <w:hyperlink w:anchor="_heading=h.jn1pgdogzo2e">
            <w:r>
              <w:rPr>
                <w:color w:val="000000"/>
              </w:rPr>
              <w:t>1.2 Problem Statement</w:t>
            </w:r>
            <w:r>
              <w:rPr>
                <w:color w:val="000000"/>
              </w:rPr>
              <w:tab/>
              <w:t>4</w:t>
            </w:r>
          </w:hyperlink>
        </w:p>
        <w:p w14:paraId="3C2BC381" w14:textId="77777777" w:rsidR="00612D26" w:rsidRDefault="00000000">
          <w:pPr>
            <w:widowControl w:val="0"/>
            <w:tabs>
              <w:tab w:val="right" w:leader="dot" w:pos="12000"/>
            </w:tabs>
            <w:spacing w:before="60"/>
            <w:ind w:left="360"/>
            <w:rPr>
              <w:rFonts w:ascii="Arial" w:eastAsia="Arial" w:hAnsi="Arial" w:cs="Arial"/>
              <w:color w:val="000000"/>
            </w:rPr>
          </w:pPr>
          <w:hyperlink w:anchor="_heading=h.woxpdsijwe41">
            <w:r>
              <w:rPr>
                <w:color w:val="000000"/>
              </w:rPr>
              <w:t>1.3 Research Aim</w:t>
            </w:r>
            <w:r>
              <w:rPr>
                <w:color w:val="000000"/>
              </w:rPr>
              <w:tab/>
              <w:t>4</w:t>
            </w:r>
          </w:hyperlink>
        </w:p>
        <w:p w14:paraId="75F7FE35" w14:textId="77777777" w:rsidR="00612D26" w:rsidRDefault="00000000">
          <w:pPr>
            <w:widowControl w:val="0"/>
            <w:tabs>
              <w:tab w:val="right" w:leader="dot" w:pos="12000"/>
            </w:tabs>
            <w:spacing w:before="60"/>
            <w:ind w:left="360"/>
            <w:rPr>
              <w:rFonts w:ascii="Arial" w:eastAsia="Arial" w:hAnsi="Arial" w:cs="Arial"/>
              <w:color w:val="000000"/>
            </w:rPr>
          </w:pPr>
          <w:hyperlink w:anchor="_heading=h.ay3tguu1djaw">
            <w:r>
              <w:rPr>
                <w:color w:val="000000"/>
              </w:rPr>
              <w:t>1.4 Research Objectives</w:t>
            </w:r>
            <w:r>
              <w:rPr>
                <w:color w:val="000000"/>
              </w:rPr>
              <w:tab/>
              <w:t>4</w:t>
            </w:r>
          </w:hyperlink>
        </w:p>
        <w:p w14:paraId="45E028FF" w14:textId="77777777" w:rsidR="00612D26" w:rsidRDefault="00000000">
          <w:pPr>
            <w:widowControl w:val="0"/>
            <w:tabs>
              <w:tab w:val="right" w:leader="dot" w:pos="12000"/>
            </w:tabs>
            <w:spacing w:before="60"/>
            <w:ind w:left="360"/>
            <w:rPr>
              <w:rFonts w:ascii="Arial" w:eastAsia="Arial" w:hAnsi="Arial" w:cs="Arial"/>
              <w:color w:val="000000"/>
            </w:rPr>
          </w:pPr>
          <w:hyperlink w:anchor="_heading=h.9radczk3gb1v">
            <w:r>
              <w:rPr>
                <w:color w:val="000000"/>
              </w:rPr>
              <w:t>1.5 Research Questions</w:t>
            </w:r>
            <w:r>
              <w:rPr>
                <w:color w:val="000000"/>
              </w:rPr>
              <w:tab/>
              <w:t>5</w:t>
            </w:r>
          </w:hyperlink>
        </w:p>
        <w:p w14:paraId="43918E49" w14:textId="77777777" w:rsidR="00612D26" w:rsidRDefault="00000000">
          <w:pPr>
            <w:widowControl w:val="0"/>
            <w:tabs>
              <w:tab w:val="right" w:leader="dot" w:pos="12000"/>
            </w:tabs>
            <w:spacing w:before="60"/>
            <w:ind w:left="360"/>
            <w:rPr>
              <w:rFonts w:ascii="Arial" w:eastAsia="Arial" w:hAnsi="Arial" w:cs="Arial"/>
              <w:color w:val="000000"/>
            </w:rPr>
          </w:pPr>
          <w:hyperlink w:anchor="_heading=h.ewo58lavzmls">
            <w:r>
              <w:rPr>
                <w:color w:val="000000"/>
              </w:rPr>
              <w:t>1.6 Significance of the Study</w:t>
            </w:r>
            <w:r>
              <w:rPr>
                <w:color w:val="000000"/>
              </w:rPr>
              <w:tab/>
              <w:t>5</w:t>
            </w:r>
          </w:hyperlink>
        </w:p>
        <w:p w14:paraId="420C6395" w14:textId="77777777" w:rsidR="00612D26" w:rsidRDefault="00000000">
          <w:pPr>
            <w:widowControl w:val="0"/>
            <w:tabs>
              <w:tab w:val="right" w:leader="dot" w:pos="12000"/>
            </w:tabs>
            <w:spacing w:before="60"/>
            <w:rPr>
              <w:rFonts w:ascii="Arial" w:eastAsia="Arial" w:hAnsi="Arial" w:cs="Arial"/>
              <w:b/>
              <w:bCs/>
              <w:color w:val="000000"/>
            </w:rPr>
          </w:pPr>
          <w:hyperlink w:anchor="_heading=h.bt3e6hhnnfe8">
            <w:r>
              <w:rPr>
                <w:color w:val="000000"/>
              </w:rPr>
              <w:t>2. Literature Review</w:t>
            </w:r>
            <w:r>
              <w:rPr>
                <w:color w:val="000000"/>
              </w:rPr>
              <w:tab/>
              <w:t>5</w:t>
            </w:r>
          </w:hyperlink>
        </w:p>
        <w:p w14:paraId="70551588" w14:textId="77777777" w:rsidR="00612D26" w:rsidRDefault="00000000">
          <w:pPr>
            <w:widowControl w:val="0"/>
            <w:tabs>
              <w:tab w:val="right" w:leader="dot" w:pos="12000"/>
            </w:tabs>
            <w:spacing w:before="60"/>
            <w:ind w:left="360"/>
            <w:rPr>
              <w:rFonts w:ascii="Arial" w:eastAsia="Arial" w:hAnsi="Arial" w:cs="Arial"/>
              <w:color w:val="000000"/>
            </w:rPr>
          </w:pPr>
          <w:hyperlink w:anchor="_heading=h.ad5n0nwcydna">
            <w:r>
              <w:rPr>
                <w:color w:val="000000"/>
              </w:rPr>
              <w:t>2.1 Theoretical Foundation: Positive Accounting Theory</w:t>
            </w:r>
            <w:r>
              <w:rPr>
                <w:color w:val="000000"/>
              </w:rPr>
              <w:tab/>
              <w:t>5</w:t>
            </w:r>
          </w:hyperlink>
        </w:p>
        <w:p w14:paraId="0B27EA69" w14:textId="77777777" w:rsidR="00612D26" w:rsidRDefault="00000000">
          <w:pPr>
            <w:widowControl w:val="0"/>
            <w:tabs>
              <w:tab w:val="right" w:leader="dot" w:pos="12000"/>
            </w:tabs>
            <w:spacing w:before="60"/>
            <w:ind w:left="360"/>
            <w:rPr>
              <w:rFonts w:ascii="Arial" w:eastAsia="Arial" w:hAnsi="Arial" w:cs="Arial"/>
              <w:color w:val="000000"/>
            </w:rPr>
          </w:pPr>
          <w:hyperlink w:anchor="_heading=h.pjsil1dye9ox">
            <w:r>
              <w:rPr>
                <w:color w:val="000000"/>
              </w:rPr>
              <w:t>2.2 Revenue Recognition under IFRS 15</w:t>
            </w:r>
            <w:r>
              <w:rPr>
                <w:color w:val="000000"/>
              </w:rPr>
              <w:tab/>
              <w:t>5</w:t>
            </w:r>
          </w:hyperlink>
        </w:p>
        <w:p w14:paraId="1558761E" w14:textId="77777777" w:rsidR="00612D26" w:rsidRDefault="00000000">
          <w:pPr>
            <w:widowControl w:val="0"/>
            <w:tabs>
              <w:tab w:val="right" w:leader="dot" w:pos="12000"/>
            </w:tabs>
            <w:spacing w:before="60"/>
            <w:ind w:left="360"/>
            <w:rPr>
              <w:rFonts w:ascii="Arial" w:eastAsia="Arial" w:hAnsi="Arial" w:cs="Arial"/>
              <w:color w:val="000000"/>
            </w:rPr>
          </w:pPr>
          <w:hyperlink w:anchor="_heading=h.7cmw4m5alm7f">
            <w:r>
              <w:rPr>
                <w:color w:val="000000"/>
              </w:rPr>
              <w:t>2.3 Earnings Management and Earnings Smoothing</w:t>
            </w:r>
            <w:r>
              <w:rPr>
                <w:color w:val="000000"/>
              </w:rPr>
              <w:tab/>
              <w:t>6</w:t>
            </w:r>
          </w:hyperlink>
        </w:p>
        <w:p w14:paraId="7DB82AAC" w14:textId="77777777" w:rsidR="00612D26" w:rsidRDefault="00000000">
          <w:pPr>
            <w:widowControl w:val="0"/>
            <w:tabs>
              <w:tab w:val="right" w:leader="dot" w:pos="12000"/>
            </w:tabs>
            <w:spacing w:before="60"/>
            <w:ind w:left="360"/>
            <w:rPr>
              <w:rFonts w:ascii="Arial" w:eastAsia="Arial" w:hAnsi="Arial" w:cs="Arial"/>
              <w:color w:val="000000"/>
            </w:rPr>
          </w:pPr>
          <w:hyperlink w:anchor="_heading=h.qy7kqz35zee3">
            <w:r>
              <w:rPr>
                <w:color w:val="000000"/>
              </w:rPr>
              <w:t>2.4 Digital-First Companies and Revenue Complexity</w:t>
            </w:r>
            <w:r>
              <w:rPr>
                <w:color w:val="000000"/>
              </w:rPr>
              <w:tab/>
              <w:t>6</w:t>
            </w:r>
          </w:hyperlink>
        </w:p>
        <w:p w14:paraId="1D49F728" w14:textId="77777777" w:rsidR="00612D26" w:rsidRDefault="00000000">
          <w:pPr>
            <w:widowControl w:val="0"/>
            <w:tabs>
              <w:tab w:val="right" w:leader="dot" w:pos="12000"/>
            </w:tabs>
            <w:spacing w:before="60"/>
            <w:ind w:left="360"/>
            <w:rPr>
              <w:rFonts w:ascii="Arial" w:eastAsia="Arial" w:hAnsi="Arial" w:cs="Arial"/>
              <w:color w:val="000000"/>
            </w:rPr>
          </w:pPr>
          <w:hyperlink w:anchor="_heading=h.judpof4b42v4">
            <w:r>
              <w:rPr>
                <w:color w:val="000000"/>
              </w:rPr>
              <w:t>2.5 Corporate Governance as a Monitoring Mechanism</w:t>
            </w:r>
            <w:r>
              <w:rPr>
                <w:color w:val="000000"/>
              </w:rPr>
              <w:tab/>
              <w:t>6</w:t>
            </w:r>
          </w:hyperlink>
        </w:p>
        <w:p w14:paraId="399B77F2" w14:textId="77777777" w:rsidR="00612D26" w:rsidRDefault="00000000">
          <w:pPr>
            <w:widowControl w:val="0"/>
            <w:tabs>
              <w:tab w:val="right" w:leader="dot" w:pos="12000"/>
            </w:tabs>
            <w:spacing w:before="60"/>
            <w:ind w:left="360"/>
            <w:rPr>
              <w:rFonts w:ascii="Arial" w:eastAsia="Arial" w:hAnsi="Arial" w:cs="Arial"/>
              <w:color w:val="000000"/>
            </w:rPr>
          </w:pPr>
          <w:hyperlink w:anchor="_heading=h.km9vbo36zisl">
            <w:r>
              <w:rPr>
                <w:color w:val="000000"/>
              </w:rPr>
              <w:t>2.6 Research Gap</w:t>
            </w:r>
            <w:r>
              <w:rPr>
                <w:color w:val="000000"/>
              </w:rPr>
              <w:tab/>
              <w:t>6</w:t>
            </w:r>
          </w:hyperlink>
        </w:p>
        <w:p w14:paraId="1C556485" w14:textId="77777777" w:rsidR="00612D26" w:rsidRDefault="00000000">
          <w:pPr>
            <w:widowControl w:val="0"/>
            <w:tabs>
              <w:tab w:val="right" w:leader="dot" w:pos="12000"/>
            </w:tabs>
            <w:spacing w:before="60"/>
            <w:rPr>
              <w:rFonts w:ascii="Arial" w:eastAsia="Arial" w:hAnsi="Arial" w:cs="Arial"/>
              <w:b/>
              <w:bCs/>
              <w:color w:val="000000"/>
            </w:rPr>
          </w:pPr>
          <w:hyperlink w:anchor="_heading=h.t6b2cb43k6tu">
            <w:r>
              <w:rPr>
                <w:color w:val="000000"/>
              </w:rPr>
              <w:t>3. Methodology</w:t>
            </w:r>
            <w:r>
              <w:rPr>
                <w:color w:val="000000"/>
              </w:rPr>
              <w:tab/>
              <w:t>7</w:t>
            </w:r>
          </w:hyperlink>
        </w:p>
        <w:p w14:paraId="12FE017C" w14:textId="77777777" w:rsidR="00612D26" w:rsidRDefault="00000000">
          <w:pPr>
            <w:widowControl w:val="0"/>
            <w:tabs>
              <w:tab w:val="right" w:leader="dot" w:pos="12000"/>
            </w:tabs>
            <w:spacing w:before="60"/>
            <w:ind w:left="360"/>
            <w:rPr>
              <w:rFonts w:ascii="Arial" w:eastAsia="Arial" w:hAnsi="Arial" w:cs="Arial"/>
              <w:color w:val="000000"/>
            </w:rPr>
          </w:pPr>
          <w:hyperlink w:anchor="_heading=h.etqkj62zm9fk">
            <w:r>
              <w:rPr>
                <w:color w:val="000000"/>
              </w:rPr>
              <w:t>3.1 Research Philosophy</w:t>
            </w:r>
            <w:r>
              <w:rPr>
                <w:color w:val="000000"/>
              </w:rPr>
              <w:tab/>
              <w:t>7</w:t>
            </w:r>
          </w:hyperlink>
        </w:p>
        <w:p w14:paraId="358BAA3E" w14:textId="77777777" w:rsidR="00612D26" w:rsidRDefault="00000000">
          <w:pPr>
            <w:widowControl w:val="0"/>
            <w:tabs>
              <w:tab w:val="right" w:leader="dot" w:pos="12000"/>
            </w:tabs>
            <w:spacing w:before="60"/>
            <w:ind w:left="360"/>
            <w:rPr>
              <w:rFonts w:ascii="Arial" w:eastAsia="Arial" w:hAnsi="Arial" w:cs="Arial"/>
              <w:color w:val="000000"/>
            </w:rPr>
          </w:pPr>
          <w:hyperlink w:anchor="_heading=h.5b5rrrkv6hmq">
            <w:r>
              <w:rPr>
                <w:color w:val="000000"/>
              </w:rPr>
              <w:t>3.2 Research Approach</w:t>
            </w:r>
            <w:r>
              <w:rPr>
                <w:color w:val="000000"/>
              </w:rPr>
              <w:tab/>
              <w:t>7</w:t>
            </w:r>
          </w:hyperlink>
        </w:p>
        <w:p w14:paraId="4A0EEF34" w14:textId="77777777" w:rsidR="00612D26" w:rsidRDefault="00000000">
          <w:pPr>
            <w:widowControl w:val="0"/>
            <w:tabs>
              <w:tab w:val="right" w:leader="dot" w:pos="12000"/>
            </w:tabs>
            <w:spacing w:before="60"/>
            <w:ind w:left="360"/>
            <w:rPr>
              <w:rFonts w:ascii="Arial" w:eastAsia="Arial" w:hAnsi="Arial" w:cs="Arial"/>
              <w:color w:val="000000"/>
            </w:rPr>
          </w:pPr>
          <w:hyperlink w:anchor="_heading=h.lb8w85ypxvb8">
            <w:r>
              <w:rPr>
                <w:color w:val="000000"/>
              </w:rPr>
              <w:t>3.3 Research Design</w:t>
            </w:r>
            <w:r>
              <w:rPr>
                <w:color w:val="000000"/>
              </w:rPr>
              <w:tab/>
              <w:t>7</w:t>
            </w:r>
          </w:hyperlink>
        </w:p>
        <w:p w14:paraId="39FB8032" w14:textId="77777777" w:rsidR="00612D26" w:rsidRDefault="00000000">
          <w:pPr>
            <w:widowControl w:val="0"/>
            <w:tabs>
              <w:tab w:val="right" w:leader="dot" w:pos="12000"/>
            </w:tabs>
            <w:spacing w:before="60"/>
            <w:ind w:left="360"/>
            <w:rPr>
              <w:rFonts w:ascii="Arial" w:eastAsia="Arial" w:hAnsi="Arial" w:cs="Arial"/>
              <w:color w:val="000000"/>
            </w:rPr>
          </w:pPr>
          <w:hyperlink w:anchor="_heading=h.iab3w89eq9ef">
            <w:r>
              <w:rPr>
                <w:color w:val="000000"/>
              </w:rPr>
              <w:t>3.4 Data Collection</w:t>
            </w:r>
            <w:r>
              <w:rPr>
                <w:color w:val="000000"/>
              </w:rPr>
              <w:tab/>
              <w:t>7</w:t>
            </w:r>
          </w:hyperlink>
        </w:p>
        <w:p w14:paraId="0071E3FF" w14:textId="77777777" w:rsidR="00612D26" w:rsidRDefault="00000000">
          <w:pPr>
            <w:widowControl w:val="0"/>
            <w:tabs>
              <w:tab w:val="right" w:leader="dot" w:pos="12000"/>
            </w:tabs>
            <w:spacing w:before="60"/>
            <w:ind w:left="360"/>
            <w:rPr>
              <w:rFonts w:ascii="Arial" w:eastAsia="Arial" w:hAnsi="Arial" w:cs="Arial"/>
              <w:color w:val="000000"/>
            </w:rPr>
          </w:pPr>
          <w:hyperlink w:anchor="_heading=h.o59cjkg5z8d4">
            <w:r>
              <w:rPr>
                <w:color w:val="000000"/>
              </w:rPr>
              <w:t>3.6 Data Analysis</w:t>
            </w:r>
            <w:r>
              <w:rPr>
                <w:color w:val="000000"/>
              </w:rPr>
              <w:tab/>
              <w:t>8</w:t>
            </w:r>
          </w:hyperlink>
        </w:p>
        <w:p w14:paraId="2C445B58" w14:textId="77777777" w:rsidR="00612D26" w:rsidRDefault="00000000">
          <w:pPr>
            <w:widowControl w:val="0"/>
            <w:tabs>
              <w:tab w:val="right" w:leader="dot" w:pos="12000"/>
            </w:tabs>
            <w:spacing w:before="60"/>
            <w:ind w:left="360"/>
            <w:rPr>
              <w:rFonts w:ascii="Arial" w:eastAsia="Arial" w:hAnsi="Arial" w:cs="Arial"/>
              <w:color w:val="000000"/>
            </w:rPr>
          </w:pPr>
          <w:hyperlink w:anchor="_heading=h.w1i2iikdflnd">
            <w:r>
              <w:rPr>
                <w:color w:val="000000"/>
              </w:rPr>
              <w:t>3.7 Ethical Considerations</w:t>
            </w:r>
            <w:r>
              <w:rPr>
                <w:color w:val="000000"/>
              </w:rPr>
              <w:tab/>
              <w:t>8</w:t>
            </w:r>
          </w:hyperlink>
        </w:p>
        <w:p w14:paraId="5571112A" w14:textId="77777777" w:rsidR="00612D26" w:rsidRDefault="00000000">
          <w:pPr>
            <w:widowControl w:val="0"/>
            <w:tabs>
              <w:tab w:val="right" w:leader="dot" w:pos="12000"/>
            </w:tabs>
            <w:spacing w:before="60"/>
            <w:rPr>
              <w:rFonts w:ascii="Arial" w:eastAsia="Arial" w:hAnsi="Arial" w:cs="Arial"/>
              <w:b/>
              <w:bCs/>
              <w:color w:val="000000"/>
            </w:rPr>
          </w:pPr>
          <w:hyperlink w:anchor="_heading=h.wklwymrj0iiq">
            <w:r>
              <w:rPr>
                <w:color w:val="000000"/>
              </w:rPr>
              <w:t>4. Expected Findings</w:t>
            </w:r>
            <w:r>
              <w:rPr>
                <w:color w:val="000000"/>
              </w:rPr>
              <w:tab/>
              <w:t>8</w:t>
            </w:r>
          </w:hyperlink>
        </w:p>
        <w:p w14:paraId="6DAC6790" w14:textId="77777777" w:rsidR="00612D26" w:rsidRDefault="00000000">
          <w:pPr>
            <w:widowControl w:val="0"/>
            <w:tabs>
              <w:tab w:val="right" w:leader="dot" w:pos="12000"/>
            </w:tabs>
            <w:spacing w:before="60"/>
            <w:rPr>
              <w:rFonts w:ascii="Arial" w:eastAsia="Arial" w:hAnsi="Arial" w:cs="Arial"/>
              <w:b/>
              <w:bCs/>
              <w:color w:val="000000"/>
            </w:rPr>
          </w:pPr>
          <w:hyperlink w:anchor="_heading=h.1xo4q1t042y0">
            <w:r>
              <w:rPr>
                <w:color w:val="000000"/>
              </w:rPr>
              <w:t>5. Limitations</w:t>
            </w:r>
            <w:r>
              <w:rPr>
                <w:color w:val="000000"/>
              </w:rPr>
              <w:tab/>
              <w:t>8</w:t>
            </w:r>
          </w:hyperlink>
        </w:p>
        <w:p w14:paraId="0A0DE5AB" w14:textId="77777777" w:rsidR="00612D26" w:rsidRDefault="00000000">
          <w:pPr>
            <w:widowControl w:val="0"/>
            <w:tabs>
              <w:tab w:val="right" w:leader="dot" w:pos="12000"/>
            </w:tabs>
            <w:spacing w:before="60"/>
            <w:rPr>
              <w:rFonts w:ascii="Arial" w:eastAsia="Arial" w:hAnsi="Arial" w:cs="Arial"/>
              <w:b/>
              <w:bCs/>
              <w:color w:val="000000"/>
            </w:rPr>
          </w:pPr>
          <w:hyperlink w:anchor="_heading=h.slsiio6mc96q">
            <w:r>
              <w:rPr>
                <w:color w:val="000000"/>
              </w:rPr>
              <w:t>6. Timeframe</w:t>
            </w:r>
            <w:r>
              <w:rPr>
                <w:color w:val="000000"/>
              </w:rPr>
              <w:tab/>
              <w:t>9</w:t>
            </w:r>
          </w:hyperlink>
        </w:p>
        <w:p w14:paraId="52308964" w14:textId="77777777" w:rsidR="00612D26" w:rsidRDefault="00000000">
          <w:pPr>
            <w:widowControl w:val="0"/>
            <w:tabs>
              <w:tab w:val="right" w:leader="dot" w:pos="12000"/>
            </w:tabs>
            <w:spacing w:before="60"/>
            <w:rPr>
              <w:rFonts w:ascii="Arial" w:eastAsia="Arial" w:hAnsi="Arial" w:cs="Arial"/>
              <w:b/>
              <w:bCs/>
              <w:color w:val="000000"/>
            </w:rPr>
          </w:pPr>
          <w:hyperlink w:anchor="_heading=h.kf4e1jxf4p">
            <w:r>
              <w:rPr>
                <w:color w:val="000000"/>
              </w:rPr>
              <w:t>7. Conclusion</w:t>
            </w:r>
            <w:r>
              <w:rPr>
                <w:color w:val="000000"/>
              </w:rPr>
              <w:tab/>
              <w:t>9</w:t>
            </w:r>
          </w:hyperlink>
        </w:p>
        <w:p w14:paraId="2B13AAFB" w14:textId="77777777" w:rsidR="00612D26" w:rsidRDefault="00000000">
          <w:pPr>
            <w:widowControl w:val="0"/>
            <w:tabs>
              <w:tab w:val="right" w:leader="dot" w:pos="12000"/>
            </w:tabs>
            <w:spacing w:before="60"/>
            <w:rPr>
              <w:rFonts w:ascii="Arial" w:eastAsia="Arial" w:hAnsi="Arial" w:cs="Arial"/>
              <w:b/>
              <w:bCs/>
              <w:color w:val="000000"/>
            </w:rPr>
          </w:pPr>
          <w:hyperlink w:anchor="_heading=h.vii1j4hbf1hs">
            <w:r>
              <w:rPr>
                <w:color w:val="000000"/>
              </w:rPr>
              <w:t>References</w:t>
            </w:r>
            <w:r>
              <w:rPr>
                <w:color w:val="000000"/>
              </w:rPr>
              <w:tab/>
              <w:t>10</w:t>
            </w:r>
          </w:hyperlink>
          <w:r>
            <w:fldChar w:fldCharType="end"/>
          </w:r>
        </w:p>
      </w:sdtContent>
    </w:sdt>
    <w:p w14:paraId="2C931702" w14:textId="77777777" w:rsidR="00612D26" w:rsidRDefault="00000000">
      <w:r>
        <w:br w:type="page"/>
      </w:r>
    </w:p>
    <w:p w14:paraId="21E66791" w14:textId="77777777" w:rsidR="00612D26" w:rsidRDefault="00000000">
      <w:pPr>
        <w:pStyle w:val="Heading1"/>
      </w:pPr>
      <w:bookmarkStart w:id="3" w:name="_heading=h.6g4jmatkhtxv" w:colFirst="0" w:colLast="0"/>
      <w:bookmarkEnd w:id="3"/>
      <w:r>
        <w:lastRenderedPageBreak/>
        <w:t>1. Introduction</w:t>
      </w:r>
    </w:p>
    <w:p w14:paraId="1F1FF63A" w14:textId="77777777" w:rsidR="00612D26" w:rsidRDefault="00000000">
      <w:pPr>
        <w:pStyle w:val="Heading2"/>
      </w:pPr>
      <w:bookmarkStart w:id="4" w:name="_heading=h.gjjybh41qtn0" w:colFirst="0" w:colLast="0"/>
      <w:bookmarkEnd w:id="4"/>
      <w:r>
        <w:t>1.1 Background of the Study</w:t>
      </w:r>
    </w:p>
    <w:p w14:paraId="2835CCAA" w14:textId="77777777" w:rsidR="00612D26" w:rsidRDefault="00000000">
      <w:r>
        <w:t>The rise of digital-first companies is affecting the way business is done and financial reporting practices. New revenue streams are available via subscription, software and digital channels, which means more managerial interpretation is needed with regard to when revenue is recognised. However, Kermani and Karimi (2025) argued that the accounting standards are highly developed and complex due to the increasing estimation-based reporting rules for contemporary businesses with respect to digitalisation. Soares et al (2026) further emphasised on the growing complexity of accounting practices in the digital age. Because there is an increased need to allocate revenue and implement more advanced technological systems. This is so as to support financial reporting, yet providing more room for subjective accounting choices.</w:t>
      </w:r>
    </w:p>
    <w:p w14:paraId="32F95513" w14:textId="77777777" w:rsidR="00612D26" w:rsidRDefault="00000000">
      <w:pPr>
        <w:pStyle w:val="Heading2"/>
      </w:pPr>
      <w:bookmarkStart w:id="5" w:name="_heading=h.jn1pgdogzo2e" w:colFirst="0" w:colLast="0"/>
      <w:bookmarkEnd w:id="5"/>
      <w:r>
        <w:t>1.2 Problem Statement</w:t>
      </w:r>
    </w:p>
    <w:p w14:paraId="2241800A" w14:textId="77777777" w:rsidR="00612D26" w:rsidRDefault="00000000">
      <w:r>
        <w:t>Adopting IFRS 15 has allowed recognition of revenue through the application of judgement, especially in companies with a digital focus that use subscription services, bundled contracts, usage-based pricing arrangements, etc. Estimates and assumptions are used at various points within the standard, providing scope for significant judgements to be made to recognise revenue (IASP, 2025). Although this flexibility can enhance the representation of complex transactions, it can afford opportunities for earnings smoothing because of the subjective nature of the judgements made regarding performance obligations, transaction prices and variable consideration. One of the most critical points in financial reporting, often creating judgement gaps and subject to regulatory attention in the modern world, is the recognition of revenue (BDO, 2025).</w:t>
      </w:r>
    </w:p>
    <w:p w14:paraId="45D9B3B5" w14:textId="77777777" w:rsidR="00612D26" w:rsidRDefault="00000000">
      <w:pPr>
        <w:pStyle w:val="Heading2"/>
      </w:pPr>
      <w:bookmarkStart w:id="6" w:name="_heading=h.woxpdsijwe41" w:colFirst="0" w:colLast="0"/>
      <w:bookmarkEnd w:id="6"/>
      <w:r>
        <w:t>1.3 Research Aim</w:t>
      </w:r>
    </w:p>
    <w:p w14:paraId="4BD009CF" w14:textId="77777777" w:rsidR="00612D26" w:rsidRDefault="00000000">
      <w:r>
        <w:t>The main aim of this study is to evaluate ways in which and the extent to which UK-based digital-first companies leverage the subjective estimation clauses within current revenue recognition frameworks to engage in smoothing out earnings.</w:t>
      </w:r>
    </w:p>
    <w:p w14:paraId="071528FD" w14:textId="77777777" w:rsidR="00612D26" w:rsidRDefault="00000000">
      <w:pPr>
        <w:pStyle w:val="Heading2"/>
      </w:pPr>
      <w:bookmarkStart w:id="7" w:name="_heading=h.ay3tguu1djaw" w:colFirst="0" w:colLast="0"/>
      <w:bookmarkEnd w:id="7"/>
      <w:r>
        <w:t>1.4 Research Objectives</w:t>
      </w:r>
    </w:p>
    <w:p w14:paraId="51D21CC5" w14:textId="77777777" w:rsidR="00612D26" w:rsidRDefault="00000000">
      <w:pPr>
        <w:numPr>
          <w:ilvl w:val="0"/>
          <w:numId w:val="2"/>
        </w:numPr>
      </w:pPr>
      <w:r>
        <w:t>To identify the specific steps within the standard accounting models where UK digital firms exercise the highest degree of management discretion</w:t>
      </w:r>
    </w:p>
    <w:p w14:paraId="04A68783" w14:textId="77777777" w:rsidR="00612D26" w:rsidRDefault="00000000">
      <w:pPr>
        <w:numPr>
          <w:ilvl w:val="0"/>
          <w:numId w:val="2"/>
        </w:numPr>
      </w:pPr>
      <w:r>
        <w:t>To quantify the relationship between subjective revenue adjustments and the stability of reported corporate earnings over time</w:t>
      </w:r>
    </w:p>
    <w:p w14:paraId="03A96D2F" w14:textId="77777777" w:rsidR="00612D26" w:rsidRDefault="00000000">
      <w:pPr>
        <w:numPr>
          <w:ilvl w:val="0"/>
          <w:numId w:val="2"/>
        </w:numPr>
      </w:pPr>
      <w:r>
        <w:t>To assess whether corporate governance mechanisms restrict or mitigate this specific type of earnings manipulation</w:t>
      </w:r>
    </w:p>
    <w:p w14:paraId="15CE4738" w14:textId="77777777" w:rsidR="00612D26" w:rsidRDefault="00000000">
      <w:pPr>
        <w:pStyle w:val="Heading2"/>
      </w:pPr>
      <w:bookmarkStart w:id="8" w:name="_heading=h.9radczk3gb1v" w:colFirst="0" w:colLast="0"/>
      <w:bookmarkEnd w:id="8"/>
      <w:r>
        <w:lastRenderedPageBreak/>
        <w:t>1.5 Research Questions</w:t>
      </w:r>
    </w:p>
    <w:p w14:paraId="258EEA17" w14:textId="77777777" w:rsidR="00612D26" w:rsidRDefault="00000000">
      <w:pPr>
        <w:numPr>
          <w:ilvl w:val="0"/>
          <w:numId w:val="1"/>
        </w:numPr>
      </w:pPr>
      <w:r>
        <w:t>Where do digital-first companies in the UK have the most flexibility around managerial discretion for stages of the IFRS 15 revenue recognition model?</w:t>
      </w:r>
    </w:p>
    <w:p w14:paraId="76B7376A" w14:textId="77777777" w:rsidR="00612D26" w:rsidRDefault="00000000">
      <w:pPr>
        <w:numPr>
          <w:ilvl w:val="0"/>
          <w:numId w:val="1"/>
        </w:numPr>
      </w:pPr>
      <w:r>
        <w:t>How do the subjective revenue recognition accounting adjustments affect the certainty of digital-first UK firms' earnings?</w:t>
      </w:r>
    </w:p>
    <w:p w14:paraId="6DD5CD26" w14:textId="77777777" w:rsidR="00612D26" w:rsidRDefault="00000000">
      <w:pPr>
        <w:numPr>
          <w:ilvl w:val="0"/>
          <w:numId w:val="1"/>
        </w:numPr>
      </w:pPr>
      <w:r>
        <w:t>What are the implications for how digital-first businesses in the UK apply 'discretionary judgement' in their revenue recognition practices on the bottom line?</w:t>
      </w:r>
    </w:p>
    <w:p w14:paraId="3E2C1D85" w14:textId="77777777" w:rsidR="00612D26" w:rsidRDefault="00000000">
      <w:pPr>
        <w:numPr>
          <w:ilvl w:val="0"/>
          <w:numId w:val="1"/>
        </w:numPr>
      </w:pPr>
      <w:r>
        <w:t>What is the effectiveness of corporate governance in controlling or reducing earnings smoothing caused by subjective revenue recognition policies in the UK digital-first companies?</w:t>
      </w:r>
    </w:p>
    <w:p w14:paraId="3D7554C1" w14:textId="77777777" w:rsidR="00612D26" w:rsidRDefault="00000000">
      <w:pPr>
        <w:pStyle w:val="Heading2"/>
      </w:pPr>
      <w:bookmarkStart w:id="9" w:name="_heading=h.ewo58lavzmls" w:colFirst="0" w:colLast="0"/>
      <w:bookmarkEnd w:id="9"/>
      <w:r>
        <w:t xml:space="preserve">1.6 Significance of the Study </w:t>
      </w:r>
    </w:p>
    <w:p w14:paraId="594136FF" w14:textId="77777777" w:rsidR="00612D26" w:rsidRDefault="00000000">
      <w:r>
        <w:t xml:space="preserve">The significance of this study lies in its consideration of whether subjective methods of revenue recognition might impact earnings reporting of digital-first companies in the UK. The results will add to the existing literature in the field of accounting judgement and earnings management in technology-based businesses. Kermani and Karimi (2025) pointed out that in the present context of shifting accounting standards, transparency and consistency have become crucial elements in financial reporting. Soares et al. (2026) also commented that in the current digital world of accounting, there is a need for more robust reporting controls. </w:t>
      </w:r>
    </w:p>
    <w:p w14:paraId="35E7A808" w14:textId="77777777" w:rsidR="00612D26" w:rsidRDefault="00612D26"/>
    <w:p w14:paraId="13261B1E" w14:textId="77777777" w:rsidR="00612D26" w:rsidRDefault="00000000">
      <w:pPr>
        <w:pStyle w:val="Heading1"/>
      </w:pPr>
      <w:bookmarkStart w:id="10" w:name="_heading=h.bt3e6hhnnfe8" w:colFirst="0" w:colLast="0"/>
      <w:bookmarkEnd w:id="10"/>
      <w:r>
        <w:t>2. Literature Review</w:t>
      </w:r>
    </w:p>
    <w:p w14:paraId="37EB0A11" w14:textId="77777777" w:rsidR="00612D26" w:rsidRDefault="00000000">
      <w:pPr>
        <w:pStyle w:val="Heading2"/>
      </w:pPr>
      <w:bookmarkStart w:id="11" w:name="_heading=h.ad5n0nwcydna" w:colFirst="0" w:colLast="0"/>
      <w:bookmarkEnd w:id="11"/>
      <w:r>
        <w:t>2.1 Theoretical Foundation: Positive Accounting Theory</w:t>
      </w:r>
    </w:p>
    <w:p w14:paraId="4EEE028B" w14:textId="77777777" w:rsidR="00612D26" w:rsidRDefault="00000000">
      <w:r>
        <w:t xml:space="preserve">Positive Accounting Theory (PAT) is an explanation for the accountant's choice of accounting procedures that will maximise the interests of the organisation or person under different economic conditions. One theory is that the incentives resulting from contracts, compensation arrangements and market expectations can often significantly affect accounting choices. Ahmed (2026) stated that modern-day accounting practices are more affected by sustainability requirements and technological changes, thus increasing the need for managerial judgment. </w:t>
      </w:r>
    </w:p>
    <w:p w14:paraId="1BE47C91" w14:textId="77777777" w:rsidR="00612D26" w:rsidRDefault="00000000">
      <w:pPr>
        <w:pStyle w:val="Heading2"/>
      </w:pPr>
      <w:bookmarkStart w:id="12" w:name="_heading=h.pjsil1dye9ox" w:colFirst="0" w:colLast="0"/>
      <w:bookmarkEnd w:id="12"/>
      <w:r>
        <w:t>2.2 Revenue Recognition under IFRS 15</w:t>
      </w:r>
    </w:p>
    <w:p w14:paraId="278B99FF" w14:textId="77777777" w:rsidR="00612D26" w:rsidRDefault="00000000">
      <w:r>
        <w:t xml:space="preserve">Today's digital business models, such as digital products, bundles, and digital platforms, have made revenue recognition more complex. Luciani (2026) noted that the accounting environment has been changing to a machine-to-machine economic system that necessitates more complex accounting relationships between machines. In IFRS 15, the 5-step model involves many criteria that include significant judgment with regard to identifying performance </w:t>
      </w:r>
      <w:r>
        <w:lastRenderedPageBreak/>
        <w:t>obligations, determining the transaction price and allocating the transaction price to those performance obligations or contracts (</w:t>
      </w:r>
      <w:proofErr w:type="spellStart"/>
      <w:r>
        <w:t>Jieri</w:t>
      </w:r>
      <w:proofErr w:type="spellEnd"/>
      <w:r>
        <w:t xml:space="preserve">, 2024). </w:t>
      </w:r>
    </w:p>
    <w:p w14:paraId="319FA4E1" w14:textId="77777777" w:rsidR="00612D26" w:rsidRDefault="00000000">
      <w:pPr>
        <w:pStyle w:val="Heading2"/>
      </w:pPr>
      <w:bookmarkStart w:id="13" w:name="_heading=h.7cmw4m5alm7f" w:colFirst="0" w:colLast="0"/>
      <w:bookmarkEnd w:id="13"/>
      <w:r>
        <w:t>2.3 Earnings Management and Earnings Smoothing</w:t>
      </w:r>
    </w:p>
    <w:p w14:paraId="54850C07" w14:textId="77777777" w:rsidR="00612D26" w:rsidRDefault="00000000">
      <w:r>
        <w:t xml:space="preserve">Earnings management is defined as a conscious effort made by the firm to manage the numbers in order to manipulate the financial statement to show desired financial results, and earnings smoothing is done to minimise the volatility of earnings from period to period. Mohan et al. (2026) added that enterprise data plays a vital role in the context of an organisation and makes information a significant organisational asset, especially in financial decision-making. Digital companies can make increasing amounts of estimates and assumptions for use in financial reporting processes as they produce massive amounts of transactions and customer information. </w:t>
      </w:r>
    </w:p>
    <w:p w14:paraId="0F2B3C8A" w14:textId="77777777" w:rsidR="00612D26" w:rsidRDefault="00000000">
      <w:pPr>
        <w:pStyle w:val="Heading2"/>
      </w:pPr>
      <w:bookmarkStart w:id="14" w:name="_heading=h.qy7kqz35zee3" w:colFirst="0" w:colLast="0"/>
      <w:bookmarkEnd w:id="14"/>
      <w:r>
        <w:t>2.4 Digital-First Companies and Revenue Complexity</w:t>
      </w:r>
    </w:p>
    <w:p w14:paraId="08BE455D" w14:textId="77777777" w:rsidR="00612D26" w:rsidRDefault="00000000">
      <w:r>
        <w:t xml:space="preserve">Digital-first companies are businesses that have technology-enabled business models that look for profit opportunities in several revenue streams, such as subscriptions, electronic payments, solutions like software licensing and platform services. As per Faraz (2025), small and medium enterprises are increasingly adopting Digital Payment Systems as a result of commercial transactions getting digitalised. </w:t>
      </w:r>
    </w:p>
    <w:p w14:paraId="0677C25A" w14:textId="77777777" w:rsidR="00612D26" w:rsidRDefault="00000000">
      <w:pPr>
        <w:pStyle w:val="Heading2"/>
      </w:pPr>
      <w:bookmarkStart w:id="15" w:name="_heading=h.judpof4b42v4" w:colFirst="0" w:colLast="0"/>
      <w:bookmarkEnd w:id="15"/>
      <w:r>
        <w:t>2.5 Corporate Governance as a Monitoring Mechanism</w:t>
      </w:r>
    </w:p>
    <w:p w14:paraId="3B67A7B3" w14:textId="77777777" w:rsidR="00612D26" w:rsidRDefault="00000000">
      <w:r>
        <w:t xml:space="preserve">Independent boards, audit committees, internal control and external assurance processes are typical characteristics of good governance. Morshed et al. (2026) stressed the significance of upholding integrity in digital disclosures in financial statements and ESG, noting the increasing need for accurate reporting systems. Effective governance structures can minimise opportunities for Schumpeterian accounting behaviours because it helps to expand monitoring and accountability. </w:t>
      </w:r>
    </w:p>
    <w:p w14:paraId="12994FED" w14:textId="77777777" w:rsidR="00612D26" w:rsidRDefault="00000000">
      <w:pPr>
        <w:pStyle w:val="Heading2"/>
      </w:pPr>
      <w:bookmarkStart w:id="16" w:name="_heading=h.km9vbo36zisl" w:colFirst="0" w:colLast="0"/>
      <w:bookmarkEnd w:id="16"/>
      <w:r>
        <w:t xml:space="preserve">2.6 Research Gap </w:t>
      </w:r>
    </w:p>
    <w:p w14:paraId="1E9BFF08" w14:textId="77777777" w:rsidR="00612D26" w:rsidRDefault="00000000">
      <w:r>
        <w:t xml:space="preserve">The current literature has already covered the areas of earnings management, corporate governance and financial regulation; however, there is a lack of research which focuses particularly on how digital-first firms are using the subjective rules of revenue recognition outlined in IFRS 15 to smooth earnings in the UK. Previous research has largely concentrated on traditional accrual accounting methods (discretionary accruals and expense recognition) and not judgements with regard to revenues in digital businesses. Yanney (2025) emphasised and illustrated three principal channels by which cross-border financial regulation impacts the business operations of multinational organisations - a first dimension relates to their operations, a second to investment flows, and the third to their tax structure. </w:t>
      </w:r>
    </w:p>
    <w:p w14:paraId="619397C4" w14:textId="77777777" w:rsidR="00612D26" w:rsidRDefault="00612D26"/>
    <w:p w14:paraId="76322D71" w14:textId="77777777" w:rsidR="00612D26" w:rsidRDefault="00000000">
      <w:pPr>
        <w:pStyle w:val="Heading1"/>
      </w:pPr>
      <w:bookmarkStart w:id="17" w:name="_heading=h.t6b2cb43k6tu" w:colFirst="0" w:colLast="0"/>
      <w:bookmarkEnd w:id="17"/>
      <w:r>
        <w:t>3. Methodology</w:t>
      </w:r>
    </w:p>
    <w:p w14:paraId="7E062FD3" w14:textId="77777777" w:rsidR="00612D26" w:rsidRDefault="00000000">
      <w:pPr>
        <w:pStyle w:val="Heading2"/>
      </w:pPr>
      <w:bookmarkStart w:id="18" w:name="_heading=h.etqkj62zm9fk" w:colFirst="0" w:colLast="0"/>
      <w:bookmarkEnd w:id="18"/>
      <w:r>
        <w:t>3.1 Research Philosophy</w:t>
      </w:r>
    </w:p>
    <w:p w14:paraId="4E65A185" w14:textId="77777777" w:rsidR="00612D26" w:rsidRPr="00940923" w:rsidRDefault="00000000">
      <w:pPr>
        <w:rPr>
          <w:color w:val="000000" w:themeColor="text1"/>
        </w:rPr>
      </w:pPr>
      <w:r w:rsidRPr="00940923">
        <w:rPr>
          <w:color w:val="000000" w:themeColor="text1"/>
        </w:rPr>
        <w:t>This study will use interpretivism research philosophy, which considers that there are multiple realities and that too subjective. This type of philosophy is assumed to enable this study to look at the link between subjective revenue recognition practices and earnings smoothing in digital-first companies in the UK. However, Bayramova and Edwards (2026) clarified that the choice of such method may require consideration of socially constructive and subjective aspects. The research will, therefore, be based on data that are published by someone else and already available over the public domain. On the basis of these, secondary findings will be assessed systematically.</w:t>
      </w:r>
    </w:p>
    <w:p w14:paraId="2BF24C80" w14:textId="77777777" w:rsidR="00612D26" w:rsidRDefault="00000000">
      <w:pPr>
        <w:pStyle w:val="Heading2"/>
      </w:pPr>
      <w:bookmarkStart w:id="19" w:name="_heading=h.5b5rrrkv6hmq" w:colFirst="0" w:colLast="0"/>
      <w:bookmarkEnd w:id="19"/>
      <w:r>
        <w:t>3.2 Research Approach</w:t>
      </w:r>
    </w:p>
    <w:p w14:paraId="096D9488" w14:textId="77777777" w:rsidR="00612D26" w:rsidRPr="00940923" w:rsidRDefault="00000000">
      <w:pPr>
        <w:rPr>
          <w:color w:val="000000" w:themeColor="text1"/>
        </w:rPr>
      </w:pPr>
      <w:r w:rsidRPr="00940923">
        <w:rPr>
          <w:color w:val="000000" w:themeColor="text1"/>
        </w:rPr>
        <w:t>The study will use a deductive research approach, as th</w:t>
      </w:r>
      <w:r>
        <w:t xml:space="preserve">e concepts to be tested are already linked with existing theories and literature on revenue recognition and earnings management. The method would start from the known theoretical assumptions, followed by a procedure to test and check whether the data collected confirm the theory. </w:t>
      </w:r>
      <w:r w:rsidRPr="00940923">
        <w:rPr>
          <w:color w:val="000000" w:themeColor="text1"/>
        </w:rPr>
        <w:t>In context to qualitative research, deductive research approach will enable testing an established theory but from a new context, and make data interpretations based on certain specific and predefined criteria (</w:t>
      </w:r>
      <w:proofErr w:type="spellStart"/>
      <w:r w:rsidRPr="00940923">
        <w:rPr>
          <w:color w:val="000000" w:themeColor="text1"/>
        </w:rPr>
        <w:t>Susilawati</w:t>
      </w:r>
      <w:proofErr w:type="spellEnd"/>
      <w:r w:rsidRPr="00940923">
        <w:rPr>
          <w:color w:val="000000" w:themeColor="text1"/>
        </w:rPr>
        <w:t xml:space="preserve"> et al. 2025). </w:t>
      </w:r>
      <w:r>
        <w:t>Accordingly, research objectives and questions that are grounded in the existing literature will be modified.</w:t>
      </w:r>
      <w:r>
        <w:rPr>
          <w:color w:val="FF0000"/>
        </w:rPr>
        <w:t xml:space="preserve"> </w:t>
      </w:r>
      <w:r w:rsidRPr="00940923">
        <w:rPr>
          <w:color w:val="000000" w:themeColor="text1"/>
        </w:rPr>
        <w:t>Subsequently, non-numerical data on subjective revenue recognition practices to earnings smoothing for UK digital-first companies will be assessed from a number of secondary sources.</w:t>
      </w:r>
    </w:p>
    <w:p w14:paraId="4BE7EA91" w14:textId="77777777" w:rsidR="00612D26" w:rsidRDefault="00000000">
      <w:pPr>
        <w:pStyle w:val="Heading2"/>
      </w:pPr>
      <w:bookmarkStart w:id="20" w:name="_heading=h.lb8w85ypxvb8" w:colFirst="0" w:colLast="0"/>
      <w:bookmarkEnd w:id="20"/>
      <w:r>
        <w:t>3.3 Research Design</w:t>
      </w:r>
    </w:p>
    <w:p w14:paraId="1B1E8941" w14:textId="77777777" w:rsidR="00612D26" w:rsidRPr="00940923" w:rsidRDefault="00000000">
      <w:pPr>
        <w:rPr>
          <w:color w:val="000000" w:themeColor="text1"/>
        </w:rPr>
      </w:pPr>
      <w:r w:rsidRPr="00940923">
        <w:rPr>
          <w:color w:val="000000" w:themeColor="text1"/>
        </w:rPr>
        <w:t xml:space="preserve">The research design will rely on the qualitative research design to obtain secondary data from sources on revenue recognition decision-making. This design will permit answering to questions of “how” and “why”. </w:t>
      </w:r>
      <w:proofErr w:type="spellStart"/>
      <w:r>
        <w:t>Makateng</w:t>
      </w:r>
      <w:proofErr w:type="spellEnd"/>
      <w:r>
        <w:t xml:space="preserve"> and </w:t>
      </w:r>
      <w:proofErr w:type="spellStart"/>
      <w:r>
        <w:t>Mokala</w:t>
      </w:r>
      <w:proofErr w:type="spellEnd"/>
      <w:r>
        <w:t xml:space="preserve"> (2025) emphasised the relevance of choosing a proper research design appropriate for the research objectives and needs for data. </w:t>
      </w:r>
      <w:r w:rsidRPr="00940923">
        <w:rPr>
          <w:color w:val="000000" w:themeColor="text1"/>
        </w:rPr>
        <w:t xml:space="preserve">Focus will be given on pre-existing data, which, in turn, will make it possible to focus on some relevant case studies, which will be real-time UK-based digital-first companies in this case. </w:t>
      </w:r>
    </w:p>
    <w:p w14:paraId="7D844E83" w14:textId="77777777" w:rsidR="00612D26" w:rsidRDefault="00000000">
      <w:pPr>
        <w:pStyle w:val="Heading2"/>
      </w:pPr>
      <w:bookmarkStart w:id="21" w:name="_heading=h.iab3w89eq9ef" w:colFirst="0" w:colLast="0"/>
      <w:bookmarkEnd w:id="21"/>
      <w:r w:rsidRPr="00940923">
        <w:rPr>
          <w:color w:val="000000" w:themeColor="text1"/>
        </w:rPr>
        <w:t>3</w:t>
      </w:r>
      <w:r>
        <w:t xml:space="preserve">.4 Data Collection </w:t>
      </w:r>
    </w:p>
    <w:p w14:paraId="57C4F7DE" w14:textId="77777777" w:rsidR="00612D26" w:rsidRPr="00940923" w:rsidRDefault="00000000">
      <w:pPr>
        <w:rPr>
          <w:color w:val="000000" w:themeColor="text1"/>
        </w:rPr>
      </w:pPr>
      <w:r w:rsidRPr="00940923">
        <w:rPr>
          <w:color w:val="000000" w:themeColor="text1"/>
        </w:rPr>
        <w:t xml:space="preserve">Secondary qualitative data will be collected in this study using different case studies, </w:t>
      </w:r>
      <w:proofErr w:type="gramStart"/>
      <w:r w:rsidRPr="00940923">
        <w:rPr>
          <w:color w:val="000000" w:themeColor="text1"/>
        </w:rPr>
        <w:t>as  this</w:t>
      </w:r>
      <w:proofErr w:type="gramEnd"/>
      <w:r w:rsidRPr="00940923">
        <w:rPr>
          <w:color w:val="000000" w:themeColor="text1"/>
        </w:rPr>
        <w:t xml:space="preserve"> type of method will allow consistency and easy completion of data. It becomes possible to conduct an in-depth empirical investigation of a specific concept in real-life context with case study strategy (</w:t>
      </w:r>
      <w:r w:rsidRPr="00940923">
        <w:rPr>
          <w:color w:val="000000" w:themeColor="text1"/>
          <w:highlight w:val="white"/>
        </w:rPr>
        <w:t>Hancock</w:t>
      </w:r>
      <w:r w:rsidRPr="00940923">
        <w:rPr>
          <w:color w:val="000000" w:themeColor="text1"/>
        </w:rPr>
        <w:t xml:space="preserve"> et al., 2021). The case study research strategy will be used here, which </w:t>
      </w:r>
      <w:r w:rsidRPr="00940923">
        <w:rPr>
          <w:color w:val="000000" w:themeColor="text1"/>
        </w:rPr>
        <w:lastRenderedPageBreak/>
        <w:t xml:space="preserve">is expected to help in investigating the bounded phenomenon within the context of the real world. Considering this, case studies of some of the UK-based digital-first companies will be assessed in terms of subjective revenue recognition rules that lead to smooth earnings. Some of the examples to be given the main emphasis will be firms, such as Ocado Group, Auto Trader Group, Rightmove and Trainline. </w:t>
      </w:r>
    </w:p>
    <w:p w14:paraId="3A65D84A" w14:textId="77777777" w:rsidR="00612D26" w:rsidRPr="00940923" w:rsidRDefault="00000000">
      <w:pPr>
        <w:pStyle w:val="Heading2"/>
        <w:rPr>
          <w:color w:val="000000" w:themeColor="text1"/>
        </w:rPr>
      </w:pPr>
      <w:bookmarkStart w:id="22" w:name="_heading=h.o59cjkg5z8d4" w:colFirst="0" w:colLast="0"/>
      <w:bookmarkEnd w:id="22"/>
      <w:r w:rsidRPr="00940923">
        <w:rPr>
          <w:color w:val="000000" w:themeColor="text1"/>
        </w:rPr>
        <w:t>3.6 Data Analysis</w:t>
      </w:r>
    </w:p>
    <w:p w14:paraId="70276426" w14:textId="77777777" w:rsidR="00612D26" w:rsidRPr="00940923" w:rsidRDefault="00000000">
      <w:pPr>
        <w:rPr>
          <w:color w:val="000000" w:themeColor="text1"/>
        </w:rPr>
      </w:pPr>
      <w:r w:rsidRPr="00940923">
        <w:rPr>
          <w:color w:val="000000" w:themeColor="text1"/>
        </w:rPr>
        <w:t xml:space="preserve">As a means of analysis of collected secondary data, thematic analysis will be performed. Ahmed et al. (2025) added that thematic analysis is defined to be an effective method that enables identification and interpretation of any means of recurring patterns within qualitative case study data. This method will, therefore, help to explore the revenue accounting adjustments that digital-first companies are doing in real-time in the UK. </w:t>
      </w:r>
    </w:p>
    <w:p w14:paraId="3239FAC5" w14:textId="77777777" w:rsidR="00612D26" w:rsidRPr="00940923" w:rsidRDefault="00000000">
      <w:pPr>
        <w:pStyle w:val="Heading2"/>
        <w:rPr>
          <w:color w:val="000000" w:themeColor="text1"/>
        </w:rPr>
      </w:pPr>
      <w:bookmarkStart w:id="23" w:name="_heading=h.w1i2iikdflnd" w:colFirst="0" w:colLast="0"/>
      <w:bookmarkEnd w:id="23"/>
      <w:r w:rsidRPr="00940923">
        <w:rPr>
          <w:color w:val="000000" w:themeColor="text1"/>
        </w:rPr>
        <w:t>3.7 Ethical Considerations</w:t>
      </w:r>
    </w:p>
    <w:p w14:paraId="75561FDF" w14:textId="77777777" w:rsidR="00612D26" w:rsidRPr="00940923" w:rsidRDefault="00000000">
      <w:pPr>
        <w:rPr>
          <w:color w:val="000000" w:themeColor="text1"/>
        </w:rPr>
      </w:pPr>
      <w:r w:rsidRPr="00940923">
        <w:rPr>
          <w:color w:val="000000" w:themeColor="text1"/>
        </w:rPr>
        <w:t xml:space="preserve">Since this study will not include any human participants, therefore, there will be minimal ethical obligations. All sources of data to be used will be duly acknowledged by adhering to the guidelines of the </w:t>
      </w:r>
      <w:r w:rsidRPr="00940923">
        <w:rPr>
          <w:i/>
          <w:iCs/>
          <w:color w:val="000000" w:themeColor="text1"/>
        </w:rPr>
        <w:t>Data Protection Act 2018</w:t>
      </w:r>
      <w:r w:rsidRPr="00940923">
        <w:rPr>
          <w:color w:val="000000" w:themeColor="text1"/>
        </w:rPr>
        <w:t xml:space="preserve">. Most importantly, proper references and in-text citations of such will be used throughout the research findings. Data will be kept secure and for academic purposes only. </w:t>
      </w:r>
    </w:p>
    <w:p w14:paraId="041192B8" w14:textId="77777777" w:rsidR="00612D26" w:rsidRPr="00940923" w:rsidRDefault="00612D26">
      <w:pPr>
        <w:rPr>
          <w:color w:val="000000" w:themeColor="text1"/>
        </w:rPr>
      </w:pPr>
    </w:p>
    <w:p w14:paraId="3136551E" w14:textId="77777777" w:rsidR="00612D26" w:rsidRDefault="00000000">
      <w:pPr>
        <w:pStyle w:val="Heading1"/>
      </w:pPr>
      <w:bookmarkStart w:id="24" w:name="_heading=h.wklwymrj0iiq" w:colFirst="0" w:colLast="0"/>
      <w:bookmarkEnd w:id="24"/>
      <w:r>
        <w:t>4. Expected Findings</w:t>
      </w:r>
    </w:p>
    <w:p w14:paraId="0C6C2330" w14:textId="77777777" w:rsidR="00612D26" w:rsidRDefault="00000000">
      <w:r>
        <w:t xml:space="preserve">Results of this study are likely to show that the aspects of revenue recognition that require subjective judgment are correlated with a higher level of earnings stability for UK digital-first businesses. The price of the transaction, variable consideration and performance obligation allocation are expected to be viewed as the most subjective aspects of financial reporting. According to Luciani (2026), managerial discretion will rise along with the use of more complex accounting structures in the increasingly sophisticated digital accounting context. </w:t>
      </w:r>
    </w:p>
    <w:p w14:paraId="2B8EA043" w14:textId="77777777" w:rsidR="00612D26" w:rsidRDefault="00612D26"/>
    <w:p w14:paraId="19A6EA2E" w14:textId="77777777" w:rsidR="00612D26" w:rsidRDefault="00000000">
      <w:pPr>
        <w:pStyle w:val="Heading1"/>
      </w:pPr>
      <w:bookmarkStart w:id="25" w:name="_heading=h.1xo4q1t042y0" w:colFirst="0" w:colLast="0"/>
      <w:bookmarkEnd w:id="25"/>
      <w:r>
        <w:t>5. Limitations</w:t>
      </w:r>
    </w:p>
    <w:p w14:paraId="3372B743" w14:textId="77777777" w:rsidR="00612D26" w:rsidRDefault="00000000">
      <w:r w:rsidRPr="00940923">
        <w:rPr>
          <w:color w:val="000000" w:themeColor="text1"/>
        </w:rPr>
        <w:t xml:space="preserve">There may be several limitations to this study that can impact the generalisation of the results. Data will be obtained from all means of secondary data sources and real-time context of the research area will be showcased with the use of some real-time case studies of digital-first companies. Therefore, there are some scopes for obtaining biased data. </w:t>
      </w:r>
      <w:r>
        <w:t xml:space="preserve">Faraz (2025) noted that experiences with adoption and implementation may diverge widely from one digital business context to another and therefore impact consistency in the responses. Furthermore, Mohan et </w:t>
      </w:r>
      <w:r>
        <w:lastRenderedPageBreak/>
        <w:t>al. (2026) noted that interpretations of enterprise data are still subject to their context and apply to very few companies.</w:t>
      </w:r>
    </w:p>
    <w:p w14:paraId="52ED42EE" w14:textId="77777777" w:rsidR="00612D26" w:rsidRDefault="00612D26"/>
    <w:p w14:paraId="732D8A23" w14:textId="77777777" w:rsidR="00612D26" w:rsidRDefault="00000000">
      <w:pPr>
        <w:pStyle w:val="Heading1"/>
      </w:pPr>
      <w:bookmarkStart w:id="26" w:name="_heading=h.slsiio6mc96q" w:colFirst="0" w:colLast="0"/>
      <w:bookmarkEnd w:id="26"/>
      <w:r>
        <w:t>6. Timeframe</w:t>
      </w:r>
    </w:p>
    <w:p w14:paraId="35194D36" w14:textId="77777777" w:rsidR="00612D26" w:rsidRDefault="00000000">
      <w:pPr>
        <w:jc w:val="center"/>
      </w:pPr>
      <w:r>
        <w:rPr>
          <w:noProof/>
        </w:rPr>
        <w:drawing>
          <wp:inline distT="114300" distB="114300" distL="114300" distR="114300" wp14:anchorId="0B36AB84" wp14:editId="4B5E9688">
            <wp:extent cx="5943600" cy="2851150"/>
            <wp:effectExtent l="9525" t="9525" r="9525" b="952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t="8366" b="4280"/>
                    <a:stretch>
                      <a:fillRect/>
                    </a:stretch>
                  </pic:blipFill>
                  <pic:spPr>
                    <a:xfrm>
                      <a:off x="0" y="0"/>
                      <a:ext cx="5943600" cy="2851150"/>
                    </a:xfrm>
                    <a:prstGeom prst="rect">
                      <a:avLst/>
                    </a:prstGeom>
                    <a:ln w="9525">
                      <a:solidFill>
                        <a:srgbClr val="000000"/>
                      </a:solidFill>
                      <a:prstDash val="solid"/>
                    </a:ln>
                  </pic:spPr>
                </pic:pic>
              </a:graphicData>
            </a:graphic>
          </wp:inline>
        </w:drawing>
      </w:r>
    </w:p>
    <w:p w14:paraId="26B3EB0F" w14:textId="77777777" w:rsidR="00612D26" w:rsidRDefault="00000000">
      <w:pPr>
        <w:jc w:val="center"/>
        <w:rPr>
          <w:b/>
          <w:bCs/>
        </w:rPr>
      </w:pPr>
      <w:r>
        <w:rPr>
          <w:b/>
          <w:bCs/>
        </w:rPr>
        <w:t>Figure 1: Research Project Timeline</w:t>
      </w:r>
    </w:p>
    <w:p w14:paraId="5F4D5B24" w14:textId="77777777" w:rsidR="00612D26" w:rsidRDefault="00000000">
      <w:pPr>
        <w:jc w:val="center"/>
      </w:pPr>
      <w:r>
        <w:t>(Source: Self-Developed)</w:t>
      </w:r>
    </w:p>
    <w:p w14:paraId="35AE52DD" w14:textId="77777777" w:rsidR="00612D26" w:rsidRDefault="00000000">
      <w:r>
        <w:t>The Gantt chart is a plan for 12 months for the research arranged in time sequence from reviewing literary works through studies and research by key stages, including data collection, data analysis, report writing and submission. The timeline in this research paper can be used to show a systematic approach in project management that allocates time for each research activity to provide effective coordination of research tasks and ensure punctual completion of research. In the context of ever-growing digitalisation in business and accounting, structured planning is crucial for handling complex research projects.</w:t>
      </w:r>
    </w:p>
    <w:p w14:paraId="7BADB981" w14:textId="77777777" w:rsidR="00612D26" w:rsidRDefault="00612D26"/>
    <w:p w14:paraId="52B2862B" w14:textId="77777777" w:rsidR="00612D26" w:rsidRDefault="00000000">
      <w:pPr>
        <w:pStyle w:val="Heading1"/>
      </w:pPr>
      <w:bookmarkStart w:id="27" w:name="_heading=h.kf4e1jxf4p" w:colFirst="0" w:colLast="0"/>
      <w:bookmarkEnd w:id="27"/>
      <w:r>
        <w:t>7. Conclusion</w:t>
      </w:r>
    </w:p>
    <w:p w14:paraId="25D206A6" w14:textId="77777777" w:rsidR="00612D26" w:rsidRDefault="00000000">
      <w:r>
        <w:t>Subjective revenue recognition practices are a topic of study outlined within this proposal that examines the ways in which digital-first companies in the UK can use these practices to smooth earnings. The relationship between managerial discretion and earnings stability as well as corporate governance is examined, thereby filling an important gap in the literature. The study will aim to generate insights on financial regulators, auditors, investors and organisations which want to increase their transparency and reliability of financial reporting, using a qualitative approach.</w:t>
      </w:r>
      <w:r>
        <w:br w:type="page"/>
      </w:r>
    </w:p>
    <w:p w14:paraId="0555DEC8" w14:textId="77777777" w:rsidR="00612D26" w:rsidRDefault="00000000">
      <w:pPr>
        <w:pStyle w:val="Heading1"/>
      </w:pPr>
      <w:bookmarkStart w:id="28" w:name="_heading=h.vii1j4hbf1hs" w:colFirst="0" w:colLast="0"/>
      <w:bookmarkEnd w:id="28"/>
      <w:r>
        <w:lastRenderedPageBreak/>
        <w:t>References</w:t>
      </w:r>
    </w:p>
    <w:p w14:paraId="4A505547" w14:textId="77777777" w:rsidR="00612D26" w:rsidRDefault="00000000">
      <w:pPr>
        <w:spacing w:after="240"/>
      </w:pPr>
      <w:r>
        <w:t xml:space="preserve">Ahmed, J.U., 2026. Navigating the Transformative Landscape of Accounting, Finance and Sustainability: An Exploration. </w:t>
      </w:r>
      <w:hyperlink r:id="rId11">
        <w:r>
          <w:rPr>
            <w:color w:val="0000FF"/>
            <w:u w:val="single"/>
          </w:rPr>
          <w:t>https://dspace.nehu.ac.in/bitstreams/187e20ea-e290-48ad-89a7-7b082b30e160/download</w:t>
        </w:r>
      </w:hyperlink>
    </w:p>
    <w:p w14:paraId="06E46E98" w14:textId="77777777" w:rsidR="00612D26" w:rsidRPr="00940923" w:rsidRDefault="00000000">
      <w:pPr>
        <w:spacing w:after="240"/>
        <w:rPr>
          <w:color w:val="000000" w:themeColor="text1"/>
        </w:rPr>
      </w:pPr>
      <w:r w:rsidRPr="00940923">
        <w:rPr>
          <w:color w:val="000000" w:themeColor="text1"/>
          <w:highlight w:val="white"/>
        </w:rPr>
        <w:t xml:space="preserve">Ahmed, S.K., Mohammed, R.A., Nashwan, A.J., Ibrahim, R.H., Abdalla, A.Q., Ameen, B.M.M. and </w:t>
      </w:r>
      <w:proofErr w:type="spellStart"/>
      <w:r w:rsidRPr="00940923">
        <w:rPr>
          <w:color w:val="000000" w:themeColor="text1"/>
          <w:highlight w:val="white"/>
        </w:rPr>
        <w:t>Khdhir</w:t>
      </w:r>
      <w:proofErr w:type="spellEnd"/>
      <w:r w:rsidRPr="00940923">
        <w:rPr>
          <w:color w:val="000000" w:themeColor="text1"/>
          <w:highlight w:val="white"/>
        </w:rPr>
        <w:t xml:space="preserve">, R.M., 2025. Using thematic analysis in qualitative research. </w:t>
      </w:r>
      <w:r w:rsidRPr="00940923">
        <w:rPr>
          <w:i/>
          <w:iCs/>
          <w:color w:val="000000" w:themeColor="text1"/>
          <w:highlight w:val="white"/>
        </w:rPr>
        <w:t xml:space="preserve">Journal of </w:t>
      </w:r>
      <w:r w:rsidRPr="00940923">
        <w:rPr>
          <w:i/>
          <w:iCs/>
          <w:color w:val="000000" w:themeColor="text1"/>
        </w:rPr>
        <w:t>Medicine, Surgery, and Public Health</w:t>
      </w:r>
      <w:r w:rsidRPr="00940923">
        <w:rPr>
          <w:color w:val="000000" w:themeColor="text1"/>
        </w:rPr>
        <w:t xml:space="preserve">, </w:t>
      </w:r>
      <w:r w:rsidRPr="00940923">
        <w:rPr>
          <w:i/>
          <w:iCs/>
          <w:color w:val="000000" w:themeColor="text1"/>
        </w:rPr>
        <w:t>6</w:t>
      </w:r>
      <w:r w:rsidRPr="00940923">
        <w:rPr>
          <w:color w:val="000000" w:themeColor="text1"/>
        </w:rPr>
        <w:t xml:space="preserve">, p.100198. </w:t>
      </w:r>
      <w:hyperlink r:id="rId12">
        <w:r w:rsidRPr="00940923">
          <w:rPr>
            <w:color w:val="000000" w:themeColor="text1"/>
            <w:highlight w:val="lightGray"/>
            <w:u w:val="single"/>
          </w:rPr>
          <w:t>https://www.sciencedirect.com/science/article/pii/S2949916X25000222</w:t>
        </w:r>
      </w:hyperlink>
      <w:r w:rsidRPr="00940923">
        <w:rPr>
          <w:color w:val="000000" w:themeColor="text1"/>
        </w:rPr>
        <w:t xml:space="preserve"> </w:t>
      </w:r>
    </w:p>
    <w:p w14:paraId="047382FB" w14:textId="77777777" w:rsidR="00612D26" w:rsidRDefault="00000000">
      <w:pPr>
        <w:spacing w:after="240"/>
      </w:pPr>
      <w:r>
        <w:t>Bayramova, A. and Edwards, D.J., 2026. A study of objectivity and subjectivity in research methodology selection. </w:t>
      </w:r>
      <w:r>
        <w:rPr>
          <w:i/>
          <w:iCs/>
        </w:rPr>
        <w:t>Quality &amp; Quantity</w:t>
      </w:r>
      <w:r>
        <w:t>, </w:t>
      </w:r>
      <w:r>
        <w:rPr>
          <w:i/>
          <w:iCs/>
        </w:rPr>
        <w:t>60</w:t>
      </w:r>
      <w:r>
        <w:t xml:space="preserve">(2), pp.5905-5931. </w:t>
      </w:r>
      <w:hyperlink r:id="rId13">
        <w:r>
          <w:rPr>
            <w:color w:val="0000FF"/>
            <w:u w:val="single"/>
          </w:rPr>
          <w:t>https://link.springer.com/article/10.1007/s11135-025-02517-9</w:t>
        </w:r>
      </w:hyperlink>
    </w:p>
    <w:p w14:paraId="5E748EC7" w14:textId="77777777" w:rsidR="00612D26" w:rsidRDefault="00000000">
      <w:pPr>
        <w:spacing w:after="240"/>
      </w:pPr>
      <w:r>
        <w:t xml:space="preserve">BDO. (2025). </w:t>
      </w:r>
      <w:r>
        <w:rPr>
          <w:i/>
          <w:iCs/>
        </w:rPr>
        <w:t>IFRS 15 Revenue</w:t>
      </w:r>
      <w:r>
        <w:t xml:space="preserve">. Available at: </w:t>
      </w:r>
      <w:hyperlink r:id="rId14">
        <w:r>
          <w:rPr>
            <w:color w:val="0000FF"/>
            <w:u w:val="single"/>
          </w:rPr>
          <w:t>https://www.bdo.co.uk/en-gb/services/audit-assurance/ifrs/ifrs-15-revenue</w:t>
        </w:r>
      </w:hyperlink>
      <w:r>
        <w:t xml:space="preserve"> [Accessed: 29 June 2026]</w:t>
      </w:r>
    </w:p>
    <w:p w14:paraId="38965FF4" w14:textId="77777777" w:rsidR="00612D26" w:rsidRDefault="00000000">
      <w:pPr>
        <w:spacing w:after="240"/>
      </w:pPr>
      <w:r>
        <w:t xml:space="preserve">Faraz, F., 2025. </w:t>
      </w:r>
      <w:r>
        <w:rPr>
          <w:i/>
          <w:iCs/>
        </w:rPr>
        <w:t>Adoption of digital payments by SMEs in Bangladesh: role of bKash’s sales division in driving financial inclusion</w:t>
      </w:r>
      <w:r>
        <w:t xml:space="preserve">. </w:t>
      </w:r>
      <w:hyperlink r:id="rId15">
        <w:r>
          <w:rPr>
            <w:color w:val="0000FF"/>
            <w:u w:val="single"/>
          </w:rPr>
          <w:t>https://dspace.bracu.ac.bd/xmlui/handle/10361/27230</w:t>
        </w:r>
      </w:hyperlink>
    </w:p>
    <w:p w14:paraId="7BEBF08C" w14:textId="77777777" w:rsidR="00612D26" w:rsidRDefault="00000000">
      <w:pPr>
        <w:spacing w:after="240"/>
      </w:pPr>
      <w:r w:rsidRPr="00940923">
        <w:rPr>
          <w:color w:val="000000" w:themeColor="text1"/>
          <w:highlight w:val="white"/>
        </w:rPr>
        <w:t xml:space="preserve">Hancock, D.R., </w:t>
      </w:r>
      <w:proofErr w:type="spellStart"/>
      <w:r w:rsidRPr="00940923">
        <w:rPr>
          <w:color w:val="000000" w:themeColor="text1"/>
          <w:highlight w:val="white"/>
        </w:rPr>
        <w:t>Algozzine</w:t>
      </w:r>
      <w:proofErr w:type="spellEnd"/>
      <w:r w:rsidRPr="00940923">
        <w:rPr>
          <w:color w:val="000000" w:themeColor="text1"/>
          <w:highlight w:val="white"/>
        </w:rPr>
        <w:t>, B. and Lim, J.H., 2021. Doing case study research: A practical guide for beginning researchers</w:t>
      </w:r>
      <w:r>
        <w:rPr>
          <w:color w:val="FF0000"/>
          <w:highlight w:val="white"/>
        </w:rPr>
        <w:t>.</w:t>
      </w:r>
      <w:r>
        <w:rPr>
          <w:color w:val="FF0000"/>
        </w:rPr>
        <w:t xml:space="preserve"> </w:t>
      </w:r>
      <w:hyperlink r:id="rId16">
        <w:r>
          <w:rPr>
            <w:color w:val="1155CC"/>
            <w:u w:val="single"/>
          </w:rPr>
          <w:t>https://www.academia.edu/download/53447095/Review_of_Doing_Case_Study_Blank___Wolgemuth_2017.pdf</w:t>
        </w:r>
      </w:hyperlink>
      <w:r>
        <w:rPr>
          <w:color w:val="FF0000"/>
        </w:rPr>
        <w:t xml:space="preserve"> </w:t>
      </w:r>
    </w:p>
    <w:p w14:paraId="2578340E" w14:textId="77777777" w:rsidR="00612D26" w:rsidRDefault="00000000">
      <w:pPr>
        <w:spacing w:after="240"/>
      </w:pPr>
      <w:r>
        <w:t xml:space="preserve">IASP. (2025). </w:t>
      </w:r>
      <w:r>
        <w:rPr>
          <w:i/>
          <w:iCs/>
        </w:rPr>
        <w:t>IFRS 15 — Revenue from Contracts with Customers.</w:t>
      </w:r>
      <w:r>
        <w:t xml:space="preserve"> Available at: </w:t>
      </w:r>
      <w:hyperlink r:id="rId17">
        <w:r>
          <w:rPr>
            <w:color w:val="0000FF"/>
            <w:u w:val="single"/>
          </w:rPr>
          <w:t>https://www.iasplus.com/en/standards/ifrs/ifrs15</w:t>
        </w:r>
      </w:hyperlink>
      <w:r>
        <w:t xml:space="preserve"> [Accessed: 29 June 2026]</w:t>
      </w:r>
    </w:p>
    <w:p w14:paraId="0F71C70B" w14:textId="77777777" w:rsidR="00612D26" w:rsidRDefault="00000000">
      <w:pPr>
        <w:spacing w:after="240"/>
      </w:pPr>
      <w:proofErr w:type="spellStart"/>
      <w:r>
        <w:rPr>
          <w:color w:val="222222"/>
          <w:highlight w:val="white"/>
        </w:rPr>
        <w:t>Jieri</w:t>
      </w:r>
      <w:proofErr w:type="spellEnd"/>
      <w:r>
        <w:rPr>
          <w:color w:val="222222"/>
          <w:highlight w:val="white"/>
        </w:rPr>
        <w:t xml:space="preserve">, N., 2024. Development of an integrated model for the application of International Financial Reporting Standard (IFRS) 15–revenue from contracts with customers. Summary of the PhD thesis in Economics. </w:t>
      </w:r>
      <w:hyperlink r:id="rId18">
        <w:r>
          <w:rPr>
            <w:color w:val="0000FF"/>
            <w:highlight w:val="white"/>
            <w:u w:val="single"/>
          </w:rPr>
          <w:t>http://dspace.ase.md:8080/xmlui/bitstream/handle/123456789/3621/REZUMAT%20TEZA_EN_JIERI%20N%202024.pdf?sequence=1&amp;isAllowed=y</w:t>
        </w:r>
      </w:hyperlink>
      <w:r>
        <w:rPr>
          <w:color w:val="222222"/>
          <w:highlight w:val="white"/>
        </w:rPr>
        <w:t xml:space="preserve"> </w:t>
      </w:r>
    </w:p>
    <w:p w14:paraId="1AEDAF30" w14:textId="77777777" w:rsidR="00612D26" w:rsidRDefault="00000000">
      <w:pPr>
        <w:spacing w:after="240"/>
      </w:pPr>
      <w:r>
        <w:t>Kermani, Z. and Karimi, D., 2025. The Evolution of Accounting Standards After the Financial Crisis: Effects of the Digital Age. </w:t>
      </w:r>
      <w:r>
        <w:rPr>
          <w:i/>
          <w:iCs/>
        </w:rPr>
        <w:t>International Journal of Business Management and Entrepreneurship</w:t>
      </w:r>
      <w:r>
        <w:t>, </w:t>
      </w:r>
      <w:r>
        <w:rPr>
          <w:i/>
          <w:iCs/>
        </w:rPr>
        <w:t>4</w:t>
      </w:r>
      <w:r>
        <w:t xml:space="preserve">(3), pp.70-82. </w:t>
      </w:r>
      <w:hyperlink r:id="rId19">
        <w:r>
          <w:rPr>
            <w:color w:val="0000FF"/>
            <w:u w:val="single"/>
          </w:rPr>
          <w:t>https://mbajournal.ir/index.php/IJBME/article/view/89</w:t>
        </w:r>
      </w:hyperlink>
    </w:p>
    <w:p w14:paraId="2B669523" w14:textId="77777777" w:rsidR="00612D26" w:rsidRDefault="00000000">
      <w:pPr>
        <w:spacing w:after="240"/>
      </w:pPr>
      <w:r>
        <w:lastRenderedPageBreak/>
        <w:t xml:space="preserve">Luciani, C., 2026. </w:t>
      </w:r>
      <w:proofErr w:type="spellStart"/>
      <w:r>
        <w:t>Kontablo</w:t>
      </w:r>
      <w:proofErr w:type="spellEnd"/>
      <w:r>
        <w:t>: A Graph-Based Universal Accounting Ontology for the M2M Agentic Economy. </w:t>
      </w:r>
      <w:r>
        <w:rPr>
          <w:i/>
          <w:iCs/>
        </w:rPr>
        <w:t>Available at SSRN 6960598</w:t>
      </w:r>
      <w:r>
        <w:t xml:space="preserve">. </w:t>
      </w:r>
      <w:hyperlink r:id="rId20">
        <w:r>
          <w:rPr>
            <w:color w:val="0000FF"/>
            <w:u w:val="single"/>
          </w:rPr>
          <w:t>https://papers.ssrn.com/sol3/papers.cfm?abstract_id=6960598</w:t>
        </w:r>
      </w:hyperlink>
    </w:p>
    <w:p w14:paraId="19742B3F" w14:textId="77777777" w:rsidR="00612D26" w:rsidRDefault="00000000">
      <w:pPr>
        <w:spacing w:after="240"/>
      </w:pPr>
      <w:proofErr w:type="spellStart"/>
      <w:r>
        <w:t>Makateng</w:t>
      </w:r>
      <w:proofErr w:type="spellEnd"/>
      <w:r>
        <w:t xml:space="preserve">, D.S. and </w:t>
      </w:r>
      <w:proofErr w:type="spellStart"/>
      <w:r>
        <w:t>Mokala</w:t>
      </w:r>
      <w:proofErr w:type="spellEnd"/>
      <w:r>
        <w:t>, N.T., 2025. Understanding qualitative research methodology: A systematic review. </w:t>
      </w:r>
      <w:r>
        <w:rPr>
          <w:i/>
          <w:iCs/>
        </w:rPr>
        <w:t>E-Journal of Humanities Arts and Social Sciences</w:t>
      </w:r>
      <w:r>
        <w:t>, </w:t>
      </w:r>
      <w:r>
        <w:rPr>
          <w:i/>
          <w:iCs/>
        </w:rPr>
        <w:t>6</w:t>
      </w:r>
      <w:r>
        <w:t xml:space="preserve">(3), pp.327-335. </w:t>
      </w:r>
      <w:hyperlink r:id="rId21">
        <w:r>
          <w:rPr>
            <w:color w:val="0000FF"/>
            <w:u w:val="single"/>
          </w:rPr>
          <w:t>https://noyam.org/wp-content/uploads/2025/03/EHASS2025637.pdf</w:t>
        </w:r>
      </w:hyperlink>
    </w:p>
    <w:p w14:paraId="18ABC6F6" w14:textId="77777777" w:rsidR="00612D26" w:rsidRDefault="00000000">
      <w:pPr>
        <w:spacing w:after="240"/>
      </w:pPr>
      <w:r>
        <w:t>Mohan, S.K., Bharathy, G. and Jalan, A., 2026. Enterprise Data Valuation—A Targeted Literature Review. </w:t>
      </w:r>
      <w:r>
        <w:rPr>
          <w:i/>
          <w:iCs/>
        </w:rPr>
        <w:t>Journal of Economic Surveys</w:t>
      </w:r>
      <w:r>
        <w:t>, </w:t>
      </w:r>
      <w:r>
        <w:rPr>
          <w:i/>
          <w:iCs/>
        </w:rPr>
        <w:t>40</w:t>
      </w:r>
      <w:r>
        <w:t xml:space="preserve">(1), pp.73-92. </w:t>
      </w:r>
      <w:hyperlink r:id="rId22">
        <w:r>
          <w:rPr>
            <w:color w:val="0000FF"/>
            <w:u w:val="single"/>
          </w:rPr>
          <w:t>https://onlinelibrary.wiley.com/doi/abs/10.1111/joes.12705</w:t>
        </w:r>
      </w:hyperlink>
    </w:p>
    <w:p w14:paraId="10FC9241" w14:textId="77777777" w:rsidR="00612D26" w:rsidRDefault="00000000">
      <w:pPr>
        <w:spacing w:after="240"/>
      </w:pPr>
      <w:r>
        <w:t>Morshed, A., Maali, B. and Bader, A., 2026. Metadata integrity in digital disclosures: a multilevel study of financial and ESG reporting structures. </w:t>
      </w:r>
      <w:r>
        <w:rPr>
          <w:i/>
          <w:iCs/>
        </w:rPr>
        <w:t>Humanities and Social Sciences Communications</w:t>
      </w:r>
      <w:r>
        <w:t xml:space="preserve">. </w:t>
      </w:r>
      <w:hyperlink r:id="rId23">
        <w:r>
          <w:rPr>
            <w:color w:val="0000FF"/>
            <w:u w:val="single"/>
          </w:rPr>
          <w:t>https://www.nature.com/articles/s41599-026-07367-w</w:t>
        </w:r>
      </w:hyperlink>
    </w:p>
    <w:p w14:paraId="448374A5" w14:textId="77777777" w:rsidR="00612D26" w:rsidRDefault="00000000">
      <w:pPr>
        <w:spacing w:after="240"/>
      </w:pPr>
      <w:r>
        <w:t xml:space="preserve">Soares, J., Borges, D., Gusmão, C. and Lestari, E., 2026. Banking Accounting in the Digital Era Modern Concepts and Applications. </w:t>
      </w:r>
      <w:hyperlink r:id="rId24">
        <w:r>
          <w:rPr>
            <w:color w:val="0000FF"/>
            <w:u w:val="single"/>
          </w:rPr>
          <w:t>http://repository.mediapenerbitindonesia.com/750/</w:t>
        </w:r>
      </w:hyperlink>
    </w:p>
    <w:p w14:paraId="021EBE27" w14:textId="77777777" w:rsidR="00612D26" w:rsidRDefault="00000000">
      <w:pPr>
        <w:spacing w:after="240"/>
      </w:pPr>
      <w:proofErr w:type="spellStart"/>
      <w:r>
        <w:t>Susilawati</w:t>
      </w:r>
      <w:proofErr w:type="spellEnd"/>
      <w:r>
        <w:t xml:space="preserve">, A., Al-Obaidi, A.S.M., Abduh, A., </w:t>
      </w:r>
      <w:proofErr w:type="spellStart"/>
      <w:r>
        <w:t>Irwansyah</w:t>
      </w:r>
      <w:proofErr w:type="spellEnd"/>
      <w:r>
        <w:t xml:space="preserve">, F.S. and </w:t>
      </w:r>
      <w:proofErr w:type="spellStart"/>
      <w:r>
        <w:t>Nandiyanto</w:t>
      </w:r>
      <w:proofErr w:type="spellEnd"/>
      <w:r>
        <w:t>, A.B.D., 2025. How to do research methodology: From literature review, bibliometric, step-by-step research stages, to practical examples in science and engineering education. </w:t>
      </w:r>
      <w:r>
        <w:rPr>
          <w:i/>
          <w:iCs/>
        </w:rPr>
        <w:t>Indonesian Journal of Science and Technology</w:t>
      </w:r>
      <w:r>
        <w:t>, </w:t>
      </w:r>
      <w:r>
        <w:rPr>
          <w:i/>
          <w:iCs/>
        </w:rPr>
        <w:t>10</w:t>
      </w:r>
      <w:r>
        <w:t xml:space="preserve">(1), pp.1-40. </w:t>
      </w:r>
      <w:hyperlink r:id="rId25">
        <w:r>
          <w:rPr>
            <w:color w:val="0000FF"/>
            <w:u w:val="single"/>
          </w:rPr>
          <w:t>https://ijost.upi.edu/index.php/ijost/article/view/439</w:t>
        </w:r>
      </w:hyperlink>
    </w:p>
    <w:p w14:paraId="70719A55" w14:textId="77777777" w:rsidR="00612D26" w:rsidRDefault="00000000">
      <w:pPr>
        <w:spacing w:after="240"/>
      </w:pPr>
      <w:r>
        <w:t>Yanney, A.A.S., 2025. Cross-border financial regulation and its influence on multinational business operations, tax structures and investment flows. </w:t>
      </w:r>
      <w:r>
        <w:rPr>
          <w:i/>
          <w:iCs/>
        </w:rPr>
        <w:t>World Journal of Advanced Research and Reviews</w:t>
      </w:r>
      <w:r>
        <w:t>, </w:t>
      </w:r>
      <w:r>
        <w:rPr>
          <w:i/>
          <w:iCs/>
        </w:rPr>
        <w:t>26</w:t>
      </w:r>
      <w:r>
        <w:t xml:space="preserve">(3), pp.597-620. </w:t>
      </w:r>
      <w:hyperlink r:id="rId26">
        <w:r>
          <w:rPr>
            <w:color w:val="0000FF"/>
            <w:u w:val="single"/>
          </w:rPr>
          <w:t>https://www.researchgate.net/profile/Anita-Yanney-2/publication/392512307_Cross-border_financial_regulation_and_its_influence_on_multinational_business_operations_tax_structures_and_investment_flows/links/684612918a76251f22ec5219/Cross-border-financial-regulation-and-its-influence-on-multinational-business-operations-tax-structures-and-investment-flows.pdf</w:t>
        </w:r>
      </w:hyperlink>
    </w:p>
    <w:sectPr w:rsidR="00612D26">
      <w:footerReference w:type="default" r:id="rId2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1DEC3F" w14:textId="77777777" w:rsidR="008B41C0" w:rsidRDefault="008B41C0">
      <w:pPr>
        <w:spacing w:line="240" w:lineRule="auto"/>
      </w:pPr>
      <w:r>
        <w:separator/>
      </w:r>
    </w:p>
  </w:endnote>
  <w:endnote w:type="continuationSeparator" w:id="0">
    <w:p w14:paraId="0EAA79C0" w14:textId="77777777" w:rsidR="008B41C0" w:rsidRDefault="008B41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D978995-85B1-4348-949F-C3D6B7A8F8C1}"/>
  </w:font>
  <w:font w:name="Cambria">
    <w:panose1 w:val="02040503050406030204"/>
    <w:charset w:val="00"/>
    <w:family w:val="roman"/>
    <w:pitch w:val="variable"/>
    <w:sig w:usb0="E00006FF" w:usb1="420024FF" w:usb2="02000000" w:usb3="00000000" w:csb0="0000019F" w:csb1="00000000"/>
    <w:embedRegular r:id="rId2" w:fontKey="{6F89BA96-524D-4C3A-8BA1-C5ABBBBB7D9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4F3A8B" w14:textId="77777777" w:rsidR="00612D26"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940923">
      <w:rPr>
        <w:noProof/>
        <w:color w:val="000000"/>
      </w:rPr>
      <w:t>1</w:t>
    </w:r>
    <w:r>
      <w:rPr>
        <w:color w:val="000000"/>
      </w:rPr>
      <w:fldChar w:fldCharType="end"/>
    </w:r>
  </w:p>
  <w:p w14:paraId="5285AAE8" w14:textId="77777777" w:rsidR="00612D26" w:rsidRDefault="00612D2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B7663D" w14:textId="77777777" w:rsidR="008B41C0" w:rsidRDefault="008B41C0">
      <w:pPr>
        <w:spacing w:line="240" w:lineRule="auto"/>
      </w:pPr>
      <w:r>
        <w:separator/>
      </w:r>
    </w:p>
  </w:footnote>
  <w:footnote w:type="continuationSeparator" w:id="0">
    <w:p w14:paraId="2C6A34EA" w14:textId="77777777" w:rsidR="008B41C0" w:rsidRDefault="008B41C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B61AF"/>
    <w:multiLevelType w:val="multilevel"/>
    <w:tmpl w:val="74EAA1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A90224"/>
    <w:multiLevelType w:val="multilevel"/>
    <w:tmpl w:val="1A2C56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2529924">
    <w:abstractNumId w:val="1"/>
  </w:num>
  <w:num w:numId="2" w16cid:durableId="1444614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2D26"/>
    <w:rsid w:val="00612D26"/>
    <w:rsid w:val="008B41C0"/>
    <w:rsid w:val="00940923"/>
    <w:rsid w:val="00FE27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B3340"/>
  <w15:docId w15:val="{824089B8-6DA9-406E-937B-84FA63BF4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nk.springer.com/article/10.1007/s11135-025-02517-9" TargetMode="External"/><Relationship Id="rId18" Type="http://schemas.openxmlformats.org/officeDocument/2006/relationships/hyperlink" Target="http://dspace.ase.md:8080/xmlui/bitstream/handle/123456789/3621/REZUMAT%20TEZA_EN_JIERI%20N%202024.pdf?sequence=1&amp;isAllowed=y" TargetMode="External"/><Relationship Id="rId26" Type="http://schemas.openxmlformats.org/officeDocument/2006/relationships/hyperlink" Target="https://www.researchgate.net/profile/Anita-Yanney-2/publication/392512307_Cross-border_financial_regulation_and_its_influence_on_multinational_business_operations_tax_structures_and_investment_flows/links/684612918a76251f22ec5219/Cross-border-financial-regulation-and-its-influence-on-multinational-business-operations-tax-structures-and-investment-flows.pdf" TargetMode="External"/><Relationship Id="rId3" Type="http://schemas.openxmlformats.org/officeDocument/2006/relationships/styles" Target="styles.xml"/><Relationship Id="rId21" Type="http://schemas.openxmlformats.org/officeDocument/2006/relationships/hyperlink" Target="https://noyam.org/wp-content/uploads/2025/03/EHASS2025637.pdf" TargetMode="External"/><Relationship Id="rId7" Type="http://schemas.openxmlformats.org/officeDocument/2006/relationships/endnotes" Target="endnotes.xml"/><Relationship Id="rId12" Type="http://schemas.openxmlformats.org/officeDocument/2006/relationships/hyperlink" Target="https://www.sciencedirect.com/science/article/pii/S2949916X25000222" TargetMode="External"/><Relationship Id="rId17" Type="http://schemas.openxmlformats.org/officeDocument/2006/relationships/hyperlink" Target="https://www.iasplus.com/en/standards/ifrs/ifrs15" TargetMode="External"/><Relationship Id="rId25" Type="http://schemas.openxmlformats.org/officeDocument/2006/relationships/hyperlink" Target="https://ijost.upi.edu/index.php/ijost/article/view/439" TargetMode="External"/><Relationship Id="rId2" Type="http://schemas.openxmlformats.org/officeDocument/2006/relationships/numbering" Target="numbering.xml"/><Relationship Id="rId16" Type="http://schemas.openxmlformats.org/officeDocument/2006/relationships/hyperlink" Target="https://www.academia.edu/download/53447095/Review_of_Doing_Case_Study_Blank___Wolgemuth_2017.pdf" TargetMode="External"/><Relationship Id="rId20" Type="http://schemas.openxmlformats.org/officeDocument/2006/relationships/hyperlink" Target="https://papers.ssrn.com/sol3/papers.cfm?abstract_id=6960598"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space.nehu.ac.in/bitstreams/187e20ea-e290-48ad-89a7-7b082b30e160/download" TargetMode="External"/><Relationship Id="rId24" Type="http://schemas.openxmlformats.org/officeDocument/2006/relationships/hyperlink" Target="http://repository.mediapenerbitindonesia.com/750/" TargetMode="External"/><Relationship Id="rId5" Type="http://schemas.openxmlformats.org/officeDocument/2006/relationships/webSettings" Target="webSettings.xml"/><Relationship Id="rId15" Type="http://schemas.openxmlformats.org/officeDocument/2006/relationships/hyperlink" Target="https://dspace.bracu.ac.bd/xmlui/handle/10361/27230" TargetMode="External"/><Relationship Id="rId23" Type="http://schemas.openxmlformats.org/officeDocument/2006/relationships/hyperlink" Target="https://www.nature.com/articles/s41599-026-07367-w"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mbajournal.ir/index.php/IJBME/article/view/89"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bdo.co.uk/en-gb/services/audit-assurance/ifrs/ifrs-15-revenue" TargetMode="External"/><Relationship Id="rId22" Type="http://schemas.openxmlformats.org/officeDocument/2006/relationships/hyperlink" Target="https://onlinelibrary.wiley.com/doi/abs/10.1111/joes.12705" TargetMode="External"/><Relationship Id="rId27"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oBqaXISdsuixyS6GVPBvd6+hGQ==">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3259</Words>
  <Characters>18578</Characters>
  <Application>Microsoft Office Word</Application>
  <DocSecurity>0</DocSecurity>
  <Lines>154</Lines>
  <Paragraphs>43</Paragraphs>
  <ScaleCrop>false</ScaleCrop>
  <Company/>
  <LinksUpToDate>false</LinksUpToDate>
  <CharactersWithSpaces>21794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mahipalsinh gohil</cp:lastModifiedBy>
  <cp:revision>2</cp:revision>
  <dcterms:created xsi:type="dcterms:W3CDTF">2026-07-15T21:30:00Z</dcterms:created>
  <dcterms:modified xsi:type="dcterms:W3CDTF">2026-07-15T21:40:00Z</dcterms:modified>
</cp:coreProperties>
</file>