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4535992"/>
        <w:docPartObj>
          <w:docPartGallery w:val="Cover Pages"/>
          <w:docPartUnique/>
        </w:docPartObj>
      </w:sdtPr>
      <w:sdtEndPr/>
      <w:sdtContent>
        <w:p w14:paraId="203AEEDA" w14:textId="43F0AACC" w:rsidR="000271EE" w:rsidRDefault="000271EE">
          <w:r>
            <w:rPr>
              <w:noProof/>
            </w:rPr>
            <mc:AlternateContent>
              <mc:Choice Requires="wpg">
                <w:drawing>
                  <wp:anchor distT="0" distB="0" distL="114300" distR="114300" simplePos="0" relativeHeight="251662336" behindDoc="0" locked="0" layoutInCell="1" allowOverlap="1" wp14:anchorId="0FE9ECF3" wp14:editId="1C33F24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B777B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1AF3C79A" w14:textId="6509C5C6" w:rsidR="000271EE" w:rsidRDefault="000271EE">
          <w:r>
            <w:rPr>
              <w:noProof/>
            </w:rPr>
            <mc:AlternateContent>
              <mc:Choice Requires="wps">
                <w:drawing>
                  <wp:anchor distT="0" distB="0" distL="114300" distR="114300" simplePos="0" relativeHeight="251659264" behindDoc="0" locked="0" layoutInCell="1" allowOverlap="1" wp14:anchorId="0A13BF17" wp14:editId="5C6499F1">
                    <wp:simplePos x="0" y="0"/>
                    <wp:positionH relativeFrom="page">
                      <wp:posOffset>269848</wp:posOffset>
                    </wp:positionH>
                    <wp:positionV relativeFrom="page">
                      <wp:posOffset>4082112</wp:posOffset>
                    </wp:positionV>
                    <wp:extent cx="7315200" cy="1840726"/>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8407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758A40" w14:textId="37223020" w:rsidR="00ED2B61" w:rsidRPr="006A75A4" w:rsidRDefault="00611E1C">
                                <w:pPr>
                                  <w:jc w:val="right"/>
                                  <w:rPr>
                                    <w:rFonts w:cs="Arial"/>
                                    <w:color w:val="4472C4" w:themeColor="accent1"/>
                                    <w:sz w:val="64"/>
                                    <w:szCs w:val="64"/>
                                  </w:rPr>
                                </w:pPr>
                                <w:sdt>
                                  <w:sdtPr>
                                    <w:rPr>
                                      <w:rFonts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D2B61">
                                      <w:rPr>
                                        <w:rFonts w:cs="Arial"/>
                                        <w:caps/>
                                        <w:color w:val="4472C4" w:themeColor="accent1"/>
                                        <w:sz w:val="64"/>
                                        <w:szCs w:val="64"/>
                                      </w:rPr>
                                      <w:t>Data security, governance &amp; compliance</w:t>
                                    </w:r>
                                  </w:sdtContent>
                                </w:sdt>
                              </w:p>
                              <w:p w14:paraId="31458AEC" w14:textId="0FEC1A06" w:rsidR="00ED2B61" w:rsidRDefault="00ED2B61">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A13BF17" id="_x0000_t202" coordsize="21600,21600" o:spt="202" path="m,l,21600r21600,l21600,xe">
                    <v:stroke joinstyle="miter"/>
                    <v:path gradientshapeok="t" o:connecttype="rect"/>
                  </v:shapetype>
                  <v:shape id="Text Box 154" o:spid="_x0000_s1026" type="#_x0000_t202" style="position:absolute;margin-left:21.25pt;margin-top:321.45pt;width:8in;height:144.9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" filled="f" stroked="f" strokeweight=".5pt">
                    <v:textbox inset="126pt,0,54pt,0">
                      <w:txbxContent>
                        <w:p w14:paraId="4D758A40" w14:textId="37223020" w:rsidR="00ED2B61" w:rsidRPr="006A75A4" w:rsidRDefault="00611E1C">
                          <w:pPr>
                            <w:jc w:val="right"/>
                            <w:rPr>
                              <w:rFonts w:cs="Arial"/>
                              <w:color w:val="4472C4" w:themeColor="accent1"/>
                              <w:sz w:val="64"/>
                              <w:szCs w:val="64"/>
                            </w:rPr>
                          </w:pPr>
                          <w:sdt>
                            <w:sdtPr>
                              <w:rPr>
                                <w:rFonts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D2B61">
                                <w:rPr>
                                  <w:rFonts w:cs="Arial"/>
                                  <w:caps/>
                                  <w:color w:val="4472C4" w:themeColor="accent1"/>
                                  <w:sz w:val="64"/>
                                  <w:szCs w:val="64"/>
                                </w:rPr>
                                <w:t>Data security, governance &amp; compliance</w:t>
                              </w:r>
                            </w:sdtContent>
                          </w:sdt>
                        </w:p>
                        <w:p w14:paraId="31458AEC" w14:textId="0FEC1A06" w:rsidR="00ED2B61" w:rsidRDefault="00ED2B61">
                          <w:pPr>
                            <w:jc w:val="right"/>
                            <w:rPr>
                              <w:smallCaps/>
                              <w:color w:val="404040" w:themeColor="text1" w:themeTint="BF"/>
                              <w:sz w:val="36"/>
                              <w:szCs w:val="36"/>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1DCB6AD" wp14:editId="143F5AB7">
                    <wp:simplePos x="0" y="0"/>
                    <wp:positionH relativeFrom="page">
                      <wp:posOffset>296517</wp:posOffset>
                    </wp:positionH>
                    <wp:positionV relativeFrom="page">
                      <wp:posOffset>8114057</wp:posOffset>
                    </wp:positionV>
                    <wp:extent cx="7315200" cy="1225053"/>
                    <wp:effectExtent l="0" t="0" r="0" b="1333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2250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FAD9F" w14:textId="25145FB9" w:rsidR="00ED2B61" w:rsidRDefault="00ED2B61">
                                <w:pPr>
                                  <w:pStyle w:val="NoSpacing"/>
                                  <w:jc w:val="right"/>
                                  <w:rPr>
                                    <w:color w:val="595959" w:themeColor="text1" w:themeTint="A6"/>
                                    <w:sz w:val="20"/>
                                    <w:szCs w:val="20"/>
                                  </w:rPr>
                                </w:pPr>
                              </w:p>
                              <w:p w14:paraId="19A91320" w14:textId="082D0D36" w:rsidR="00ED2B61" w:rsidRPr="006A75A4" w:rsidRDefault="00ED2B61">
                                <w:pPr>
                                  <w:pStyle w:val="NoSpacing"/>
                                  <w:jc w:val="right"/>
                                  <w:rPr>
                                    <w:rFonts w:ascii="Arial" w:hAnsi="Arial" w:cs="Arial"/>
                                    <w:color w:val="595959" w:themeColor="text1" w:themeTint="A6"/>
                                    <w:sz w:val="24"/>
                                    <w:szCs w:val="24"/>
                                  </w:rPr>
                                </w:pPr>
                                <w:r w:rsidRPr="006A75A4">
                                  <w:rPr>
                                    <w:rFonts w:ascii="Arial" w:hAnsi="Arial" w:cs="Arial"/>
                                    <w:color w:val="4472C4" w:themeColor="accent1"/>
                                    <w:sz w:val="24"/>
                                    <w:szCs w:val="24"/>
                                  </w:rPr>
                                  <w:t>Name</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Jonathan</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Davies</w:t>
                                </w:r>
                              </w:p>
                              <w:p w14:paraId="43607A47" w14:textId="18F7F219" w:rsidR="00ED2B61" w:rsidRPr="006A75A4" w:rsidRDefault="00ED2B61">
                                <w:pPr>
                                  <w:pStyle w:val="NoSpacing"/>
                                  <w:jc w:val="right"/>
                                  <w:rPr>
                                    <w:rFonts w:ascii="Arial" w:hAnsi="Arial" w:cs="Arial"/>
                                    <w:color w:val="595959" w:themeColor="text1" w:themeTint="A6"/>
                                    <w:sz w:val="24"/>
                                    <w:szCs w:val="24"/>
                                  </w:rPr>
                                </w:pPr>
                                <w:r w:rsidRPr="006A75A4">
                                  <w:rPr>
                                    <w:rFonts w:ascii="Arial" w:hAnsi="Arial" w:cs="Arial"/>
                                    <w:color w:val="4472C4" w:themeColor="accent1"/>
                                    <w:sz w:val="24"/>
                                    <w:szCs w:val="24"/>
                                  </w:rPr>
                                  <w:t>Student Number</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1707239</w:t>
                                </w:r>
                              </w:p>
                              <w:p w14:paraId="7B0F5729" w14:textId="76A21D37" w:rsidR="00ED2B61" w:rsidRPr="006A75A4" w:rsidRDefault="00ED2B61">
                                <w:pPr>
                                  <w:pStyle w:val="NoSpacing"/>
                                  <w:jc w:val="right"/>
                                  <w:rPr>
                                    <w:rFonts w:ascii="Arial" w:hAnsi="Arial" w:cs="Arial"/>
                                    <w:color w:val="595959" w:themeColor="text1" w:themeTint="A6"/>
                                    <w:sz w:val="24"/>
                                    <w:szCs w:val="24"/>
                                  </w:rPr>
                                </w:pPr>
                                <w:r w:rsidRPr="006A75A4">
                                  <w:rPr>
                                    <w:rFonts w:ascii="Arial" w:hAnsi="Arial" w:cs="Arial"/>
                                    <w:color w:val="4472C4" w:themeColor="accent1"/>
                                    <w:sz w:val="24"/>
                                    <w:szCs w:val="24"/>
                                  </w:rPr>
                                  <w:t>Module Code</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ACCA7028</w:t>
                                </w:r>
                              </w:p>
                              <w:p w14:paraId="4447B340" w14:textId="690D9E21" w:rsidR="00ED2B61" w:rsidRDefault="00ED2B61">
                                <w:pPr>
                                  <w:pStyle w:val="NoSpacing"/>
                                  <w:jc w:val="right"/>
                                  <w:rPr>
                                    <w:rFonts w:ascii="Arial" w:hAnsi="Arial" w:cs="Arial"/>
                                    <w:b/>
                                    <w:bCs/>
                                    <w:color w:val="595959" w:themeColor="text1" w:themeTint="A6"/>
                                    <w:sz w:val="24"/>
                                    <w:szCs w:val="24"/>
                                  </w:rPr>
                                </w:pPr>
                                <w:r w:rsidRPr="006A75A4">
                                  <w:rPr>
                                    <w:rFonts w:ascii="Arial" w:hAnsi="Arial" w:cs="Arial"/>
                                    <w:color w:val="4472C4" w:themeColor="accent1"/>
                                    <w:sz w:val="24"/>
                                    <w:szCs w:val="24"/>
                                  </w:rPr>
                                  <w:t>Lecturer</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Dr.</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Carlene</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Campbell</w:t>
                                </w:r>
                              </w:p>
                              <w:p w14:paraId="4A7849BB" w14:textId="4F47C56C" w:rsidR="00ED2B61" w:rsidRDefault="00ED2B61">
                                <w:pPr>
                                  <w:pStyle w:val="NoSpacing"/>
                                  <w:jc w:val="right"/>
                                  <w:rPr>
                                    <w:rFonts w:ascii="Arial" w:hAnsi="Arial" w:cs="Arial"/>
                                    <w:b/>
                                    <w:bCs/>
                                    <w:color w:val="595959" w:themeColor="text1" w:themeTint="A6"/>
                                    <w:sz w:val="24"/>
                                    <w:szCs w:val="24"/>
                                  </w:rPr>
                                </w:pPr>
                              </w:p>
                              <w:p w14:paraId="0F6DA77D" w14:textId="5CEA72D8" w:rsidR="00ED2B61" w:rsidRPr="006A75A4" w:rsidRDefault="00ED2B61">
                                <w:pPr>
                                  <w:pStyle w:val="NoSpacing"/>
                                  <w:jc w:val="right"/>
                                  <w:rPr>
                                    <w:rFonts w:ascii="Arial" w:hAnsi="Arial" w:cs="Arial"/>
                                    <w:color w:val="595959" w:themeColor="text1" w:themeTint="A6"/>
                                    <w:sz w:val="24"/>
                                    <w:szCs w:val="24"/>
                                  </w:rPr>
                                </w:pPr>
                                <w:r w:rsidRPr="00CE1D58">
                                  <w:rPr>
                                    <w:rFonts w:ascii="Arial" w:hAnsi="Arial" w:cs="Arial"/>
                                    <w:color w:val="4472C4" w:themeColor="accent1"/>
                                    <w:sz w:val="24"/>
                                    <w:szCs w:val="24"/>
                                  </w:rPr>
                                  <w:t>Word Count:</w:t>
                                </w:r>
                                <w:r w:rsidRPr="00CE1D58">
                                  <w:rPr>
                                    <w:rFonts w:ascii="Arial" w:hAnsi="Arial" w:cs="Arial"/>
                                    <w:b/>
                                    <w:bCs/>
                                    <w:color w:val="4472C4" w:themeColor="accent1"/>
                                    <w:sz w:val="24"/>
                                    <w:szCs w:val="24"/>
                                  </w:rPr>
                                  <w:t xml:space="preserve"> </w:t>
                                </w:r>
                                <w:r w:rsidR="00AD4641">
                                  <w:rPr>
                                    <w:rFonts w:ascii="Arial" w:hAnsi="Arial" w:cs="Arial"/>
                                    <w:b/>
                                    <w:bCs/>
                                    <w:color w:val="595959" w:themeColor="text1" w:themeTint="A6"/>
                                    <w:sz w:val="24"/>
                                    <w:szCs w:val="24"/>
                                  </w:rPr>
                                  <w:t>3112</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1DCB6AD" id="Text Box 153" o:spid="_x0000_s1027" type="#_x0000_t202" style="position:absolute;margin-left:23.35pt;margin-top:638.9pt;width:8in;height:96.4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" filled="f" stroked="f" strokeweight=".5pt">
                    <v:textbox inset="126pt,0,54pt,0">
                      <w:txbxContent>
                        <w:p w14:paraId="324FAD9F" w14:textId="25145FB9" w:rsidR="00ED2B61" w:rsidRDefault="00ED2B61">
                          <w:pPr>
                            <w:pStyle w:val="NoSpacing"/>
                            <w:jc w:val="right"/>
                            <w:rPr>
                              <w:color w:val="595959" w:themeColor="text1" w:themeTint="A6"/>
                              <w:sz w:val="20"/>
                              <w:szCs w:val="20"/>
                            </w:rPr>
                          </w:pPr>
                        </w:p>
                        <w:p w14:paraId="19A91320" w14:textId="082D0D36" w:rsidR="00ED2B61" w:rsidRPr="006A75A4" w:rsidRDefault="00ED2B61">
                          <w:pPr>
                            <w:pStyle w:val="NoSpacing"/>
                            <w:jc w:val="right"/>
                            <w:rPr>
                              <w:rFonts w:ascii="Arial" w:hAnsi="Arial" w:cs="Arial"/>
                              <w:color w:val="595959" w:themeColor="text1" w:themeTint="A6"/>
                              <w:sz w:val="24"/>
                              <w:szCs w:val="24"/>
                            </w:rPr>
                          </w:pPr>
                          <w:r w:rsidRPr="006A75A4">
                            <w:rPr>
                              <w:rFonts w:ascii="Arial" w:hAnsi="Arial" w:cs="Arial"/>
                              <w:color w:val="4472C4" w:themeColor="accent1"/>
                              <w:sz w:val="24"/>
                              <w:szCs w:val="24"/>
                            </w:rPr>
                            <w:t>Name</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Jonathan</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Davies</w:t>
                          </w:r>
                        </w:p>
                        <w:p w14:paraId="43607A47" w14:textId="18F7F219" w:rsidR="00ED2B61" w:rsidRPr="006A75A4" w:rsidRDefault="00ED2B61">
                          <w:pPr>
                            <w:pStyle w:val="NoSpacing"/>
                            <w:jc w:val="right"/>
                            <w:rPr>
                              <w:rFonts w:ascii="Arial" w:hAnsi="Arial" w:cs="Arial"/>
                              <w:color w:val="595959" w:themeColor="text1" w:themeTint="A6"/>
                              <w:sz w:val="24"/>
                              <w:szCs w:val="24"/>
                            </w:rPr>
                          </w:pPr>
                          <w:r w:rsidRPr="006A75A4">
                            <w:rPr>
                              <w:rFonts w:ascii="Arial" w:hAnsi="Arial" w:cs="Arial"/>
                              <w:color w:val="4472C4" w:themeColor="accent1"/>
                              <w:sz w:val="24"/>
                              <w:szCs w:val="24"/>
                            </w:rPr>
                            <w:t>Student Number</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1707239</w:t>
                          </w:r>
                        </w:p>
                        <w:p w14:paraId="7B0F5729" w14:textId="76A21D37" w:rsidR="00ED2B61" w:rsidRPr="006A75A4" w:rsidRDefault="00ED2B61">
                          <w:pPr>
                            <w:pStyle w:val="NoSpacing"/>
                            <w:jc w:val="right"/>
                            <w:rPr>
                              <w:rFonts w:ascii="Arial" w:hAnsi="Arial" w:cs="Arial"/>
                              <w:color w:val="595959" w:themeColor="text1" w:themeTint="A6"/>
                              <w:sz w:val="24"/>
                              <w:szCs w:val="24"/>
                            </w:rPr>
                          </w:pPr>
                          <w:r w:rsidRPr="006A75A4">
                            <w:rPr>
                              <w:rFonts w:ascii="Arial" w:hAnsi="Arial" w:cs="Arial"/>
                              <w:color w:val="4472C4" w:themeColor="accent1"/>
                              <w:sz w:val="24"/>
                              <w:szCs w:val="24"/>
                            </w:rPr>
                            <w:t>Module Code</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ACCA7028</w:t>
                          </w:r>
                        </w:p>
                        <w:p w14:paraId="4447B340" w14:textId="690D9E21" w:rsidR="00ED2B61" w:rsidRDefault="00ED2B61">
                          <w:pPr>
                            <w:pStyle w:val="NoSpacing"/>
                            <w:jc w:val="right"/>
                            <w:rPr>
                              <w:rFonts w:ascii="Arial" w:hAnsi="Arial" w:cs="Arial"/>
                              <w:b/>
                              <w:bCs/>
                              <w:color w:val="595959" w:themeColor="text1" w:themeTint="A6"/>
                              <w:sz w:val="24"/>
                              <w:szCs w:val="24"/>
                            </w:rPr>
                          </w:pPr>
                          <w:r w:rsidRPr="006A75A4">
                            <w:rPr>
                              <w:rFonts w:ascii="Arial" w:hAnsi="Arial" w:cs="Arial"/>
                              <w:color w:val="4472C4" w:themeColor="accent1"/>
                              <w:sz w:val="24"/>
                              <w:szCs w:val="24"/>
                            </w:rPr>
                            <w:t>Lecturer</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Dr.</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Carlene</w:t>
                          </w:r>
                          <w:r w:rsidRPr="006A75A4">
                            <w:rPr>
                              <w:rFonts w:ascii="Arial" w:hAnsi="Arial" w:cs="Arial"/>
                              <w:color w:val="595959" w:themeColor="text1" w:themeTint="A6"/>
                              <w:sz w:val="24"/>
                              <w:szCs w:val="24"/>
                            </w:rPr>
                            <w:t xml:space="preserve"> </w:t>
                          </w:r>
                          <w:r w:rsidRPr="006A75A4">
                            <w:rPr>
                              <w:rFonts w:ascii="Arial" w:hAnsi="Arial" w:cs="Arial"/>
                              <w:b/>
                              <w:bCs/>
                              <w:color w:val="595959" w:themeColor="text1" w:themeTint="A6"/>
                              <w:sz w:val="24"/>
                              <w:szCs w:val="24"/>
                            </w:rPr>
                            <w:t>Campbell</w:t>
                          </w:r>
                        </w:p>
                        <w:p w14:paraId="4A7849BB" w14:textId="4F47C56C" w:rsidR="00ED2B61" w:rsidRDefault="00ED2B61">
                          <w:pPr>
                            <w:pStyle w:val="NoSpacing"/>
                            <w:jc w:val="right"/>
                            <w:rPr>
                              <w:rFonts w:ascii="Arial" w:hAnsi="Arial" w:cs="Arial"/>
                              <w:b/>
                              <w:bCs/>
                              <w:color w:val="595959" w:themeColor="text1" w:themeTint="A6"/>
                              <w:sz w:val="24"/>
                              <w:szCs w:val="24"/>
                            </w:rPr>
                          </w:pPr>
                        </w:p>
                        <w:p w14:paraId="0F6DA77D" w14:textId="5CEA72D8" w:rsidR="00ED2B61" w:rsidRPr="006A75A4" w:rsidRDefault="00ED2B61">
                          <w:pPr>
                            <w:pStyle w:val="NoSpacing"/>
                            <w:jc w:val="right"/>
                            <w:rPr>
                              <w:rFonts w:ascii="Arial" w:hAnsi="Arial" w:cs="Arial"/>
                              <w:color w:val="595959" w:themeColor="text1" w:themeTint="A6"/>
                              <w:sz w:val="24"/>
                              <w:szCs w:val="24"/>
                            </w:rPr>
                          </w:pPr>
                          <w:r w:rsidRPr="00CE1D58">
                            <w:rPr>
                              <w:rFonts w:ascii="Arial" w:hAnsi="Arial" w:cs="Arial"/>
                              <w:color w:val="4472C4" w:themeColor="accent1"/>
                              <w:sz w:val="24"/>
                              <w:szCs w:val="24"/>
                            </w:rPr>
                            <w:t>Word Count:</w:t>
                          </w:r>
                          <w:r w:rsidRPr="00CE1D58">
                            <w:rPr>
                              <w:rFonts w:ascii="Arial" w:hAnsi="Arial" w:cs="Arial"/>
                              <w:b/>
                              <w:bCs/>
                              <w:color w:val="4472C4" w:themeColor="accent1"/>
                              <w:sz w:val="24"/>
                              <w:szCs w:val="24"/>
                            </w:rPr>
                            <w:t xml:space="preserve"> </w:t>
                          </w:r>
                          <w:r w:rsidR="00AD4641">
                            <w:rPr>
                              <w:rFonts w:ascii="Arial" w:hAnsi="Arial" w:cs="Arial"/>
                              <w:b/>
                              <w:bCs/>
                              <w:color w:val="595959" w:themeColor="text1" w:themeTint="A6"/>
                              <w:sz w:val="24"/>
                              <w:szCs w:val="24"/>
                            </w:rPr>
                            <w:t>3112</w:t>
                          </w:r>
                        </w:p>
                      </w:txbxContent>
                    </v:textbox>
                    <w10:wrap type="square" anchorx="page" anchory="page"/>
                  </v:shape>
                </w:pict>
              </mc:Fallback>
            </mc:AlternateContent>
          </w:r>
          <w:r>
            <w:br w:type="page"/>
          </w:r>
        </w:p>
      </w:sdtContent>
    </w:sdt>
    <w:sdt>
      <w:sdtPr>
        <w:rPr>
          <w:rFonts w:ascii="Arial" w:eastAsiaTheme="minorHAnsi" w:hAnsi="Arial" w:cstheme="minorBidi"/>
          <w:color w:val="auto"/>
          <w:sz w:val="22"/>
          <w:szCs w:val="22"/>
          <w:lang w:val="en-GB"/>
        </w:rPr>
        <w:id w:val="-458647936"/>
        <w:docPartObj>
          <w:docPartGallery w:val="Table of Contents"/>
          <w:docPartUnique/>
        </w:docPartObj>
      </w:sdtPr>
      <w:sdtEndPr>
        <w:rPr>
          <w:b/>
          <w:bCs/>
          <w:noProof/>
        </w:rPr>
      </w:sdtEndPr>
      <w:sdtContent>
        <w:p w14:paraId="24FA4F2F" w14:textId="02D64D04" w:rsidR="006A75A4" w:rsidRDefault="006A75A4">
          <w:pPr>
            <w:pStyle w:val="TOCHeading"/>
          </w:pPr>
          <w:r>
            <w:t>Table of Contents</w:t>
          </w:r>
        </w:p>
        <w:p w14:paraId="0F1F0256" w14:textId="0A300958" w:rsidR="00AD4641" w:rsidRDefault="006A75A4">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61013515" w:history="1">
            <w:r w:rsidR="00AD4641" w:rsidRPr="008161BF">
              <w:rPr>
                <w:rStyle w:val="Hyperlink"/>
                <w:noProof/>
              </w:rPr>
              <w:t>Table of Figures</w:t>
            </w:r>
            <w:r w:rsidR="00AD4641">
              <w:rPr>
                <w:noProof/>
                <w:webHidden/>
              </w:rPr>
              <w:tab/>
            </w:r>
            <w:r w:rsidR="00AD4641">
              <w:rPr>
                <w:noProof/>
                <w:webHidden/>
              </w:rPr>
              <w:fldChar w:fldCharType="begin"/>
            </w:r>
            <w:r w:rsidR="00AD4641">
              <w:rPr>
                <w:noProof/>
                <w:webHidden/>
              </w:rPr>
              <w:instrText xml:space="preserve"> PAGEREF _Toc61013515 \h </w:instrText>
            </w:r>
            <w:r w:rsidR="00AD4641">
              <w:rPr>
                <w:noProof/>
                <w:webHidden/>
              </w:rPr>
            </w:r>
            <w:r w:rsidR="00AD4641">
              <w:rPr>
                <w:noProof/>
                <w:webHidden/>
              </w:rPr>
              <w:fldChar w:fldCharType="separate"/>
            </w:r>
            <w:r w:rsidR="00AD4641">
              <w:rPr>
                <w:noProof/>
                <w:webHidden/>
              </w:rPr>
              <w:t>3</w:t>
            </w:r>
            <w:r w:rsidR="00AD4641">
              <w:rPr>
                <w:noProof/>
                <w:webHidden/>
              </w:rPr>
              <w:fldChar w:fldCharType="end"/>
            </w:r>
          </w:hyperlink>
        </w:p>
        <w:p w14:paraId="33A94E19" w14:textId="0FFC0ECB" w:rsidR="00AD4641" w:rsidRDefault="00611E1C">
          <w:pPr>
            <w:pStyle w:val="TOC1"/>
            <w:tabs>
              <w:tab w:val="right" w:leader="dot" w:pos="9016"/>
            </w:tabs>
            <w:rPr>
              <w:rFonts w:asciiTheme="minorHAnsi" w:eastAsiaTheme="minorEastAsia" w:hAnsiTheme="minorHAnsi"/>
              <w:noProof/>
              <w:lang w:eastAsia="en-GB"/>
            </w:rPr>
          </w:pPr>
          <w:hyperlink w:anchor="_Toc61013516" w:history="1">
            <w:r w:rsidR="00AD4641" w:rsidRPr="008161BF">
              <w:rPr>
                <w:rStyle w:val="Hyperlink"/>
                <w:noProof/>
              </w:rPr>
              <w:t>Abstract</w:t>
            </w:r>
            <w:r w:rsidR="00AD4641">
              <w:rPr>
                <w:noProof/>
                <w:webHidden/>
              </w:rPr>
              <w:tab/>
            </w:r>
            <w:r w:rsidR="00AD4641">
              <w:rPr>
                <w:noProof/>
                <w:webHidden/>
              </w:rPr>
              <w:fldChar w:fldCharType="begin"/>
            </w:r>
            <w:r w:rsidR="00AD4641">
              <w:rPr>
                <w:noProof/>
                <w:webHidden/>
              </w:rPr>
              <w:instrText xml:space="preserve"> PAGEREF _Toc61013516 \h </w:instrText>
            </w:r>
            <w:r w:rsidR="00AD4641">
              <w:rPr>
                <w:noProof/>
                <w:webHidden/>
              </w:rPr>
            </w:r>
            <w:r w:rsidR="00AD4641">
              <w:rPr>
                <w:noProof/>
                <w:webHidden/>
              </w:rPr>
              <w:fldChar w:fldCharType="separate"/>
            </w:r>
            <w:r w:rsidR="00AD4641">
              <w:rPr>
                <w:noProof/>
                <w:webHidden/>
              </w:rPr>
              <w:t>4</w:t>
            </w:r>
            <w:r w:rsidR="00AD4641">
              <w:rPr>
                <w:noProof/>
                <w:webHidden/>
              </w:rPr>
              <w:fldChar w:fldCharType="end"/>
            </w:r>
          </w:hyperlink>
        </w:p>
        <w:p w14:paraId="0125D90C" w14:textId="0B13E798" w:rsidR="00AD4641" w:rsidRDefault="00611E1C">
          <w:pPr>
            <w:pStyle w:val="TOC1"/>
            <w:tabs>
              <w:tab w:val="right" w:leader="dot" w:pos="9016"/>
            </w:tabs>
            <w:rPr>
              <w:rFonts w:asciiTheme="minorHAnsi" w:eastAsiaTheme="minorEastAsia" w:hAnsiTheme="minorHAnsi"/>
              <w:noProof/>
              <w:lang w:eastAsia="en-GB"/>
            </w:rPr>
          </w:pPr>
          <w:hyperlink w:anchor="_Toc61013517" w:history="1">
            <w:r w:rsidR="00AD4641" w:rsidRPr="008161BF">
              <w:rPr>
                <w:rStyle w:val="Hyperlink"/>
                <w:noProof/>
              </w:rPr>
              <w:t>Introduction</w:t>
            </w:r>
            <w:r w:rsidR="00AD4641">
              <w:rPr>
                <w:noProof/>
                <w:webHidden/>
              </w:rPr>
              <w:tab/>
            </w:r>
            <w:r w:rsidR="00AD4641">
              <w:rPr>
                <w:noProof/>
                <w:webHidden/>
              </w:rPr>
              <w:fldChar w:fldCharType="begin"/>
            </w:r>
            <w:r w:rsidR="00AD4641">
              <w:rPr>
                <w:noProof/>
                <w:webHidden/>
              </w:rPr>
              <w:instrText xml:space="preserve"> PAGEREF _Toc61013517 \h </w:instrText>
            </w:r>
            <w:r w:rsidR="00AD4641">
              <w:rPr>
                <w:noProof/>
                <w:webHidden/>
              </w:rPr>
            </w:r>
            <w:r w:rsidR="00AD4641">
              <w:rPr>
                <w:noProof/>
                <w:webHidden/>
              </w:rPr>
              <w:fldChar w:fldCharType="separate"/>
            </w:r>
            <w:r w:rsidR="00AD4641">
              <w:rPr>
                <w:noProof/>
                <w:webHidden/>
              </w:rPr>
              <w:t>5</w:t>
            </w:r>
            <w:r w:rsidR="00AD4641">
              <w:rPr>
                <w:noProof/>
                <w:webHidden/>
              </w:rPr>
              <w:fldChar w:fldCharType="end"/>
            </w:r>
          </w:hyperlink>
        </w:p>
        <w:p w14:paraId="24044B2C" w14:textId="565B4C0A" w:rsidR="00AD4641" w:rsidRDefault="00611E1C">
          <w:pPr>
            <w:pStyle w:val="TOC1"/>
            <w:tabs>
              <w:tab w:val="left" w:pos="440"/>
              <w:tab w:val="right" w:leader="dot" w:pos="9016"/>
            </w:tabs>
            <w:rPr>
              <w:rFonts w:asciiTheme="minorHAnsi" w:eastAsiaTheme="minorEastAsia" w:hAnsiTheme="minorHAnsi"/>
              <w:noProof/>
              <w:lang w:eastAsia="en-GB"/>
            </w:rPr>
          </w:pPr>
          <w:hyperlink w:anchor="_Toc61013518" w:history="1">
            <w:r w:rsidR="00AD4641" w:rsidRPr="008161BF">
              <w:rPr>
                <w:rStyle w:val="Hyperlink"/>
                <w:noProof/>
              </w:rPr>
              <w:t>1.</w:t>
            </w:r>
            <w:r w:rsidR="00AD4641">
              <w:rPr>
                <w:rFonts w:asciiTheme="minorHAnsi" w:eastAsiaTheme="minorEastAsia" w:hAnsiTheme="minorHAnsi"/>
                <w:noProof/>
                <w:lang w:eastAsia="en-GB"/>
              </w:rPr>
              <w:tab/>
            </w:r>
            <w:r w:rsidR="00AD4641" w:rsidRPr="008161BF">
              <w:rPr>
                <w:rStyle w:val="Hyperlink"/>
                <w:noProof/>
              </w:rPr>
              <w:t>Literature Review</w:t>
            </w:r>
            <w:r w:rsidR="00AD4641">
              <w:rPr>
                <w:noProof/>
                <w:webHidden/>
              </w:rPr>
              <w:tab/>
            </w:r>
            <w:r w:rsidR="00AD4641">
              <w:rPr>
                <w:noProof/>
                <w:webHidden/>
              </w:rPr>
              <w:fldChar w:fldCharType="begin"/>
            </w:r>
            <w:r w:rsidR="00AD4641">
              <w:rPr>
                <w:noProof/>
                <w:webHidden/>
              </w:rPr>
              <w:instrText xml:space="preserve"> PAGEREF _Toc61013518 \h </w:instrText>
            </w:r>
            <w:r w:rsidR="00AD4641">
              <w:rPr>
                <w:noProof/>
                <w:webHidden/>
              </w:rPr>
            </w:r>
            <w:r w:rsidR="00AD4641">
              <w:rPr>
                <w:noProof/>
                <w:webHidden/>
              </w:rPr>
              <w:fldChar w:fldCharType="separate"/>
            </w:r>
            <w:r w:rsidR="00AD4641">
              <w:rPr>
                <w:noProof/>
                <w:webHidden/>
              </w:rPr>
              <w:t>5</w:t>
            </w:r>
            <w:r w:rsidR="00AD4641">
              <w:rPr>
                <w:noProof/>
                <w:webHidden/>
              </w:rPr>
              <w:fldChar w:fldCharType="end"/>
            </w:r>
          </w:hyperlink>
        </w:p>
        <w:p w14:paraId="53C49819" w14:textId="0E9F3FB8" w:rsidR="00AD4641" w:rsidRDefault="00611E1C">
          <w:pPr>
            <w:pStyle w:val="TOC2"/>
            <w:tabs>
              <w:tab w:val="left" w:pos="880"/>
              <w:tab w:val="right" w:leader="dot" w:pos="9016"/>
            </w:tabs>
            <w:rPr>
              <w:rFonts w:asciiTheme="minorHAnsi" w:eastAsiaTheme="minorEastAsia" w:hAnsiTheme="minorHAnsi"/>
              <w:noProof/>
              <w:lang w:eastAsia="en-GB"/>
            </w:rPr>
          </w:pPr>
          <w:hyperlink w:anchor="_Toc61013519" w:history="1">
            <w:r w:rsidR="00AD4641" w:rsidRPr="008161BF">
              <w:rPr>
                <w:rStyle w:val="Hyperlink"/>
                <w:noProof/>
              </w:rPr>
              <w:t>1.1</w:t>
            </w:r>
            <w:r w:rsidR="00AD4641">
              <w:rPr>
                <w:rFonts w:asciiTheme="minorHAnsi" w:eastAsiaTheme="minorEastAsia" w:hAnsiTheme="minorHAnsi"/>
                <w:noProof/>
                <w:lang w:eastAsia="en-GB"/>
              </w:rPr>
              <w:tab/>
            </w:r>
            <w:r w:rsidR="00AD4641" w:rsidRPr="008161BF">
              <w:rPr>
                <w:rStyle w:val="Hyperlink"/>
                <w:noProof/>
              </w:rPr>
              <w:t>What is a Cybersecurity Framework?</w:t>
            </w:r>
            <w:r w:rsidR="00AD4641">
              <w:rPr>
                <w:noProof/>
                <w:webHidden/>
              </w:rPr>
              <w:tab/>
            </w:r>
            <w:r w:rsidR="00AD4641">
              <w:rPr>
                <w:noProof/>
                <w:webHidden/>
              </w:rPr>
              <w:fldChar w:fldCharType="begin"/>
            </w:r>
            <w:r w:rsidR="00AD4641">
              <w:rPr>
                <w:noProof/>
                <w:webHidden/>
              </w:rPr>
              <w:instrText xml:space="preserve"> PAGEREF _Toc61013519 \h </w:instrText>
            </w:r>
            <w:r w:rsidR="00AD4641">
              <w:rPr>
                <w:noProof/>
                <w:webHidden/>
              </w:rPr>
            </w:r>
            <w:r w:rsidR="00AD4641">
              <w:rPr>
                <w:noProof/>
                <w:webHidden/>
              </w:rPr>
              <w:fldChar w:fldCharType="separate"/>
            </w:r>
            <w:r w:rsidR="00AD4641">
              <w:rPr>
                <w:noProof/>
                <w:webHidden/>
              </w:rPr>
              <w:t>5</w:t>
            </w:r>
            <w:r w:rsidR="00AD4641">
              <w:rPr>
                <w:noProof/>
                <w:webHidden/>
              </w:rPr>
              <w:fldChar w:fldCharType="end"/>
            </w:r>
          </w:hyperlink>
        </w:p>
        <w:p w14:paraId="380BD681" w14:textId="49AD07F8" w:rsidR="00AD4641" w:rsidRDefault="00611E1C">
          <w:pPr>
            <w:pStyle w:val="TOC2"/>
            <w:tabs>
              <w:tab w:val="left" w:pos="880"/>
              <w:tab w:val="right" w:leader="dot" w:pos="9016"/>
            </w:tabs>
            <w:rPr>
              <w:rFonts w:asciiTheme="minorHAnsi" w:eastAsiaTheme="minorEastAsia" w:hAnsiTheme="minorHAnsi"/>
              <w:noProof/>
              <w:lang w:eastAsia="en-GB"/>
            </w:rPr>
          </w:pPr>
          <w:hyperlink w:anchor="_Toc61013520" w:history="1">
            <w:r w:rsidR="00AD4641" w:rsidRPr="008161BF">
              <w:rPr>
                <w:rStyle w:val="Hyperlink"/>
                <w:noProof/>
              </w:rPr>
              <w:t>1.2</w:t>
            </w:r>
            <w:r w:rsidR="00AD4641">
              <w:rPr>
                <w:rFonts w:asciiTheme="minorHAnsi" w:eastAsiaTheme="minorEastAsia" w:hAnsiTheme="minorHAnsi"/>
                <w:noProof/>
                <w:lang w:eastAsia="en-GB"/>
              </w:rPr>
              <w:tab/>
            </w:r>
            <w:r w:rsidR="00AD4641" w:rsidRPr="008161BF">
              <w:rPr>
                <w:rStyle w:val="Hyperlink"/>
                <w:noProof/>
              </w:rPr>
              <w:t>Frameworks and Models</w:t>
            </w:r>
            <w:r w:rsidR="00AD4641">
              <w:rPr>
                <w:noProof/>
                <w:webHidden/>
              </w:rPr>
              <w:tab/>
            </w:r>
            <w:r w:rsidR="00AD4641">
              <w:rPr>
                <w:noProof/>
                <w:webHidden/>
              </w:rPr>
              <w:fldChar w:fldCharType="begin"/>
            </w:r>
            <w:r w:rsidR="00AD4641">
              <w:rPr>
                <w:noProof/>
                <w:webHidden/>
              </w:rPr>
              <w:instrText xml:space="preserve"> PAGEREF _Toc61013520 \h </w:instrText>
            </w:r>
            <w:r w:rsidR="00AD4641">
              <w:rPr>
                <w:noProof/>
                <w:webHidden/>
              </w:rPr>
            </w:r>
            <w:r w:rsidR="00AD4641">
              <w:rPr>
                <w:noProof/>
                <w:webHidden/>
              </w:rPr>
              <w:fldChar w:fldCharType="separate"/>
            </w:r>
            <w:r w:rsidR="00AD4641">
              <w:rPr>
                <w:noProof/>
                <w:webHidden/>
              </w:rPr>
              <w:t>5</w:t>
            </w:r>
            <w:r w:rsidR="00AD4641">
              <w:rPr>
                <w:noProof/>
                <w:webHidden/>
              </w:rPr>
              <w:fldChar w:fldCharType="end"/>
            </w:r>
          </w:hyperlink>
        </w:p>
        <w:p w14:paraId="3930E5BC" w14:textId="2CAB7DD3"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21" w:history="1">
            <w:r w:rsidR="00AD4641" w:rsidRPr="008161BF">
              <w:rPr>
                <w:rStyle w:val="Hyperlink"/>
                <w:noProof/>
              </w:rPr>
              <w:t>1.2.1</w:t>
            </w:r>
            <w:r w:rsidR="00AD4641">
              <w:rPr>
                <w:rFonts w:asciiTheme="minorHAnsi" w:eastAsiaTheme="minorEastAsia" w:hAnsiTheme="minorHAnsi"/>
                <w:noProof/>
                <w:lang w:eastAsia="en-GB"/>
              </w:rPr>
              <w:tab/>
            </w:r>
            <w:r w:rsidR="00AD4641" w:rsidRPr="008161BF">
              <w:rPr>
                <w:rStyle w:val="Hyperlink"/>
                <w:noProof/>
              </w:rPr>
              <w:t>ISO 27000</w:t>
            </w:r>
            <w:r w:rsidR="00AD4641">
              <w:rPr>
                <w:noProof/>
                <w:webHidden/>
              </w:rPr>
              <w:tab/>
            </w:r>
            <w:r w:rsidR="00AD4641">
              <w:rPr>
                <w:noProof/>
                <w:webHidden/>
              </w:rPr>
              <w:fldChar w:fldCharType="begin"/>
            </w:r>
            <w:r w:rsidR="00AD4641">
              <w:rPr>
                <w:noProof/>
                <w:webHidden/>
              </w:rPr>
              <w:instrText xml:space="preserve"> PAGEREF _Toc61013521 \h </w:instrText>
            </w:r>
            <w:r w:rsidR="00AD4641">
              <w:rPr>
                <w:noProof/>
                <w:webHidden/>
              </w:rPr>
            </w:r>
            <w:r w:rsidR="00AD4641">
              <w:rPr>
                <w:noProof/>
                <w:webHidden/>
              </w:rPr>
              <w:fldChar w:fldCharType="separate"/>
            </w:r>
            <w:r w:rsidR="00AD4641">
              <w:rPr>
                <w:noProof/>
                <w:webHidden/>
              </w:rPr>
              <w:t>5</w:t>
            </w:r>
            <w:r w:rsidR="00AD4641">
              <w:rPr>
                <w:noProof/>
                <w:webHidden/>
              </w:rPr>
              <w:fldChar w:fldCharType="end"/>
            </w:r>
          </w:hyperlink>
        </w:p>
        <w:p w14:paraId="23EA3318" w14:textId="5D83C6CF"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22" w:history="1">
            <w:r w:rsidR="00AD4641" w:rsidRPr="008161BF">
              <w:rPr>
                <w:rStyle w:val="Hyperlink"/>
                <w:noProof/>
              </w:rPr>
              <w:t>1.2.2</w:t>
            </w:r>
            <w:r w:rsidR="00AD4641">
              <w:rPr>
                <w:rFonts w:asciiTheme="minorHAnsi" w:eastAsiaTheme="minorEastAsia" w:hAnsiTheme="minorHAnsi"/>
                <w:noProof/>
                <w:lang w:eastAsia="en-GB"/>
              </w:rPr>
              <w:tab/>
            </w:r>
            <w:r w:rsidR="00AD4641" w:rsidRPr="008161BF">
              <w:rPr>
                <w:rStyle w:val="Hyperlink"/>
                <w:noProof/>
              </w:rPr>
              <w:t>NIST Cybersecurity Framework (NIST CSF)</w:t>
            </w:r>
            <w:r w:rsidR="00AD4641">
              <w:rPr>
                <w:noProof/>
                <w:webHidden/>
              </w:rPr>
              <w:tab/>
            </w:r>
            <w:r w:rsidR="00AD4641">
              <w:rPr>
                <w:noProof/>
                <w:webHidden/>
              </w:rPr>
              <w:fldChar w:fldCharType="begin"/>
            </w:r>
            <w:r w:rsidR="00AD4641">
              <w:rPr>
                <w:noProof/>
                <w:webHidden/>
              </w:rPr>
              <w:instrText xml:space="preserve"> PAGEREF _Toc61013522 \h </w:instrText>
            </w:r>
            <w:r w:rsidR="00AD4641">
              <w:rPr>
                <w:noProof/>
                <w:webHidden/>
              </w:rPr>
            </w:r>
            <w:r w:rsidR="00AD4641">
              <w:rPr>
                <w:noProof/>
                <w:webHidden/>
              </w:rPr>
              <w:fldChar w:fldCharType="separate"/>
            </w:r>
            <w:r w:rsidR="00AD4641">
              <w:rPr>
                <w:noProof/>
                <w:webHidden/>
              </w:rPr>
              <w:t>6</w:t>
            </w:r>
            <w:r w:rsidR="00AD4641">
              <w:rPr>
                <w:noProof/>
                <w:webHidden/>
              </w:rPr>
              <w:fldChar w:fldCharType="end"/>
            </w:r>
          </w:hyperlink>
        </w:p>
        <w:p w14:paraId="6AB6D25E" w14:textId="67D0343F"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23" w:history="1">
            <w:r w:rsidR="00AD4641" w:rsidRPr="008161BF">
              <w:rPr>
                <w:rStyle w:val="Hyperlink"/>
                <w:noProof/>
              </w:rPr>
              <w:t>1.2.3</w:t>
            </w:r>
            <w:r w:rsidR="00AD4641">
              <w:rPr>
                <w:rFonts w:asciiTheme="minorHAnsi" w:eastAsiaTheme="minorEastAsia" w:hAnsiTheme="minorHAnsi"/>
                <w:noProof/>
                <w:lang w:eastAsia="en-GB"/>
              </w:rPr>
              <w:tab/>
            </w:r>
            <w:r w:rsidR="00AD4641" w:rsidRPr="008161BF">
              <w:rPr>
                <w:rStyle w:val="Hyperlink"/>
                <w:noProof/>
              </w:rPr>
              <w:t>PCI DSS Framework</w:t>
            </w:r>
            <w:r w:rsidR="00AD4641">
              <w:rPr>
                <w:noProof/>
                <w:webHidden/>
              </w:rPr>
              <w:tab/>
            </w:r>
            <w:r w:rsidR="00AD4641">
              <w:rPr>
                <w:noProof/>
                <w:webHidden/>
              </w:rPr>
              <w:fldChar w:fldCharType="begin"/>
            </w:r>
            <w:r w:rsidR="00AD4641">
              <w:rPr>
                <w:noProof/>
                <w:webHidden/>
              </w:rPr>
              <w:instrText xml:space="preserve"> PAGEREF _Toc61013523 \h </w:instrText>
            </w:r>
            <w:r w:rsidR="00AD4641">
              <w:rPr>
                <w:noProof/>
                <w:webHidden/>
              </w:rPr>
            </w:r>
            <w:r w:rsidR="00AD4641">
              <w:rPr>
                <w:noProof/>
                <w:webHidden/>
              </w:rPr>
              <w:fldChar w:fldCharType="separate"/>
            </w:r>
            <w:r w:rsidR="00AD4641">
              <w:rPr>
                <w:noProof/>
                <w:webHidden/>
              </w:rPr>
              <w:t>6</w:t>
            </w:r>
            <w:r w:rsidR="00AD4641">
              <w:rPr>
                <w:noProof/>
                <w:webHidden/>
              </w:rPr>
              <w:fldChar w:fldCharType="end"/>
            </w:r>
          </w:hyperlink>
        </w:p>
        <w:p w14:paraId="02B15843" w14:textId="507FA109" w:rsidR="00AD4641" w:rsidRDefault="00611E1C">
          <w:pPr>
            <w:pStyle w:val="TOC2"/>
            <w:tabs>
              <w:tab w:val="left" w:pos="880"/>
              <w:tab w:val="right" w:leader="dot" w:pos="9016"/>
            </w:tabs>
            <w:rPr>
              <w:rFonts w:asciiTheme="minorHAnsi" w:eastAsiaTheme="minorEastAsia" w:hAnsiTheme="minorHAnsi"/>
              <w:noProof/>
              <w:lang w:eastAsia="en-GB"/>
            </w:rPr>
          </w:pPr>
          <w:hyperlink w:anchor="_Toc61013524" w:history="1">
            <w:r w:rsidR="00AD4641" w:rsidRPr="008161BF">
              <w:rPr>
                <w:rStyle w:val="Hyperlink"/>
                <w:noProof/>
              </w:rPr>
              <w:t>1.3</w:t>
            </w:r>
            <w:r w:rsidR="00AD4641">
              <w:rPr>
                <w:rFonts w:asciiTheme="minorHAnsi" w:eastAsiaTheme="minorEastAsia" w:hAnsiTheme="minorHAnsi"/>
                <w:noProof/>
                <w:lang w:eastAsia="en-GB"/>
              </w:rPr>
              <w:tab/>
            </w:r>
            <w:r w:rsidR="00AD4641" w:rsidRPr="008161BF">
              <w:rPr>
                <w:rStyle w:val="Hyperlink"/>
                <w:noProof/>
              </w:rPr>
              <w:t>ISMS Comparison</w:t>
            </w:r>
            <w:r w:rsidR="00AD4641">
              <w:rPr>
                <w:noProof/>
                <w:webHidden/>
              </w:rPr>
              <w:tab/>
            </w:r>
            <w:r w:rsidR="00AD4641">
              <w:rPr>
                <w:noProof/>
                <w:webHidden/>
              </w:rPr>
              <w:fldChar w:fldCharType="begin"/>
            </w:r>
            <w:r w:rsidR="00AD4641">
              <w:rPr>
                <w:noProof/>
                <w:webHidden/>
              </w:rPr>
              <w:instrText xml:space="preserve"> PAGEREF _Toc61013524 \h </w:instrText>
            </w:r>
            <w:r w:rsidR="00AD4641">
              <w:rPr>
                <w:noProof/>
                <w:webHidden/>
              </w:rPr>
            </w:r>
            <w:r w:rsidR="00AD4641">
              <w:rPr>
                <w:noProof/>
                <w:webHidden/>
              </w:rPr>
              <w:fldChar w:fldCharType="separate"/>
            </w:r>
            <w:r w:rsidR="00AD4641">
              <w:rPr>
                <w:noProof/>
                <w:webHidden/>
              </w:rPr>
              <w:t>7</w:t>
            </w:r>
            <w:r w:rsidR="00AD4641">
              <w:rPr>
                <w:noProof/>
                <w:webHidden/>
              </w:rPr>
              <w:fldChar w:fldCharType="end"/>
            </w:r>
          </w:hyperlink>
        </w:p>
        <w:p w14:paraId="6893BC55" w14:textId="140B6945"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25" w:history="1">
            <w:r w:rsidR="00AD4641" w:rsidRPr="008161BF">
              <w:rPr>
                <w:rStyle w:val="Hyperlink"/>
                <w:noProof/>
              </w:rPr>
              <w:t>1.3.1</w:t>
            </w:r>
            <w:r w:rsidR="00AD4641">
              <w:rPr>
                <w:rFonts w:asciiTheme="minorHAnsi" w:eastAsiaTheme="minorEastAsia" w:hAnsiTheme="minorHAnsi"/>
                <w:noProof/>
                <w:lang w:eastAsia="en-GB"/>
              </w:rPr>
              <w:tab/>
            </w:r>
            <w:r w:rsidR="00AD4641" w:rsidRPr="008161BF">
              <w:rPr>
                <w:rStyle w:val="Hyperlink"/>
                <w:noProof/>
              </w:rPr>
              <w:t>Application</w:t>
            </w:r>
            <w:r w:rsidR="00AD4641">
              <w:rPr>
                <w:noProof/>
                <w:webHidden/>
              </w:rPr>
              <w:tab/>
            </w:r>
            <w:r w:rsidR="00AD4641">
              <w:rPr>
                <w:noProof/>
                <w:webHidden/>
              </w:rPr>
              <w:fldChar w:fldCharType="begin"/>
            </w:r>
            <w:r w:rsidR="00AD4641">
              <w:rPr>
                <w:noProof/>
                <w:webHidden/>
              </w:rPr>
              <w:instrText xml:space="preserve"> PAGEREF _Toc61013525 \h </w:instrText>
            </w:r>
            <w:r w:rsidR="00AD4641">
              <w:rPr>
                <w:noProof/>
                <w:webHidden/>
              </w:rPr>
            </w:r>
            <w:r w:rsidR="00AD4641">
              <w:rPr>
                <w:noProof/>
                <w:webHidden/>
              </w:rPr>
              <w:fldChar w:fldCharType="separate"/>
            </w:r>
            <w:r w:rsidR="00AD4641">
              <w:rPr>
                <w:noProof/>
                <w:webHidden/>
              </w:rPr>
              <w:t>7</w:t>
            </w:r>
            <w:r w:rsidR="00AD4641">
              <w:rPr>
                <w:noProof/>
                <w:webHidden/>
              </w:rPr>
              <w:fldChar w:fldCharType="end"/>
            </w:r>
          </w:hyperlink>
        </w:p>
        <w:p w14:paraId="06ACF95A" w14:textId="5F6DEC44"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26" w:history="1">
            <w:r w:rsidR="00AD4641" w:rsidRPr="008161BF">
              <w:rPr>
                <w:rStyle w:val="Hyperlink"/>
                <w:noProof/>
              </w:rPr>
              <w:t>1.3.2</w:t>
            </w:r>
            <w:r w:rsidR="00AD4641">
              <w:rPr>
                <w:rFonts w:asciiTheme="minorHAnsi" w:eastAsiaTheme="minorEastAsia" w:hAnsiTheme="minorHAnsi"/>
                <w:noProof/>
                <w:lang w:eastAsia="en-GB"/>
              </w:rPr>
              <w:tab/>
            </w:r>
            <w:r w:rsidR="00AD4641" w:rsidRPr="008161BF">
              <w:rPr>
                <w:rStyle w:val="Hyperlink"/>
                <w:noProof/>
              </w:rPr>
              <w:t>Structure</w:t>
            </w:r>
            <w:r w:rsidR="00AD4641">
              <w:rPr>
                <w:noProof/>
                <w:webHidden/>
              </w:rPr>
              <w:tab/>
            </w:r>
            <w:r w:rsidR="00AD4641">
              <w:rPr>
                <w:noProof/>
                <w:webHidden/>
              </w:rPr>
              <w:fldChar w:fldCharType="begin"/>
            </w:r>
            <w:r w:rsidR="00AD4641">
              <w:rPr>
                <w:noProof/>
                <w:webHidden/>
              </w:rPr>
              <w:instrText xml:space="preserve"> PAGEREF _Toc61013526 \h </w:instrText>
            </w:r>
            <w:r w:rsidR="00AD4641">
              <w:rPr>
                <w:noProof/>
                <w:webHidden/>
              </w:rPr>
            </w:r>
            <w:r w:rsidR="00AD4641">
              <w:rPr>
                <w:noProof/>
                <w:webHidden/>
              </w:rPr>
              <w:fldChar w:fldCharType="separate"/>
            </w:r>
            <w:r w:rsidR="00AD4641">
              <w:rPr>
                <w:noProof/>
                <w:webHidden/>
              </w:rPr>
              <w:t>7</w:t>
            </w:r>
            <w:r w:rsidR="00AD4641">
              <w:rPr>
                <w:noProof/>
                <w:webHidden/>
              </w:rPr>
              <w:fldChar w:fldCharType="end"/>
            </w:r>
          </w:hyperlink>
        </w:p>
        <w:p w14:paraId="34E6AE77" w14:textId="15B47BD0"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27" w:history="1">
            <w:r w:rsidR="00AD4641" w:rsidRPr="008161BF">
              <w:rPr>
                <w:rStyle w:val="Hyperlink"/>
                <w:noProof/>
              </w:rPr>
              <w:t>1.3.3</w:t>
            </w:r>
            <w:r w:rsidR="00AD4641">
              <w:rPr>
                <w:rFonts w:asciiTheme="minorHAnsi" w:eastAsiaTheme="minorEastAsia" w:hAnsiTheme="minorHAnsi"/>
                <w:noProof/>
                <w:lang w:eastAsia="en-GB"/>
              </w:rPr>
              <w:tab/>
            </w:r>
            <w:r w:rsidR="00AD4641" w:rsidRPr="008161BF">
              <w:rPr>
                <w:rStyle w:val="Hyperlink"/>
                <w:noProof/>
              </w:rPr>
              <w:t>Global/Organisational Standing</w:t>
            </w:r>
            <w:r w:rsidR="00AD4641">
              <w:rPr>
                <w:noProof/>
                <w:webHidden/>
              </w:rPr>
              <w:tab/>
            </w:r>
            <w:r w:rsidR="00AD4641">
              <w:rPr>
                <w:noProof/>
                <w:webHidden/>
              </w:rPr>
              <w:fldChar w:fldCharType="begin"/>
            </w:r>
            <w:r w:rsidR="00AD4641">
              <w:rPr>
                <w:noProof/>
                <w:webHidden/>
              </w:rPr>
              <w:instrText xml:space="preserve"> PAGEREF _Toc61013527 \h </w:instrText>
            </w:r>
            <w:r w:rsidR="00AD4641">
              <w:rPr>
                <w:noProof/>
                <w:webHidden/>
              </w:rPr>
            </w:r>
            <w:r w:rsidR="00AD4641">
              <w:rPr>
                <w:noProof/>
                <w:webHidden/>
              </w:rPr>
              <w:fldChar w:fldCharType="separate"/>
            </w:r>
            <w:r w:rsidR="00AD4641">
              <w:rPr>
                <w:noProof/>
                <w:webHidden/>
              </w:rPr>
              <w:t>8</w:t>
            </w:r>
            <w:r w:rsidR="00AD4641">
              <w:rPr>
                <w:noProof/>
                <w:webHidden/>
              </w:rPr>
              <w:fldChar w:fldCharType="end"/>
            </w:r>
          </w:hyperlink>
        </w:p>
        <w:p w14:paraId="10BFCA9F" w14:textId="5D180212" w:rsidR="00AD4641" w:rsidRDefault="00611E1C">
          <w:pPr>
            <w:pStyle w:val="TOC1"/>
            <w:tabs>
              <w:tab w:val="left" w:pos="440"/>
              <w:tab w:val="right" w:leader="dot" w:pos="9016"/>
            </w:tabs>
            <w:rPr>
              <w:rFonts w:asciiTheme="minorHAnsi" w:eastAsiaTheme="minorEastAsia" w:hAnsiTheme="minorHAnsi"/>
              <w:noProof/>
              <w:lang w:eastAsia="en-GB"/>
            </w:rPr>
          </w:pPr>
          <w:hyperlink w:anchor="_Toc61013528" w:history="1">
            <w:r w:rsidR="00AD4641" w:rsidRPr="008161BF">
              <w:rPr>
                <w:rStyle w:val="Hyperlink"/>
                <w:noProof/>
              </w:rPr>
              <w:t>2.</w:t>
            </w:r>
            <w:r w:rsidR="00AD4641">
              <w:rPr>
                <w:rFonts w:asciiTheme="minorHAnsi" w:eastAsiaTheme="minorEastAsia" w:hAnsiTheme="minorHAnsi"/>
                <w:noProof/>
                <w:lang w:eastAsia="en-GB"/>
              </w:rPr>
              <w:tab/>
            </w:r>
            <w:r w:rsidR="00AD4641" w:rsidRPr="008161BF">
              <w:rPr>
                <w:rStyle w:val="Hyperlink"/>
                <w:noProof/>
              </w:rPr>
              <w:t>ISMS Design</w:t>
            </w:r>
            <w:r w:rsidR="00AD4641">
              <w:rPr>
                <w:noProof/>
                <w:webHidden/>
              </w:rPr>
              <w:tab/>
            </w:r>
            <w:r w:rsidR="00AD4641">
              <w:rPr>
                <w:noProof/>
                <w:webHidden/>
              </w:rPr>
              <w:fldChar w:fldCharType="begin"/>
            </w:r>
            <w:r w:rsidR="00AD4641">
              <w:rPr>
                <w:noProof/>
                <w:webHidden/>
              </w:rPr>
              <w:instrText xml:space="preserve"> PAGEREF _Toc61013528 \h </w:instrText>
            </w:r>
            <w:r w:rsidR="00AD4641">
              <w:rPr>
                <w:noProof/>
                <w:webHidden/>
              </w:rPr>
            </w:r>
            <w:r w:rsidR="00AD4641">
              <w:rPr>
                <w:noProof/>
                <w:webHidden/>
              </w:rPr>
              <w:fldChar w:fldCharType="separate"/>
            </w:r>
            <w:r w:rsidR="00AD4641">
              <w:rPr>
                <w:noProof/>
                <w:webHidden/>
              </w:rPr>
              <w:t>8</w:t>
            </w:r>
            <w:r w:rsidR="00AD4641">
              <w:rPr>
                <w:noProof/>
                <w:webHidden/>
              </w:rPr>
              <w:fldChar w:fldCharType="end"/>
            </w:r>
          </w:hyperlink>
        </w:p>
        <w:p w14:paraId="28CD02DD" w14:textId="5F39EC3C" w:rsidR="00AD4641" w:rsidRDefault="00611E1C">
          <w:pPr>
            <w:pStyle w:val="TOC2"/>
            <w:tabs>
              <w:tab w:val="left" w:pos="880"/>
              <w:tab w:val="right" w:leader="dot" w:pos="9016"/>
            </w:tabs>
            <w:rPr>
              <w:rFonts w:asciiTheme="minorHAnsi" w:eastAsiaTheme="minorEastAsia" w:hAnsiTheme="minorHAnsi"/>
              <w:noProof/>
              <w:lang w:eastAsia="en-GB"/>
            </w:rPr>
          </w:pPr>
          <w:hyperlink w:anchor="_Toc61013529" w:history="1">
            <w:r w:rsidR="00AD4641" w:rsidRPr="008161BF">
              <w:rPr>
                <w:rStyle w:val="Hyperlink"/>
                <w:noProof/>
              </w:rPr>
              <w:t>2.1</w:t>
            </w:r>
            <w:r w:rsidR="00AD4641">
              <w:rPr>
                <w:rFonts w:asciiTheme="minorHAnsi" w:eastAsiaTheme="minorEastAsia" w:hAnsiTheme="minorHAnsi"/>
                <w:noProof/>
                <w:lang w:eastAsia="en-GB"/>
              </w:rPr>
              <w:tab/>
            </w:r>
            <w:r w:rsidR="00AD4641" w:rsidRPr="008161BF">
              <w:rPr>
                <w:rStyle w:val="Hyperlink"/>
                <w:noProof/>
              </w:rPr>
              <w:t>Explore</w:t>
            </w:r>
            <w:r w:rsidR="00AD4641">
              <w:rPr>
                <w:noProof/>
                <w:webHidden/>
              </w:rPr>
              <w:tab/>
            </w:r>
            <w:r w:rsidR="00AD4641">
              <w:rPr>
                <w:noProof/>
                <w:webHidden/>
              </w:rPr>
              <w:fldChar w:fldCharType="begin"/>
            </w:r>
            <w:r w:rsidR="00AD4641">
              <w:rPr>
                <w:noProof/>
                <w:webHidden/>
              </w:rPr>
              <w:instrText xml:space="preserve"> PAGEREF _Toc61013529 \h </w:instrText>
            </w:r>
            <w:r w:rsidR="00AD4641">
              <w:rPr>
                <w:noProof/>
                <w:webHidden/>
              </w:rPr>
            </w:r>
            <w:r w:rsidR="00AD4641">
              <w:rPr>
                <w:noProof/>
                <w:webHidden/>
              </w:rPr>
              <w:fldChar w:fldCharType="separate"/>
            </w:r>
            <w:r w:rsidR="00AD4641">
              <w:rPr>
                <w:noProof/>
                <w:webHidden/>
              </w:rPr>
              <w:t>9</w:t>
            </w:r>
            <w:r w:rsidR="00AD4641">
              <w:rPr>
                <w:noProof/>
                <w:webHidden/>
              </w:rPr>
              <w:fldChar w:fldCharType="end"/>
            </w:r>
          </w:hyperlink>
        </w:p>
        <w:p w14:paraId="5BF3AE9A" w14:textId="6C262BB3"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30" w:history="1">
            <w:r w:rsidR="00AD4641" w:rsidRPr="008161BF">
              <w:rPr>
                <w:rStyle w:val="Hyperlink"/>
                <w:noProof/>
              </w:rPr>
              <w:t>2.1.1</w:t>
            </w:r>
            <w:r w:rsidR="00AD4641">
              <w:rPr>
                <w:rFonts w:asciiTheme="minorHAnsi" w:eastAsiaTheme="minorEastAsia" w:hAnsiTheme="minorHAnsi"/>
                <w:noProof/>
                <w:lang w:eastAsia="en-GB"/>
              </w:rPr>
              <w:tab/>
            </w:r>
            <w:r w:rsidR="00AD4641" w:rsidRPr="008161BF">
              <w:rPr>
                <w:rStyle w:val="Hyperlink"/>
                <w:noProof/>
              </w:rPr>
              <w:t>Review</w:t>
            </w:r>
            <w:r w:rsidR="00AD4641">
              <w:rPr>
                <w:noProof/>
                <w:webHidden/>
              </w:rPr>
              <w:tab/>
            </w:r>
            <w:r w:rsidR="00AD4641">
              <w:rPr>
                <w:noProof/>
                <w:webHidden/>
              </w:rPr>
              <w:fldChar w:fldCharType="begin"/>
            </w:r>
            <w:r w:rsidR="00AD4641">
              <w:rPr>
                <w:noProof/>
                <w:webHidden/>
              </w:rPr>
              <w:instrText xml:space="preserve"> PAGEREF _Toc61013530 \h </w:instrText>
            </w:r>
            <w:r w:rsidR="00AD4641">
              <w:rPr>
                <w:noProof/>
                <w:webHidden/>
              </w:rPr>
            </w:r>
            <w:r w:rsidR="00AD4641">
              <w:rPr>
                <w:noProof/>
                <w:webHidden/>
              </w:rPr>
              <w:fldChar w:fldCharType="separate"/>
            </w:r>
            <w:r w:rsidR="00AD4641">
              <w:rPr>
                <w:noProof/>
                <w:webHidden/>
              </w:rPr>
              <w:t>9</w:t>
            </w:r>
            <w:r w:rsidR="00AD4641">
              <w:rPr>
                <w:noProof/>
                <w:webHidden/>
              </w:rPr>
              <w:fldChar w:fldCharType="end"/>
            </w:r>
          </w:hyperlink>
        </w:p>
        <w:p w14:paraId="2E7E2D60" w14:textId="1810020C"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31" w:history="1">
            <w:r w:rsidR="00AD4641" w:rsidRPr="008161BF">
              <w:rPr>
                <w:rStyle w:val="Hyperlink"/>
                <w:noProof/>
              </w:rPr>
              <w:t>2.1.2</w:t>
            </w:r>
            <w:r w:rsidR="00AD4641">
              <w:rPr>
                <w:rFonts w:asciiTheme="minorHAnsi" w:eastAsiaTheme="minorEastAsia" w:hAnsiTheme="minorHAnsi"/>
                <w:noProof/>
                <w:lang w:eastAsia="en-GB"/>
              </w:rPr>
              <w:tab/>
            </w:r>
            <w:r w:rsidR="00AD4641" w:rsidRPr="008161BF">
              <w:rPr>
                <w:rStyle w:val="Hyperlink"/>
                <w:noProof/>
              </w:rPr>
              <w:t>Risk Assessment</w:t>
            </w:r>
            <w:r w:rsidR="00AD4641">
              <w:rPr>
                <w:noProof/>
                <w:webHidden/>
              </w:rPr>
              <w:tab/>
            </w:r>
            <w:r w:rsidR="00AD4641">
              <w:rPr>
                <w:noProof/>
                <w:webHidden/>
              </w:rPr>
              <w:fldChar w:fldCharType="begin"/>
            </w:r>
            <w:r w:rsidR="00AD4641">
              <w:rPr>
                <w:noProof/>
                <w:webHidden/>
              </w:rPr>
              <w:instrText xml:space="preserve"> PAGEREF _Toc61013531 \h </w:instrText>
            </w:r>
            <w:r w:rsidR="00AD4641">
              <w:rPr>
                <w:noProof/>
                <w:webHidden/>
              </w:rPr>
            </w:r>
            <w:r w:rsidR="00AD4641">
              <w:rPr>
                <w:noProof/>
                <w:webHidden/>
              </w:rPr>
              <w:fldChar w:fldCharType="separate"/>
            </w:r>
            <w:r w:rsidR="00AD4641">
              <w:rPr>
                <w:noProof/>
                <w:webHidden/>
              </w:rPr>
              <w:t>9</w:t>
            </w:r>
            <w:r w:rsidR="00AD4641">
              <w:rPr>
                <w:noProof/>
                <w:webHidden/>
              </w:rPr>
              <w:fldChar w:fldCharType="end"/>
            </w:r>
          </w:hyperlink>
        </w:p>
        <w:p w14:paraId="399F9723" w14:textId="39DCF56A"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32" w:history="1">
            <w:r w:rsidR="00AD4641" w:rsidRPr="008161BF">
              <w:rPr>
                <w:rStyle w:val="Hyperlink"/>
                <w:noProof/>
              </w:rPr>
              <w:t>2.1.3</w:t>
            </w:r>
            <w:r w:rsidR="00AD4641">
              <w:rPr>
                <w:rFonts w:asciiTheme="minorHAnsi" w:eastAsiaTheme="minorEastAsia" w:hAnsiTheme="minorHAnsi"/>
                <w:noProof/>
                <w:lang w:eastAsia="en-GB"/>
              </w:rPr>
              <w:tab/>
            </w:r>
            <w:r w:rsidR="00AD4641" w:rsidRPr="008161BF">
              <w:rPr>
                <w:rStyle w:val="Hyperlink"/>
                <w:noProof/>
              </w:rPr>
              <w:t>Risk Management</w:t>
            </w:r>
            <w:r w:rsidR="00AD4641">
              <w:rPr>
                <w:noProof/>
                <w:webHidden/>
              </w:rPr>
              <w:tab/>
            </w:r>
            <w:r w:rsidR="00AD4641">
              <w:rPr>
                <w:noProof/>
                <w:webHidden/>
              </w:rPr>
              <w:fldChar w:fldCharType="begin"/>
            </w:r>
            <w:r w:rsidR="00AD4641">
              <w:rPr>
                <w:noProof/>
                <w:webHidden/>
              </w:rPr>
              <w:instrText xml:space="preserve"> PAGEREF _Toc61013532 \h </w:instrText>
            </w:r>
            <w:r w:rsidR="00AD4641">
              <w:rPr>
                <w:noProof/>
                <w:webHidden/>
              </w:rPr>
            </w:r>
            <w:r w:rsidR="00AD4641">
              <w:rPr>
                <w:noProof/>
                <w:webHidden/>
              </w:rPr>
              <w:fldChar w:fldCharType="separate"/>
            </w:r>
            <w:r w:rsidR="00AD4641">
              <w:rPr>
                <w:noProof/>
                <w:webHidden/>
              </w:rPr>
              <w:t>9</w:t>
            </w:r>
            <w:r w:rsidR="00AD4641">
              <w:rPr>
                <w:noProof/>
                <w:webHidden/>
              </w:rPr>
              <w:fldChar w:fldCharType="end"/>
            </w:r>
          </w:hyperlink>
        </w:p>
        <w:p w14:paraId="3A75FCB2" w14:textId="6F69F41F"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33" w:history="1">
            <w:r w:rsidR="00AD4641" w:rsidRPr="008161BF">
              <w:rPr>
                <w:rStyle w:val="Hyperlink"/>
                <w:noProof/>
              </w:rPr>
              <w:t>2.1.4</w:t>
            </w:r>
            <w:r w:rsidR="00AD4641">
              <w:rPr>
                <w:rFonts w:asciiTheme="minorHAnsi" w:eastAsiaTheme="minorEastAsia" w:hAnsiTheme="minorHAnsi"/>
                <w:noProof/>
                <w:lang w:eastAsia="en-GB"/>
              </w:rPr>
              <w:tab/>
            </w:r>
            <w:r w:rsidR="00AD4641" w:rsidRPr="008161BF">
              <w:rPr>
                <w:rStyle w:val="Hyperlink"/>
                <w:noProof/>
              </w:rPr>
              <w:t>Employee Needs</w:t>
            </w:r>
            <w:r w:rsidR="00AD4641">
              <w:rPr>
                <w:noProof/>
                <w:webHidden/>
              </w:rPr>
              <w:tab/>
            </w:r>
            <w:r w:rsidR="00AD4641">
              <w:rPr>
                <w:noProof/>
                <w:webHidden/>
              </w:rPr>
              <w:fldChar w:fldCharType="begin"/>
            </w:r>
            <w:r w:rsidR="00AD4641">
              <w:rPr>
                <w:noProof/>
                <w:webHidden/>
              </w:rPr>
              <w:instrText xml:space="preserve"> PAGEREF _Toc61013533 \h </w:instrText>
            </w:r>
            <w:r w:rsidR="00AD4641">
              <w:rPr>
                <w:noProof/>
                <w:webHidden/>
              </w:rPr>
            </w:r>
            <w:r w:rsidR="00AD4641">
              <w:rPr>
                <w:noProof/>
                <w:webHidden/>
              </w:rPr>
              <w:fldChar w:fldCharType="separate"/>
            </w:r>
            <w:r w:rsidR="00AD4641">
              <w:rPr>
                <w:noProof/>
                <w:webHidden/>
              </w:rPr>
              <w:t>9</w:t>
            </w:r>
            <w:r w:rsidR="00AD4641">
              <w:rPr>
                <w:noProof/>
                <w:webHidden/>
              </w:rPr>
              <w:fldChar w:fldCharType="end"/>
            </w:r>
          </w:hyperlink>
        </w:p>
        <w:p w14:paraId="5B6C107B" w14:textId="66131709" w:rsidR="00AD4641" w:rsidRDefault="00611E1C">
          <w:pPr>
            <w:pStyle w:val="TOC2"/>
            <w:tabs>
              <w:tab w:val="left" w:pos="880"/>
              <w:tab w:val="right" w:leader="dot" w:pos="9016"/>
            </w:tabs>
            <w:rPr>
              <w:rFonts w:asciiTheme="minorHAnsi" w:eastAsiaTheme="minorEastAsia" w:hAnsiTheme="minorHAnsi"/>
              <w:noProof/>
              <w:lang w:eastAsia="en-GB"/>
            </w:rPr>
          </w:pPr>
          <w:hyperlink w:anchor="_Toc61013534" w:history="1">
            <w:r w:rsidR="00AD4641" w:rsidRPr="008161BF">
              <w:rPr>
                <w:rStyle w:val="Hyperlink"/>
                <w:noProof/>
              </w:rPr>
              <w:t>2.2</w:t>
            </w:r>
            <w:r w:rsidR="00AD4641">
              <w:rPr>
                <w:rFonts w:asciiTheme="minorHAnsi" w:eastAsiaTheme="minorEastAsia" w:hAnsiTheme="minorHAnsi"/>
                <w:noProof/>
                <w:lang w:eastAsia="en-GB"/>
              </w:rPr>
              <w:tab/>
            </w:r>
            <w:r w:rsidR="00AD4641" w:rsidRPr="008161BF">
              <w:rPr>
                <w:rStyle w:val="Hyperlink"/>
                <w:noProof/>
              </w:rPr>
              <w:t>Engage</w:t>
            </w:r>
            <w:r w:rsidR="00AD4641">
              <w:rPr>
                <w:noProof/>
                <w:webHidden/>
              </w:rPr>
              <w:tab/>
            </w:r>
            <w:r w:rsidR="00AD4641">
              <w:rPr>
                <w:noProof/>
                <w:webHidden/>
              </w:rPr>
              <w:fldChar w:fldCharType="begin"/>
            </w:r>
            <w:r w:rsidR="00AD4641">
              <w:rPr>
                <w:noProof/>
                <w:webHidden/>
              </w:rPr>
              <w:instrText xml:space="preserve"> PAGEREF _Toc61013534 \h </w:instrText>
            </w:r>
            <w:r w:rsidR="00AD4641">
              <w:rPr>
                <w:noProof/>
                <w:webHidden/>
              </w:rPr>
            </w:r>
            <w:r w:rsidR="00AD4641">
              <w:rPr>
                <w:noProof/>
                <w:webHidden/>
              </w:rPr>
              <w:fldChar w:fldCharType="separate"/>
            </w:r>
            <w:r w:rsidR="00AD4641">
              <w:rPr>
                <w:noProof/>
                <w:webHidden/>
              </w:rPr>
              <w:t>9</w:t>
            </w:r>
            <w:r w:rsidR="00AD4641">
              <w:rPr>
                <w:noProof/>
                <w:webHidden/>
              </w:rPr>
              <w:fldChar w:fldCharType="end"/>
            </w:r>
          </w:hyperlink>
        </w:p>
        <w:p w14:paraId="5BC11407" w14:textId="1E30FE47"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35" w:history="1">
            <w:r w:rsidR="00AD4641" w:rsidRPr="008161BF">
              <w:rPr>
                <w:rStyle w:val="Hyperlink"/>
                <w:noProof/>
              </w:rPr>
              <w:t>2.2.1</w:t>
            </w:r>
            <w:r w:rsidR="00AD4641">
              <w:rPr>
                <w:rFonts w:asciiTheme="minorHAnsi" w:eastAsiaTheme="minorEastAsia" w:hAnsiTheme="minorHAnsi"/>
                <w:noProof/>
                <w:lang w:eastAsia="en-GB"/>
              </w:rPr>
              <w:tab/>
            </w:r>
            <w:r w:rsidR="00AD4641" w:rsidRPr="008161BF">
              <w:rPr>
                <w:rStyle w:val="Hyperlink"/>
                <w:noProof/>
              </w:rPr>
              <w:t>Network</w:t>
            </w:r>
            <w:r w:rsidR="00AD4641">
              <w:rPr>
                <w:noProof/>
                <w:webHidden/>
              </w:rPr>
              <w:tab/>
            </w:r>
            <w:r w:rsidR="00AD4641">
              <w:rPr>
                <w:noProof/>
                <w:webHidden/>
              </w:rPr>
              <w:fldChar w:fldCharType="begin"/>
            </w:r>
            <w:r w:rsidR="00AD4641">
              <w:rPr>
                <w:noProof/>
                <w:webHidden/>
              </w:rPr>
              <w:instrText xml:space="preserve"> PAGEREF _Toc61013535 \h </w:instrText>
            </w:r>
            <w:r w:rsidR="00AD4641">
              <w:rPr>
                <w:noProof/>
                <w:webHidden/>
              </w:rPr>
            </w:r>
            <w:r w:rsidR="00AD4641">
              <w:rPr>
                <w:noProof/>
                <w:webHidden/>
              </w:rPr>
              <w:fldChar w:fldCharType="separate"/>
            </w:r>
            <w:r w:rsidR="00AD4641">
              <w:rPr>
                <w:noProof/>
                <w:webHidden/>
              </w:rPr>
              <w:t>9</w:t>
            </w:r>
            <w:r w:rsidR="00AD4641">
              <w:rPr>
                <w:noProof/>
                <w:webHidden/>
              </w:rPr>
              <w:fldChar w:fldCharType="end"/>
            </w:r>
          </w:hyperlink>
        </w:p>
        <w:p w14:paraId="192A261D" w14:textId="1A3173C9"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36" w:history="1">
            <w:r w:rsidR="00AD4641" w:rsidRPr="008161BF">
              <w:rPr>
                <w:rStyle w:val="Hyperlink"/>
                <w:noProof/>
              </w:rPr>
              <w:t>2.2.2</w:t>
            </w:r>
            <w:r w:rsidR="00AD4641">
              <w:rPr>
                <w:rFonts w:asciiTheme="minorHAnsi" w:eastAsiaTheme="minorEastAsia" w:hAnsiTheme="minorHAnsi"/>
                <w:noProof/>
                <w:lang w:eastAsia="en-GB"/>
              </w:rPr>
              <w:tab/>
            </w:r>
            <w:r w:rsidR="00AD4641" w:rsidRPr="008161BF">
              <w:rPr>
                <w:rStyle w:val="Hyperlink"/>
                <w:noProof/>
              </w:rPr>
              <w:t>Software</w:t>
            </w:r>
            <w:r w:rsidR="00AD4641">
              <w:rPr>
                <w:noProof/>
                <w:webHidden/>
              </w:rPr>
              <w:tab/>
            </w:r>
            <w:r w:rsidR="00AD4641">
              <w:rPr>
                <w:noProof/>
                <w:webHidden/>
              </w:rPr>
              <w:fldChar w:fldCharType="begin"/>
            </w:r>
            <w:r w:rsidR="00AD4641">
              <w:rPr>
                <w:noProof/>
                <w:webHidden/>
              </w:rPr>
              <w:instrText xml:space="preserve"> PAGEREF _Toc61013536 \h </w:instrText>
            </w:r>
            <w:r w:rsidR="00AD4641">
              <w:rPr>
                <w:noProof/>
                <w:webHidden/>
              </w:rPr>
            </w:r>
            <w:r w:rsidR="00AD4641">
              <w:rPr>
                <w:noProof/>
                <w:webHidden/>
              </w:rPr>
              <w:fldChar w:fldCharType="separate"/>
            </w:r>
            <w:r w:rsidR="00AD4641">
              <w:rPr>
                <w:noProof/>
                <w:webHidden/>
              </w:rPr>
              <w:t>10</w:t>
            </w:r>
            <w:r w:rsidR="00AD4641">
              <w:rPr>
                <w:noProof/>
                <w:webHidden/>
              </w:rPr>
              <w:fldChar w:fldCharType="end"/>
            </w:r>
          </w:hyperlink>
        </w:p>
        <w:p w14:paraId="0104EAA6" w14:textId="191AA425"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37" w:history="1">
            <w:r w:rsidR="00AD4641" w:rsidRPr="008161BF">
              <w:rPr>
                <w:rStyle w:val="Hyperlink"/>
                <w:noProof/>
              </w:rPr>
              <w:t>2.2.3</w:t>
            </w:r>
            <w:r w:rsidR="00AD4641">
              <w:rPr>
                <w:rFonts w:asciiTheme="minorHAnsi" w:eastAsiaTheme="minorEastAsia" w:hAnsiTheme="minorHAnsi"/>
                <w:noProof/>
                <w:lang w:eastAsia="en-GB"/>
              </w:rPr>
              <w:tab/>
            </w:r>
            <w:r w:rsidR="00AD4641" w:rsidRPr="008161BF">
              <w:rPr>
                <w:rStyle w:val="Hyperlink"/>
                <w:noProof/>
              </w:rPr>
              <w:t>Data</w:t>
            </w:r>
            <w:r w:rsidR="00AD4641">
              <w:rPr>
                <w:noProof/>
                <w:webHidden/>
              </w:rPr>
              <w:tab/>
            </w:r>
            <w:r w:rsidR="00AD4641">
              <w:rPr>
                <w:noProof/>
                <w:webHidden/>
              </w:rPr>
              <w:fldChar w:fldCharType="begin"/>
            </w:r>
            <w:r w:rsidR="00AD4641">
              <w:rPr>
                <w:noProof/>
                <w:webHidden/>
              </w:rPr>
              <w:instrText xml:space="preserve"> PAGEREF _Toc61013537 \h </w:instrText>
            </w:r>
            <w:r w:rsidR="00AD4641">
              <w:rPr>
                <w:noProof/>
                <w:webHidden/>
              </w:rPr>
            </w:r>
            <w:r w:rsidR="00AD4641">
              <w:rPr>
                <w:noProof/>
                <w:webHidden/>
              </w:rPr>
              <w:fldChar w:fldCharType="separate"/>
            </w:r>
            <w:r w:rsidR="00AD4641">
              <w:rPr>
                <w:noProof/>
                <w:webHidden/>
              </w:rPr>
              <w:t>10</w:t>
            </w:r>
            <w:r w:rsidR="00AD4641">
              <w:rPr>
                <w:noProof/>
                <w:webHidden/>
              </w:rPr>
              <w:fldChar w:fldCharType="end"/>
            </w:r>
          </w:hyperlink>
        </w:p>
        <w:p w14:paraId="34AA9A0D" w14:textId="14049D1F"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38" w:history="1">
            <w:r w:rsidR="00AD4641" w:rsidRPr="008161BF">
              <w:rPr>
                <w:rStyle w:val="Hyperlink"/>
                <w:noProof/>
              </w:rPr>
              <w:t>2.2.4</w:t>
            </w:r>
            <w:r w:rsidR="00AD4641">
              <w:rPr>
                <w:rFonts w:asciiTheme="minorHAnsi" w:eastAsiaTheme="minorEastAsia" w:hAnsiTheme="minorHAnsi"/>
                <w:noProof/>
                <w:lang w:eastAsia="en-GB"/>
              </w:rPr>
              <w:tab/>
            </w:r>
            <w:r w:rsidR="00AD4641" w:rsidRPr="008161BF">
              <w:rPr>
                <w:rStyle w:val="Hyperlink"/>
                <w:noProof/>
              </w:rPr>
              <w:t>Cloud</w:t>
            </w:r>
            <w:r w:rsidR="00AD4641">
              <w:rPr>
                <w:noProof/>
                <w:webHidden/>
              </w:rPr>
              <w:tab/>
            </w:r>
            <w:r w:rsidR="00AD4641">
              <w:rPr>
                <w:noProof/>
                <w:webHidden/>
              </w:rPr>
              <w:fldChar w:fldCharType="begin"/>
            </w:r>
            <w:r w:rsidR="00AD4641">
              <w:rPr>
                <w:noProof/>
                <w:webHidden/>
              </w:rPr>
              <w:instrText xml:space="preserve"> PAGEREF _Toc61013538 \h </w:instrText>
            </w:r>
            <w:r w:rsidR="00AD4641">
              <w:rPr>
                <w:noProof/>
                <w:webHidden/>
              </w:rPr>
            </w:r>
            <w:r w:rsidR="00AD4641">
              <w:rPr>
                <w:noProof/>
                <w:webHidden/>
              </w:rPr>
              <w:fldChar w:fldCharType="separate"/>
            </w:r>
            <w:r w:rsidR="00AD4641">
              <w:rPr>
                <w:noProof/>
                <w:webHidden/>
              </w:rPr>
              <w:t>10</w:t>
            </w:r>
            <w:r w:rsidR="00AD4641">
              <w:rPr>
                <w:noProof/>
                <w:webHidden/>
              </w:rPr>
              <w:fldChar w:fldCharType="end"/>
            </w:r>
          </w:hyperlink>
        </w:p>
        <w:p w14:paraId="0FE4C3F6" w14:textId="73D3D07C"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39" w:history="1">
            <w:r w:rsidR="00AD4641" w:rsidRPr="008161BF">
              <w:rPr>
                <w:rStyle w:val="Hyperlink"/>
                <w:noProof/>
              </w:rPr>
              <w:t>2.2.5</w:t>
            </w:r>
            <w:r w:rsidR="00AD4641">
              <w:rPr>
                <w:rFonts w:asciiTheme="minorHAnsi" w:eastAsiaTheme="minorEastAsia" w:hAnsiTheme="minorHAnsi"/>
                <w:noProof/>
                <w:lang w:eastAsia="en-GB"/>
              </w:rPr>
              <w:tab/>
            </w:r>
            <w:r w:rsidR="00AD4641" w:rsidRPr="008161BF">
              <w:rPr>
                <w:rStyle w:val="Hyperlink"/>
                <w:noProof/>
              </w:rPr>
              <w:t>Bring Your Own Device (BYOD)</w:t>
            </w:r>
            <w:r w:rsidR="00AD4641">
              <w:rPr>
                <w:noProof/>
                <w:webHidden/>
              </w:rPr>
              <w:tab/>
            </w:r>
            <w:r w:rsidR="00AD4641">
              <w:rPr>
                <w:noProof/>
                <w:webHidden/>
              </w:rPr>
              <w:fldChar w:fldCharType="begin"/>
            </w:r>
            <w:r w:rsidR="00AD4641">
              <w:rPr>
                <w:noProof/>
                <w:webHidden/>
              </w:rPr>
              <w:instrText xml:space="preserve"> PAGEREF _Toc61013539 \h </w:instrText>
            </w:r>
            <w:r w:rsidR="00AD4641">
              <w:rPr>
                <w:noProof/>
                <w:webHidden/>
              </w:rPr>
            </w:r>
            <w:r w:rsidR="00AD4641">
              <w:rPr>
                <w:noProof/>
                <w:webHidden/>
              </w:rPr>
              <w:fldChar w:fldCharType="separate"/>
            </w:r>
            <w:r w:rsidR="00AD4641">
              <w:rPr>
                <w:noProof/>
                <w:webHidden/>
              </w:rPr>
              <w:t>10</w:t>
            </w:r>
            <w:r w:rsidR="00AD4641">
              <w:rPr>
                <w:noProof/>
                <w:webHidden/>
              </w:rPr>
              <w:fldChar w:fldCharType="end"/>
            </w:r>
          </w:hyperlink>
        </w:p>
        <w:p w14:paraId="563E6E2C" w14:textId="684C295E" w:rsidR="00AD4641" w:rsidRDefault="00611E1C">
          <w:pPr>
            <w:pStyle w:val="TOC2"/>
            <w:tabs>
              <w:tab w:val="left" w:pos="880"/>
              <w:tab w:val="right" w:leader="dot" w:pos="9016"/>
            </w:tabs>
            <w:rPr>
              <w:rFonts w:asciiTheme="minorHAnsi" w:eastAsiaTheme="minorEastAsia" w:hAnsiTheme="minorHAnsi"/>
              <w:noProof/>
              <w:lang w:eastAsia="en-GB"/>
            </w:rPr>
          </w:pPr>
          <w:hyperlink w:anchor="_Toc61013540" w:history="1">
            <w:r w:rsidR="00AD4641" w:rsidRPr="008161BF">
              <w:rPr>
                <w:rStyle w:val="Hyperlink"/>
                <w:noProof/>
              </w:rPr>
              <w:t>2.3</w:t>
            </w:r>
            <w:r w:rsidR="00AD4641">
              <w:rPr>
                <w:rFonts w:asciiTheme="minorHAnsi" w:eastAsiaTheme="minorEastAsia" w:hAnsiTheme="minorHAnsi"/>
                <w:noProof/>
                <w:lang w:eastAsia="en-GB"/>
              </w:rPr>
              <w:tab/>
            </w:r>
            <w:r w:rsidR="00AD4641" w:rsidRPr="008161BF">
              <w:rPr>
                <w:rStyle w:val="Hyperlink"/>
                <w:noProof/>
              </w:rPr>
              <w:t>Evaluate</w:t>
            </w:r>
            <w:r w:rsidR="00AD4641">
              <w:rPr>
                <w:noProof/>
                <w:webHidden/>
              </w:rPr>
              <w:tab/>
            </w:r>
            <w:r w:rsidR="00AD4641">
              <w:rPr>
                <w:noProof/>
                <w:webHidden/>
              </w:rPr>
              <w:fldChar w:fldCharType="begin"/>
            </w:r>
            <w:r w:rsidR="00AD4641">
              <w:rPr>
                <w:noProof/>
                <w:webHidden/>
              </w:rPr>
              <w:instrText xml:space="preserve"> PAGEREF _Toc61013540 \h </w:instrText>
            </w:r>
            <w:r w:rsidR="00AD4641">
              <w:rPr>
                <w:noProof/>
                <w:webHidden/>
              </w:rPr>
            </w:r>
            <w:r w:rsidR="00AD4641">
              <w:rPr>
                <w:noProof/>
                <w:webHidden/>
              </w:rPr>
              <w:fldChar w:fldCharType="separate"/>
            </w:r>
            <w:r w:rsidR="00AD4641">
              <w:rPr>
                <w:noProof/>
                <w:webHidden/>
              </w:rPr>
              <w:t>10</w:t>
            </w:r>
            <w:r w:rsidR="00AD4641">
              <w:rPr>
                <w:noProof/>
                <w:webHidden/>
              </w:rPr>
              <w:fldChar w:fldCharType="end"/>
            </w:r>
          </w:hyperlink>
        </w:p>
        <w:p w14:paraId="34158037" w14:textId="029D1DA5"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41" w:history="1">
            <w:r w:rsidR="00AD4641" w:rsidRPr="008161BF">
              <w:rPr>
                <w:rStyle w:val="Hyperlink"/>
                <w:noProof/>
              </w:rPr>
              <w:t>2.3.1</w:t>
            </w:r>
            <w:r w:rsidR="00AD4641">
              <w:rPr>
                <w:rFonts w:asciiTheme="minorHAnsi" w:eastAsiaTheme="minorEastAsia" w:hAnsiTheme="minorHAnsi"/>
                <w:noProof/>
                <w:lang w:eastAsia="en-GB"/>
              </w:rPr>
              <w:tab/>
            </w:r>
            <w:r w:rsidR="00AD4641" w:rsidRPr="008161BF">
              <w:rPr>
                <w:rStyle w:val="Hyperlink"/>
                <w:noProof/>
              </w:rPr>
              <w:t>System Review</w:t>
            </w:r>
            <w:r w:rsidR="00AD4641">
              <w:rPr>
                <w:noProof/>
                <w:webHidden/>
              </w:rPr>
              <w:tab/>
            </w:r>
            <w:r w:rsidR="00AD4641">
              <w:rPr>
                <w:noProof/>
                <w:webHidden/>
              </w:rPr>
              <w:fldChar w:fldCharType="begin"/>
            </w:r>
            <w:r w:rsidR="00AD4641">
              <w:rPr>
                <w:noProof/>
                <w:webHidden/>
              </w:rPr>
              <w:instrText xml:space="preserve"> PAGEREF _Toc61013541 \h </w:instrText>
            </w:r>
            <w:r w:rsidR="00AD4641">
              <w:rPr>
                <w:noProof/>
                <w:webHidden/>
              </w:rPr>
            </w:r>
            <w:r w:rsidR="00AD4641">
              <w:rPr>
                <w:noProof/>
                <w:webHidden/>
              </w:rPr>
              <w:fldChar w:fldCharType="separate"/>
            </w:r>
            <w:r w:rsidR="00AD4641">
              <w:rPr>
                <w:noProof/>
                <w:webHidden/>
              </w:rPr>
              <w:t>11</w:t>
            </w:r>
            <w:r w:rsidR="00AD4641">
              <w:rPr>
                <w:noProof/>
                <w:webHidden/>
              </w:rPr>
              <w:fldChar w:fldCharType="end"/>
            </w:r>
          </w:hyperlink>
        </w:p>
        <w:p w14:paraId="37E48144" w14:textId="5C060C16"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42" w:history="1">
            <w:r w:rsidR="00AD4641" w:rsidRPr="008161BF">
              <w:rPr>
                <w:rStyle w:val="Hyperlink"/>
                <w:noProof/>
              </w:rPr>
              <w:t>2.3.2</w:t>
            </w:r>
            <w:r w:rsidR="00AD4641">
              <w:rPr>
                <w:rFonts w:asciiTheme="minorHAnsi" w:eastAsiaTheme="minorEastAsia" w:hAnsiTheme="minorHAnsi"/>
                <w:noProof/>
                <w:lang w:eastAsia="en-GB"/>
              </w:rPr>
              <w:tab/>
            </w:r>
            <w:r w:rsidR="00AD4641" w:rsidRPr="008161BF">
              <w:rPr>
                <w:rStyle w:val="Hyperlink"/>
                <w:noProof/>
              </w:rPr>
              <w:t>Exploratory Review</w:t>
            </w:r>
            <w:r w:rsidR="00AD4641">
              <w:rPr>
                <w:noProof/>
                <w:webHidden/>
              </w:rPr>
              <w:tab/>
            </w:r>
            <w:r w:rsidR="00AD4641">
              <w:rPr>
                <w:noProof/>
                <w:webHidden/>
              </w:rPr>
              <w:fldChar w:fldCharType="begin"/>
            </w:r>
            <w:r w:rsidR="00AD4641">
              <w:rPr>
                <w:noProof/>
                <w:webHidden/>
              </w:rPr>
              <w:instrText xml:space="preserve"> PAGEREF _Toc61013542 \h </w:instrText>
            </w:r>
            <w:r w:rsidR="00AD4641">
              <w:rPr>
                <w:noProof/>
                <w:webHidden/>
              </w:rPr>
            </w:r>
            <w:r w:rsidR="00AD4641">
              <w:rPr>
                <w:noProof/>
                <w:webHidden/>
              </w:rPr>
              <w:fldChar w:fldCharType="separate"/>
            </w:r>
            <w:r w:rsidR="00AD4641">
              <w:rPr>
                <w:noProof/>
                <w:webHidden/>
              </w:rPr>
              <w:t>11</w:t>
            </w:r>
            <w:r w:rsidR="00AD4641">
              <w:rPr>
                <w:noProof/>
                <w:webHidden/>
              </w:rPr>
              <w:fldChar w:fldCharType="end"/>
            </w:r>
          </w:hyperlink>
        </w:p>
        <w:p w14:paraId="543FEBE3" w14:textId="24E959CC" w:rsidR="00AD4641" w:rsidRDefault="00611E1C">
          <w:pPr>
            <w:pStyle w:val="TOC3"/>
            <w:tabs>
              <w:tab w:val="left" w:pos="1320"/>
              <w:tab w:val="right" w:leader="dot" w:pos="9016"/>
            </w:tabs>
            <w:rPr>
              <w:rFonts w:asciiTheme="minorHAnsi" w:eastAsiaTheme="minorEastAsia" w:hAnsiTheme="minorHAnsi"/>
              <w:noProof/>
              <w:lang w:eastAsia="en-GB"/>
            </w:rPr>
          </w:pPr>
          <w:hyperlink w:anchor="_Toc61013543" w:history="1">
            <w:r w:rsidR="00AD4641" w:rsidRPr="008161BF">
              <w:rPr>
                <w:rStyle w:val="Hyperlink"/>
                <w:noProof/>
              </w:rPr>
              <w:t>2.3.3</w:t>
            </w:r>
            <w:r w:rsidR="00AD4641">
              <w:rPr>
                <w:rFonts w:asciiTheme="minorHAnsi" w:eastAsiaTheme="minorEastAsia" w:hAnsiTheme="minorHAnsi"/>
                <w:noProof/>
                <w:lang w:eastAsia="en-GB"/>
              </w:rPr>
              <w:tab/>
            </w:r>
            <w:r w:rsidR="00AD4641" w:rsidRPr="008161BF">
              <w:rPr>
                <w:rStyle w:val="Hyperlink"/>
                <w:noProof/>
              </w:rPr>
              <w:t>Engagement Review</w:t>
            </w:r>
            <w:r w:rsidR="00AD4641">
              <w:rPr>
                <w:noProof/>
                <w:webHidden/>
              </w:rPr>
              <w:tab/>
            </w:r>
            <w:r w:rsidR="00AD4641">
              <w:rPr>
                <w:noProof/>
                <w:webHidden/>
              </w:rPr>
              <w:fldChar w:fldCharType="begin"/>
            </w:r>
            <w:r w:rsidR="00AD4641">
              <w:rPr>
                <w:noProof/>
                <w:webHidden/>
              </w:rPr>
              <w:instrText xml:space="preserve"> PAGEREF _Toc61013543 \h </w:instrText>
            </w:r>
            <w:r w:rsidR="00AD4641">
              <w:rPr>
                <w:noProof/>
                <w:webHidden/>
              </w:rPr>
            </w:r>
            <w:r w:rsidR="00AD4641">
              <w:rPr>
                <w:noProof/>
                <w:webHidden/>
              </w:rPr>
              <w:fldChar w:fldCharType="separate"/>
            </w:r>
            <w:r w:rsidR="00AD4641">
              <w:rPr>
                <w:noProof/>
                <w:webHidden/>
              </w:rPr>
              <w:t>11</w:t>
            </w:r>
            <w:r w:rsidR="00AD4641">
              <w:rPr>
                <w:noProof/>
                <w:webHidden/>
              </w:rPr>
              <w:fldChar w:fldCharType="end"/>
            </w:r>
          </w:hyperlink>
        </w:p>
        <w:p w14:paraId="334949AB" w14:textId="238A8D61" w:rsidR="00AD4641" w:rsidRDefault="00611E1C">
          <w:pPr>
            <w:pStyle w:val="TOC1"/>
            <w:tabs>
              <w:tab w:val="left" w:pos="440"/>
              <w:tab w:val="right" w:leader="dot" w:pos="9016"/>
            </w:tabs>
            <w:rPr>
              <w:rFonts w:asciiTheme="minorHAnsi" w:eastAsiaTheme="minorEastAsia" w:hAnsiTheme="minorHAnsi"/>
              <w:noProof/>
              <w:lang w:eastAsia="en-GB"/>
            </w:rPr>
          </w:pPr>
          <w:hyperlink w:anchor="_Toc61013544" w:history="1">
            <w:r w:rsidR="00AD4641" w:rsidRPr="008161BF">
              <w:rPr>
                <w:rStyle w:val="Hyperlink"/>
                <w:noProof/>
              </w:rPr>
              <w:t>3.</w:t>
            </w:r>
            <w:r w:rsidR="00AD4641">
              <w:rPr>
                <w:rFonts w:asciiTheme="minorHAnsi" w:eastAsiaTheme="minorEastAsia" w:hAnsiTheme="minorHAnsi"/>
                <w:noProof/>
                <w:lang w:eastAsia="en-GB"/>
              </w:rPr>
              <w:tab/>
            </w:r>
            <w:r w:rsidR="00AD4641" w:rsidRPr="008161BF">
              <w:rPr>
                <w:rStyle w:val="Hyperlink"/>
                <w:noProof/>
              </w:rPr>
              <w:t>Conclusion</w:t>
            </w:r>
            <w:r w:rsidR="00AD4641">
              <w:rPr>
                <w:noProof/>
                <w:webHidden/>
              </w:rPr>
              <w:tab/>
            </w:r>
            <w:r w:rsidR="00AD4641">
              <w:rPr>
                <w:noProof/>
                <w:webHidden/>
              </w:rPr>
              <w:fldChar w:fldCharType="begin"/>
            </w:r>
            <w:r w:rsidR="00AD4641">
              <w:rPr>
                <w:noProof/>
                <w:webHidden/>
              </w:rPr>
              <w:instrText xml:space="preserve"> PAGEREF _Toc61013544 \h </w:instrText>
            </w:r>
            <w:r w:rsidR="00AD4641">
              <w:rPr>
                <w:noProof/>
                <w:webHidden/>
              </w:rPr>
            </w:r>
            <w:r w:rsidR="00AD4641">
              <w:rPr>
                <w:noProof/>
                <w:webHidden/>
              </w:rPr>
              <w:fldChar w:fldCharType="separate"/>
            </w:r>
            <w:r w:rsidR="00AD4641">
              <w:rPr>
                <w:noProof/>
                <w:webHidden/>
              </w:rPr>
              <w:t>11</w:t>
            </w:r>
            <w:r w:rsidR="00AD4641">
              <w:rPr>
                <w:noProof/>
                <w:webHidden/>
              </w:rPr>
              <w:fldChar w:fldCharType="end"/>
            </w:r>
          </w:hyperlink>
        </w:p>
        <w:p w14:paraId="1D9BF5AC" w14:textId="6CF66492" w:rsidR="00AD4641" w:rsidRDefault="00611E1C">
          <w:pPr>
            <w:pStyle w:val="TOC1"/>
            <w:tabs>
              <w:tab w:val="right" w:leader="dot" w:pos="9016"/>
            </w:tabs>
            <w:rPr>
              <w:rFonts w:asciiTheme="minorHAnsi" w:eastAsiaTheme="minorEastAsia" w:hAnsiTheme="minorHAnsi"/>
              <w:noProof/>
              <w:lang w:eastAsia="en-GB"/>
            </w:rPr>
          </w:pPr>
          <w:hyperlink w:anchor="_Toc61013545" w:history="1">
            <w:r w:rsidR="00AD4641" w:rsidRPr="008161BF">
              <w:rPr>
                <w:rStyle w:val="Hyperlink"/>
                <w:noProof/>
              </w:rPr>
              <w:t>References</w:t>
            </w:r>
            <w:r w:rsidR="00AD4641">
              <w:rPr>
                <w:noProof/>
                <w:webHidden/>
              </w:rPr>
              <w:tab/>
            </w:r>
            <w:r w:rsidR="00AD4641">
              <w:rPr>
                <w:noProof/>
                <w:webHidden/>
              </w:rPr>
              <w:fldChar w:fldCharType="begin"/>
            </w:r>
            <w:r w:rsidR="00AD4641">
              <w:rPr>
                <w:noProof/>
                <w:webHidden/>
              </w:rPr>
              <w:instrText xml:space="preserve"> PAGEREF _Toc61013545 \h </w:instrText>
            </w:r>
            <w:r w:rsidR="00AD4641">
              <w:rPr>
                <w:noProof/>
                <w:webHidden/>
              </w:rPr>
            </w:r>
            <w:r w:rsidR="00AD4641">
              <w:rPr>
                <w:noProof/>
                <w:webHidden/>
              </w:rPr>
              <w:fldChar w:fldCharType="separate"/>
            </w:r>
            <w:r w:rsidR="00AD4641">
              <w:rPr>
                <w:noProof/>
                <w:webHidden/>
              </w:rPr>
              <w:t>12</w:t>
            </w:r>
            <w:r w:rsidR="00AD4641">
              <w:rPr>
                <w:noProof/>
                <w:webHidden/>
              </w:rPr>
              <w:fldChar w:fldCharType="end"/>
            </w:r>
          </w:hyperlink>
        </w:p>
        <w:p w14:paraId="032C8514" w14:textId="52A86DF9" w:rsidR="00AD4641" w:rsidRDefault="00611E1C">
          <w:pPr>
            <w:pStyle w:val="TOC1"/>
            <w:tabs>
              <w:tab w:val="right" w:leader="dot" w:pos="9016"/>
            </w:tabs>
            <w:rPr>
              <w:rFonts w:asciiTheme="minorHAnsi" w:eastAsiaTheme="minorEastAsia" w:hAnsiTheme="minorHAnsi"/>
              <w:noProof/>
              <w:lang w:eastAsia="en-GB"/>
            </w:rPr>
          </w:pPr>
          <w:hyperlink w:anchor="_Toc61013546" w:history="1">
            <w:r w:rsidR="00AD4641" w:rsidRPr="008161BF">
              <w:rPr>
                <w:rStyle w:val="Hyperlink"/>
                <w:noProof/>
              </w:rPr>
              <w:t>Appendices</w:t>
            </w:r>
            <w:r w:rsidR="00AD4641">
              <w:rPr>
                <w:noProof/>
                <w:webHidden/>
              </w:rPr>
              <w:tab/>
            </w:r>
            <w:r w:rsidR="00AD4641">
              <w:rPr>
                <w:noProof/>
                <w:webHidden/>
              </w:rPr>
              <w:fldChar w:fldCharType="begin"/>
            </w:r>
            <w:r w:rsidR="00AD4641">
              <w:rPr>
                <w:noProof/>
                <w:webHidden/>
              </w:rPr>
              <w:instrText xml:space="preserve"> PAGEREF _Toc61013546 \h </w:instrText>
            </w:r>
            <w:r w:rsidR="00AD4641">
              <w:rPr>
                <w:noProof/>
                <w:webHidden/>
              </w:rPr>
            </w:r>
            <w:r w:rsidR="00AD4641">
              <w:rPr>
                <w:noProof/>
                <w:webHidden/>
              </w:rPr>
              <w:fldChar w:fldCharType="separate"/>
            </w:r>
            <w:r w:rsidR="00AD4641">
              <w:rPr>
                <w:noProof/>
                <w:webHidden/>
              </w:rPr>
              <w:t>15</w:t>
            </w:r>
            <w:r w:rsidR="00AD4641">
              <w:rPr>
                <w:noProof/>
                <w:webHidden/>
              </w:rPr>
              <w:fldChar w:fldCharType="end"/>
            </w:r>
          </w:hyperlink>
        </w:p>
        <w:p w14:paraId="5DFA0F94" w14:textId="5536C174" w:rsidR="00AD4641" w:rsidRDefault="00611E1C">
          <w:pPr>
            <w:pStyle w:val="TOC2"/>
            <w:tabs>
              <w:tab w:val="right" w:leader="dot" w:pos="9016"/>
            </w:tabs>
            <w:rPr>
              <w:rFonts w:asciiTheme="minorHAnsi" w:eastAsiaTheme="minorEastAsia" w:hAnsiTheme="minorHAnsi"/>
              <w:noProof/>
              <w:lang w:eastAsia="en-GB"/>
            </w:rPr>
          </w:pPr>
          <w:hyperlink w:anchor="_Toc61013547" w:history="1">
            <w:r w:rsidR="00AD4641" w:rsidRPr="008161BF">
              <w:rPr>
                <w:rStyle w:val="Hyperlink"/>
                <w:noProof/>
              </w:rPr>
              <w:t>Appendix A1 – NIST History and Creation</w:t>
            </w:r>
            <w:r w:rsidR="00AD4641">
              <w:rPr>
                <w:noProof/>
                <w:webHidden/>
              </w:rPr>
              <w:tab/>
            </w:r>
            <w:r w:rsidR="00AD4641">
              <w:rPr>
                <w:noProof/>
                <w:webHidden/>
              </w:rPr>
              <w:fldChar w:fldCharType="begin"/>
            </w:r>
            <w:r w:rsidR="00AD4641">
              <w:rPr>
                <w:noProof/>
                <w:webHidden/>
              </w:rPr>
              <w:instrText xml:space="preserve"> PAGEREF _Toc61013547 \h </w:instrText>
            </w:r>
            <w:r w:rsidR="00AD4641">
              <w:rPr>
                <w:noProof/>
                <w:webHidden/>
              </w:rPr>
            </w:r>
            <w:r w:rsidR="00AD4641">
              <w:rPr>
                <w:noProof/>
                <w:webHidden/>
              </w:rPr>
              <w:fldChar w:fldCharType="separate"/>
            </w:r>
            <w:r w:rsidR="00AD4641">
              <w:rPr>
                <w:noProof/>
                <w:webHidden/>
              </w:rPr>
              <w:t>15</w:t>
            </w:r>
            <w:r w:rsidR="00AD4641">
              <w:rPr>
                <w:noProof/>
                <w:webHidden/>
              </w:rPr>
              <w:fldChar w:fldCharType="end"/>
            </w:r>
          </w:hyperlink>
        </w:p>
        <w:p w14:paraId="5D348D43" w14:textId="747A4A59" w:rsidR="00AD4641" w:rsidRDefault="00611E1C">
          <w:pPr>
            <w:pStyle w:val="TOC2"/>
            <w:tabs>
              <w:tab w:val="right" w:leader="dot" w:pos="9016"/>
            </w:tabs>
            <w:rPr>
              <w:rFonts w:asciiTheme="minorHAnsi" w:eastAsiaTheme="minorEastAsia" w:hAnsiTheme="minorHAnsi"/>
              <w:noProof/>
              <w:lang w:eastAsia="en-GB"/>
            </w:rPr>
          </w:pPr>
          <w:hyperlink w:anchor="_Toc61013548" w:history="1">
            <w:r w:rsidR="00AD4641" w:rsidRPr="008161BF">
              <w:rPr>
                <w:rStyle w:val="Hyperlink"/>
                <w:noProof/>
              </w:rPr>
              <w:t>Appendix A2 – NIST Core Functions</w:t>
            </w:r>
            <w:r w:rsidR="00AD4641">
              <w:rPr>
                <w:noProof/>
                <w:webHidden/>
              </w:rPr>
              <w:tab/>
            </w:r>
            <w:r w:rsidR="00AD4641">
              <w:rPr>
                <w:noProof/>
                <w:webHidden/>
              </w:rPr>
              <w:fldChar w:fldCharType="begin"/>
            </w:r>
            <w:r w:rsidR="00AD4641">
              <w:rPr>
                <w:noProof/>
                <w:webHidden/>
              </w:rPr>
              <w:instrText xml:space="preserve"> PAGEREF _Toc61013548 \h </w:instrText>
            </w:r>
            <w:r w:rsidR="00AD4641">
              <w:rPr>
                <w:noProof/>
                <w:webHidden/>
              </w:rPr>
            </w:r>
            <w:r w:rsidR="00AD4641">
              <w:rPr>
                <w:noProof/>
                <w:webHidden/>
              </w:rPr>
              <w:fldChar w:fldCharType="separate"/>
            </w:r>
            <w:r w:rsidR="00AD4641">
              <w:rPr>
                <w:noProof/>
                <w:webHidden/>
              </w:rPr>
              <w:t>15</w:t>
            </w:r>
            <w:r w:rsidR="00AD4641">
              <w:rPr>
                <w:noProof/>
                <w:webHidden/>
              </w:rPr>
              <w:fldChar w:fldCharType="end"/>
            </w:r>
          </w:hyperlink>
        </w:p>
        <w:p w14:paraId="441C34C8" w14:textId="6306801E" w:rsidR="00AD4641" w:rsidRDefault="00611E1C">
          <w:pPr>
            <w:pStyle w:val="TOC2"/>
            <w:tabs>
              <w:tab w:val="right" w:leader="dot" w:pos="9016"/>
            </w:tabs>
            <w:rPr>
              <w:rFonts w:asciiTheme="minorHAnsi" w:eastAsiaTheme="minorEastAsia" w:hAnsiTheme="minorHAnsi"/>
              <w:noProof/>
              <w:lang w:eastAsia="en-GB"/>
            </w:rPr>
          </w:pPr>
          <w:hyperlink w:anchor="_Toc61013549" w:history="1">
            <w:r w:rsidR="00AD4641" w:rsidRPr="008161BF">
              <w:rPr>
                <w:rStyle w:val="Hyperlink"/>
                <w:noProof/>
              </w:rPr>
              <w:t>Appendix A3 – NIST Implementation Tiers</w:t>
            </w:r>
            <w:r w:rsidR="00AD4641">
              <w:rPr>
                <w:noProof/>
                <w:webHidden/>
              </w:rPr>
              <w:tab/>
            </w:r>
            <w:r w:rsidR="00AD4641">
              <w:rPr>
                <w:noProof/>
                <w:webHidden/>
              </w:rPr>
              <w:fldChar w:fldCharType="begin"/>
            </w:r>
            <w:r w:rsidR="00AD4641">
              <w:rPr>
                <w:noProof/>
                <w:webHidden/>
              </w:rPr>
              <w:instrText xml:space="preserve"> PAGEREF _Toc61013549 \h </w:instrText>
            </w:r>
            <w:r w:rsidR="00AD4641">
              <w:rPr>
                <w:noProof/>
                <w:webHidden/>
              </w:rPr>
            </w:r>
            <w:r w:rsidR="00AD4641">
              <w:rPr>
                <w:noProof/>
                <w:webHidden/>
              </w:rPr>
              <w:fldChar w:fldCharType="separate"/>
            </w:r>
            <w:r w:rsidR="00AD4641">
              <w:rPr>
                <w:noProof/>
                <w:webHidden/>
              </w:rPr>
              <w:t>15</w:t>
            </w:r>
            <w:r w:rsidR="00AD4641">
              <w:rPr>
                <w:noProof/>
                <w:webHidden/>
              </w:rPr>
              <w:fldChar w:fldCharType="end"/>
            </w:r>
          </w:hyperlink>
        </w:p>
        <w:p w14:paraId="0921B6A6" w14:textId="536A3D07" w:rsidR="00AD4641" w:rsidRDefault="00611E1C">
          <w:pPr>
            <w:pStyle w:val="TOC2"/>
            <w:tabs>
              <w:tab w:val="right" w:leader="dot" w:pos="9016"/>
            </w:tabs>
            <w:rPr>
              <w:rFonts w:asciiTheme="minorHAnsi" w:eastAsiaTheme="minorEastAsia" w:hAnsiTheme="minorHAnsi"/>
              <w:noProof/>
              <w:lang w:eastAsia="en-GB"/>
            </w:rPr>
          </w:pPr>
          <w:hyperlink w:anchor="_Toc61013550" w:history="1">
            <w:r w:rsidR="00AD4641" w:rsidRPr="008161BF">
              <w:rPr>
                <w:rStyle w:val="Hyperlink"/>
                <w:noProof/>
              </w:rPr>
              <w:t>Appendix B1 – ISO 27000 Family Outline</w:t>
            </w:r>
            <w:r w:rsidR="00AD4641">
              <w:rPr>
                <w:noProof/>
                <w:webHidden/>
              </w:rPr>
              <w:tab/>
            </w:r>
            <w:r w:rsidR="00AD4641">
              <w:rPr>
                <w:noProof/>
                <w:webHidden/>
              </w:rPr>
              <w:fldChar w:fldCharType="begin"/>
            </w:r>
            <w:r w:rsidR="00AD4641">
              <w:rPr>
                <w:noProof/>
                <w:webHidden/>
              </w:rPr>
              <w:instrText xml:space="preserve"> PAGEREF _Toc61013550 \h </w:instrText>
            </w:r>
            <w:r w:rsidR="00AD4641">
              <w:rPr>
                <w:noProof/>
                <w:webHidden/>
              </w:rPr>
            </w:r>
            <w:r w:rsidR="00AD4641">
              <w:rPr>
                <w:noProof/>
                <w:webHidden/>
              </w:rPr>
              <w:fldChar w:fldCharType="separate"/>
            </w:r>
            <w:r w:rsidR="00AD4641">
              <w:rPr>
                <w:noProof/>
                <w:webHidden/>
              </w:rPr>
              <w:t>16</w:t>
            </w:r>
            <w:r w:rsidR="00AD4641">
              <w:rPr>
                <w:noProof/>
                <w:webHidden/>
              </w:rPr>
              <w:fldChar w:fldCharType="end"/>
            </w:r>
          </w:hyperlink>
        </w:p>
        <w:p w14:paraId="6D68B78C" w14:textId="5FEE5CF8" w:rsidR="00AD4641" w:rsidRDefault="00611E1C">
          <w:pPr>
            <w:pStyle w:val="TOC2"/>
            <w:tabs>
              <w:tab w:val="right" w:leader="dot" w:pos="9016"/>
            </w:tabs>
            <w:rPr>
              <w:rFonts w:asciiTheme="minorHAnsi" w:eastAsiaTheme="minorEastAsia" w:hAnsiTheme="minorHAnsi"/>
              <w:noProof/>
              <w:lang w:eastAsia="en-GB"/>
            </w:rPr>
          </w:pPr>
          <w:hyperlink w:anchor="_Toc61013551" w:history="1">
            <w:r w:rsidR="00AD4641" w:rsidRPr="008161BF">
              <w:rPr>
                <w:rStyle w:val="Hyperlink"/>
                <w:noProof/>
              </w:rPr>
              <w:t>Appendix C1 – ISO 27001 &amp; NIST CSF Similarities (Clauses)</w:t>
            </w:r>
            <w:r w:rsidR="00AD4641">
              <w:rPr>
                <w:noProof/>
                <w:webHidden/>
              </w:rPr>
              <w:tab/>
            </w:r>
            <w:r w:rsidR="00AD4641">
              <w:rPr>
                <w:noProof/>
                <w:webHidden/>
              </w:rPr>
              <w:fldChar w:fldCharType="begin"/>
            </w:r>
            <w:r w:rsidR="00AD4641">
              <w:rPr>
                <w:noProof/>
                <w:webHidden/>
              </w:rPr>
              <w:instrText xml:space="preserve"> PAGEREF _Toc61013551 \h </w:instrText>
            </w:r>
            <w:r w:rsidR="00AD4641">
              <w:rPr>
                <w:noProof/>
                <w:webHidden/>
              </w:rPr>
            </w:r>
            <w:r w:rsidR="00AD4641">
              <w:rPr>
                <w:noProof/>
                <w:webHidden/>
              </w:rPr>
              <w:fldChar w:fldCharType="separate"/>
            </w:r>
            <w:r w:rsidR="00AD4641">
              <w:rPr>
                <w:noProof/>
                <w:webHidden/>
              </w:rPr>
              <w:t>16</w:t>
            </w:r>
            <w:r w:rsidR="00AD4641">
              <w:rPr>
                <w:noProof/>
                <w:webHidden/>
              </w:rPr>
              <w:fldChar w:fldCharType="end"/>
            </w:r>
          </w:hyperlink>
        </w:p>
        <w:p w14:paraId="65566D5E" w14:textId="2F7C300F" w:rsidR="00AD4641" w:rsidRDefault="00611E1C">
          <w:pPr>
            <w:pStyle w:val="TOC2"/>
            <w:tabs>
              <w:tab w:val="right" w:leader="dot" w:pos="9016"/>
            </w:tabs>
            <w:rPr>
              <w:rFonts w:asciiTheme="minorHAnsi" w:eastAsiaTheme="minorEastAsia" w:hAnsiTheme="minorHAnsi"/>
              <w:noProof/>
              <w:lang w:eastAsia="en-GB"/>
            </w:rPr>
          </w:pPr>
          <w:hyperlink w:anchor="_Toc61013552" w:history="1">
            <w:r w:rsidR="00AD4641" w:rsidRPr="008161BF">
              <w:rPr>
                <w:rStyle w:val="Hyperlink"/>
                <w:noProof/>
              </w:rPr>
              <w:t>Appendix C2 – ISO 27001 &amp; NIST CSF Similarities (Controls)</w:t>
            </w:r>
            <w:r w:rsidR="00AD4641">
              <w:rPr>
                <w:noProof/>
                <w:webHidden/>
              </w:rPr>
              <w:tab/>
            </w:r>
            <w:r w:rsidR="00AD4641">
              <w:rPr>
                <w:noProof/>
                <w:webHidden/>
              </w:rPr>
              <w:fldChar w:fldCharType="begin"/>
            </w:r>
            <w:r w:rsidR="00AD4641">
              <w:rPr>
                <w:noProof/>
                <w:webHidden/>
              </w:rPr>
              <w:instrText xml:space="preserve"> PAGEREF _Toc61013552 \h </w:instrText>
            </w:r>
            <w:r w:rsidR="00AD4641">
              <w:rPr>
                <w:noProof/>
                <w:webHidden/>
              </w:rPr>
            </w:r>
            <w:r w:rsidR="00AD4641">
              <w:rPr>
                <w:noProof/>
                <w:webHidden/>
              </w:rPr>
              <w:fldChar w:fldCharType="separate"/>
            </w:r>
            <w:r w:rsidR="00AD4641">
              <w:rPr>
                <w:noProof/>
                <w:webHidden/>
              </w:rPr>
              <w:t>17</w:t>
            </w:r>
            <w:r w:rsidR="00AD4641">
              <w:rPr>
                <w:noProof/>
                <w:webHidden/>
              </w:rPr>
              <w:fldChar w:fldCharType="end"/>
            </w:r>
          </w:hyperlink>
        </w:p>
        <w:p w14:paraId="3FAEA490" w14:textId="12D54625" w:rsidR="00AD4641" w:rsidRDefault="00611E1C">
          <w:pPr>
            <w:pStyle w:val="TOC2"/>
            <w:tabs>
              <w:tab w:val="right" w:leader="dot" w:pos="9016"/>
            </w:tabs>
            <w:rPr>
              <w:rFonts w:asciiTheme="minorHAnsi" w:eastAsiaTheme="minorEastAsia" w:hAnsiTheme="minorHAnsi"/>
              <w:noProof/>
              <w:lang w:eastAsia="en-GB"/>
            </w:rPr>
          </w:pPr>
          <w:hyperlink w:anchor="_Toc61013553" w:history="1">
            <w:r w:rsidR="00AD4641" w:rsidRPr="008161BF">
              <w:rPr>
                <w:rStyle w:val="Hyperlink"/>
                <w:noProof/>
              </w:rPr>
              <w:t>Appendix D1 – ISO 27001 Requirements</w:t>
            </w:r>
            <w:r w:rsidR="00AD4641">
              <w:rPr>
                <w:noProof/>
                <w:webHidden/>
              </w:rPr>
              <w:tab/>
            </w:r>
            <w:r w:rsidR="00AD4641">
              <w:rPr>
                <w:noProof/>
                <w:webHidden/>
              </w:rPr>
              <w:fldChar w:fldCharType="begin"/>
            </w:r>
            <w:r w:rsidR="00AD4641">
              <w:rPr>
                <w:noProof/>
                <w:webHidden/>
              </w:rPr>
              <w:instrText xml:space="preserve"> PAGEREF _Toc61013553 \h </w:instrText>
            </w:r>
            <w:r w:rsidR="00AD4641">
              <w:rPr>
                <w:noProof/>
                <w:webHidden/>
              </w:rPr>
            </w:r>
            <w:r w:rsidR="00AD4641">
              <w:rPr>
                <w:noProof/>
                <w:webHidden/>
              </w:rPr>
              <w:fldChar w:fldCharType="separate"/>
            </w:r>
            <w:r w:rsidR="00AD4641">
              <w:rPr>
                <w:noProof/>
                <w:webHidden/>
              </w:rPr>
              <w:t>18</w:t>
            </w:r>
            <w:r w:rsidR="00AD4641">
              <w:rPr>
                <w:noProof/>
                <w:webHidden/>
              </w:rPr>
              <w:fldChar w:fldCharType="end"/>
            </w:r>
          </w:hyperlink>
        </w:p>
        <w:p w14:paraId="29EBF3FE" w14:textId="698EFF54" w:rsidR="00AD4641" w:rsidRDefault="00611E1C">
          <w:pPr>
            <w:pStyle w:val="TOC2"/>
            <w:tabs>
              <w:tab w:val="right" w:leader="dot" w:pos="9016"/>
            </w:tabs>
            <w:rPr>
              <w:rFonts w:asciiTheme="minorHAnsi" w:eastAsiaTheme="minorEastAsia" w:hAnsiTheme="minorHAnsi"/>
              <w:noProof/>
              <w:lang w:eastAsia="en-GB"/>
            </w:rPr>
          </w:pPr>
          <w:hyperlink w:anchor="_Toc61013554" w:history="1">
            <w:r w:rsidR="00AD4641" w:rsidRPr="008161BF">
              <w:rPr>
                <w:rStyle w:val="Hyperlink"/>
                <w:noProof/>
              </w:rPr>
              <w:t>Appendix E1 – NIST Function Breakdown</w:t>
            </w:r>
            <w:r w:rsidR="00AD4641">
              <w:rPr>
                <w:noProof/>
                <w:webHidden/>
              </w:rPr>
              <w:tab/>
            </w:r>
            <w:r w:rsidR="00AD4641">
              <w:rPr>
                <w:noProof/>
                <w:webHidden/>
              </w:rPr>
              <w:fldChar w:fldCharType="begin"/>
            </w:r>
            <w:r w:rsidR="00AD4641">
              <w:rPr>
                <w:noProof/>
                <w:webHidden/>
              </w:rPr>
              <w:instrText xml:space="preserve"> PAGEREF _Toc61013554 \h </w:instrText>
            </w:r>
            <w:r w:rsidR="00AD4641">
              <w:rPr>
                <w:noProof/>
                <w:webHidden/>
              </w:rPr>
            </w:r>
            <w:r w:rsidR="00AD4641">
              <w:rPr>
                <w:noProof/>
                <w:webHidden/>
              </w:rPr>
              <w:fldChar w:fldCharType="separate"/>
            </w:r>
            <w:r w:rsidR="00AD4641">
              <w:rPr>
                <w:noProof/>
                <w:webHidden/>
              </w:rPr>
              <w:t>19</w:t>
            </w:r>
            <w:r w:rsidR="00AD4641">
              <w:rPr>
                <w:noProof/>
                <w:webHidden/>
              </w:rPr>
              <w:fldChar w:fldCharType="end"/>
            </w:r>
          </w:hyperlink>
        </w:p>
        <w:p w14:paraId="5BFC1C48" w14:textId="20185990" w:rsidR="00AD4641" w:rsidRDefault="00611E1C">
          <w:pPr>
            <w:pStyle w:val="TOC2"/>
            <w:tabs>
              <w:tab w:val="right" w:leader="dot" w:pos="9016"/>
            </w:tabs>
            <w:rPr>
              <w:rFonts w:asciiTheme="minorHAnsi" w:eastAsiaTheme="minorEastAsia" w:hAnsiTheme="minorHAnsi"/>
              <w:noProof/>
              <w:lang w:eastAsia="en-GB"/>
            </w:rPr>
          </w:pPr>
          <w:hyperlink w:anchor="_Toc61013555" w:history="1">
            <w:r w:rsidR="00AD4641" w:rsidRPr="008161BF">
              <w:rPr>
                <w:rStyle w:val="Hyperlink"/>
                <w:noProof/>
              </w:rPr>
              <w:t>Appendix F1 – PCI DSS Requirements</w:t>
            </w:r>
            <w:r w:rsidR="00AD4641">
              <w:rPr>
                <w:noProof/>
                <w:webHidden/>
              </w:rPr>
              <w:tab/>
            </w:r>
            <w:r w:rsidR="00AD4641">
              <w:rPr>
                <w:noProof/>
                <w:webHidden/>
              </w:rPr>
              <w:fldChar w:fldCharType="begin"/>
            </w:r>
            <w:r w:rsidR="00AD4641">
              <w:rPr>
                <w:noProof/>
                <w:webHidden/>
              </w:rPr>
              <w:instrText xml:space="preserve"> PAGEREF _Toc61013555 \h </w:instrText>
            </w:r>
            <w:r w:rsidR="00AD4641">
              <w:rPr>
                <w:noProof/>
                <w:webHidden/>
              </w:rPr>
            </w:r>
            <w:r w:rsidR="00AD4641">
              <w:rPr>
                <w:noProof/>
                <w:webHidden/>
              </w:rPr>
              <w:fldChar w:fldCharType="separate"/>
            </w:r>
            <w:r w:rsidR="00AD4641">
              <w:rPr>
                <w:noProof/>
                <w:webHidden/>
              </w:rPr>
              <w:t>20</w:t>
            </w:r>
            <w:r w:rsidR="00AD4641">
              <w:rPr>
                <w:noProof/>
                <w:webHidden/>
              </w:rPr>
              <w:fldChar w:fldCharType="end"/>
            </w:r>
          </w:hyperlink>
        </w:p>
        <w:p w14:paraId="31BC73B9" w14:textId="71D5DB28" w:rsidR="006A75A4" w:rsidRDefault="006A75A4">
          <w:r>
            <w:rPr>
              <w:b/>
              <w:bCs/>
              <w:noProof/>
            </w:rPr>
            <w:fldChar w:fldCharType="end"/>
          </w:r>
        </w:p>
      </w:sdtContent>
    </w:sdt>
    <w:p w14:paraId="5CCDC7DD" w14:textId="12010257" w:rsidR="006A75A4" w:rsidRDefault="006A75A4">
      <w:pPr>
        <w:rPr>
          <w:rFonts w:eastAsiaTheme="majorEastAsia" w:cstheme="majorBidi"/>
          <w:b/>
          <w:sz w:val="32"/>
          <w:szCs w:val="32"/>
        </w:rPr>
      </w:pPr>
    </w:p>
    <w:p w14:paraId="50AF089C" w14:textId="77777777" w:rsidR="001C13AE" w:rsidRDefault="001C13AE">
      <w:pPr>
        <w:rPr>
          <w:rFonts w:eastAsiaTheme="majorEastAsia" w:cstheme="majorBidi"/>
          <w:b/>
          <w:sz w:val="32"/>
          <w:szCs w:val="32"/>
        </w:rPr>
      </w:pPr>
      <w:r>
        <w:br w:type="page"/>
      </w:r>
    </w:p>
    <w:p w14:paraId="4BC3846B" w14:textId="08AF85DC" w:rsidR="001C13AE" w:rsidRDefault="001C13AE" w:rsidP="001C13AE">
      <w:pPr>
        <w:pStyle w:val="Heading1"/>
      </w:pPr>
      <w:bookmarkStart w:id="0" w:name="_Toc61013515"/>
      <w:r>
        <w:t>Table of Figures</w:t>
      </w:r>
      <w:bookmarkEnd w:id="0"/>
    </w:p>
    <w:p w14:paraId="334211BE" w14:textId="77777777" w:rsidR="001C13AE" w:rsidRPr="001C13AE" w:rsidRDefault="001C13AE" w:rsidP="001C13AE"/>
    <w:p w14:paraId="2FF1E5E9" w14:textId="4F6AC1C6" w:rsidR="001C13AE" w:rsidRDefault="001C13AE">
      <w:pPr>
        <w:pStyle w:val="TableofFigures"/>
        <w:tabs>
          <w:tab w:val="right" w:leader="dot" w:pos="9016"/>
        </w:tabs>
        <w:rPr>
          <w:noProof/>
        </w:rPr>
      </w:pPr>
      <w:r>
        <w:fldChar w:fldCharType="begin"/>
      </w:r>
      <w:r>
        <w:instrText xml:space="preserve"> TOC \h \z \c "Figure" </w:instrText>
      </w:r>
      <w:r>
        <w:fldChar w:fldCharType="separate"/>
      </w:r>
      <w:hyperlink w:anchor="_Toc61010209" w:history="1">
        <w:r w:rsidRPr="002D073F">
          <w:rPr>
            <w:rStyle w:val="Hyperlink"/>
            <w:noProof/>
          </w:rPr>
          <w:t>Figure 1 - Custom ISMS Design Overview</w:t>
        </w:r>
        <w:r>
          <w:rPr>
            <w:noProof/>
            <w:webHidden/>
          </w:rPr>
          <w:tab/>
        </w:r>
        <w:r>
          <w:rPr>
            <w:noProof/>
            <w:webHidden/>
          </w:rPr>
          <w:fldChar w:fldCharType="begin"/>
        </w:r>
        <w:r>
          <w:rPr>
            <w:noProof/>
            <w:webHidden/>
          </w:rPr>
          <w:instrText xml:space="preserve"> PAGEREF _Toc61010209 \h </w:instrText>
        </w:r>
        <w:r>
          <w:rPr>
            <w:noProof/>
            <w:webHidden/>
          </w:rPr>
        </w:r>
        <w:r>
          <w:rPr>
            <w:noProof/>
            <w:webHidden/>
          </w:rPr>
          <w:fldChar w:fldCharType="separate"/>
        </w:r>
        <w:r>
          <w:rPr>
            <w:noProof/>
            <w:webHidden/>
          </w:rPr>
          <w:t>6</w:t>
        </w:r>
        <w:r>
          <w:rPr>
            <w:noProof/>
            <w:webHidden/>
          </w:rPr>
          <w:fldChar w:fldCharType="end"/>
        </w:r>
      </w:hyperlink>
    </w:p>
    <w:p w14:paraId="6E0DE9CB" w14:textId="77A3F86F" w:rsidR="001C13AE" w:rsidRDefault="00611E1C">
      <w:pPr>
        <w:pStyle w:val="TableofFigures"/>
        <w:tabs>
          <w:tab w:val="right" w:leader="dot" w:pos="9016"/>
        </w:tabs>
        <w:rPr>
          <w:noProof/>
        </w:rPr>
      </w:pPr>
      <w:hyperlink w:anchor="_Toc61010210" w:history="1">
        <w:r w:rsidR="001C13AE" w:rsidRPr="002D073F">
          <w:rPr>
            <w:rStyle w:val="Hyperlink"/>
            <w:noProof/>
          </w:rPr>
          <w:t>Figure 2 - Similarities between framework clauses (ISO 27001 &amp; NIST CSF) [20]</w:t>
        </w:r>
        <w:r w:rsidR="001C13AE">
          <w:rPr>
            <w:noProof/>
            <w:webHidden/>
          </w:rPr>
          <w:tab/>
        </w:r>
        <w:r w:rsidR="001C13AE">
          <w:rPr>
            <w:noProof/>
            <w:webHidden/>
          </w:rPr>
          <w:fldChar w:fldCharType="begin"/>
        </w:r>
        <w:r w:rsidR="001C13AE">
          <w:rPr>
            <w:noProof/>
            <w:webHidden/>
          </w:rPr>
          <w:instrText xml:space="preserve"> PAGEREF _Toc61010210 \h </w:instrText>
        </w:r>
        <w:r w:rsidR="001C13AE">
          <w:rPr>
            <w:noProof/>
            <w:webHidden/>
          </w:rPr>
        </w:r>
        <w:r w:rsidR="001C13AE">
          <w:rPr>
            <w:noProof/>
            <w:webHidden/>
          </w:rPr>
          <w:fldChar w:fldCharType="separate"/>
        </w:r>
        <w:r w:rsidR="001C13AE">
          <w:rPr>
            <w:noProof/>
            <w:webHidden/>
          </w:rPr>
          <w:t>14</w:t>
        </w:r>
        <w:r w:rsidR="001C13AE">
          <w:rPr>
            <w:noProof/>
            <w:webHidden/>
          </w:rPr>
          <w:fldChar w:fldCharType="end"/>
        </w:r>
      </w:hyperlink>
    </w:p>
    <w:p w14:paraId="26CEFBE5" w14:textId="41C18630" w:rsidR="001C13AE" w:rsidRDefault="00611E1C">
      <w:pPr>
        <w:pStyle w:val="TableofFigures"/>
        <w:tabs>
          <w:tab w:val="right" w:leader="dot" w:pos="9016"/>
        </w:tabs>
        <w:rPr>
          <w:noProof/>
        </w:rPr>
      </w:pPr>
      <w:hyperlink w:anchor="_Toc61010211" w:history="1">
        <w:r w:rsidR="001C13AE" w:rsidRPr="002D073F">
          <w:rPr>
            <w:rStyle w:val="Hyperlink"/>
            <w:noProof/>
          </w:rPr>
          <w:t>Figure 3 - Similarities between framework controls (ISO 27001 &amp; NIST CSF) [20]</w:t>
        </w:r>
        <w:r w:rsidR="001C13AE">
          <w:rPr>
            <w:noProof/>
            <w:webHidden/>
          </w:rPr>
          <w:tab/>
        </w:r>
        <w:r w:rsidR="001C13AE">
          <w:rPr>
            <w:noProof/>
            <w:webHidden/>
          </w:rPr>
          <w:fldChar w:fldCharType="begin"/>
        </w:r>
        <w:r w:rsidR="001C13AE">
          <w:rPr>
            <w:noProof/>
            <w:webHidden/>
          </w:rPr>
          <w:instrText xml:space="preserve"> PAGEREF _Toc61010211 \h </w:instrText>
        </w:r>
        <w:r w:rsidR="001C13AE">
          <w:rPr>
            <w:noProof/>
            <w:webHidden/>
          </w:rPr>
        </w:r>
        <w:r w:rsidR="001C13AE">
          <w:rPr>
            <w:noProof/>
            <w:webHidden/>
          </w:rPr>
          <w:fldChar w:fldCharType="separate"/>
        </w:r>
        <w:r w:rsidR="001C13AE">
          <w:rPr>
            <w:noProof/>
            <w:webHidden/>
          </w:rPr>
          <w:t>15</w:t>
        </w:r>
        <w:r w:rsidR="001C13AE">
          <w:rPr>
            <w:noProof/>
            <w:webHidden/>
          </w:rPr>
          <w:fldChar w:fldCharType="end"/>
        </w:r>
      </w:hyperlink>
    </w:p>
    <w:p w14:paraId="6DA25070" w14:textId="4F448076" w:rsidR="001C13AE" w:rsidRDefault="00611E1C">
      <w:pPr>
        <w:pStyle w:val="TableofFigures"/>
        <w:tabs>
          <w:tab w:val="right" w:leader="dot" w:pos="9016"/>
        </w:tabs>
        <w:rPr>
          <w:noProof/>
        </w:rPr>
      </w:pPr>
      <w:hyperlink w:anchor="_Toc61010212" w:history="1">
        <w:r w:rsidR="001C13AE" w:rsidRPr="002D073F">
          <w:rPr>
            <w:rStyle w:val="Hyperlink"/>
            <w:noProof/>
          </w:rPr>
          <w:t>Figure 4 - NIST CSF Functions &amp; Categories</w:t>
        </w:r>
        <w:r w:rsidR="001C13AE">
          <w:rPr>
            <w:noProof/>
            <w:webHidden/>
          </w:rPr>
          <w:tab/>
        </w:r>
        <w:r w:rsidR="001C13AE">
          <w:rPr>
            <w:noProof/>
            <w:webHidden/>
          </w:rPr>
          <w:fldChar w:fldCharType="begin"/>
        </w:r>
        <w:r w:rsidR="001C13AE">
          <w:rPr>
            <w:noProof/>
            <w:webHidden/>
          </w:rPr>
          <w:instrText xml:space="preserve"> PAGEREF _Toc61010212 \h </w:instrText>
        </w:r>
        <w:r w:rsidR="001C13AE">
          <w:rPr>
            <w:noProof/>
            <w:webHidden/>
          </w:rPr>
        </w:r>
        <w:r w:rsidR="001C13AE">
          <w:rPr>
            <w:noProof/>
            <w:webHidden/>
          </w:rPr>
          <w:fldChar w:fldCharType="separate"/>
        </w:r>
        <w:r w:rsidR="001C13AE">
          <w:rPr>
            <w:noProof/>
            <w:webHidden/>
          </w:rPr>
          <w:t>17</w:t>
        </w:r>
        <w:r w:rsidR="001C13AE">
          <w:rPr>
            <w:noProof/>
            <w:webHidden/>
          </w:rPr>
          <w:fldChar w:fldCharType="end"/>
        </w:r>
      </w:hyperlink>
    </w:p>
    <w:p w14:paraId="2B61BCAA" w14:textId="06F4C723" w:rsidR="006A75A4" w:rsidRDefault="001C13AE">
      <w:pPr>
        <w:rPr>
          <w:rFonts w:eastAsiaTheme="majorEastAsia" w:cstheme="majorBidi"/>
          <w:b/>
          <w:sz w:val="32"/>
          <w:szCs w:val="32"/>
        </w:rPr>
      </w:pPr>
      <w:r>
        <w:fldChar w:fldCharType="end"/>
      </w:r>
      <w:r w:rsidR="006A75A4">
        <w:br w:type="page"/>
      </w:r>
    </w:p>
    <w:p w14:paraId="24868FE8" w14:textId="04C03F23" w:rsidR="00B94952" w:rsidRDefault="006A75A4" w:rsidP="006A75A4">
      <w:pPr>
        <w:pStyle w:val="Heading1"/>
      </w:pPr>
      <w:bookmarkStart w:id="1" w:name="_Ref61008253"/>
      <w:bookmarkStart w:id="2" w:name="_Toc61013516"/>
      <w:r>
        <w:t>Abstract</w:t>
      </w:r>
      <w:bookmarkEnd w:id="1"/>
      <w:bookmarkEnd w:id="2"/>
    </w:p>
    <w:p w14:paraId="5E42DC62" w14:textId="445BE489" w:rsidR="00B01654" w:rsidRPr="00B17DF2" w:rsidRDefault="00B01654" w:rsidP="00B01654">
      <w:pPr>
        <w:rPr>
          <w:i/>
          <w:iCs/>
        </w:rPr>
      </w:pPr>
      <w:r w:rsidRPr="00B17DF2">
        <w:rPr>
          <w:i/>
          <w:iCs/>
        </w:rPr>
        <w:t xml:space="preserve">The purpose of this report is twofold.  Firstly, an understanding is to be gained and documented in regard to Information Security Management Systems and how they are created or migrated into organisations around the globe.  The advantages and disadvantages shall be studied and used to form a basis for a newly created ISMS for a fictitious company.  </w:t>
      </w:r>
      <w:r w:rsidR="00B17DF2" w:rsidRPr="00B17DF2">
        <w:rPr>
          <w:i/>
          <w:iCs/>
        </w:rPr>
        <w:t>The new ISMS shall be a blend of the frameworks investigated in section one.</w:t>
      </w:r>
    </w:p>
    <w:p w14:paraId="09A5F90A" w14:textId="77777777" w:rsidR="00B17DF2" w:rsidRDefault="00B17DF2">
      <w:pPr>
        <w:rPr>
          <w:rFonts w:eastAsiaTheme="majorEastAsia" w:cstheme="majorBidi"/>
          <w:b/>
          <w:sz w:val="32"/>
          <w:szCs w:val="32"/>
        </w:rPr>
      </w:pPr>
      <w:r>
        <w:br w:type="page"/>
      </w:r>
    </w:p>
    <w:p w14:paraId="306D86DB" w14:textId="145B3251" w:rsidR="006A75A4" w:rsidRDefault="006A75A4" w:rsidP="006A75A4">
      <w:pPr>
        <w:pStyle w:val="Heading1"/>
      </w:pPr>
      <w:bookmarkStart w:id="3" w:name="_Toc61013517"/>
      <w:r>
        <w:t>Introduction</w:t>
      </w:r>
      <w:bookmarkEnd w:id="3"/>
    </w:p>
    <w:p w14:paraId="23446B5C" w14:textId="2C5BCFB9" w:rsidR="006A75A4" w:rsidRDefault="00D602B8" w:rsidP="006A75A4">
      <w:pPr>
        <w:pStyle w:val="Heading1"/>
        <w:numPr>
          <w:ilvl w:val="0"/>
          <w:numId w:val="1"/>
        </w:numPr>
      </w:pPr>
      <w:bookmarkStart w:id="4" w:name="_Toc61013518"/>
      <w:r>
        <w:t>Literature Review</w:t>
      </w:r>
      <w:bookmarkEnd w:id="4"/>
    </w:p>
    <w:p w14:paraId="4DEA2223" w14:textId="5E2DB040" w:rsidR="00882961" w:rsidRDefault="005D4C0C" w:rsidP="00882961">
      <w:pPr>
        <w:pStyle w:val="Heading2"/>
        <w:numPr>
          <w:ilvl w:val="1"/>
          <w:numId w:val="1"/>
        </w:numPr>
      </w:pPr>
      <w:bookmarkStart w:id="5" w:name="_Toc61013519"/>
      <w:r>
        <w:t>What is a Cybersecurity Framework?</w:t>
      </w:r>
      <w:bookmarkEnd w:id="5"/>
    </w:p>
    <w:p w14:paraId="48C8B0FC" w14:textId="6DBF1FE2" w:rsidR="006A1F76" w:rsidRDefault="006A1F76" w:rsidP="006A1F76">
      <w:r>
        <w:t>The</w:t>
      </w:r>
      <w:r w:rsidR="00197CF8">
        <w:t xml:space="preserve"> number of </w:t>
      </w:r>
      <w:r w:rsidR="00C73722">
        <w:t>users</w:t>
      </w:r>
      <w:r w:rsidR="00197CF8">
        <w:t xml:space="preserve"> that are connected to the Internet in the</w:t>
      </w:r>
      <w:r>
        <w:t xml:space="preserve"> year 2020</w:t>
      </w:r>
      <w:r w:rsidR="00197CF8">
        <w:t xml:space="preserve"> has</w:t>
      </w:r>
      <w:r>
        <w:t xml:space="preserve"> been predicted to be </w:t>
      </w:r>
      <w:r w:rsidR="00197CF8">
        <w:t xml:space="preserve">anywhere from </w:t>
      </w:r>
      <w:r w:rsidR="00C73722">
        <w:t>4.3</w:t>
      </w:r>
      <w:r w:rsidR="00197CF8">
        <w:t xml:space="preserve"> billion</w:t>
      </w:r>
      <w:r w:rsidR="00C73722">
        <w:t xml:space="preserve"> </w:t>
      </w:r>
      <w:r w:rsidR="009E7E1B">
        <w:fldChar w:fldCharType="begin" w:fldLock="1"/>
      </w:r>
      <w:r w:rsidR="009E7E1B">
        <w:instrText>ADDIN CSL_CITATION {"citationItems":[{"id":"ITEM-1","itemData":{"ISBN":"9789261295110","abstract":"The aim of this work was to introduce new ways to model the I-V characteristic of a photovoltaic (PV) cell or PV module using straight lines and B&amp;eacute;zier curves. This is a complete novel approach, B&amp;eacute;zier curves being previously used mainly for computer graphics. The I-V characteristic is divided into three sections, modeled with lines and a quadratic B&amp;eacute;zier curve in the first case and with three cubic B&amp;eacute;zier curves in the second case. The result proves to be accurate and relies on the fundamental points usually present in the PV cell datasheets: V o c (the open circuit voltage), I s c (the short circuit current), V m p (the maximum power corresponding voltage) and I m p (the maximum power corresponding current), and the parasitic resistances R s h 0 (shunt resistance at I s c ) and R s 0 (series resistance at V o c ). The proposed algorithm completely defines all the implied control points and the error is analyzed. The temperature and irradiance influence is also analyzed. The model is also compared using the least squares fitting method. The final validation shows how to use B&amp;eacute;zier cubic curves to accurately represent the I-V curves of an extensive range of PV cells and arrays.","author":[{"dropping-particle":"","family":"International Telecommunication Union","given":"","non-dropping-particle":"","parse-names":false,"suffix":""}],"container-title":"ITUPublications","id":"ITEM-1","issued":{"date-parts":[["2019"]]},"number-of-pages":"1-15","publisher-place":"Geneva","title":"Measuring Digital Development","type":"report"},"uris":["http://www.mendeley.com/documents/?uuid=759ecac2-876e-3c20-993b-fbea28aeadb5"]}],"mendeley":{"formattedCitation":"[1]","plainTextFormattedCitation":"[1]","previouslyFormattedCitation":"[1]"},"properties":{"noteIndex":0},"schema":"https://github.com/citation-style-language/schema/raw/master/csl-citation.json"}</w:instrText>
      </w:r>
      <w:r w:rsidR="009E7E1B">
        <w:fldChar w:fldCharType="separate"/>
      </w:r>
      <w:r w:rsidR="009E7E1B" w:rsidRPr="009E7E1B">
        <w:rPr>
          <w:noProof/>
        </w:rPr>
        <w:t>[1]</w:t>
      </w:r>
      <w:r w:rsidR="009E7E1B">
        <w:fldChar w:fldCharType="end"/>
      </w:r>
      <w:r w:rsidR="00197CF8">
        <w:t xml:space="preserve"> to</w:t>
      </w:r>
      <w:r>
        <w:t xml:space="preserve"> </w:t>
      </w:r>
      <w:r w:rsidR="009E7E1B">
        <w:t>4.9</w:t>
      </w:r>
      <w:r>
        <w:t xml:space="preserve"> billion</w:t>
      </w:r>
      <w:r w:rsidR="00C73722">
        <w:t xml:space="preserve"> </w:t>
      </w:r>
      <w:r w:rsidR="009E7E1B">
        <w:fldChar w:fldCharType="begin" w:fldLock="1"/>
      </w:r>
      <w:r w:rsidR="00087DCE">
        <w:instrText>ADDIN CSL_CITATION {"citationItems":[{"id":"ITEM-1","itemData":{"abstract":"Executive summary The Cisco Annual Internet Report is a global forecast/analysis that assesses digital transformation across various business segments (enterprise, small-to-medium business, public sector, and service provider). The report covers fixed broadband, Wi-Fi, and mobile (3G, 4G, 5G) networking. Quantitative projections are provided on the growth of Internet users, devices and connections as well as network performance and new application requirements. Qualitative analyses and assessments are also provided in four strategic areas: applications, security, infrastructure transformation, and empowering employees and teams. Global Internet adoption and devices and connection Internet users Nearly two-thirds of the global population will have Internet access by 2023. There will be 5.3 billion total Internet users (66 percent of global population) by 2023, up from 3.9 billion (51 percent of global population) in 2018. Devices and connections The number of devices connected to IP networks will be more than three times the global population by 2023. There will be 3.6 networked devices per capita by 2023, up from 2.4 networked devices per capita in 2018. There will be 29.3 billion networked devices by 2023, up from 18.4 billion in 2018. M2M connections will be half of the global connected devices and connections by 2023. The share of Machine-To-Machine (M2M) connections will grow from 33 percent in 2018 to 50 percent by 2023. There will be 14.7 billion M2M connections by 2023. The consumer segment will have nearly three-fourths share of total devices and connections by 2023. Globally, consumer segment's share of total devices and connections will be 74 percent, with the business segment claiming the remaining 26 percent. Internet of Things (IoT) by application Within the M2M connections category (which is also referred to as IoT), connected home applications will have the largest share and connected car will be the fastest growing application type. Connected home applications will have nearly half or 48 percent of M2M share by 2023 and Connected car applications will grow the fastest at 30 percent CAGR over the forecast period (2018-2023).","author":[{"dropping-particle":"","family":"Cisco","given":"","non-dropping-particle":"","parse-names":false,"suffix":""}],"id":"ITEM-1","issued":{"date-parts":[["2018"]]},"title":"Cisco Annual Internet Report (2018-2023)","type":"report"},"uris":["http://www.mendeley.com/documents/?uuid=8ecdc482-dc4b-3c64-8ab5-6ff7a940b49e"]}],"mendeley":{"formattedCitation":"[2]","plainTextFormattedCitation":"[2]","previouslyFormattedCitation":"[2]"},"properties":{"noteIndex":0},"schema":"https://github.com/citation-style-language/schema/raw/master/csl-citation.json"}</w:instrText>
      </w:r>
      <w:r w:rsidR="009E7E1B">
        <w:fldChar w:fldCharType="separate"/>
      </w:r>
      <w:r w:rsidR="009E7E1B" w:rsidRPr="009E7E1B">
        <w:rPr>
          <w:noProof/>
        </w:rPr>
        <w:t>[2]</w:t>
      </w:r>
      <w:r w:rsidR="009E7E1B">
        <w:fldChar w:fldCharType="end"/>
      </w:r>
      <w:r>
        <w:t>.</w:t>
      </w:r>
      <w:r w:rsidR="00C73722">
        <w:t xml:space="preserve">  In either case, what is clear is that the global number of connected devices is rising quickly.</w:t>
      </w:r>
      <w:r>
        <w:t xml:space="preserve">  Whilst this volume of internet usage provides a rate of data exchange unlike anything</w:t>
      </w:r>
      <w:r w:rsidR="00D727E5">
        <w:t xml:space="preserve"> experienced</w:t>
      </w:r>
      <w:r>
        <w:t xml:space="preserve"> in the history of humanity, it also widens the net cast by malicious individuals, </w:t>
      </w:r>
      <w:r w:rsidR="00D2092B">
        <w:t>organisations,</w:t>
      </w:r>
      <w:r>
        <w:t xml:space="preserve"> and </w:t>
      </w:r>
      <w:r w:rsidR="007F55F7">
        <w:t>states</w:t>
      </w:r>
      <w:r w:rsidR="00D727E5">
        <w:t xml:space="preserve"> that endeavour to capture sensitive information be it financial, </w:t>
      </w:r>
      <w:r w:rsidR="0005381F">
        <w:t>personal,</w:t>
      </w:r>
      <w:r w:rsidR="00D727E5">
        <w:t xml:space="preserve"> or governmental.</w:t>
      </w:r>
    </w:p>
    <w:p w14:paraId="5E29852B" w14:textId="33EDDE89" w:rsidR="00960E5A" w:rsidRDefault="00F36C0A" w:rsidP="006A1F76">
      <w:r>
        <w:tab/>
      </w:r>
      <w:r w:rsidR="00087DCE">
        <w:t xml:space="preserve">Each year, businesses and organisations are presented with an increasing threat from various types of malware that pose a financial threat not only in the way of theft but also downtime and loss of reputation </w:t>
      </w:r>
      <w:r w:rsidR="00087DCE">
        <w:fldChar w:fldCharType="begin" w:fldLock="1"/>
      </w:r>
      <w:r w:rsidR="00960E5A">
        <w:instrText>ADDIN CSL_CITATION {"citationItems":[{"id":"ITEM-1","itemData":{"abstract":"Kujawa, Adam Zamora, Wendy Segura, Jerome Reed, Thomas Collier, Nathan Umawing, Jovi","author":[{"dropping-particle":"","family":"MalwareBytes Labs","given":"","non-dropping-particle":"","parse-names":false,"suffix":""}],"container-title":"Malwarebytes","id":"ITEM-1","issue":"February","issued":{"date-parts":[["2020"]]},"number-of-pages":"1-57","title":"2020 State of Malware Report","type":"report"},"uris":["http://www.mendeley.com/documents/?uuid=350fb66f-3379-3048-a9a1-7b6a94326577"]},{"id":"ITEM-2","itemData":{"DOI":"10.1109/TIFS.2018.2824250","ISSN":"15566013","abstract":"Mobile malware is one of today's greatest threats in computer security. Furthermore, new mobile malware is emerging daily that introduces new security risks. However, while existing security solutions generally protect mobile devices against known risks, they are vulnerable to as yet unknown risks. How anti-malware software reacts to new, unknown malicious software is generally difficult to predict. Therefore, anti-malware software is in continuous development in order to be able to detect new malware or new variants of existing malware. Similarly, as long as anti-malware software develops, malware writers also develop their malicious code by using various evasion strategies, such as obfuscation and encryption. This is the lifecycle of malicious and anti-malware software. In this paper, the use of evolutionary computation techniques are investigated, both for developing new variants of mobile malware which successfully evades anti-malware systems based on static analysis and for developing better security solutions against them automatically. A coevolutionary arms race mechanism has always been considered a potential candidate for developing a more robust system against new attacks and for system testing. To the best of the authors' knowledge, this paper is the first application of coevolutionary computation to address this problem.","author":[{"dropping-particle":"","family":"Sen","given":"Sevil","non-dropping-particle":"","parse-names":false,"suffix":""},{"dropping-particle":"","family":"Aydogan","given":"Emre","non-dropping-particle":"","parse-names":false,"suffix":""},{"dropping-particle":"","family":"Aysan","given":"Ahmet I.","non-dropping-particle":"","parse-names":false,"suffix":""}],"container-title":"IEEE Transactions on Information Forensics and Security","id":"ITEM-2","issue":"10","issued":{"date-parts":[["2018","10","1"]]},"page":"2563-2574","publisher":"Institute of Electrical and Electronics Engineers Inc.","title":"Coevolution of Mobile Malware and Anti-Malware","type":"article-journal","volume":"13"},"uris":["http://www.mendeley.com/documents/?uuid=ec7c0d7e-5881-302d-bbac-1c17ece931a3"]}],"mendeley":{"formattedCitation":"[3], [4]","plainTextFormattedCitation":"[3], [4]","previouslyFormattedCitation":"[3], [4]"},"properties":{"noteIndex":0},"schema":"https://github.com/citation-style-language/schema/raw/master/csl-citation.json"}</w:instrText>
      </w:r>
      <w:r w:rsidR="00087DCE">
        <w:fldChar w:fldCharType="separate"/>
      </w:r>
      <w:r w:rsidR="00087DCE" w:rsidRPr="00087DCE">
        <w:rPr>
          <w:noProof/>
        </w:rPr>
        <w:t>[3], [4]</w:t>
      </w:r>
      <w:r w:rsidR="00087DCE">
        <w:fldChar w:fldCharType="end"/>
      </w:r>
      <w:r w:rsidR="00087DCE">
        <w:t>.  The threat became so commonplace that in 2007 Microsoft announced a new plan that would embed an antivirus package inside Windows completely free of charge to Windows users and this replaced a subscription based service that the company were already offering</w:t>
      </w:r>
      <w:r w:rsidR="00960E5A">
        <w:t xml:space="preserve"> </w:t>
      </w:r>
      <w:r w:rsidR="00960E5A">
        <w:fldChar w:fldCharType="begin" w:fldLock="1"/>
      </w:r>
      <w:r w:rsidR="00025C87">
        <w:instrText>ADDIN CSL_CITATION {"citationItems":[{"id":"ITEM-1","itemData":{"URL":"https://news.microsoft.com/2008/11/18/microsoft-announces-plans-for-no-cost-consumer-security-offering/","accessed":{"date-parts":[["2020","10","7"]]},"author":[{"dropping-particle":"","family":"Ryon","given":"Ben","non-dropping-particle":"","parse-names":false,"suffix":""}],"id":"ITEM-1","issued":{"date-parts":[["2008","11","18"]]},"page":"1","title":"Microsoft Announces Plans for No-Cost Consumer Security Offering - Stories","type":"webpage"},"uris":["http://www.mendeley.com/documents/?uuid=20221eaf-012e-3247-bd71-777131d54cb6"]}],"mendeley":{"formattedCitation":"[5]","plainTextFormattedCitation":"[5]","previouslyFormattedCitation":"[5]"},"properties":{"noteIndex":0},"schema":"https://github.com/citation-style-language/schema/raw/master/csl-citation.json"}</w:instrText>
      </w:r>
      <w:r w:rsidR="00960E5A">
        <w:fldChar w:fldCharType="separate"/>
      </w:r>
      <w:r w:rsidR="00960E5A" w:rsidRPr="00960E5A">
        <w:rPr>
          <w:noProof/>
        </w:rPr>
        <w:t>[5]</w:t>
      </w:r>
      <w:r w:rsidR="00960E5A">
        <w:fldChar w:fldCharType="end"/>
      </w:r>
      <w:r w:rsidR="00087DCE">
        <w:t>.</w:t>
      </w:r>
      <w:r w:rsidR="00025C87">
        <w:t xml:space="preserve">  </w:t>
      </w:r>
      <w:r w:rsidR="00341FEB">
        <w:t xml:space="preserve">Current estimates show that </w:t>
      </w:r>
      <w:r w:rsidR="00025C87">
        <w:t>in 2016, the average monetary cost of cybercrime among business and organisations in the United States was $665,000</w:t>
      </w:r>
      <w:r w:rsidR="00C04876">
        <w:t xml:space="preserve"> per year</w:t>
      </w:r>
      <w:r w:rsidR="00025C87">
        <w:t xml:space="preserve"> </w:t>
      </w:r>
      <w:r w:rsidR="00025C87">
        <w:fldChar w:fldCharType="begin" w:fldLock="1"/>
      </w:r>
      <w:r w:rsidR="004103D6">
        <w:instrText>ADDIN CSL_CITATION {"citationItems":[{"id":"ITEM-1","itemData":{"DOI":"10.1109/TIFS.2018.2834227","ISSN":"15566013","abstract":"Analyzing cyber incident data sets is an important method for deepening our understanding of the evolution of the threat situation. This is a relatively new research topic, and many studies remain to be done. In this paper, we report a statistical analysis of a breach incident data set corresponding to 12 years (2005-2017) of cyber hacking activities that include malware attacks. We show that, in contrast to the findings reported in the literature, both hacking breach incident inter-arrival times and breach sizes should be modeled by stochastic processes, rather than by distributions because they exhibit autocorrelations. Then, we propose particular stochastic process models to, respectively, fit the inter-arrival times and the breach sizes. We also show that these models can predict the inter-arrival times and the breach sizes. In order to get deeper insights into the evolution of hacking breach incidents, we conduct both qualitative and quantitative trend analyses on the data set. We draw a set of cybersecurity insights, including that the threat of cyber hacks is indeed getting worse in terms of their frequency, but not in terms of the magnitude of their damage.","author":[{"dropping-particle":"","family":"Xu","given":"Maochao","non-dropping-particle":"","parse-names":false,"suffix":""},{"dropping-particle":"","family":"Schweitzer","given":"Kristin M.","non-dropping-particle":"","parse-names":false,"suffix":""},{"dropping-particle":"","family":"Bateman","given":"Raymond M.","non-dropping-particle":"","parse-names":false,"suffix":""},{"dropping-particle":"","family":"Xu","given":"Shouhuai","non-dropping-particle":"","parse-names":false,"suffix":""}],"container-title":"IEEE Transactions on Information Forensics and Security","id":"ITEM-1","issue":"11","issued":{"date-parts":[["2018","11","1"]]},"page":"2856-2871","publisher":"Institute of Electrical and Electronics Engineers Inc.","title":"Modeling and Predicting Cyber Hacking Breaches","type":"article-journal","volume":"13"},"uris":["http://www.mendeley.com/documents/?uuid=40ffea00-79fc-3e86-8bba-52b5012cc24d"]}],"mendeley":{"formattedCitation":"[6]","plainTextFormattedCitation":"[6]","previouslyFormattedCitation":"[6]"},"properties":{"noteIndex":0},"schema":"https://github.com/citation-style-language/schema/raw/master/csl-citation.json"}</w:instrText>
      </w:r>
      <w:r w:rsidR="00025C87">
        <w:fldChar w:fldCharType="separate"/>
      </w:r>
      <w:r w:rsidR="00025C87" w:rsidRPr="00025C87">
        <w:rPr>
          <w:noProof/>
        </w:rPr>
        <w:t>[6]</w:t>
      </w:r>
      <w:r w:rsidR="00025C87">
        <w:fldChar w:fldCharType="end"/>
      </w:r>
      <w:r w:rsidR="00C04876">
        <w:t xml:space="preserve">, the US economy as a whole $60 billion per year </w:t>
      </w:r>
      <w:r w:rsidR="00C04876">
        <w:fldChar w:fldCharType="begin" w:fldLock="1"/>
      </w:r>
      <w:r w:rsidR="00C04876">
        <w:instrText>ADDIN CSL_CITATION {"citationItems":[{"id":"ITEM-1","itemData":{"DOI":"10.1017/CBO9781139629294","ISBN":"9781139629294","abstract":"Software is pervasive in our lives. We are accustomed to dealing with the failures of much of that software - restarting an application is a very familiar solution. Such solutions are unacceptable when the software controls our cars, airplanes and medical devices or manages our private information. These applications must run without error. SPARK provides a means, based on mathematical proof, to guarantee that a program has no errors. SPARK is a formally defined programming language and a set of verification tools specifically designed to support the development of software used in high integrity applications. Using SPARK, developers can formally verify properties of their code such as information flow, freedom from runtime errors, functional correctness, security properties and safety properties. Written by two SPARK experts, this is the first introduction to the just-released 2014 version. It will help students and developers alike master the basic concepts for building systems with SPARK.","author":[{"dropping-particle":"","family":"McCormick","given":"John W.","non-dropping-particle":"","parse-names":false,"suffix":""},{"dropping-particle":"","family":"Chapin","given":"Peter C.","non-dropping-particle":"","parse-names":false,"suffix":""}],"container-title":"Building High Integrity Applications with SPARK","id":"ITEM-1","issued":{"date-parts":[["2015","1","1"]]},"number-of-pages":"1-367","publisher":"Cambridge University Press","title":"Building high integrity applications with spark","type":"book"},"uris":["http://www.mendeley.com/documents/?uuid=bd69adf5-bca9-3811-9deb-34b2b599fcaf"]}],"mendeley":{"formattedCitation":"[7]","plainTextFormattedCitation":"[7]","previouslyFormattedCitation":"[7]"},"properties":{"noteIndex":0},"schema":"https://github.com/citation-style-language/schema/raw/master/csl-citation.json"}</w:instrText>
      </w:r>
      <w:r w:rsidR="00C04876">
        <w:fldChar w:fldCharType="separate"/>
      </w:r>
      <w:r w:rsidR="00C04876" w:rsidRPr="00C04876">
        <w:rPr>
          <w:noProof/>
        </w:rPr>
        <w:t>[7]</w:t>
      </w:r>
      <w:r w:rsidR="00C04876">
        <w:fldChar w:fldCharType="end"/>
      </w:r>
      <w:r w:rsidR="00025C87">
        <w:t xml:space="preserve"> and </w:t>
      </w:r>
      <w:r w:rsidR="00C04876">
        <w:t xml:space="preserve">the global economy </w:t>
      </w:r>
      <w:r w:rsidR="00025C87">
        <w:t>$500 billion</w:t>
      </w:r>
      <w:r w:rsidR="00C04876">
        <w:t xml:space="preserve"> per year</w:t>
      </w:r>
      <w:r w:rsidR="00025C87">
        <w:t xml:space="preserve"> </w:t>
      </w:r>
      <w:r w:rsidR="00025C87">
        <w:fldChar w:fldCharType="begin" w:fldLock="1"/>
      </w:r>
      <w:r w:rsidR="00C04876">
        <w:instrText>ADDIN CSL_CITATION {"citationItems":[{"id":"ITEM-1","itemData":{"DOI":"10.1109/ACCESS.2020.3007867","ISSN":"21693536","abstract":"Theoretical and empirical insight notes that cyber security awareness is a topic of particular interest in cyber security. Humans are the central figures in cyber security and the way to reduce risk in cyberspace is to make people more security aware. While there have been numerous studies about various aspects of cyber security awareness, they are both inconsistent and environment-dependent. The main aim of our research is to analyze cyber security awareness in depth, and to try to discover how various factors such as socio-demographics, cyber security perceptions, previous cyber security breaches, IT usage, and knowledge may individually or together impact on cyber security behavior. To prove that we conducted our research on students, as they are the most technologically active part of the society. We discovered that knowledge proved to be the dominant factor for cyber security awareness, and although students are digital natives, they do not feel safe in the cyber environment; they do not behave securely and do not have adequate knowledge to protect themselves in cyberspace.","author":[{"dropping-particle":"","family":"Kovacevic","given":"Ana","non-dropping-particle":"","parse-names":false,"suffix":""},{"dropping-particle":"","family":"Putnik","given":"Nenad","non-dropping-particle":"","parse-names":false,"suffix":""},{"dropping-particle":"","family":"Toskovic","given":"Oliver","non-dropping-particle":"","parse-names":false,"suffix":""}],"container-title":"IEEE Access","id":"ITEM-1","issued":{"date-parts":[["2020"]]},"page":"125140-125148","publisher":"Institute of Electrical and Electronics Engineers Inc.","title":"Factors Related to Cyber Security Behavior","type":"article-journal","volume":"8"},"uris":["http://www.mendeley.com/documents/?uuid=2c84b29d-def1-3e20-bcc0-291c52ac60f2"]}],"mendeley":{"formattedCitation":"[8]","plainTextFormattedCitation":"[8]","previouslyFormattedCitation":"[8]"},"properties":{"noteIndex":0},"schema":"https://github.com/citation-style-language/schema/raw/master/csl-citation.json"}</w:instrText>
      </w:r>
      <w:r w:rsidR="00025C87">
        <w:fldChar w:fldCharType="separate"/>
      </w:r>
      <w:r w:rsidR="00C04876" w:rsidRPr="00C04876">
        <w:rPr>
          <w:noProof/>
        </w:rPr>
        <w:t>[8]</w:t>
      </w:r>
      <w:r w:rsidR="00025C87">
        <w:fldChar w:fldCharType="end"/>
      </w:r>
      <w:r w:rsidR="00025C87">
        <w:t>.</w:t>
      </w:r>
    </w:p>
    <w:p w14:paraId="322235B0" w14:textId="3F78572D" w:rsidR="00C16DB4" w:rsidRPr="004969F2" w:rsidRDefault="00025C87" w:rsidP="00633DE6">
      <w:r>
        <w:tab/>
        <w:t>To mitigate thi</w:t>
      </w:r>
      <w:r w:rsidR="004969F2">
        <w:t>s</w:t>
      </w:r>
      <w:r>
        <w:t>, companies with a reliance on cyber activities searched for</w:t>
      </w:r>
      <w:r w:rsidR="004969F2">
        <w:rPr>
          <w:b/>
          <w:bCs/>
          <w:color w:val="FF0000"/>
        </w:rPr>
        <w:t xml:space="preserve"> </w:t>
      </w:r>
      <w:r w:rsidR="004969F2">
        <w:t>ways in which to not just apply a reactionary response towards threats, but take an aggressive, proactive stance.  The need for the ability to manage cyber threats reliably and continuously was met with the idea of an Information Security Management System</w:t>
      </w:r>
      <w:r w:rsidR="00611E1C">
        <w:t xml:space="preserve"> (ISMS)</w:t>
      </w:r>
      <w:r w:rsidR="004969F2">
        <w:t>.  These are frameworks that can be migrated into a company’s security policy to enhance what already exists or can be a central pillar of the organisation from the very start.</w:t>
      </w:r>
    </w:p>
    <w:p w14:paraId="4DCE295E" w14:textId="0DB31830" w:rsidR="004F049F" w:rsidRPr="004F049F" w:rsidRDefault="004F049F" w:rsidP="00F4420F">
      <w:pPr>
        <w:pStyle w:val="Heading2"/>
        <w:numPr>
          <w:ilvl w:val="1"/>
          <w:numId w:val="1"/>
        </w:numPr>
      </w:pPr>
      <w:bookmarkStart w:id="6" w:name="_Toc61013520"/>
      <w:r>
        <w:t>Frameworks and Models</w:t>
      </w:r>
      <w:bookmarkEnd w:id="6"/>
    </w:p>
    <w:p w14:paraId="18D2D8CC" w14:textId="4993B20B" w:rsidR="005D4C0C" w:rsidRDefault="0029760F" w:rsidP="00F4420F">
      <w:pPr>
        <w:pStyle w:val="Heading3"/>
        <w:numPr>
          <w:ilvl w:val="2"/>
          <w:numId w:val="1"/>
        </w:numPr>
      </w:pPr>
      <w:bookmarkStart w:id="7" w:name="_Toc61013521"/>
      <w:r>
        <w:t>ISO 27000</w:t>
      </w:r>
      <w:bookmarkEnd w:id="7"/>
    </w:p>
    <w:p w14:paraId="74D61131" w14:textId="6F7C957D" w:rsidR="009A7428" w:rsidRDefault="00643F3A" w:rsidP="007F19C2">
      <w:r>
        <w:t xml:space="preserve">The ISO 27000 series provide a multitude of standards relating to the optimal setup of an ISMS.  This model is currently the most popular of its kind currently in use today with </w:t>
      </w:r>
      <w:r w:rsidR="00700092">
        <w:t xml:space="preserve">not only companies and organisations adopting its specifications, but also government agencies and facilities </w:t>
      </w:r>
      <w:r>
        <w:fldChar w:fldCharType="begin" w:fldLock="1"/>
      </w:r>
      <w:r w:rsidR="000D08D8">
        <w:instrText>ADDIN CSL_CITATION {"citationItems":[{"id":"ITEM-1","itemData":{"DOI":"10.1088/1742-6596/1339/1/012103","ISBN":"1339012103","ISSN":"17426596","abstract":"Organizations have different takes on Information Security Management Systems (ISMS) since security measurements vary according to their business relevance. One way to assure ISMS is being well-implemented is by having a standard compliance such as the ISO 27000 series. The ISO 27000 series is a family of standards that provides a framework for best practice ISMS that helps organizations keep their information assets secure. This paper intends to seek how organizations in different business sectors implement ISMS in their practices. By identifying which organization attains a higher number of ISO requirements, it is anticipated that the characteristics that increase the chances of an organization being certified can be distinguished. This paper reviews case studies regarding the ISMS implementation based on ISO 27000 series between organizations in different business sectors. The result of this paper presents the state of ISO compliance of the organizations. The findings also discussed the characteristics of organizations that are applicable for certification. Through the findings, it is found that the organization, which fulfilled the highest number of ISO requirement, has a stronger possibility of being certified. However, ISO standards should be more dynamic to support diverse business environment thus avoiding generalization to get compliance.","author":[{"dropping-particle":"","family":"Hamdi","given":"Zaidatulnajla","non-dropping-particle":"","parse-names":false,"suffix":""},{"dropping-particle":"","family":"Anir Norman","given":"Azah","non-dropping-particle":"","parse-names":false,"suffix":""},{"dropping-particle":"","family":"Nuha Abdul Molok","given":"Nurul","non-dropping-particle":"","parse-names":false,"suffix":""},{"dropping-particle":"","family":"Hassandoust","given":"Farkhondeh","non-dropping-particle":"","parse-names":false,"suffix":""}],"container-title":"Journal of Physics: Conference Series","id":"ITEM-1","issue":"1","issued":{"date-parts":[["2019"]]},"page":"12103","title":"A Comparative Review of ISMS Implementation Based on ISO 27000 Series in Organizations of Different Business Sectors","type":"paper-conference","volume":"1339"},"uris":["http://www.mendeley.com/documents/?uuid=377c3bf8-4cf9-3a4f-9d80-fc55ed8f81d6"]}],"mendeley":{"formattedCitation":"[9]","plainTextFormattedCitation":"[9]","previouslyFormattedCitation":"[9]"},"properties":{"noteIndex":0},"schema":"https://github.com/citation-style-language/schema/raw/master/csl-citation.json"}</w:instrText>
      </w:r>
      <w:r>
        <w:fldChar w:fldCharType="separate"/>
      </w:r>
      <w:r w:rsidRPr="00643F3A">
        <w:rPr>
          <w:noProof/>
        </w:rPr>
        <w:t>[9]</w:t>
      </w:r>
      <w:r>
        <w:fldChar w:fldCharType="end"/>
      </w:r>
      <w:r w:rsidR="00700092">
        <w:t>.</w:t>
      </w:r>
      <w:r w:rsidR="009A7428">
        <w:t xml:space="preserve">  The basic principle of the standard is to protect aspects of the user’s data; </w:t>
      </w:r>
      <w:r w:rsidR="009A7428" w:rsidRPr="009A7428">
        <w:rPr>
          <w:i/>
          <w:iCs/>
        </w:rPr>
        <w:t xml:space="preserve">Confidentiality (ensures that only authorised persons have access to the data), Integrity (ensures that data is not compromised by unauthorised parties) </w:t>
      </w:r>
      <w:r w:rsidR="009A7428" w:rsidRPr="009A7428">
        <w:t>and</w:t>
      </w:r>
      <w:r w:rsidR="009A7428" w:rsidRPr="009A7428">
        <w:rPr>
          <w:i/>
          <w:iCs/>
        </w:rPr>
        <w:t xml:space="preserve"> Availability (ensures that data is accessible whenever required)</w:t>
      </w:r>
      <w:r w:rsidR="009A7428">
        <w:rPr>
          <w:i/>
          <w:iCs/>
        </w:rPr>
        <w:t xml:space="preserve"> </w:t>
      </w:r>
      <w:r w:rsidR="00A639C9">
        <w:rPr>
          <w:i/>
          <w:iCs/>
        </w:rPr>
        <w:t xml:space="preserve">(CIA) </w:t>
      </w:r>
      <w:r w:rsidR="001C0A1C">
        <w:rPr>
          <w:i/>
          <w:iCs/>
        </w:rPr>
        <w:fldChar w:fldCharType="begin" w:fldLock="1"/>
      </w:r>
      <w:r w:rsidR="00020832">
        <w:rPr>
          <w:i/>
          <w:iCs/>
        </w:rPr>
        <w:instrText>ADDIN CSL_CITATION {"citationItems":[{"id":"ITEM-1","itemData":{"ISBN":"978-1-337-40571-3","author":[{"dropping-particle":"","family":"Whitman","given":"Michael E","non-dropping-particle":"","parse-names":false,"suffix":""},{"dropping-particle":"","family":"Mattord","given":"Herbert J","non-dropping-particle":"","parse-names":false,"suffix":""}],"chapter-number":"1","container-title":"Management of Information Security","edition":"6","id":"ITEM-1","issued":{"date-parts":[["2018"]]},"page":"7-10","publisher":"Cengage","title":"The Value of Information and the C.I.A Triad","type":"chapter"},"uris":["http://www.mendeley.com/documents/?uuid=11744a4e-dc5b-4df9-b30a-0fea0df56ce7"]}],"mendeley":{"formattedCitation":"[10]","plainTextFormattedCitation":"[10]","previouslyFormattedCitation":"[10]"},"properties":{"noteIndex":0},"schema":"https://github.com/citation-style-language/schema/raw/master/csl-citation.json"}</w:instrText>
      </w:r>
      <w:r w:rsidR="001C0A1C">
        <w:rPr>
          <w:i/>
          <w:iCs/>
        </w:rPr>
        <w:fldChar w:fldCharType="separate"/>
      </w:r>
      <w:r w:rsidR="001C0A1C" w:rsidRPr="001C0A1C">
        <w:rPr>
          <w:iCs/>
          <w:noProof/>
        </w:rPr>
        <w:t>[10]</w:t>
      </w:r>
      <w:r w:rsidR="001C0A1C">
        <w:rPr>
          <w:i/>
          <w:iCs/>
        </w:rPr>
        <w:fldChar w:fldCharType="end"/>
      </w:r>
      <w:r w:rsidR="009A7428">
        <w:t>.</w:t>
      </w:r>
    </w:p>
    <w:p w14:paraId="3FDD8285" w14:textId="164CC39C" w:rsidR="00CA0B2A" w:rsidRPr="007F19C2" w:rsidRDefault="00D44125" w:rsidP="00DA1FA9">
      <w:pPr>
        <w:ind w:firstLine="360"/>
      </w:pPr>
      <w:r>
        <w:t>Whilst the ISO 27000 itself deals with terminology and an overview of the series, the ISO 27001 is the standard that companies can use to develop their own ISMS and can receive a certification to state that they have met the standards requirements.</w:t>
      </w:r>
      <w:r w:rsidR="000D08D8">
        <w:t xml:space="preserve">  An outline has been provided </w:t>
      </w:r>
      <w:r w:rsidR="00236231">
        <w:t xml:space="preserve">in </w:t>
      </w:r>
      <w:r w:rsidR="00411AB4">
        <w:rPr>
          <w:color w:val="FF0000"/>
        </w:rPr>
        <w:fldChar w:fldCharType="begin"/>
      </w:r>
      <w:r w:rsidR="00411AB4">
        <w:instrText xml:space="preserve"> REF _Ref61008721 \h </w:instrText>
      </w:r>
      <w:r w:rsidR="00411AB4">
        <w:rPr>
          <w:color w:val="FF0000"/>
        </w:rPr>
      </w:r>
      <w:r w:rsidR="00411AB4">
        <w:rPr>
          <w:color w:val="FF0000"/>
        </w:rPr>
        <w:fldChar w:fldCharType="separate"/>
      </w:r>
      <w:r w:rsidR="00411AB4">
        <w:t>Appendix B1 – ISO 27000 Family Outline</w:t>
      </w:r>
      <w:r w:rsidR="00411AB4">
        <w:rPr>
          <w:color w:val="FF0000"/>
        </w:rPr>
        <w:fldChar w:fldCharType="end"/>
      </w:r>
      <w:r w:rsidR="000D08D8">
        <w:t xml:space="preserve"> that depicts the role of the most prominent of the standards </w:t>
      </w:r>
      <w:r w:rsidR="000D08D8">
        <w:fldChar w:fldCharType="begin" w:fldLock="1"/>
      </w:r>
      <w:r w:rsidR="00020832">
        <w:instrText>ADDIN CSL_CITATION {"citationItems":[{"id":"ITEM-1","itemData":{"DOI":"10.23919/ISTAFRICA.2017.8102376","ISBN":"9781905824571","abstract":"To ensure that the information asset is protected and available to organisations, information security needs to be governed by security standards. The ISO/IEC 27000 family of standards is one such standard; it keeps information assets secure and provides an information security management best practises framework. Despite its importance, the usage and adoption of the ISO/IEC 27000 standards is missing in Namibian organisations. An exploratory pilot survey conducted in 2015 with the key stakeholders namely the Communications Regulatory Authority, Internet Service Providers and government departments revealed that these standards are not being implemented at all. Based on literature review and the preliminary surveys, this paper presents the extent to which the ISO/IEC 27000 implementation framework is adopted in Namibia. The study will focus on the implementation extent for ISO 27000, 27001, 27002, 27003 and 27004 as these are the critical standards to the security posture of any organisation. A qualitative case study research approach with security critical organisations in Namibia was used for this study. Surveys and interviews were used to collect data from purposefully identified key stakeholders. The stakeholders offered rich information about the phenomenon under study. The survey results were used to evaluate the extent of implementation and the factors contributing to the poor implementation. A theoretical framework was derived from the findings and is thus presented in this paper. The factors making up the theoretical framework will be used as a basis in designing a policy framework for the adoption of security standards by organisations in Namibia to secure its critical assets, manage risks more effectively, improve and maintain customer confidence, demonstrate conformance to international best practice, avoid brand damage and change its information security posture as the technology is evolving.","author":[{"dropping-particle":"","family":"Tjirare","given":"Diana Jogbeth","non-dropping-particle":"","parse-names":false,"suffix":""},{"dropping-particle":"","family":"Shava","given":"Fungai Bhunu","non-dropping-particle":"","parse-names":false,"suffix":""}],"container-title":"2017 IST-Africa Week Conference, IST-Africa 2017","id":"ITEM-1","issued":{"date-parts":[["2017","11","8"]]},"publisher":"Institute of Electrical and Electronics Engineers Inc.","title":"A gap analysis of the ISO/IEC 27000 standard implementation in Namibia","type":"paper-conference"},"uris":["http://www.mendeley.com/documents/?uuid=5f6b32ba-9403-3914-8eec-4ae6b435b90f"]}],"mendeley":{"formattedCitation":"[11]","plainTextFormattedCitation":"[11]","previouslyFormattedCitation":"[11]"},"properties":{"noteIndex":0},"schema":"https://github.com/citation-style-language/schema/raw/master/csl-citation.json"}</w:instrText>
      </w:r>
      <w:r w:rsidR="000D08D8">
        <w:fldChar w:fldCharType="separate"/>
      </w:r>
      <w:r w:rsidR="001C0A1C" w:rsidRPr="001C0A1C">
        <w:rPr>
          <w:noProof/>
        </w:rPr>
        <w:t>[11]</w:t>
      </w:r>
      <w:r w:rsidR="000D08D8">
        <w:fldChar w:fldCharType="end"/>
      </w:r>
      <w:r w:rsidR="000D08D8">
        <w:t>.</w:t>
      </w:r>
      <w:r w:rsidR="00003677">
        <w:t xml:space="preserve">  </w:t>
      </w:r>
      <w:r w:rsidR="00236231">
        <w:t>ISO 27001</w:t>
      </w:r>
      <w:r w:rsidR="00003677">
        <w:t xml:space="preserve"> </w:t>
      </w:r>
      <w:r w:rsidR="00236231">
        <w:t>is the section that envelopes all requirements and implementation procedures that an organisation must comply with to be considered for certification.</w:t>
      </w:r>
      <w:r w:rsidR="0005381F">
        <w:t xml:space="preserve">  </w:t>
      </w:r>
      <w:r w:rsidR="00056830">
        <w:t xml:space="preserve">The requirements stipulated by ISO 27001 have been showcased </w:t>
      </w:r>
      <w:r w:rsidR="00DA1FA9">
        <w:t>in</w:t>
      </w:r>
      <w:r w:rsidR="00411AB4">
        <w:t xml:space="preserve"> </w:t>
      </w:r>
      <w:r w:rsidR="00411AB4">
        <w:fldChar w:fldCharType="begin"/>
      </w:r>
      <w:r w:rsidR="00411AB4">
        <w:instrText xml:space="preserve"> REF _Ref61007683 \h </w:instrText>
      </w:r>
      <w:r w:rsidR="00411AB4">
        <w:fldChar w:fldCharType="separate"/>
      </w:r>
      <w:r w:rsidR="00411AB4">
        <w:t>Appendix D1 – ISO 27001 Requirements</w:t>
      </w:r>
      <w:r w:rsidR="00411AB4">
        <w:fldChar w:fldCharType="end"/>
      </w:r>
      <w:r w:rsidR="00DA1FA9">
        <w:t xml:space="preserve"> </w:t>
      </w:r>
      <w:r w:rsidR="00020832">
        <w:fldChar w:fldCharType="begin" w:fldLock="1"/>
      </w:r>
      <w:r w:rsidR="00602CD7">
        <w:instrText>ADDIN CSL_CITATION {"citationItems":[{"id":"ITEM-1","itemData":{"author":[{"dropping-particle":"","family":"ISO","given":"","non-dropping-particle":"","parse-names":false,"suffix":""}],"id":"ITEM-1","issued":{"date-parts":[["2013"]]},"number-of-pages":"1-10","title":"NEN-ISO/IEC 27001","type":"report"},"uris":["http://www.mendeley.com/documents/?uuid=618b84b7-75bf-43b9-bc1b-f7e640c02e2f"]}],"mendeley":{"formattedCitation":"[12]","plainTextFormattedCitation":"[12]","previouslyFormattedCitation":"[12]"},"properties":{"noteIndex":0},"schema":"https://github.com/citation-style-language/schema/raw/master/csl-citation.json"}</w:instrText>
      </w:r>
      <w:r w:rsidR="00020832">
        <w:fldChar w:fldCharType="separate"/>
      </w:r>
      <w:r w:rsidR="00020832" w:rsidRPr="00020832">
        <w:rPr>
          <w:noProof/>
        </w:rPr>
        <w:t>[12]</w:t>
      </w:r>
      <w:r w:rsidR="00020832">
        <w:fldChar w:fldCharType="end"/>
      </w:r>
      <w:r w:rsidR="00056830">
        <w:t>, however, requirements 1-3 have been omitted due to them being general information.</w:t>
      </w:r>
    </w:p>
    <w:p w14:paraId="1A71C7C9" w14:textId="0A70A1DC" w:rsidR="00EF503A" w:rsidRDefault="00EF503A" w:rsidP="00F4420F">
      <w:pPr>
        <w:pStyle w:val="Heading3"/>
        <w:numPr>
          <w:ilvl w:val="2"/>
          <w:numId w:val="1"/>
        </w:numPr>
      </w:pPr>
      <w:bookmarkStart w:id="8" w:name="_Toc61013522"/>
      <w:r>
        <w:t>NIST</w:t>
      </w:r>
      <w:r w:rsidR="004F049F">
        <w:t xml:space="preserve"> Cybersecurity Framework</w:t>
      </w:r>
      <w:r w:rsidR="00A639C9">
        <w:t xml:space="preserve"> (NIST CSF)</w:t>
      </w:r>
      <w:bookmarkEnd w:id="8"/>
    </w:p>
    <w:p w14:paraId="3127BA6B" w14:textId="0A38AB85" w:rsidR="004521B2" w:rsidRPr="00982C0D" w:rsidRDefault="00E24D12" w:rsidP="00982C0D">
      <w:r>
        <w:t>The National Institute of Standards and Technology (NIST) developed an industry-agnostic frame</w:t>
      </w:r>
      <w:r w:rsidR="005C27E5">
        <w:t xml:space="preserve">work that allowed for the planning and employment of an extensive cybersecurity policy.  The framework was modelled in such a way that not only could it be applied to virtually any business regardless of the field that it resided in, but </w:t>
      </w:r>
      <w:r w:rsidR="00AE5150">
        <w:t>each</w:t>
      </w:r>
      <w:r w:rsidR="005C27E5">
        <w:t xml:space="preserve"> element of it could be understood by everyone in the organisation, from executive board members down to employees responsible for implementation.</w:t>
      </w:r>
    </w:p>
    <w:p w14:paraId="23A41D03" w14:textId="35F7381F" w:rsidR="00E24D12" w:rsidRDefault="00E24D12" w:rsidP="00E24D12">
      <w:pPr>
        <w:pStyle w:val="Heading4"/>
        <w:numPr>
          <w:ilvl w:val="3"/>
          <w:numId w:val="1"/>
        </w:numPr>
      </w:pPr>
      <w:r>
        <w:t>NIST Core</w:t>
      </w:r>
    </w:p>
    <w:p w14:paraId="33BFD391" w14:textId="3F6A2034" w:rsidR="00534A81" w:rsidRPr="00534A81" w:rsidRDefault="00EA3B30" w:rsidP="00534A81">
      <w:r>
        <w:t>The core section of the framework is the one that allows organisations to formulate a strategy that will aid in the protection of assets in the case of a cyber-attack.  It consists of a set of five functions, each one complimenting the last.  Each function name serves as a high-level overview of the suggested action and is coupled with a set of</w:t>
      </w:r>
      <w:r w:rsidR="00056F64">
        <w:t xml:space="preserve"> categories</w:t>
      </w:r>
      <w:r w:rsidR="006A4440">
        <w:t xml:space="preserve"> and</w:t>
      </w:r>
      <w:r>
        <w:t xml:space="preserve"> subcategories</w:t>
      </w:r>
      <w:r w:rsidR="006A4440">
        <w:t xml:space="preserve"> </w:t>
      </w:r>
      <w:r>
        <w:t xml:space="preserve">that provide further information and avenues.  Each </w:t>
      </w:r>
      <w:r w:rsidR="00056F64">
        <w:t>category/</w:t>
      </w:r>
      <w:r>
        <w:t xml:space="preserve">subcategory also has its own informative references that provide even greater detail on its particular topic.  The design of this approach allows for general understanding to be gained at the higher levels of the structure when read by executive officers and upper management, but also provide </w:t>
      </w:r>
      <w:r w:rsidR="00952314">
        <w:t>clear direction and specific instructions for those tasked with the adoption and implementation process.</w:t>
      </w:r>
      <w:r w:rsidR="006A4440">
        <w:t xml:space="preserve">  The five functions have been outlined </w:t>
      </w:r>
      <w:r w:rsidR="00CE1D58">
        <w:t>in</w:t>
      </w:r>
      <w:r w:rsidR="00411AB4">
        <w:t xml:space="preserve"> </w:t>
      </w:r>
      <w:r w:rsidR="00411AB4">
        <w:fldChar w:fldCharType="begin"/>
      </w:r>
      <w:r w:rsidR="00411AB4">
        <w:instrText xml:space="preserve"> REF _Ref61008382 \h </w:instrText>
      </w:r>
      <w:r w:rsidR="00411AB4">
        <w:fldChar w:fldCharType="separate"/>
      </w:r>
      <w:r w:rsidR="00411AB4">
        <w:t>Appendix A2 – NIST Core Functions</w:t>
      </w:r>
      <w:r w:rsidR="00411AB4">
        <w:fldChar w:fldCharType="end"/>
      </w:r>
      <w:r w:rsidR="00CE1D58">
        <w:t xml:space="preserve"> </w:t>
      </w:r>
      <w:r w:rsidR="006A4440">
        <w:t>with descriptions of their specific coverage</w:t>
      </w:r>
      <w:r w:rsidR="00534A81">
        <w:t xml:space="preserve"> </w:t>
      </w:r>
      <w:r w:rsidR="00534A81">
        <w:fldChar w:fldCharType="begin" w:fldLock="1"/>
      </w:r>
      <w:r w:rsidR="00602CD7">
        <w:instrText>ADDIN CSL_CITATION {"citationItems":[{"id":"ITEM-1","itemData":{"DOI":"10.6028/NIST.CSWP.04162018","ISBN":"9781510888753","ISSN":"10506527","author":[{"dropping-particle":"","family":"Barrett","given":"Matt","non-dropping-particle":"","parse-names":false,"suffix":""}],"container-title":"Proceedings of the Annual ISA Analysis Division Symposium","id":"ITEM-1","issued":{"date-parts":[["2018","4","16"]]},"page":"9-25","publisher-place":"Gaithersburg, MD","title":"Framework for improving critical infrastructure cybersecurity","type":"paper-conference","volume":"535"},"uris":["http://www.mendeley.com/documents/?uuid=f6845a1d-8148-3c30-94bd-4201f048baa8"]}],"mendeley":{"formattedCitation":"[13]","plainTextFormattedCitation":"[13]","previouslyFormattedCitation":"[13]"},"properties":{"noteIndex":0},"schema":"https://github.com/citation-style-language/schema/raw/master/csl-citation.json"}</w:instrText>
      </w:r>
      <w:r w:rsidR="00534A81">
        <w:fldChar w:fldCharType="separate"/>
      </w:r>
      <w:r w:rsidR="00020832" w:rsidRPr="00020832">
        <w:rPr>
          <w:noProof/>
        </w:rPr>
        <w:t>[13]</w:t>
      </w:r>
      <w:r w:rsidR="00534A81">
        <w:fldChar w:fldCharType="end"/>
      </w:r>
      <w:r w:rsidR="006A4440">
        <w:t>.</w:t>
      </w:r>
      <w:r w:rsidR="00CE1D58">
        <w:t xml:space="preserve">  </w:t>
      </w:r>
      <w:r w:rsidR="00411AB4">
        <w:fldChar w:fldCharType="begin"/>
      </w:r>
      <w:r w:rsidR="00411AB4">
        <w:instrText xml:space="preserve"> REF _Ref61008616 \h </w:instrText>
      </w:r>
      <w:r w:rsidR="00411AB4">
        <w:fldChar w:fldCharType="separate"/>
      </w:r>
      <w:r w:rsidR="00411AB4">
        <w:t>Appendix E1 – NIST Function Breakdown</w:t>
      </w:r>
      <w:r w:rsidR="00411AB4">
        <w:fldChar w:fldCharType="end"/>
      </w:r>
      <w:r w:rsidR="00411AB4">
        <w:t xml:space="preserve"> </w:t>
      </w:r>
      <w:r w:rsidR="00534A81">
        <w:t xml:space="preserve">showcases an example of tracing the ‘Identify’ function from </w:t>
      </w:r>
      <w:r w:rsidR="005B4F10">
        <w:t>its</w:t>
      </w:r>
      <w:r w:rsidR="00534A81">
        <w:t xml:space="preserve"> highest level through to its informative material.</w:t>
      </w:r>
    </w:p>
    <w:p w14:paraId="39DBABE6" w14:textId="4AE46CA7" w:rsidR="00E24D12" w:rsidRDefault="00E24D12" w:rsidP="00E24D12">
      <w:pPr>
        <w:pStyle w:val="Heading4"/>
        <w:numPr>
          <w:ilvl w:val="3"/>
          <w:numId w:val="1"/>
        </w:numPr>
      </w:pPr>
      <w:r>
        <w:t>NIST Implementation Tiers</w:t>
      </w:r>
    </w:p>
    <w:p w14:paraId="38291205" w14:textId="7611A83E" w:rsidR="00CE1D58" w:rsidRDefault="00A656C9" w:rsidP="00CE1D58">
      <w:r>
        <w:t xml:space="preserve">The Implementation tiers provided by NIST grant organisations the ability to </w:t>
      </w:r>
      <w:r w:rsidR="0047281D">
        <w:t>evaluate</w:t>
      </w:r>
      <w:r>
        <w:t xml:space="preserve"> their levels of cybersecurity readiness in a levelled tier system.  There are four possible tiers</w:t>
      </w:r>
      <w:r w:rsidR="00DF0258">
        <w:t xml:space="preserve">: </w:t>
      </w:r>
      <w:r w:rsidR="00DF0258" w:rsidRPr="00DF0258">
        <w:rPr>
          <w:i/>
          <w:iCs/>
        </w:rPr>
        <w:t>Tier 1 – Partial, Tier 2 – Risk Informed, Tier 3 – Repeatable and Tier 4 – Adaptive</w:t>
      </w:r>
      <w:r w:rsidR="00DF0258">
        <w:t>.  E</w:t>
      </w:r>
      <w:r>
        <w:t>ach</w:t>
      </w:r>
      <w:r w:rsidR="00DF0258">
        <w:t xml:space="preserve"> level also incorporates</w:t>
      </w:r>
      <w:r>
        <w:t xml:space="preserve"> three </w:t>
      </w:r>
      <w:r w:rsidR="0047281D">
        <w:t>categories:</w:t>
      </w:r>
      <w:r>
        <w:t xml:space="preserve"> Risk Management Process, Integrated Risk Management Program and External Participation</w:t>
      </w:r>
      <w:r w:rsidR="0047281D">
        <w:t xml:space="preserve">.  This tier system has not been designed as a ‘test’ from which a certain score must be attained, but rather as an aid that can show possible areas of improvement.  Due to the use of non-technical terminology and generalisation, the system can be adopted and understood between many different types of industries </w:t>
      </w:r>
      <w:r w:rsidR="0047281D">
        <w:fldChar w:fldCharType="begin" w:fldLock="1"/>
      </w:r>
      <w:r w:rsidR="00602CD7">
        <w:instrText>ADDIN CSL_CITATION {"citationItems":[{"id":"ITEM-1","itemData":{"author":[{"dropping-particle":"","family":"Beasley","given":"Jerry","non-dropping-particle":"","parse-names":false,"suffix":""}],"id":"ITEM-1","issued":{"date-parts":[["2015"]]},"title":"A Guide to Successfully Implementing the NIST Cybersecurity Framework","type":"report"},"uris":["http://www.mendeley.com/documents/?uuid=338ffb3c-5623-3237-bfaa-b8c4aaa2e714"]}],"mendeley":{"formattedCitation":"[14]","plainTextFormattedCitation":"[14]","previouslyFormattedCitation":"[14]"},"properties":{"noteIndex":0},"schema":"https://github.com/citation-style-language/schema/raw/master/csl-citation.json"}</w:instrText>
      </w:r>
      <w:r w:rsidR="0047281D">
        <w:fldChar w:fldCharType="separate"/>
      </w:r>
      <w:r w:rsidR="00020832" w:rsidRPr="00020832">
        <w:rPr>
          <w:noProof/>
        </w:rPr>
        <w:t>[14]</w:t>
      </w:r>
      <w:r w:rsidR="0047281D">
        <w:fldChar w:fldCharType="end"/>
      </w:r>
      <w:r w:rsidR="0047281D">
        <w:t>.</w:t>
      </w:r>
      <w:r w:rsidR="00DF0258">
        <w:t xml:space="preserve">  </w:t>
      </w:r>
    </w:p>
    <w:p w14:paraId="79446A6A" w14:textId="1899CAC4" w:rsidR="00DF0258" w:rsidRPr="00CE1D58" w:rsidRDefault="00DF0258" w:rsidP="00CE1D58">
      <w:r>
        <w:tab/>
        <w:t>It should be noted that organisations are not placed under stress to increase their standing in the tier system as not every firm requires the security that higher tiers offer.</w:t>
      </w:r>
      <w:r w:rsidR="00C442B6">
        <w:t xml:space="preserve">  Organisation size plays a major role in determining what is an acceptable level of cybersecurity readiness.  It is generally accepted that smaller businesses consisting of a small number of employees would see the greatest cost-to-benefit results at either tier 1 or 2, whilst large organisations are expected to be at tier levels 3 or 4 </w:t>
      </w:r>
      <w:r w:rsidR="00C442B6">
        <w:fldChar w:fldCharType="begin" w:fldLock="1"/>
      </w:r>
      <w:r w:rsidR="00602CD7">
        <w:instrText>ADDIN CSL_CITATION {"citationItems":[{"id":"ITEM-1","itemData":{"DOI":"10.1093/cybsec/tyaa005","ISSN":"2057-2085","abstract":"The National Institute for Standards and Technology (NIST) Cybersecurity Framework has rapidly become a widely accepted approach to facilitating cybersecurity risk management within organizations. An insightful aspect of the NIST Cybersecurity Framework is its explicit recognition that the activities associated with managing cybersecurity risk are organization specific. The NIST Framework also recognizes that organizations should evaluate their cybersecurity risk management on a cost–benefit basis. The NIST Framework, however, does not provide guidance on how to carry out such a cost–benefit analysis. This article provides an approach for integrating cost–benefit analysis into the NIST Cybersecurity Framework. The Gordon–Loeb (GL) Model for cybersecurity investments is proposed as a basis for deriving a cost-effective level of spending on cybersecurity activities and for selecting the appropriate NIST Implementation Tier level. The analysis shows that the GL Model provides a logical approach to use when considering the cost–benefit aspects of cybersecurity investments during an organization’s process of selecting the most appropriate NIST Implementation Tier level. In addition, the cost–benefit approach provided in this article helps to identify conditions under which there is an incentive to move to a higher NIST Implementation Tier.","author":[{"dropping-particle":"","family":"Gordon","given":"Lawrence A","non-dropping-particle":"","parse-names":false,"suffix":""},{"dropping-particle":"","family":"Loeb","given":"Martin P","non-dropping-particle":"","parse-names":false,"suffix":""},{"dropping-particle":"","family":"Zhou","given":"Lei","non-dropping-particle":"","parse-names":false,"suffix":""}],"container-title":"Journal of Cybersecurity","id":"ITEM-1","issue":"1","issued":{"date-parts":[["2020","1","1"]]},"publisher":"Oxford University Press (OUP)","title":"Integrating cost–benefit analysis into the NIST Cybersecurity Framework via the Gordon–Loeb Model","type":"article-journal","volume":"6"},"uris":["http://www.mendeley.com/documents/?uuid=182e6cd3-3038-3865-b72e-65d46c9b8161"]}],"mendeley":{"formattedCitation":"[15]","plainTextFormattedCitation":"[15]","previouslyFormattedCitation":"[15]"},"properties":{"noteIndex":0},"schema":"https://github.com/citation-style-language/schema/raw/master/csl-citation.json"}</w:instrText>
      </w:r>
      <w:r w:rsidR="00C442B6">
        <w:fldChar w:fldCharType="separate"/>
      </w:r>
      <w:r w:rsidR="00020832" w:rsidRPr="00020832">
        <w:rPr>
          <w:noProof/>
        </w:rPr>
        <w:t>[15]</w:t>
      </w:r>
      <w:r w:rsidR="00C442B6">
        <w:fldChar w:fldCharType="end"/>
      </w:r>
      <w:r w:rsidR="00C442B6">
        <w:t>.</w:t>
      </w:r>
      <w:r>
        <w:t xml:space="preserve">  With that said,</w:t>
      </w:r>
      <w:r w:rsidR="00C442B6">
        <w:t xml:space="preserve"> all</w:t>
      </w:r>
      <w:r>
        <w:t xml:space="preserve"> firms are encourage</w:t>
      </w:r>
      <w:r w:rsidR="00C442B6">
        <w:t>d</w:t>
      </w:r>
      <w:r>
        <w:t xml:space="preserve"> to attain a tier 2 status due to its relatively simple requirements </w:t>
      </w:r>
      <w:r>
        <w:fldChar w:fldCharType="begin" w:fldLock="1"/>
      </w:r>
      <w:r w:rsidR="00602CD7">
        <w:instrText>ADDIN CSL_CITATION {"citationItems":[{"id":"ITEM-1","itemData":{"DOI":"10.6028/NIST.CSWP.04162018","ISBN":"9781510888753","ISSN":"10506527","author":[{"dropping-particle":"","family":"Barrett","given":"Matt","non-dropping-particle":"","parse-names":false,"suffix":""}],"container-title":"Proceedings of the Annual ISA Analysis Division Symposium","id":"ITEM-1","issued":{"date-parts":[["2018","4","16"]]},"page":"9-25","publisher-place":"Gaithersburg, MD","title":"Framework for improving critical infrastructure cybersecurity","type":"paper-conference","volume":"535"},"uris":["http://www.mendeley.com/documents/?uuid=f6845a1d-8148-3c30-94bd-4201f048baa8"]}],"mendeley":{"formattedCitation":"[13]","plainTextFormattedCitation":"[13]","previouslyFormattedCitation":"[13]"},"properties":{"noteIndex":0},"schema":"https://github.com/citation-style-language/schema/raw/master/csl-citation.json"}</w:instrText>
      </w:r>
      <w:r>
        <w:fldChar w:fldCharType="separate"/>
      </w:r>
      <w:r w:rsidR="00020832" w:rsidRPr="00020832">
        <w:rPr>
          <w:noProof/>
        </w:rPr>
        <w:t>[13]</w:t>
      </w:r>
      <w:r>
        <w:fldChar w:fldCharType="end"/>
      </w:r>
      <w:r>
        <w:t xml:space="preserve">.  </w:t>
      </w:r>
      <w:r w:rsidR="00411AB4">
        <w:rPr>
          <w:color w:val="FF0000"/>
        </w:rPr>
        <w:fldChar w:fldCharType="begin"/>
      </w:r>
      <w:r w:rsidR="00411AB4">
        <w:instrText xml:space="preserve"> REF _Ref61008642 \h </w:instrText>
      </w:r>
      <w:r w:rsidR="00411AB4">
        <w:rPr>
          <w:color w:val="FF0000"/>
        </w:rPr>
      </w:r>
      <w:r w:rsidR="00411AB4">
        <w:rPr>
          <w:color w:val="FF0000"/>
        </w:rPr>
        <w:fldChar w:fldCharType="separate"/>
      </w:r>
      <w:r w:rsidR="00411AB4">
        <w:t>Appendix A3 – NIST Implementation Tiers</w:t>
      </w:r>
      <w:r w:rsidR="00411AB4">
        <w:rPr>
          <w:color w:val="FF0000"/>
        </w:rPr>
        <w:fldChar w:fldCharType="end"/>
      </w:r>
      <w:r w:rsidR="00411AB4">
        <w:rPr>
          <w:color w:val="FF0000"/>
        </w:rPr>
        <w:t xml:space="preserve"> </w:t>
      </w:r>
      <w:r>
        <w:t xml:space="preserve">outlines the tier systems and the measures needed to achieve each one.   </w:t>
      </w:r>
    </w:p>
    <w:p w14:paraId="1718C9BB" w14:textId="2DFF9CB5" w:rsidR="00E24D12" w:rsidRDefault="00E24D12" w:rsidP="00E24D12">
      <w:pPr>
        <w:pStyle w:val="Heading4"/>
        <w:numPr>
          <w:ilvl w:val="3"/>
          <w:numId w:val="1"/>
        </w:numPr>
      </w:pPr>
      <w:r>
        <w:t>NIST Profile</w:t>
      </w:r>
    </w:p>
    <w:p w14:paraId="0732414B" w14:textId="0708817C" w:rsidR="00E24D12" w:rsidRPr="00E24D12" w:rsidRDefault="00AE6AF5" w:rsidP="00C442B6">
      <w:r>
        <w:t>NIST provided a mechanism from which organisations could analyse their current cybersecurity capabilities and compare these results against a target level that they wished to achieve.  This is called the Framework Profile and is a purely voluntary scheme so there is no backlash from discovery of sub-standard methods, and instead offers a reflective medium that organisations can learn from.</w:t>
      </w:r>
    </w:p>
    <w:p w14:paraId="164A0C5E" w14:textId="41CD0E77" w:rsidR="004F049F" w:rsidRDefault="0029760F" w:rsidP="00F4420F">
      <w:pPr>
        <w:pStyle w:val="Heading3"/>
        <w:numPr>
          <w:ilvl w:val="2"/>
          <w:numId w:val="1"/>
        </w:numPr>
      </w:pPr>
      <w:bookmarkStart w:id="9" w:name="_Toc61013523"/>
      <w:r>
        <w:t>PCI DSS</w:t>
      </w:r>
      <w:r w:rsidR="004F049F">
        <w:t xml:space="preserve"> Framework</w:t>
      </w:r>
      <w:bookmarkEnd w:id="9"/>
    </w:p>
    <w:p w14:paraId="612B7907" w14:textId="58F5E46D" w:rsidR="00C73722" w:rsidRDefault="00B11C82" w:rsidP="00C73722">
      <w:r>
        <w:t>The Payment Card Industry Data Security Standard (PCI DSS)</w:t>
      </w:r>
      <w:r w:rsidR="00602CD7">
        <w:t xml:space="preserve"> was formulated in 2006 by five of the largest credit card administers (American Express, Discover, JCB, Mastercard and Visa)</w:t>
      </w:r>
      <w:r w:rsidR="00844CEC">
        <w:rPr>
          <w:color w:val="FF0000"/>
        </w:rPr>
        <w:t xml:space="preserve"> </w:t>
      </w:r>
      <w:r w:rsidR="00844CEC">
        <w:t xml:space="preserve">to provide a standard for the lowest level of cybersecurity that could be considered safe by organisations that use, store or transmit credit card information </w:t>
      </w:r>
      <w:r w:rsidR="00844CEC">
        <w:fldChar w:fldCharType="begin" w:fldLock="1"/>
      </w:r>
      <w:r w:rsidR="000214BD">
        <w:instrText>ADDIN CSL_CITATION {"citationItems":[{"id":"ITEM-1","itemData":{"author":[{"dropping-particle":"","family":"HCPro","given":"","non-dropping-particle":"","parse-names":false,"suffix":""}],"container-title":"Briefings on HIPAA","id":"ITEM-1","issue":"12","issued":{"date-parts":[["2016"]]},"page":"6-8","title":"Bringing together information security and finance with PCI DSS","type":"article-journal","volume":"16"},"uris":["http://www.mendeley.com/documents/?uuid=1a789514-6fd1-39a2-9014-918450106d43"]}],"mendeley":{"formattedCitation":"[16]","plainTextFormattedCitation":"[16]","previouslyFormattedCitation":"[16]"},"properties":{"noteIndex":0},"schema":"https://github.com/citation-style-language/schema/raw/master/csl-citation.json"}</w:instrText>
      </w:r>
      <w:r w:rsidR="00844CEC">
        <w:fldChar w:fldCharType="separate"/>
      </w:r>
      <w:r w:rsidR="00844CEC" w:rsidRPr="00844CEC">
        <w:rPr>
          <w:noProof/>
        </w:rPr>
        <w:t>[16]</w:t>
      </w:r>
      <w:r w:rsidR="00844CEC">
        <w:fldChar w:fldCharType="end"/>
      </w:r>
      <w:r w:rsidR="00602CD7">
        <w:t xml:space="preserve">.  Online and in-store payment trends reveal that card payment transactions have been the primary mode of payment since at least 2003 </w:t>
      </w:r>
      <w:r w:rsidR="00602CD7">
        <w:fldChar w:fldCharType="begin" w:fldLock="1"/>
      </w:r>
      <w:r w:rsidR="000214BD">
        <w:instrText>ADDIN CSL_CITATION {"citationItems":[{"id":"ITEM-1","itemData":{"DOI":"10.1109/SURV.2010.031810.00083","ISSN":"1553877X","abstract":"Usage of payment cards such as credit cards, debit cards, and prepaid cards, continues to grow. Security breaches related to payment cards have led to billion dollar losses annually. In order to offset this trend, major payment card networks have founded the Payment Card Industry (PCI) Security Standards Council (SSC), which has designed and released the PCI Data Security Standard (DSS). This standard guides service providers and merchants to implement stronger security infrastructures that reduce the risks of security breaches. This article mainly discusses the need for the PCI DSS and the data security requirements defined in the standard to address the ongoing security issues, especially those pertaining to payment card data handling. It also surveys various technical solutions, offered by a few security vendors, for merchant companies and organizations involved in payment card transaction processing to comply with the standard. The compliance of merchants or service providers to the PCI DSS are assessed by PCI Qualified Security Assessors (QSAs). This article thus discusses the requirements to become PCI QSAs. In addition, it introduces the PCI security scanning procedures that guide the scanning of security policies of a merchant or service provider and prepare relevant reports. We believe that this survey sheds light on potential technical research problems pertinent to the PCI DSS and its compliance. © 2005 IEEE.","author":[{"dropping-particle":"","family":"Liu","given":"Jing","non-dropping-particle":"","parse-names":false,"suffix":""},{"dropping-particle":"","family":"Xiao","given":"Yang","non-dropping-particle":"","parse-names":false,"suffix":""},{"dropping-particle":"","family":"Chen","given":"Hui","non-dropping-particle":"","parse-names":false,"suffix":""},{"dropping-particle":"","family":"Ozdemir","given":"Suat","non-dropping-particle":"","parse-names":false,"suffix":""},{"dropping-particle":"","family":"Dodle","given":"Srinivas","non-dropping-particle":"","parse-names":false,"suffix":""},{"dropping-particle":"","family":"Singh","given":"Vikas","non-dropping-particle":"","parse-names":false,"suffix":""}],"container-title":"IEEE Communications Surveys and Tutorials","id":"ITEM-1","issue":"3","issued":{"date-parts":[["2010","9"]]},"page":"287-303","title":"A survey of payment card industry data security standard","type":"article-journal","volume":"12"},"uris":["http://www.mendeley.com/documents/?uuid=1574005a-ce09-37d2-8186-d0dd49a7a179"]}],"mendeley":{"formattedCitation":"[17]","plainTextFormattedCitation":"[17]","previouslyFormattedCitation":"[17]"},"properties":{"noteIndex":0},"schema":"https://github.com/citation-style-language/schema/raw/master/csl-citation.json"}</w:instrText>
      </w:r>
      <w:r w:rsidR="00602CD7">
        <w:fldChar w:fldCharType="separate"/>
      </w:r>
      <w:r w:rsidR="00844CEC" w:rsidRPr="00844CEC">
        <w:rPr>
          <w:noProof/>
        </w:rPr>
        <w:t>[17]</w:t>
      </w:r>
      <w:r w:rsidR="00602CD7">
        <w:fldChar w:fldCharType="end"/>
      </w:r>
      <w:r w:rsidR="00602CD7">
        <w:t xml:space="preserve"> and the total </w:t>
      </w:r>
      <w:r w:rsidR="007E1196">
        <w:t xml:space="preserve">monetary value of these sales in 2019 was $3.5 trillion, with estimates of $4.9 trillion in 2021 </w:t>
      </w:r>
      <w:r w:rsidR="007E1196">
        <w:fldChar w:fldCharType="begin" w:fldLock="1"/>
      </w:r>
      <w:r w:rsidR="000214BD">
        <w:instrText>ADDIN CSL_CITATION {"citationItems":[{"id":"ITEM-1","itemData":{"DOI":"10.1109/ACCESS.2019.2961785","ISSN":"21693536","abstract":"The online payment for products or for the access to payment-based services can be made by means of a range of (mobile) electronic payment systems-(M)EPS. Both the industrial sector and research community, mainly World Wide Web Consortium (W3C), are working on facilitating these payment methods on Web and supporting the multiple users on how they can select the suitable (M)EPS. However, to the best of our knowledge, there were no thorough studies considering consumer's preferences when they support multiple (M)EPS. To address this issue, we have performed a survey on an international participants (n=272) aiming to (i) developed a theoretical model to determine their preferences when they are supporting more than one (M)EPS, (ii) find the most valuable option according to them and (iii) determine the surrounding conditions that support their decision to use a specific (M)EPS. The theoretical framework of this study was based on the Technology Acceptance Model (TAM). According to our statistical analysis (Chi-square test), consumers that can pay using different (M)EPS during their online payment transaction, have a preferred payment system based on its security, fees, usefulness, and ease of use as well as on their favorite Web browser for these transactions. Factor analysis was also performed to identify factors that much influence the (M)EPS. Results revealed that the factors influencing online payment preferences differ from those involved in traditional payment methods. Our findings allowed, therefore, providing practical suggestions for supporting payment processes with Web browsers and the W3C payment Application Program Interface (API).","author":[{"dropping-particle":"","family":"Tounekti","given":"Oussama","non-dropping-particle":"","parse-names":false,"suffix":""},{"dropping-particle":"","family":"Ruiz-Martinez","given":"Antonio","non-dropping-particle":"","parse-names":false,"suffix":""},{"dropping-particle":"","family":"Skarmeta Gomez","given":"Antonio F.","non-dropping-particle":"","parse-names":false,"suffix":""}],"container-title":"IEEE Access","id":"ITEM-1","issued":{"date-parts":[["2020"]]},"page":"735-766","publisher":"Institute of Electrical and Electronics Engineers Inc.","title":"Users Supporting Multiple (Mobile) Electronic Payment Systems in Online Purchases: An Empirical Study of Their Payment Transaction Preferences","type":"article-journal","volume":"8"},"uris":["http://www.mendeley.com/documents/?uuid=4c0604e7-9e24-3ada-b1df-f72c6129ae0a"]}],"mendeley":{"formattedCitation":"[18]","plainTextFormattedCitation":"[18]","previouslyFormattedCitation":"[18]"},"properties":{"noteIndex":0},"schema":"https://github.com/citation-style-language/schema/raw/master/csl-citation.json"}</w:instrText>
      </w:r>
      <w:r w:rsidR="007E1196">
        <w:fldChar w:fldCharType="separate"/>
      </w:r>
      <w:r w:rsidR="00844CEC" w:rsidRPr="00844CEC">
        <w:rPr>
          <w:noProof/>
        </w:rPr>
        <w:t>[18]</w:t>
      </w:r>
      <w:r w:rsidR="007E1196">
        <w:fldChar w:fldCharType="end"/>
      </w:r>
      <w:r w:rsidR="007E1196">
        <w:t>.</w:t>
      </w:r>
    </w:p>
    <w:p w14:paraId="29AEF12E" w14:textId="127E864C" w:rsidR="00C73722" w:rsidRDefault="007E1196" w:rsidP="00C73722">
      <w:r>
        <w:tab/>
        <w:t xml:space="preserve">This has resulted in </w:t>
      </w:r>
      <w:r w:rsidR="0008754F">
        <w:t xml:space="preserve">a surge in credit card fraud that cost businesses worldwide roughly $22 billion in 2015 </w:t>
      </w:r>
      <w:r w:rsidR="0008754F">
        <w:fldChar w:fldCharType="begin" w:fldLock="1"/>
      </w:r>
      <w:r w:rsidR="000214BD">
        <w:instrText>ADDIN CSL_CITATION {"citationItems":[{"id":"ITEM-1","itemData":{"DOI":"10.1109/ACCESS.2018.2806420","ISSN":"21693536","abstract":"Credit card fraud is a serious problem in financial services. Billions of dollars are lost due to credit card fraud every year. There is a lack of research studies on analyzing real-world credit card data owing to confidentiality issues. In this paper, machine learning algorithms are used to detect credit card fraud. Standard models are first used. Then, hybrid methods which use AdaBoost and majority voting methods are applied. To evaluate the model efficacy, a publicly available credit card data set is used. Then, a real-world credit card data set from a financial institution is analyzed. In addition, noise is added to the data samples to further assess the robustness of the algorithms. The experimental results positively indicate that the majority voting method achieves good accuracy rates in detecting fraud cases in credit cards.","author":[{"dropping-particle":"","family":"Randhawa","given":"Kuldeep","non-dropping-particle":"","parse-names":false,"suffix":""},{"dropping-particle":"","family":"Loo","given":"Chu Kiong","non-dropping-particle":"","parse-names":false,"suffix":""},{"dropping-particle":"","family":"Seera","given":"Manjeevan","non-dropping-particle":"","parse-names":false,"suffix":""},{"dropping-particle":"","family":"Lim","given":"Chee Peng","non-dropping-particle":"","parse-names":false,"suffix":""},{"dropping-particle":"","family":"Nandi","given":"Asoke K.","non-dropping-particle":"","parse-names":false,"suffix":""}],"container-title":"IEEE Access","id":"ITEM-1","issued":{"date-parts":[["2018","2","14"]]},"page":"14277-14284","publisher":"Institute of Electrical and Electronics Engineers Inc.","title":"Credit Card Fraud Detection Using AdaBoost and Majority Voting","type":"article-journal","volume":"6"},"uris":["http://www.mendeley.com/documents/?uuid=2450f08f-4a6c-3fec-8411-05d0e83d763c"]}],"mendeley":{"formattedCitation":"[19]","plainTextFormattedCitation":"[19]","previouslyFormattedCitation":"[19]"},"properties":{"noteIndex":0},"schema":"https://github.com/citation-style-language/schema/raw/master/csl-citation.json"}</w:instrText>
      </w:r>
      <w:r w:rsidR="0008754F">
        <w:fldChar w:fldCharType="separate"/>
      </w:r>
      <w:r w:rsidR="00844CEC" w:rsidRPr="00844CEC">
        <w:rPr>
          <w:noProof/>
        </w:rPr>
        <w:t>[19]</w:t>
      </w:r>
      <w:r w:rsidR="0008754F">
        <w:fldChar w:fldCharType="end"/>
      </w:r>
      <w:r w:rsidR="0008754F">
        <w:t xml:space="preserve"> and the purpose of the aforementioned PCI DSS was to lessen the number of cases of credit card fraud.</w:t>
      </w:r>
      <w:r w:rsidR="00E82D60">
        <w:t xml:space="preserve">  </w:t>
      </w:r>
      <w:r w:rsidR="0008754F">
        <w:t>The standard holds twelve key requirements that have been generalised into six overarching goals that organisations must comply with to be deemed as PCI DSS certified.</w:t>
      </w:r>
      <w:r w:rsidR="00E82D60">
        <w:t xml:space="preserve">  These goals/requirements have been listed </w:t>
      </w:r>
      <w:r w:rsidR="00411AB4">
        <w:t xml:space="preserve">in </w:t>
      </w:r>
      <w:r w:rsidR="00411AB4">
        <w:fldChar w:fldCharType="begin"/>
      </w:r>
      <w:r w:rsidR="00411AB4">
        <w:instrText xml:space="preserve"> REF _Ref61008810 \h </w:instrText>
      </w:r>
      <w:r w:rsidR="00411AB4">
        <w:fldChar w:fldCharType="separate"/>
      </w:r>
      <w:r w:rsidR="00411AB4">
        <w:t>Appendix F1 – PCI DSS Requirements</w:t>
      </w:r>
      <w:r w:rsidR="00411AB4">
        <w:fldChar w:fldCharType="end"/>
      </w:r>
      <w:r w:rsidR="00411AB4">
        <w:t>.</w:t>
      </w:r>
    </w:p>
    <w:p w14:paraId="0F4BE319" w14:textId="01D111A9" w:rsidR="00C73722" w:rsidRDefault="008171F5" w:rsidP="00C73722">
      <w:pPr>
        <w:pStyle w:val="Heading2"/>
        <w:numPr>
          <w:ilvl w:val="1"/>
          <w:numId w:val="1"/>
        </w:numPr>
      </w:pPr>
      <w:bookmarkStart w:id="10" w:name="_Toc61013524"/>
      <w:r>
        <w:t>ISMS Comparison</w:t>
      </w:r>
      <w:bookmarkEnd w:id="10"/>
    </w:p>
    <w:p w14:paraId="2A6C1BAA" w14:textId="02EDE73E" w:rsidR="00A95177" w:rsidRPr="00A95177" w:rsidRDefault="00A95177" w:rsidP="00A95177">
      <w:pPr>
        <w:pStyle w:val="Heading3"/>
        <w:numPr>
          <w:ilvl w:val="2"/>
          <w:numId w:val="1"/>
        </w:numPr>
      </w:pPr>
      <w:bookmarkStart w:id="11" w:name="_Toc61013525"/>
      <w:r>
        <w:t>Application</w:t>
      </w:r>
      <w:bookmarkEnd w:id="11"/>
    </w:p>
    <w:p w14:paraId="6598D425" w14:textId="79CF57B0" w:rsidR="00A10E27" w:rsidRDefault="00A10E27" w:rsidP="00C73722">
      <w:r>
        <w:t>In terms of using or integrating any of the aforementioned Information Security Management Systems, NIST CSF allows for the greatest range of application as it is a very open-ended framework, allowing organisations to submerge themselves only as deep as they deem necessary and this would appeal to many as it</w:t>
      </w:r>
      <w:r w:rsidR="00000438">
        <w:t xml:space="preserve"> is can be</w:t>
      </w:r>
      <w:r>
        <w:t xml:space="preserve"> far more lightweight and customisable</w:t>
      </w:r>
      <w:r w:rsidR="00B46742">
        <w:t>.</w:t>
      </w:r>
      <w:r w:rsidR="00AE5298">
        <w:t xml:space="preserve">  It also focuses efforts on the operational aspects of integration </w:t>
      </w:r>
      <w:r w:rsidR="00235D02">
        <w:t>because it assumes some level of managerial practices are already in place</w:t>
      </w:r>
      <w:r w:rsidR="00235D02">
        <w:fldChar w:fldCharType="begin" w:fldLock="1"/>
      </w:r>
      <w:r w:rsidR="00AD389C">
        <w:instrText>ADDIN CSL_CITATION {"citationItems":[{"id":"ITEM-1","itemData":{"abstract":"In this document, you will find information about ISO 27001, the leading ISO standard for information security management, and NIST Cybersecurity Framework, a response to the U.S. Presidential Executive Order 13636 – Improving Critical Infrastructure Cybersecurity, issued in 2013. You’ll learn about their similarities and differences, and how they can be used together to improve information protection. Furthermore, you’ll find links to additional learning materials like articles and other white papers.","author":[{"dropping-particle":"","family":"Dejan Kosutic","given":"","non-dropping-particle":"","parse-names":false,"suffix":""}],"id":"ITEM-1","issued":{"date-parts":[["2017"]]},"number-of-pages":"1-16","title":"How to implement NIST Cybersecurity Framework using ISO 27001","type":"report"},"uris":["http://www.mendeley.com/documents/?uuid=f3e6c087-64e5-3e4c-8a49-ad0f617e86f4"]}],"mendeley":{"formattedCitation":"[20]","plainTextFormattedCitation":"[20]","previouslyFormattedCitation":"[20]"},"properties":{"noteIndex":0},"schema":"https://github.com/citation-style-language/schema/raw/master/csl-citation.json"}</w:instrText>
      </w:r>
      <w:r w:rsidR="00235D02">
        <w:fldChar w:fldCharType="separate"/>
      </w:r>
      <w:r w:rsidR="00235D02" w:rsidRPr="00235D02">
        <w:rPr>
          <w:noProof/>
        </w:rPr>
        <w:t>[20]</w:t>
      </w:r>
      <w:r w:rsidR="00235D02">
        <w:fldChar w:fldCharType="end"/>
      </w:r>
      <w:r w:rsidR="00235D02">
        <w:t>.</w:t>
      </w:r>
    </w:p>
    <w:p w14:paraId="011BBF45" w14:textId="4E23642A" w:rsidR="00A95177" w:rsidRDefault="00A639C9" w:rsidP="00C73722">
      <w:r>
        <w:t>Both NIST CSF and ISO</w:t>
      </w:r>
      <w:r w:rsidR="00000438">
        <w:t xml:space="preserve"> </w:t>
      </w:r>
      <w:r>
        <w:t>27001 share some striking similarities that may initially cast confusion when selecting a model</w:t>
      </w:r>
      <w:r w:rsidR="004634AC">
        <w:t xml:space="preserve">, however it should be noted that both frameworks offer technological neutrality (allowing </w:t>
      </w:r>
      <w:r w:rsidR="00AA5CAE">
        <w:t>an</w:t>
      </w:r>
      <w:r w:rsidR="004634AC">
        <w:t xml:space="preserve"> adoptee to select specific technologies to meet their needs) and industrial neutrality (allowing all organisations to use the frameworks)</w:t>
      </w:r>
      <w:r w:rsidR="00A9026F">
        <w:t xml:space="preserve"> </w:t>
      </w:r>
      <w:r w:rsidR="001A2C54">
        <w:fldChar w:fldCharType="begin" w:fldLock="1"/>
      </w:r>
      <w:r w:rsidR="00A9026F">
        <w:instrText>ADDIN CSL_CITATION {"citationItems":[{"id":"ITEM-1","itemData":{"abstract":"In this document, you will find information about ISO 27001, the leading ISO standard for information security management, and NIST Cybersecurity Framework, a response to the U.S. Presidential Executive Order 13636 – Improving Critical Infrastructure Cybersecurity, issued in 2013. You’ll learn about their similarities and differences, and how they can be used together to improve information protection. Furthermore, you’ll find links to additional learning materials like articles and other white papers.","author":[{"dropping-particle":"","family":"Dejan Kosutic","given":"","non-dropping-particle":"","parse-names":false,"suffix":""}],"id":"ITEM-1","issued":{"date-parts":[["2017"]]},"number-of-pages":"1-16","title":"How to implement NIST Cybersecurity Framework using ISO 27001","type":"report"},"uris":["http://www.mendeley.com/documents/?uuid=f3e6c087-64e5-3e4c-8a49-ad0f617e86f4"]}],"mendeley":{"formattedCitation":"[20]","plainTextFormattedCitation":"[20]","previouslyFormattedCitation":"[20]"},"properties":{"noteIndex":0},"schema":"https://github.com/citation-style-language/schema/raw/master/csl-citation.json"}</w:instrText>
      </w:r>
      <w:r w:rsidR="001A2C54">
        <w:fldChar w:fldCharType="separate"/>
      </w:r>
      <w:r w:rsidR="001A2C54" w:rsidRPr="001A2C54">
        <w:rPr>
          <w:noProof/>
        </w:rPr>
        <w:t>[20]</w:t>
      </w:r>
      <w:r w:rsidR="001A2C54">
        <w:fldChar w:fldCharType="end"/>
      </w:r>
      <w:r w:rsidR="004634AC">
        <w:t>.</w:t>
      </w:r>
      <w:r w:rsidR="004969F2">
        <w:t xml:space="preserve">  </w:t>
      </w:r>
      <w:r w:rsidR="004969F2">
        <w:fldChar w:fldCharType="begin"/>
      </w:r>
      <w:r w:rsidR="004969F2">
        <w:instrText xml:space="preserve"> REF _Ref61008859 \h </w:instrText>
      </w:r>
      <w:r w:rsidR="004969F2">
        <w:fldChar w:fldCharType="separate"/>
      </w:r>
      <w:r w:rsidR="004969F2">
        <w:t>Appendix C1 – ISO 27001 &amp; NIST CSF Similarities (Clauses)</w:t>
      </w:r>
      <w:r w:rsidR="004969F2">
        <w:fldChar w:fldCharType="end"/>
      </w:r>
      <w:r w:rsidR="004969F2">
        <w:t xml:space="preserve"> and </w:t>
      </w:r>
      <w:r w:rsidR="004969F2">
        <w:fldChar w:fldCharType="begin"/>
      </w:r>
      <w:r w:rsidR="004969F2">
        <w:instrText xml:space="preserve"> REF _Ref61008915 \h </w:instrText>
      </w:r>
      <w:r w:rsidR="004969F2">
        <w:fldChar w:fldCharType="separate"/>
      </w:r>
      <w:r w:rsidR="004969F2">
        <w:t>Appendix C2 – ISO 27001 &amp; NIST CSF Similarities (Controls)</w:t>
      </w:r>
      <w:r w:rsidR="004969F2">
        <w:fldChar w:fldCharType="end"/>
      </w:r>
      <w:r w:rsidR="00A9026F" w:rsidRPr="00A9026F">
        <w:rPr>
          <w:color w:val="FF0000"/>
        </w:rPr>
        <w:t xml:space="preserve"> </w:t>
      </w:r>
      <w:r w:rsidR="00A9026F">
        <w:t>depict how clauses</w:t>
      </w:r>
      <w:r w:rsidR="00AA5CAE">
        <w:t xml:space="preserve"> and controls</w:t>
      </w:r>
      <w:r w:rsidR="00A9026F">
        <w:t xml:space="preserve"> from each framework correlate.</w:t>
      </w:r>
    </w:p>
    <w:p w14:paraId="2FE87C40" w14:textId="04F382B6" w:rsidR="00A95177" w:rsidRDefault="00A95177" w:rsidP="00A95177">
      <w:pPr>
        <w:ind w:firstLine="360"/>
      </w:pPr>
      <w:r>
        <w:t xml:space="preserve">When performing an analysis of the effectiveness of PCI DSS with either NIST CSF or ISO 27001, it should first be noted that the scope of PCI DSS is far tighter, focusing solely on the protection of credit card information compared to a general information that the business engages with.  With that said, a general evaluation of the architecture of the framework can be undertaken by examining the features that each hold, rather than the effectiveness of the security that they provide.  </w:t>
      </w:r>
    </w:p>
    <w:p w14:paraId="00DA76C8" w14:textId="4CF7CC20" w:rsidR="004634AC" w:rsidRDefault="00A95177" w:rsidP="00A95177">
      <w:pPr>
        <w:pStyle w:val="Heading3"/>
        <w:numPr>
          <w:ilvl w:val="2"/>
          <w:numId w:val="1"/>
        </w:numPr>
      </w:pPr>
      <w:bookmarkStart w:id="12" w:name="_Toc61013526"/>
      <w:r>
        <w:t>Structure</w:t>
      </w:r>
      <w:bookmarkEnd w:id="12"/>
      <w:r w:rsidR="00A9026F">
        <w:t xml:space="preserve">  </w:t>
      </w:r>
    </w:p>
    <w:p w14:paraId="48C93263" w14:textId="619AFFCF" w:rsidR="00C73722" w:rsidRDefault="00A639C9" w:rsidP="004634AC">
      <w:pPr>
        <w:ind w:firstLine="720"/>
      </w:pPr>
      <w:r>
        <w:t xml:space="preserve">The first major similarity is that both frameworks </w:t>
      </w:r>
      <w:r w:rsidR="00F913B6">
        <w:t>adhere to the CIA (Confidentiality, Integrity, Availability) infrastructure.  By using this foundation and ensuring that the core elements of the triad are covered, each framework is working towards the same aim.  The next comparable feature is that both NIST CSF and ISO</w:t>
      </w:r>
      <w:r w:rsidR="00000438">
        <w:t xml:space="preserve"> </w:t>
      </w:r>
      <w:r w:rsidR="00F913B6">
        <w:t>27001 allow the integration of external frameworks/framework-controls into the policy under their respective ‘control implementation’ section.  This would allow organisations that incorporate either NIST or ISO to use aspects of PCI DSS or HIPAA if they held particular control measures that related to their industry</w:t>
      </w:r>
      <w:r w:rsidR="000214BD">
        <w:t xml:space="preserve"> </w:t>
      </w:r>
      <w:r w:rsidR="000214BD">
        <w:fldChar w:fldCharType="begin" w:fldLock="1"/>
      </w:r>
      <w:r w:rsidR="00A9026F">
        <w:instrText>ADDIN CSL_CITATION {"citationItems":[{"id":"ITEM-1","itemData":{"DOI":"10.1109/NCETSTEA48365.2020.9119914","ISBN":"9781728143620","abstract":"This paper provides a high-level comparison between the National Institute of Standards and Technology's (NIST) Cyber Security Framework and the ISO 27001 Information Security Standard. Pros, cons and the advantages each framework holds over the other and how an organization would select an appropriate framework between CSF and ISO 27001 have been discussed along with a detailed comparison of how major security controls framework/guidelines like NIST SP 800-53, CIS Top-20 and ISO 27002 can be mapped back to each.","author":[{"dropping-particle":"","family":"Roy","given":"Prameet P.","non-dropping-particle":"","parse-names":false,"suffix":""}],"container-title":"2020 National Conference on Emerging Trends on Sustainable Technology and Engineering Applications, NCETSTEA 2020","id":"ITEM-1","issued":{"date-parts":[["2020","2","1"]]},"publisher":"Institute of Electrical and Electronics Engineers Inc.","title":"A High-Level Comparison between the NIST Cyber Security Framework and the ISO 27001 Information Security Standard","type":"paper-conference"},"uris":["http://www.mendeley.com/documents/?uuid=1dc2a529-e7a1-3db4-8d05-8acabf6653f5"]}],"mendeley":{"formattedCitation":"[21]","plainTextFormattedCitation":"[21]","previouslyFormattedCitation":"[21]"},"properties":{"noteIndex":0},"schema":"https://github.com/citation-style-language/schema/raw/master/csl-citation.json"}</w:instrText>
      </w:r>
      <w:r w:rsidR="000214BD">
        <w:fldChar w:fldCharType="separate"/>
      </w:r>
      <w:r w:rsidR="001A2C54" w:rsidRPr="001A2C54">
        <w:rPr>
          <w:noProof/>
        </w:rPr>
        <w:t>[21]</w:t>
      </w:r>
      <w:r w:rsidR="000214BD">
        <w:fldChar w:fldCharType="end"/>
      </w:r>
      <w:r w:rsidR="00F913B6">
        <w:t>.</w:t>
      </w:r>
    </w:p>
    <w:p w14:paraId="65C46C36" w14:textId="6CA577EE" w:rsidR="00AA5CAE" w:rsidRDefault="000214BD" w:rsidP="00C73722">
      <w:r>
        <w:tab/>
        <w:t xml:space="preserve">The structure of </w:t>
      </w:r>
      <w:r w:rsidR="00827C16">
        <w:t xml:space="preserve">each ISMS also holds related methodologies.  The essence of the NIST Framework Core provides five </w:t>
      </w:r>
      <w:r w:rsidR="00000438">
        <w:t>functions</w:t>
      </w:r>
      <w:r w:rsidR="00827C16">
        <w:t xml:space="preserve"> from which a guide can be compiled.  These areas are broken down into 22 categories, </w:t>
      </w:r>
      <w:r w:rsidR="00AA5CAE">
        <w:t>(</w:t>
      </w:r>
      <w:r w:rsidR="00827C16">
        <w:t>much like ISO 27001 Annex A’s sections), 98 sub-categories (akin to ISO 27001 Annex A’s controls), and finally into reference material that signposts directions to other frameworks</w:t>
      </w:r>
      <w:r w:rsidR="0053562C">
        <w:t xml:space="preserve"> such as COBIT or HIPAA</w:t>
      </w:r>
      <w:r w:rsidR="00086A66">
        <w:t xml:space="preserve"> </w:t>
      </w:r>
      <w:r w:rsidR="00086A66">
        <w:fldChar w:fldCharType="begin" w:fldLock="1"/>
      </w:r>
      <w:r w:rsidR="00A9026F">
        <w:instrText>ADDIN CSL_CITATION {"citationItems":[{"id":"ITEM-1","itemData":{"DOI":"10.1109/NCETSTEA48365.2020.9119914","ISBN":"9781728143620","abstract":"This paper provides a high-level comparison between the National Institute of Standards and Technology's (NIST) Cyber Security Framework and the ISO 27001 Information Security Standard. Pros, cons and the advantages each framework holds over the other and how an organization would select an appropriate framework between CSF and ISO 27001 have been discussed along with a detailed comparison of how major security controls framework/guidelines like NIST SP 800-53, CIS Top-20 and ISO 27002 can be mapped back to each.","author":[{"dropping-particle":"","family":"Roy","given":"Prameet P.","non-dropping-particle":"","parse-names":false,"suffix":""}],"container-title":"2020 National Conference on Emerging Trends on Sustainable Technology and Engineering Applications, NCETSTEA 2020","id":"ITEM-1","issued":{"date-parts":[["2020","2","1"]]},"publisher":"Institute of Electrical and Electronics Engineers Inc.","title":"A High-Level Comparison between the NIST Cyber Security Framework and the ISO 27001 Information Security Standard","type":"paper-conference"},"uris":["http://www.mendeley.com/documents/?uuid=1dc2a529-e7a1-3db4-8d05-8acabf6653f5"]}],"mendeley":{"formattedCitation":"[21]","plainTextFormattedCitation":"[21]","previouslyFormattedCitation":"[21]"},"properties":{"noteIndex":0},"schema":"https://github.com/citation-style-language/schema/raw/master/csl-citation.json"}</w:instrText>
      </w:r>
      <w:r w:rsidR="00086A66">
        <w:fldChar w:fldCharType="separate"/>
      </w:r>
      <w:r w:rsidR="001A2C54" w:rsidRPr="001A2C54">
        <w:rPr>
          <w:noProof/>
        </w:rPr>
        <w:t>[21]</w:t>
      </w:r>
      <w:r w:rsidR="00086A66">
        <w:fldChar w:fldCharType="end"/>
      </w:r>
      <w:r w:rsidR="00827C16">
        <w:t>.</w:t>
      </w:r>
    </w:p>
    <w:p w14:paraId="51316BAA" w14:textId="3B759C59" w:rsidR="004D43BC" w:rsidRPr="004D43BC" w:rsidRDefault="00A95177" w:rsidP="004D43BC">
      <w:pPr>
        <w:pStyle w:val="Heading3"/>
        <w:numPr>
          <w:ilvl w:val="2"/>
          <w:numId w:val="1"/>
        </w:numPr>
      </w:pPr>
      <w:bookmarkStart w:id="13" w:name="_Toc61013527"/>
      <w:r>
        <w:t>Global/Organisational Standing</w:t>
      </w:r>
      <w:bookmarkEnd w:id="13"/>
    </w:p>
    <w:p w14:paraId="320FFCC4" w14:textId="2990902B" w:rsidR="001C13AE" w:rsidRDefault="00952829" w:rsidP="001C13AE">
      <w:r>
        <w:tab/>
      </w:r>
      <w:r w:rsidR="00A95177">
        <w:t>Both PCI DSS and</w:t>
      </w:r>
      <w:r w:rsidR="00000438">
        <w:t xml:space="preserve"> ISO 27001</w:t>
      </w:r>
      <w:r w:rsidR="00AD389C">
        <w:t xml:space="preserve"> award a certification (this is something that NIST CSF does not do), which help</w:t>
      </w:r>
      <w:r w:rsidR="00000438">
        <w:t>s</w:t>
      </w:r>
      <w:r w:rsidR="00AD389C">
        <w:t xml:space="preserve"> to reassure business partners and other third-party officials that the security of both their information, and those handling it, is of a high standard.  The ISO 27001 controls are also written to a higher level than that of PCI DSS, thus making the ISO a more flexible framework to work with, whilst PCI DSS is very rigid in its implementation practices.  NIST CSF is even more flexible than ISO 27001, allowing for even greater implementational freedom, but as previously mentioned, does not provide any certification for adopting the framework, therefore not guaranteeing the organisation</w:t>
      </w:r>
      <w:r w:rsidR="00CB1170">
        <w:t>’</w:t>
      </w:r>
      <w:r w:rsidR="00AD389C">
        <w:t xml:space="preserve">s informational security reputation to potential clients/partners </w:t>
      </w:r>
      <w:r w:rsidR="00AD389C">
        <w:fldChar w:fldCharType="begin" w:fldLock="1"/>
      </w:r>
      <w:r w:rsidR="00195517">
        <w:instrText>ADDIN CSL_CITATION {"citationItems":[{"id":"ITEM-1","itemData":{"author":[{"dropping-particle":"","family":"Mataracioglu","given":"Tolga","non-dropping-particle":"","parse-names":false,"suffix":""}],"container-title":"ISACA Journal","id":"ITEM-1","issue":"October 2010","issued":{"date-parts":[["2016"]]},"page":"1-5","title":"Comparison of PCI DSS and ISO / IEC 27001 Standards","type":"article-journal","volume":"1"},"uris":["http://www.mendeley.com/documents/?uuid=7fb0bb47-6452-3b77-a0e1-3596f4242dfa"]}],"mendeley":{"formattedCitation":"[22]","plainTextFormattedCitation":"[22]","previouslyFormattedCitation":"[22]"},"properties":{"noteIndex":0},"schema":"https://github.com/citation-style-language/schema/raw/master/csl-citation.json"}</w:instrText>
      </w:r>
      <w:r w:rsidR="00AD389C">
        <w:fldChar w:fldCharType="separate"/>
      </w:r>
      <w:r w:rsidR="00AD389C" w:rsidRPr="00AD389C">
        <w:rPr>
          <w:noProof/>
        </w:rPr>
        <w:t>[22]</w:t>
      </w:r>
      <w:r w:rsidR="00AD389C">
        <w:fldChar w:fldCharType="end"/>
      </w:r>
      <w:r w:rsidR="00AD389C">
        <w:t>.</w:t>
      </w:r>
    </w:p>
    <w:p w14:paraId="29F77E51" w14:textId="4668D3EE" w:rsidR="008D5297" w:rsidRPr="001C13AE" w:rsidRDefault="008D5297" w:rsidP="001C13AE">
      <w:r>
        <w:tab/>
        <w:t>A major benefit of the NIST CSF when compared to ISO 27000 and PCI DSS is the cost to implement has the chance of being far smaller as companies can just use the sections that apply to them without the overarching need to complete every requirement for fear of not attaining a certification.</w:t>
      </w:r>
    </w:p>
    <w:p w14:paraId="32AFDA10" w14:textId="45AD8912" w:rsidR="00F913B6" w:rsidRDefault="00F913B6" w:rsidP="00C73722"/>
    <w:p w14:paraId="71AB184D" w14:textId="6AAF4B78" w:rsidR="00C73722" w:rsidRDefault="00D602B8" w:rsidP="00C73722">
      <w:pPr>
        <w:pStyle w:val="Heading1"/>
        <w:numPr>
          <w:ilvl w:val="0"/>
          <w:numId w:val="1"/>
        </w:numPr>
      </w:pPr>
      <w:bookmarkStart w:id="14" w:name="_Toc61013528"/>
      <w:r>
        <w:t>ISMS Design</w:t>
      </w:r>
      <w:bookmarkEnd w:id="14"/>
    </w:p>
    <w:p w14:paraId="1C5A4D38" w14:textId="77777777" w:rsidR="00CB1170" w:rsidRDefault="007D11C0" w:rsidP="00CB1170">
      <w:pPr>
        <w:keepNext/>
      </w:pPr>
      <w:r>
        <w:t>Although security management systems such as NIST CSF and ISO 27001 aim to be applicable to nearly all organisations, they can be quite cumbersome if the target of the ISMS is quite specific.  In the case of CaribbeanCoffee, they require a system that focuses on the protection of cloud-based activities as well as BYOD security.  For that reason, this custom ISMS has been presented.</w:t>
      </w:r>
      <w:r w:rsidR="00D56A19">
        <w:rPr>
          <w:noProof/>
        </w:rPr>
        <w:drawing>
          <wp:inline distT="0" distB="0" distL="0" distR="0" wp14:anchorId="4E6CE15A" wp14:editId="3582D745">
            <wp:extent cx="5200650" cy="29718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E24E3FE" w14:textId="50A46772" w:rsidR="00AD389C" w:rsidRDefault="00CB1170" w:rsidP="00CB1170">
      <w:pPr>
        <w:pStyle w:val="Caption"/>
        <w:jc w:val="right"/>
      </w:pPr>
      <w:bookmarkStart w:id="15" w:name="_Toc61010209"/>
      <w:r>
        <w:t xml:space="preserve">Figure </w:t>
      </w:r>
      <w:r w:rsidR="00611E1C">
        <w:fldChar w:fldCharType="begin"/>
      </w:r>
      <w:r w:rsidR="00611E1C">
        <w:instrText xml:space="preserve"> SEQ Figure \* ARABIC </w:instrText>
      </w:r>
      <w:r w:rsidR="00611E1C">
        <w:fldChar w:fldCharType="separate"/>
      </w:r>
      <w:r w:rsidR="00411AB4">
        <w:rPr>
          <w:noProof/>
        </w:rPr>
        <w:t>1</w:t>
      </w:r>
      <w:r w:rsidR="00611E1C">
        <w:rPr>
          <w:noProof/>
        </w:rPr>
        <w:fldChar w:fldCharType="end"/>
      </w:r>
      <w:r>
        <w:t xml:space="preserve"> - Custom ISMS Design Overview</w:t>
      </w:r>
      <w:bookmarkEnd w:id="15"/>
    </w:p>
    <w:p w14:paraId="43F44563" w14:textId="09DB4F17" w:rsidR="00E70D10" w:rsidRDefault="00E70D10" w:rsidP="00CB1170">
      <w:r>
        <w:t>The idea behind the design above is that each activity flows neatly into the next, and that each level cannot be accessed until the previous has been completed.</w:t>
      </w:r>
      <w:r w:rsidR="00D67F41">
        <w:t xml:space="preserve">  Only three main activities have been created </w:t>
      </w:r>
      <w:r w:rsidR="001E6C9C">
        <w:t>v</w:t>
      </w:r>
      <w:r>
        <w:t xml:space="preserve">  Each portion of the framework is responsible for a set of </w:t>
      </w:r>
      <w:r w:rsidR="001E6C9C">
        <w:t>actions;</w:t>
      </w:r>
      <w:r>
        <w:t xml:space="preserve"> these actions have been listed below.</w:t>
      </w:r>
    </w:p>
    <w:p w14:paraId="5EC29C6F" w14:textId="6AF824B7" w:rsidR="008B0B48" w:rsidRDefault="008B0B48" w:rsidP="00CB1170"/>
    <w:p w14:paraId="4CA56AE1" w14:textId="1275C699" w:rsidR="008B0B48" w:rsidRDefault="008B0B48" w:rsidP="008B0B48">
      <w:pPr>
        <w:pStyle w:val="Heading2"/>
        <w:numPr>
          <w:ilvl w:val="1"/>
          <w:numId w:val="1"/>
        </w:numPr>
      </w:pPr>
      <w:bookmarkStart w:id="16" w:name="_Toc61013529"/>
      <w:r>
        <w:t>Explore</w:t>
      </w:r>
      <w:bookmarkEnd w:id="16"/>
    </w:p>
    <w:p w14:paraId="4B50A443" w14:textId="7028A3B6" w:rsidR="008B0B48" w:rsidRDefault="008B0B48" w:rsidP="008B0B48">
      <w:r>
        <w:t xml:space="preserve">This section covers the organisation’s approach to the concepts of implementing a cybersecurity framework.  It specifically allows the managerial tier to map out the needs of the company and calculate, manage, and prepare for potential risk.  The ‘Explore’ area has been broken down into </w:t>
      </w:r>
      <w:r w:rsidR="0014299C">
        <w:t>five stages that must be navigated.</w:t>
      </w:r>
    </w:p>
    <w:p w14:paraId="621D6D22" w14:textId="54F650AB" w:rsidR="0014299C" w:rsidRDefault="0014299C" w:rsidP="0014299C">
      <w:pPr>
        <w:pStyle w:val="Heading3"/>
        <w:numPr>
          <w:ilvl w:val="2"/>
          <w:numId w:val="1"/>
        </w:numPr>
      </w:pPr>
      <w:bookmarkStart w:id="17" w:name="_Toc61013530"/>
      <w:r>
        <w:t>Review</w:t>
      </w:r>
      <w:bookmarkEnd w:id="17"/>
    </w:p>
    <w:p w14:paraId="088191D5" w14:textId="128F0027" w:rsidR="002E0967" w:rsidRPr="002E0967" w:rsidRDefault="002E0967" w:rsidP="002E0967">
      <w:r>
        <w:t xml:space="preserve">Very much like the approach that the NIST Profiles take, the review </w:t>
      </w:r>
      <w:r w:rsidR="005B67C8">
        <w:t>process encourages the organisation to take a snapshot of their current security system and in</w:t>
      </w:r>
      <w:r w:rsidR="00D67F41">
        <w:t xml:space="preserve">vestigate its </w:t>
      </w:r>
      <w:r w:rsidR="001E6C9C">
        <w:t xml:space="preserve">strengths, weaknesses, and </w:t>
      </w:r>
      <w:r w:rsidR="00D67F41">
        <w:t>appropriateness</w:t>
      </w:r>
      <w:r w:rsidR="001E6C9C">
        <w:t>.  Once the current snapshot has been processed, the company can propose their preferred future model and calculate a roadmap of how best to get there.</w:t>
      </w:r>
    </w:p>
    <w:p w14:paraId="0E205B6B" w14:textId="23341D94" w:rsidR="0014299C" w:rsidRDefault="0014299C" w:rsidP="0014299C">
      <w:pPr>
        <w:pStyle w:val="Heading3"/>
        <w:numPr>
          <w:ilvl w:val="2"/>
          <w:numId w:val="1"/>
        </w:numPr>
      </w:pPr>
      <w:bookmarkStart w:id="18" w:name="_Toc61013531"/>
      <w:r>
        <w:t>Risk Assess</w:t>
      </w:r>
      <w:r w:rsidR="001E6C9C">
        <w:t>ment</w:t>
      </w:r>
      <w:bookmarkEnd w:id="18"/>
    </w:p>
    <w:p w14:paraId="5EC2381C" w14:textId="68A2CD9C" w:rsidR="001E6C9C" w:rsidRPr="001E6C9C" w:rsidRDefault="00BA169E" w:rsidP="001E6C9C">
      <w:r>
        <w:t xml:space="preserve">The next stage is to compile a list of risks that are a threat to the company.  Considering that much of CaribbeanCoffee’s services are offered via the cloud, 95% of the network is wireless and there is a push to allow employees the right both to use their devices </w:t>
      </w:r>
      <w:r w:rsidRPr="00BA169E">
        <w:rPr>
          <w:i/>
          <w:iCs/>
        </w:rPr>
        <w:t>at</w:t>
      </w:r>
      <w:r>
        <w:rPr>
          <w:i/>
          <w:iCs/>
        </w:rPr>
        <w:t xml:space="preserve"> </w:t>
      </w:r>
      <w:r>
        <w:t xml:space="preserve">work and use their devices </w:t>
      </w:r>
      <w:r>
        <w:rPr>
          <w:i/>
          <w:iCs/>
        </w:rPr>
        <w:t>for</w:t>
      </w:r>
      <w:r>
        <w:t xml:space="preserve"> work, much of the risk assessment will be pointed in that direction.  Risks specific to this company will be the choice of cloud provider (it will need to be investigated to ensure that CaribbeanCoffee management know exactly which responsibilities belong to them which belong to their cloud provider), how users will interact with CaribbeanCoffee’s services when on their own devices, and what are the most prevalent wireless based attacks.</w:t>
      </w:r>
    </w:p>
    <w:p w14:paraId="0661D3DA" w14:textId="688BF8C2" w:rsidR="0014299C" w:rsidRDefault="0014299C" w:rsidP="0014299C">
      <w:pPr>
        <w:pStyle w:val="Heading3"/>
        <w:numPr>
          <w:ilvl w:val="2"/>
          <w:numId w:val="1"/>
        </w:numPr>
      </w:pPr>
      <w:bookmarkStart w:id="19" w:name="_Toc61013532"/>
      <w:r>
        <w:t>Risk Manage</w:t>
      </w:r>
      <w:r w:rsidR="001E6C9C">
        <w:t>ment</w:t>
      </w:r>
      <w:bookmarkEnd w:id="19"/>
    </w:p>
    <w:p w14:paraId="5CD308F6" w14:textId="3C7EF060" w:rsidR="00BA169E" w:rsidRPr="00BA169E" w:rsidRDefault="00BA169E" w:rsidP="00BA169E">
      <w:r>
        <w:t>The Risk Assessment stage will provide a thorough list of risks that can now undergo a mitigation process to determine the likelihood and severity of each.</w:t>
      </w:r>
      <w:r w:rsidR="00E433EB">
        <w:t xml:space="preserve">  This mitigation process will end with a plan of how best to handle each risk and outline the risks that need the greatest level of monitoring.  This process correlates closely to ISO 27001 6.1.3 requirement.</w:t>
      </w:r>
    </w:p>
    <w:p w14:paraId="3ABCD7B2" w14:textId="6CD86A04" w:rsidR="0014299C" w:rsidRDefault="0014299C" w:rsidP="00C2560A">
      <w:pPr>
        <w:pStyle w:val="Heading3"/>
        <w:numPr>
          <w:ilvl w:val="2"/>
          <w:numId w:val="1"/>
        </w:numPr>
      </w:pPr>
      <w:bookmarkStart w:id="20" w:name="_Toc61013533"/>
      <w:r>
        <w:t>E</w:t>
      </w:r>
      <w:r w:rsidR="00C2560A">
        <w:t>mployee Needs</w:t>
      </w:r>
      <w:bookmarkEnd w:id="20"/>
    </w:p>
    <w:p w14:paraId="49BBC7A5" w14:textId="764E92D1" w:rsidR="00C2560A" w:rsidRPr="00C2560A" w:rsidRDefault="00D304CC" w:rsidP="00D304CC">
      <w:r>
        <w:t>Due to the demand by staff for a BYOD work environment, CaribbeanCoffee needs to forge a security solution that satisfies both the employer and the employee.  Decisions need to be made on the amount of control CaribbeanCoffee has over employee’s personal devices and which services employees can access when using them.</w:t>
      </w:r>
    </w:p>
    <w:p w14:paraId="3721A344" w14:textId="0DC1493F" w:rsidR="008B0B48" w:rsidRDefault="008B0B48" w:rsidP="008B0B48">
      <w:pPr>
        <w:pStyle w:val="Heading2"/>
        <w:numPr>
          <w:ilvl w:val="1"/>
          <w:numId w:val="1"/>
        </w:numPr>
      </w:pPr>
      <w:bookmarkStart w:id="21" w:name="_Toc61013534"/>
      <w:r>
        <w:t>Engage</w:t>
      </w:r>
      <w:bookmarkEnd w:id="21"/>
    </w:p>
    <w:p w14:paraId="4B23A5FE" w14:textId="5C764AEC" w:rsidR="005F23DD" w:rsidRDefault="005F23DD" w:rsidP="005F23DD">
      <w:r>
        <w:t xml:space="preserve">The Engage area is only entered once the entirety of the Explore section has been completed.  It focuses its aim solely on the operational side of system by splitting down the topics related to CaribbeanCoffee’s key activities.  It has been styled in a manner similar to that of PCI DSS.  The reasoning for this is that the PCI DSS requirements provide strict, permissive set </w:t>
      </w:r>
      <w:r w:rsidR="00AA320C">
        <w:t>of instructions that potential users can follow and that is the exact approach needed here.  By having access to a set of rules concerning the physical and digital security of their infrastructure, CaribbeanCoffee can spend less time constructing their own rules and more time implementing the ones listed.</w:t>
      </w:r>
    </w:p>
    <w:p w14:paraId="412527BC" w14:textId="233F3603" w:rsidR="00AA320C" w:rsidRDefault="00AA320C" w:rsidP="00AA320C">
      <w:pPr>
        <w:pStyle w:val="Heading3"/>
        <w:numPr>
          <w:ilvl w:val="2"/>
          <w:numId w:val="1"/>
        </w:numPr>
      </w:pPr>
      <w:bookmarkStart w:id="22" w:name="_Toc61013535"/>
      <w:r>
        <w:t>Network</w:t>
      </w:r>
      <w:bookmarkEnd w:id="22"/>
    </w:p>
    <w:p w14:paraId="28706780" w14:textId="44BB2F4F" w:rsidR="00E57046" w:rsidRDefault="00E57046" w:rsidP="00E57046">
      <w:r>
        <w:t>Perhaps the most important, and arguably most vulnerable, element to protect is the network infrastructure of the organisation.  To ensure that the threat of a breach is as low as it can be a set of requirements have been laid out.</w:t>
      </w:r>
    </w:p>
    <w:p w14:paraId="5C12C88F" w14:textId="4B5931B1" w:rsidR="00E57046" w:rsidRDefault="00E57046" w:rsidP="00E57046">
      <w:pPr>
        <w:pStyle w:val="ListParagraph"/>
        <w:numPr>
          <w:ilvl w:val="0"/>
          <w:numId w:val="13"/>
        </w:numPr>
      </w:pPr>
      <w:r>
        <w:t>The system must be protected by a firewal</w:t>
      </w:r>
      <w:r w:rsidR="00195517">
        <w:t>l</w:t>
      </w:r>
      <w:r>
        <w:t>.</w:t>
      </w:r>
    </w:p>
    <w:p w14:paraId="743ECF07" w14:textId="26B65664" w:rsidR="00E57046" w:rsidRDefault="00E57046" w:rsidP="00E57046">
      <w:pPr>
        <w:pStyle w:val="ListParagraph"/>
        <w:numPr>
          <w:ilvl w:val="0"/>
          <w:numId w:val="13"/>
        </w:numPr>
      </w:pPr>
      <w:r>
        <w:t>All passwords must be changed from default and it is recommended that password policy within the organisations ensures the regular changing of passwords and that they are of suitable strength.</w:t>
      </w:r>
    </w:p>
    <w:p w14:paraId="50105358" w14:textId="37D43934" w:rsidR="00E57046" w:rsidRDefault="00E57046" w:rsidP="00E57046">
      <w:pPr>
        <w:pStyle w:val="ListParagraph"/>
        <w:numPr>
          <w:ilvl w:val="0"/>
          <w:numId w:val="13"/>
        </w:numPr>
      </w:pPr>
      <w:r>
        <w:t>All access to and from the system must be logged and monitored for unusual activity.</w:t>
      </w:r>
    </w:p>
    <w:p w14:paraId="63A35AED" w14:textId="0B3D1087" w:rsidR="00195517" w:rsidRPr="00AA320C" w:rsidRDefault="00195517" w:rsidP="00E57046">
      <w:pPr>
        <w:pStyle w:val="ListParagraph"/>
        <w:numPr>
          <w:ilvl w:val="0"/>
          <w:numId w:val="13"/>
        </w:numPr>
      </w:pPr>
      <w:r>
        <w:t>Use a VPN to access local systems remotely.</w:t>
      </w:r>
    </w:p>
    <w:p w14:paraId="141D003B" w14:textId="40AFC56A" w:rsidR="00AA320C" w:rsidRDefault="00AA320C" w:rsidP="00AA320C">
      <w:pPr>
        <w:pStyle w:val="Heading3"/>
        <w:numPr>
          <w:ilvl w:val="2"/>
          <w:numId w:val="1"/>
        </w:numPr>
      </w:pPr>
      <w:bookmarkStart w:id="23" w:name="_Toc61013536"/>
      <w:r>
        <w:t>Software</w:t>
      </w:r>
      <w:bookmarkEnd w:id="23"/>
    </w:p>
    <w:p w14:paraId="32353A17" w14:textId="48870EC5" w:rsidR="00195517" w:rsidRDefault="0063181E" w:rsidP="00195517">
      <w:r>
        <w:t>The security of software used within the company must also be monitored to prevent data breaches or leaking of information.</w:t>
      </w:r>
    </w:p>
    <w:p w14:paraId="004E6D78" w14:textId="48AB61D5" w:rsidR="0063181E" w:rsidRDefault="0063181E" w:rsidP="0063181E">
      <w:pPr>
        <w:pStyle w:val="ListParagraph"/>
        <w:numPr>
          <w:ilvl w:val="0"/>
          <w:numId w:val="14"/>
        </w:numPr>
      </w:pPr>
      <w:r>
        <w:t>Anti-virus software must be used and kept up to date.</w:t>
      </w:r>
    </w:p>
    <w:p w14:paraId="0E767407" w14:textId="6359B015" w:rsidR="0063181E" w:rsidRDefault="0063181E" w:rsidP="0063181E">
      <w:pPr>
        <w:pStyle w:val="ListParagraph"/>
        <w:numPr>
          <w:ilvl w:val="0"/>
          <w:numId w:val="14"/>
        </w:numPr>
      </w:pPr>
      <w:r>
        <w:t>All software used on company systems must first be vetted and then kept up to date.</w:t>
      </w:r>
    </w:p>
    <w:p w14:paraId="4F520B5F" w14:textId="6DE8201C" w:rsidR="0063181E" w:rsidRPr="00195517" w:rsidRDefault="0063181E" w:rsidP="0063181E">
      <w:pPr>
        <w:pStyle w:val="ListParagraph"/>
        <w:numPr>
          <w:ilvl w:val="0"/>
          <w:numId w:val="14"/>
        </w:numPr>
      </w:pPr>
      <w:r>
        <w:t xml:space="preserve">Software updates must be patched immediately </w:t>
      </w:r>
      <w:r>
        <w:fldChar w:fldCharType="begin" w:fldLock="1"/>
      </w:r>
      <w:r w:rsidR="00842C4B">
        <w:instrText>ADDIN CSL_CITATION {"citationItems":[{"id":"ITEM-1","itemData":{"DOI":"10.1109/RWEEK.2015.7287427","ISBN":"9781479985944","abstract":"For a variety of economic and practical reasons, security patches often cannot be deployed immediately after a patch's release. To mitigate attacks against unpatched software, we present the design and evaluation of a Moving Target tech-nique that uses a form of software diversity called multi-variant execution. Our technique decomposes the software's behavior into its low-level system calls and compares unpatched and patched execution traces to identify malicious behavior in the unpatched software. We evaluate our approach on benign and malicious document samples and our results indicate that multi-variant execution can detect real exploits with low false positives.","author":[{"dropping-particle":"","family":"Bauer","given":"Kevin","non-dropping-particle":"","parse-names":false,"suffix":""},{"dropping-particle":"","family":"Dedhia","given":"Veer","non-dropping-particle":"","parse-names":false,"suffix":""},{"dropping-particle":"","family":"Skowyra","given":"Richard","non-dropping-particle":"","parse-names":false,"suffix":""},{"dropping-particle":"","family":"Streilein","given":"William","non-dropping-particle":"","parse-names":false,"suffix":""},{"dropping-particle":"","family":"Okhravi","given":"Hamed","non-dropping-particle":"","parse-names":false,"suffix":""}],"container-title":"Proceedings - 2015 Resilience Week, RSW 2015","id":"ITEM-1","issued":{"date-parts":[["2015","10","1"]]},"page":"108-113","publisher":"Institute of Electrical and Electronics Engineers Inc.","title":"Multi-variant execution to protect unpatched software","type":"paper-conference"},"uris":["http://www.mendeley.com/documents/?uuid=40dac8df-611c-314a-8659-f20d0eca44d5"]}],"mendeley":{"formattedCitation":"[23]","plainTextFormattedCitation":"[23]","previouslyFormattedCitation":"[23]"},"properties":{"noteIndex":0},"schema":"https://github.com/citation-style-language/schema/raw/master/csl-citation.json"}</w:instrText>
      </w:r>
      <w:r>
        <w:fldChar w:fldCharType="separate"/>
      </w:r>
      <w:r w:rsidRPr="0063181E">
        <w:rPr>
          <w:noProof/>
        </w:rPr>
        <w:t>[23]</w:t>
      </w:r>
      <w:r>
        <w:fldChar w:fldCharType="end"/>
      </w:r>
      <w:r>
        <w:t>.</w:t>
      </w:r>
    </w:p>
    <w:p w14:paraId="1606B2F1" w14:textId="1EDED87A" w:rsidR="00AA320C" w:rsidRDefault="00AA320C" w:rsidP="00AA320C">
      <w:pPr>
        <w:pStyle w:val="Heading3"/>
        <w:numPr>
          <w:ilvl w:val="2"/>
          <w:numId w:val="1"/>
        </w:numPr>
      </w:pPr>
      <w:bookmarkStart w:id="24" w:name="_Toc61013537"/>
      <w:r>
        <w:t>Data</w:t>
      </w:r>
      <w:bookmarkEnd w:id="24"/>
    </w:p>
    <w:p w14:paraId="66237AEA" w14:textId="5A9E0A39" w:rsidR="0063181E" w:rsidRDefault="0063181E" w:rsidP="0063181E">
      <w:r>
        <w:t>Data is the target most data breaches making it an extremely vulnerable resource; however, actions can be placed in motion to protect it.</w:t>
      </w:r>
    </w:p>
    <w:p w14:paraId="09C483B9" w14:textId="35D1CEB3" w:rsidR="0063181E" w:rsidRDefault="0063181E" w:rsidP="0063181E">
      <w:pPr>
        <w:pStyle w:val="ListParagraph"/>
        <w:numPr>
          <w:ilvl w:val="0"/>
          <w:numId w:val="15"/>
        </w:numPr>
      </w:pPr>
      <w:r>
        <w:t>Data that is either at rest or in transit must be encrypted</w:t>
      </w:r>
      <w:r w:rsidR="002C13C6">
        <w:t xml:space="preserve"> </w:t>
      </w:r>
      <w:r w:rsidR="002C13C6">
        <w:fldChar w:fldCharType="begin" w:fldLock="1"/>
      </w:r>
      <w:r w:rsidR="002C13C6">
        <w:instrText>ADDIN CSL_CITATION {"citationItems":[{"id":"ITEM-1","itemData":{"ISBN":"978-1-4842-5413-4","author":[{"dropping-particle":"","family":"Chopra","given":"Abhishek","non-dropping-particle":"","parse-names":false,"suffix":""},{"dropping-particle":"","family":"Chaudhary","given":"Mukund","non-dropping-particle":"","parse-names":false,"suffix":""}],"chapter-number":"4","container-title":"Implementing an Information Security Management System","id":"ITEM-1","issued":{"date-parts":[["2020"]]},"page":"63-64","publisher":"APRESS","title":"Annex A.10: Cryptographic Control","type":"chapter"},"uris":["http://www.mendeley.com/documents/?uuid=64a3d31f-449e-44b5-bfcd-df227d2caf59"]}],"mendeley":{"formattedCitation":"[24]","plainTextFormattedCitation":"[24]"},"properties":{"noteIndex":0},"schema":"https://github.com/citation-style-language/schema/raw/master/csl-citation.json"}</w:instrText>
      </w:r>
      <w:r w:rsidR="002C13C6">
        <w:fldChar w:fldCharType="separate"/>
      </w:r>
      <w:r w:rsidR="002C13C6" w:rsidRPr="002C13C6">
        <w:rPr>
          <w:noProof/>
        </w:rPr>
        <w:t>[24]</w:t>
      </w:r>
      <w:r w:rsidR="002C13C6">
        <w:fldChar w:fldCharType="end"/>
      </w:r>
      <w:r>
        <w:t>.</w:t>
      </w:r>
    </w:p>
    <w:p w14:paraId="1C157649" w14:textId="4DF10CD7" w:rsidR="0063181E" w:rsidRPr="0063181E" w:rsidRDefault="0063181E" w:rsidP="0063181E">
      <w:pPr>
        <w:pStyle w:val="ListParagraph"/>
        <w:numPr>
          <w:ilvl w:val="0"/>
          <w:numId w:val="15"/>
        </w:numPr>
      </w:pPr>
      <w:r>
        <w:t>Access to data must only be granted to individuals that need it for their work.</w:t>
      </w:r>
    </w:p>
    <w:p w14:paraId="6C4E801A" w14:textId="71C981DA" w:rsidR="00AA320C" w:rsidRDefault="00AA320C" w:rsidP="00AA320C">
      <w:pPr>
        <w:pStyle w:val="Heading3"/>
        <w:numPr>
          <w:ilvl w:val="2"/>
          <w:numId w:val="1"/>
        </w:numPr>
      </w:pPr>
      <w:bookmarkStart w:id="25" w:name="_Toc61013538"/>
      <w:r>
        <w:t>Cloud</w:t>
      </w:r>
      <w:bookmarkEnd w:id="25"/>
    </w:p>
    <w:p w14:paraId="5A876ADD" w14:textId="7458CED8" w:rsidR="00730C82" w:rsidRDefault="002C13C6" w:rsidP="00730C82">
      <w:r w:rsidRPr="00A31644">
        <w:t xml:space="preserve">Although most cloud service providers provide their own protection to user data whilst both at rest and in transit (therefore alleviating much of the risk from the user’s perspective), the </w:t>
      </w:r>
      <w:r w:rsidRPr="00A31644">
        <w:rPr>
          <w:i/>
          <w:iCs/>
        </w:rPr>
        <w:t>selection</w:t>
      </w:r>
      <w:r w:rsidRPr="00A31644">
        <w:t xml:space="preserve"> of a suitable cloud service provider is still something that is the sole responsibility</w:t>
      </w:r>
      <w:r w:rsidR="00ED2B61">
        <w:t xml:space="preserve"> of the organisation</w:t>
      </w:r>
      <w:r w:rsidRPr="00A31644">
        <w:t>.  This might seem like a trivial task, but it should be noted that a poor choice of provider could have disastrous consequences</w:t>
      </w:r>
      <w:r w:rsidR="00953B21">
        <w:t>.</w:t>
      </w:r>
    </w:p>
    <w:p w14:paraId="02C9A3B3" w14:textId="6288BDA0" w:rsidR="00A31644" w:rsidRDefault="00A31644" w:rsidP="00A31644">
      <w:pPr>
        <w:pStyle w:val="ListParagraph"/>
        <w:numPr>
          <w:ilvl w:val="0"/>
          <w:numId w:val="17"/>
        </w:numPr>
      </w:pPr>
      <w:r>
        <w:t>Ensure that the potential cloud service provider hold relevant certifications that guarantee the level of protection that the user requires (for example ISO 27000 or PCI DSS).</w:t>
      </w:r>
    </w:p>
    <w:p w14:paraId="1FCF2C79" w14:textId="7685619E" w:rsidR="00A31644" w:rsidRDefault="00A31644" w:rsidP="00A31644">
      <w:pPr>
        <w:pStyle w:val="ListParagraph"/>
        <w:numPr>
          <w:ilvl w:val="0"/>
          <w:numId w:val="17"/>
        </w:numPr>
      </w:pPr>
      <w:r>
        <w:t>Ensure that the cloud provider as a migration plan and technical support available for it.</w:t>
      </w:r>
    </w:p>
    <w:p w14:paraId="155767E6" w14:textId="6E5D816A" w:rsidR="00A31644" w:rsidRPr="00A31644" w:rsidRDefault="00A31644" w:rsidP="00A31644">
      <w:pPr>
        <w:pStyle w:val="ListParagraph"/>
        <w:numPr>
          <w:ilvl w:val="0"/>
          <w:numId w:val="17"/>
        </w:numPr>
      </w:pPr>
      <w:r>
        <w:t>Request the cloud provers Service Level Agreement (SLA) to determine their reliability and performance levels.</w:t>
      </w:r>
    </w:p>
    <w:p w14:paraId="2F224010" w14:textId="33866E9F" w:rsidR="00AA320C" w:rsidRDefault="00AA320C" w:rsidP="00AA320C">
      <w:pPr>
        <w:pStyle w:val="Heading3"/>
        <w:numPr>
          <w:ilvl w:val="2"/>
          <w:numId w:val="1"/>
        </w:numPr>
      </w:pPr>
      <w:bookmarkStart w:id="26" w:name="_Toc61013539"/>
      <w:r>
        <w:t>Bring Your Own Device (BYOD)</w:t>
      </w:r>
      <w:bookmarkEnd w:id="26"/>
    </w:p>
    <w:p w14:paraId="474E8D6C" w14:textId="14CFB8B0" w:rsidR="0063181E" w:rsidRPr="00730C82" w:rsidRDefault="00730C82" w:rsidP="0063181E">
      <w:r w:rsidRPr="00730C82">
        <w:t>Whilst the benefits of employing a BYOD system cannot be disputed</w:t>
      </w:r>
      <w:r w:rsidR="00D661FE" w:rsidRPr="00730C82">
        <w:t xml:space="preserve"> </w:t>
      </w:r>
      <w:r w:rsidR="00D661FE" w:rsidRPr="00730C82">
        <w:fldChar w:fldCharType="begin" w:fldLock="1"/>
      </w:r>
      <w:r w:rsidR="002C13C6">
        <w:instrText>ADDIN CSL_CITATION {"citationItems":[{"id":"ITEM-1","itemData":{"DOI":"10.1016/S1361-3723(17)30058-1","ISSN":"13613723","abstract":"It seems that not a day passes without cyber-attacks being seen spread across the newspaper headlines. In the US alone, data breaches rose by a substantial 40% in 2016.1 And if you consider the number of attacks occurring on a global scale, it only further highlights the rising tide of cyber-attacks facing businesses today. While the media tends to report on the larger organisations experiencing attacks, it often overlooks the difficulties that small and medium-size enterprises (SMEs) face. SMEs are often restricted by limited resources and small IT teams whose main job is to keep basic systems operating, rather than having a comprehensive understanding of the cyberthreat. Kevin Timms of Streamwire examines the security challenges faced by SMEs and outlines how these can be addressed.","author":[{"dropping-particle":"","family":"Timms","given":"Kevin","non-dropping-particle":"","parse-names":false,"suffix":""}],"container-title":"Computer Fraud and Security","id":"ITEM-1","issue":"7","issued":{"date-parts":[["2017","7","1"]]},"page":"5-8","publisher":"Elsevier Ltd","title":"BYOD must be met with a wider appreciation of the cyber-security threat","type":"article-journal","volume":"2017"},"uris":["http://www.mendeley.com/documents/?uuid=2a830f4f-5f38-36c2-b141-272b5a7b0097"]}],"mendeley":{"formattedCitation":"[25]","plainTextFormattedCitation":"[25]","previouslyFormattedCitation":"[24]"},"properties":{"noteIndex":0},"schema":"https://github.com/citation-style-language/schema/raw/master/csl-citation.json"}</w:instrText>
      </w:r>
      <w:r w:rsidR="00D661FE" w:rsidRPr="00730C82">
        <w:fldChar w:fldCharType="separate"/>
      </w:r>
      <w:r w:rsidR="002C13C6" w:rsidRPr="002C13C6">
        <w:rPr>
          <w:noProof/>
        </w:rPr>
        <w:t>[25]</w:t>
      </w:r>
      <w:r w:rsidR="00D661FE" w:rsidRPr="00730C82">
        <w:fldChar w:fldCharType="end"/>
      </w:r>
      <w:r w:rsidRPr="00730C82">
        <w:t xml:space="preserve">, there is an added risk that follows suit </w:t>
      </w:r>
      <w:r w:rsidRPr="00730C82">
        <w:fldChar w:fldCharType="begin" w:fldLock="1"/>
      </w:r>
      <w:r w:rsidR="002C13C6">
        <w:instrText>ADDIN CSL_CITATION {"citationItems":[{"id":"ITEM-1","itemData":{"DOI":"10.1108/ITP-11-2017-0378","ISSN":"09593845","abstract":"Purpose: Bring your own device (BYOD) refers to employees utilizing their personal mobile devices to perform work tasks. Drawing on the job demands-resources (JD-R) model and the task-technology fit (TTF) model, the purpose of this paper is to develop a model that explains how BYOD affects employee well-being (through job satisfaction), job performance self-assessment, and organizational commitment through perceived job autonomy, perceived workload and TTF. Design/methodology/approach: Survey data from 400 full-time employees in different industry sectors in Mauritius were used to test a model containing 13 hypotheses using confirmatory factor analysis and structural equation modeling. Findings: The SEM results support the hypothesized model. Findings indicate that BYOD indirectly affects job satisfaction, job performance and organizational commitment via job demands (perceived workload), job resources (perceived job autonomy) and TTF. Further, job resources influences job demands while TTF predicted job performance. Finally, job satisfaction and job performance self-assessment appear to be significant determinants of organizational commitment. Practical implications: The findings are congruent with the JD-R and TTF models, and confirm that BYOD has an impact on job satisfaction, job performance self-assessment and organizational commitment. This could inform organizations’ policies and practices relating to BYOD, leading to improved employee well-being, performance and higher commitment. Originality/value: The expanded model developed in this study explains how employee well-being, performance and organizational commitment are affected by BYOD, and is one of the first studies to investigate these relationships.","author":[{"dropping-particle":"","family":"Doargajudhur","given":"Melina Seedoyal","non-dropping-particle":"","parse-names":false,"suffix":""},{"dropping-particle":"","family":"Dell","given":"Peter","non-dropping-particle":"","parse-names":false,"suffix":""}],"container-title":"Information Technology and People","id":"ITEM-1","issue":"2","issued":{"date-parts":[["2019","4","1"]]},"page":"246-268","publisher":"Emerald Group Publishing Ltd.","title":"Impact of BYOD on organizational commitment: an empirical investigation","type":"article-journal","volume":"32"},"uris":["http://www.mendeley.com/documents/?uuid=cf7b5722-3beb-3be8-b59a-1bf8f16bcf75"]}],"mendeley":{"formattedCitation":"[26]","plainTextFormattedCitation":"[26]","previouslyFormattedCitation":"[25]"},"properties":{"noteIndex":0},"schema":"https://github.com/citation-style-language/schema/raw/master/csl-citation.json"}</w:instrText>
      </w:r>
      <w:r w:rsidRPr="00730C82">
        <w:fldChar w:fldCharType="separate"/>
      </w:r>
      <w:r w:rsidR="002C13C6" w:rsidRPr="002C13C6">
        <w:rPr>
          <w:noProof/>
        </w:rPr>
        <w:t>[26]</w:t>
      </w:r>
      <w:r w:rsidRPr="00730C82">
        <w:fldChar w:fldCharType="end"/>
      </w:r>
      <w:r w:rsidRPr="00730C82">
        <w:t>.  This section is dedicated to the safe operation of a BYOD infrastructure within the organisation.</w:t>
      </w:r>
    </w:p>
    <w:p w14:paraId="72944EA6" w14:textId="53A1BABB" w:rsidR="00842C4B" w:rsidRDefault="00842C4B" w:rsidP="00842C4B">
      <w:pPr>
        <w:pStyle w:val="ListParagraph"/>
        <w:numPr>
          <w:ilvl w:val="0"/>
          <w:numId w:val="16"/>
        </w:numPr>
      </w:pPr>
      <w:r w:rsidRPr="00842C4B">
        <w:t>Referring to the policies agreed between the employee and the employer discussed in 2.1.4, implement a Mobile Device Management system that allows the containerisation of work-related applications on remote devices</w:t>
      </w:r>
      <w:r>
        <w:t xml:space="preserve"> </w:t>
      </w:r>
      <w:r>
        <w:fldChar w:fldCharType="begin" w:fldLock="1"/>
      </w:r>
      <w:r w:rsidR="002C13C6">
        <w:instrText>ADDIN CSL_CITATION {"citationItems":[{"id":"ITEM-1","itemData":{"abstract":"With the recent technology advances and the rapid adoption of tablet computers and smartphones, it has become increasingly common for employees to use their own personal devices to perform various tasks in their work-place. This phenomenon is better known as Bring Your Own Device (BYOD). This new concept is seen as twofold: as not that simple to handle and, at the same time, many organisations are quickly adopting BYOD as it has been shown that it offers many positive effects such as increased job satisfaction, employee morale, better productivity and consumer services. However, permitting employees to utilise their own device of preference in the work-place also brings some risks often associated with the loss of control over organisational data. Hence, this study set to determine and assess the risk of introducing BYOD in an ICT organisation. The Case Study approach elicited that the secure use of the BYOD requires the introduction of mixed measures: technical (e.g. Mobile Device Management - MDM) and non-technical (e.g. ICT or BYOD security policies). This study also explored the customer services view related to the BYOD initiative and suggests that use of this initiative can leverage services. The contribution of this study, aimed at practitioners and academics, is seen as threefold as it can help organisations to successfully manage the introduction of BYOD for employees and customers satisfaction, create and implement appropriate policies and also assist the individuals to learn about the risks related to the use of BYOD in an organisation.","author":[{"dropping-particle":"","family":"Mitrovic","given":"Zoran","non-dropping-particle":"","parse-names":false,"suffix":""},{"dropping-particle":"","family":"Veljkovic","given":"Ivan","non-dropping-particle":"","parse-names":false,"suffix":""},{"dropping-particle":"","family":"Whyte","given":"Grafton","non-dropping-particle":"","parse-names":false,"suffix":""},{"dropping-particle":"","family":"Thompson","given":"Kevin","non-dropping-particle":"","parse-names":false,"suffix":""}],"container-title":"CSM Africa Conference 2014","id":"ITEM-1","issued":{"date-parts":[["2015"]]},"title":"Introducing BYOD in an Organisation : The Risk and Customer Services Viewpoints","type":"paper-conference"},"uris":["http://www.mendeley.com/documents/?uuid=f3d259c7-a5a7-32d1-adfc-bc0137952ab3"]}],"mendeley":{"formattedCitation":"[27]","plainTextFormattedCitation":"[27]","previouslyFormattedCitation":"[26]"},"properties":{"noteIndex":0},"schema":"https://github.com/citation-style-language/schema/raw/master/csl-citation.json"}</w:instrText>
      </w:r>
      <w:r>
        <w:fldChar w:fldCharType="separate"/>
      </w:r>
      <w:r w:rsidR="002C13C6" w:rsidRPr="002C13C6">
        <w:rPr>
          <w:noProof/>
        </w:rPr>
        <w:t>[27]</w:t>
      </w:r>
      <w:r>
        <w:fldChar w:fldCharType="end"/>
      </w:r>
      <w:r w:rsidR="006C3FD8">
        <w:t xml:space="preserve"> </w:t>
      </w:r>
      <w:r w:rsidR="006C3FD8">
        <w:fldChar w:fldCharType="begin" w:fldLock="1"/>
      </w:r>
      <w:r w:rsidR="002C13C6">
        <w:instrText>ADDIN CSL_CITATION {"citationItems":[{"id":"ITEM-1","itemData":{"URL":"https://www.ncsc.gov.uk/guidance/byod-executive-summary","accessed":{"date-parts":[["2021","1","8"]]},"author":[{"dropping-particle":"","family":"NCSC","given":"","non-dropping-particle":"","parse-names":false,"suffix":""}],"id":"ITEM-1","issued":{"date-parts":[["2016"]]},"title":"BYOD: Executive Summary - NCSC.GOV.UK","type":"webpage"},"uris":["http://www.mendeley.com/documents/?uuid=e5cbd469-aed3-31f4-8496-5c0681a42906"]}],"mendeley":{"formattedCitation":"[28]","plainTextFormattedCitation":"[28]","previouslyFormattedCitation":"[27]"},"properties":{"noteIndex":0},"schema":"https://github.com/citation-style-language/schema/raw/master/csl-citation.json"}</w:instrText>
      </w:r>
      <w:r w:rsidR="006C3FD8">
        <w:fldChar w:fldCharType="separate"/>
      </w:r>
      <w:r w:rsidR="002C13C6" w:rsidRPr="002C13C6">
        <w:rPr>
          <w:noProof/>
        </w:rPr>
        <w:t>[28]</w:t>
      </w:r>
      <w:r w:rsidR="006C3FD8">
        <w:fldChar w:fldCharType="end"/>
      </w:r>
      <w:r>
        <w:t>.</w:t>
      </w:r>
    </w:p>
    <w:p w14:paraId="31D5A310" w14:textId="1355134C" w:rsidR="00730C82" w:rsidRDefault="00730C82" w:rsidP="00842C4B">
      <w:pPr>
        <w:pStyle w:val="ListParagraph"/>
        <w:numPr>
          <w:ilvl w:val="0"/>
          <w:numId w:val="16"/>
        </w:numPr>
      </w:pPr>
      <w:r>
        <w:t xml:space="preserve">The use of Multi-Factor Authentication must be adopted </w:t>
      </w:r>
      <w:r>
        <w:fldChar w:fldCharType="begin" w:fldLock="1"/>
      </w:r>
      <w:r w:rsidR="002C13C6">
        <w:instrText>ADDIN CSL_CITATION {"citationItems":[{"id":"ITEM-1","itemData":{"abstract":"In this paper, the security challenges of BYOD are discussed, including existing security solutions which often are too restrictive. Data leakage is one of the security challenges confronting BYOD. Data leakage can occur as a result of stolen, lost or compromised employee devices. When an employee device is stolen, lost or comprised, an attacker can obtain access directly to the enterprise data on the employee device if a strong authentication technique is not in place. The traditional means of authenticating employees when connecting to an enterprise server in a traditional network environment which relies on either knowledge or ownership is too weak for the BYOD environment. In such a traditional enterprise network, employees obtain access to an enterpriseserver using their respective stationary desktop, while in a BYOD environment access to an enterprise server is from anywhere, making it easy for an attacker in possession of an employee device and password to gain unauthorised access. To address this problem, there is need for a strong authentication technique. This study proposes a theoretical framework for a two-factor authentication method that combines knowledge-based (Password) and biometric-based (Keystroke dynamic) features for authentication of mobile devices in a BYOD environment. Technical details on how the framework can be implemented are presented. It is the belief of the authors that proper implementation of the proposed potential future application framework will go a long way in addressing the problem of data leakage in a BYOD environment.","author":[{"dropping-particle":"","family":"Olalere","given":"Morufu","non-dropping-particle":"","parse-names":false,"suffix":""},{"dropping-particle":"","family":"Abdullah","given":"Mohd Taufik","non-dropping-particle":"","parse-names":false,"suffix":""},{"dropping-particle":"","family":"Mahmod","given":"Ramlan","non-dropping-particle":"","parse-names":false,"suffix":""},{"dropping-particle":"","family":"Abdullah","given":"Azizol","non-dropping-particle":"","parse-names":false,"suffix":""}],"container-title":"International Journal of Computer Networks and Communications Security","id":"ITEM-1","issue":"1","issued":{"date-parts":[["2016"]]},"page":"21-32","title":"Bring Your Own Device: Security Challenges and A Theoretical Framework for Two-Factor Authentication","type":"article-journal","volume":"4"},"uris":["http://www.mendeley.com/documents/?uuid=2c364b77-e914-47b5-b196-46c0dbc302de"]}],"mendeley":{"formattedCitation":"[29]","plainTextFormattedCitation":"[29]","previouslyFormattedCitation":"[28]"},"properties":{"noteIndex":0},"schema":"https://github.com/citation-style-language/schema/raw/master/csl-citation.json"}</w:instrText>
      </w:r>
      <w:r>
        <w:fldChar w:fldCharType="separate"/>
      </w:r>
      <w:r w:rsidR="002C13C6" w:rsidRPr="002C13C6">
        <w:rPr>
          <w:noProof/>
        </w:rPr>
        <w:t>[29]</w:t>
      </w:r>
      <w:r>
        <w:fldChar w:fldCharType="end"/>
      </w:r>
      <w:r>
        <w:t>.</w:t>
      </w:r>
    </w:p>
    <w:p w14:paraId="49A78673" w14:textId="077A1D04" w:rsidR="0027700F" w:rsidRDefault="0027700F" w:rsidP="00842C4B">
      <w:pPr>
        <w:pStyle w:val="ListParagraph"/>
        <w:numPr>
          <w:ilvl w:val="0"/>
          <w:numId w:val="16"/>
        </w:numPr>
      </w:pPr>
      <w:r>
        <w:t xml:space="preserve">Only allow devices that are connected remotely a limited (preferably minimum) number of accessible services </w:t>
      </w:r>
      <w:r>
        <w:fldChar w:fldCharType="begin" w:fldLock="1"/>
      </w:r>
      <w:r w:rsidR="002C13C6">
        <w:instrText>ADDIN CSL_CITATION {"citationItems":[{"id":"ITEM-1","itemData":{"URL":"https://www.ncsc.gov.uk/collection/mobile-device-guidance/bring-your-own-device#section_3","accessed":{"date-parts":[["2021","1","8"]]},"author":[{"dropping-particle":"","family":"NCSC","given":"","non-dropping-particle":"","parse-names":false,"suffix":""}],"id":"ITEM-1","issued":{"date-parts":[["0"]]},"title":"Mobile Device Guidance","type":"webpage"},"uris":["http://www.mendeley.com/documents/?uuid=be00a3c0-b4a9-3048-b59b-e10a1f189e52"]}],"mendeley":{"formattedCitation":"[30]","plainTextFormattedCitation":"[30]","previouslyFormattedCitation":"[29]"},"properties":{"noteIndex":0},"schema":"https://github.com/citation-style-language/schema/raw/master/csl-citation.json"}</w:instrText>
      </w:r>
      <w:r>
        <w:fldChar w:fldCharType="separate"/>
      </w:r>
      <w:r w:rsidR="002C13C6" w:rsidRPr="002C13C6">
        <w:rPr>
          <w:noProof/>
        </w:rPr>
        <w:t>[30]</w:t>
      </w:r>
      <w:r>
        <w:fldChar w:fldCharType="end"/>
      </w:r>
      <w:r>
        <w:t>.</w:t>
      </w:r>
    </w:p>
    <w:p w14:paraId="47DFC2B4" w14:textId="057F9831" w:rsidR="00B476C3" w:rsidRPr="00842C4B" w:rsidRDefault="00B476C3" w:rsidP="00842C4B">
      <w:pPr>
        <w:pStyle w:val="ListParagraph"/>
        <w:numPr>
          <w:ilvl w:val="0"/>
          <w:numId w:val="16"/>
        </w:numPr>
      </w:pPr>
      <w:r>
        <w:t xml:space="preserve">Incorporate a risk-based authentication process to reduce the likelihood of unauthorised access </w:t>
      </w:r>
      <w:r w:rsidR="005E7C00">
        <w:fldChar w:fldCharType="begin" w:fldLock="1"/>
      </w:r>
      <w:r w:rsidR="002C13C6">
        <w:instrText>ADDIN CSL_CITATION {"citationItems":[{"id":"ITEM-1","itemData":{"DOI":"10.1109/ACITT.2019.8780068","ISBN":"9781728104492","abstract":"The work defines a multi-factor authentication model in case the application supports multiple authentication factors. The aim of this modeling is to find acceptable authentication methods sufficient to access specifically qualified information.The core of the proposed model is risk-based authentication. Results of simulations of some key scenarios often used in practice are also presented.","author":[{"dropping-particle":"","family":"Dostalek","given":"Libor","non-dropping-particle":"","parse-names":false,"suffix":""}],"container-title":"2019 9th International Conference on Advanced Computer Information Technologies, ACIT 2019 - Proceedings","id":"ITEM-1","issued":{"date-parts":[["2019","6","1"]]},"page":"443-446","publisher":"Institute of Electrical and Electronics Engineers Inc.","title":"Multi-Factor Authentication Modeling","type":"paper-conference"},"uris":["http://www.mendeley.com/documents/?uuid=a01221e8-e892-3cb0-bb9f-64ba8f9ac29c"]}],"mendeley":{"formattedCitation":"[31]","plainTextFormattedCitation":"[31]","previouslyFormattedCitation":"[30]"},"properties":{"noteIndex":0},"schema":"https://github.com/citation-style-language/schema/raw/master/csl-citation.json"}</w:instrText>
      </w:r>
      <w:r w:rsidR="005E7C00">
        <w:fldChar w:fldCharType="separate"/>
      </w:r>
      <w:r w:rsidR="002C13C6" w:rsidRPr="002C13C6">
        <w:rPr>
          <w:noProof/>
        </w:rPr>
        <w:t>[31]</w:t>
      </w:r>
      <w:r w:rsidR="005E7C00">
        <w:fldChar w:fldCharType="end"/>
      </w:r>
      <w:r>
        <w:t>.</w:t>
      </w:r>
    </w:p>
    <w:p w14:paraId="4A8AB19F" w14:textId="5CA71FA4" w:rsidR="008B0B48" w:rsidRPr="008B0B48" w:rsidRDefault="008B0B48" w:rsidP="008B0B48">
      <w:pPr>
        <w:pStyle w:val="Heading2"/>
        <w:numPr>
          <w:ilvl w:val="1"/>
          <w:numId w:val="1"/>
        </w:numPr>
      </w:pPr>
      <w:bookmarkStart w:id="27" w:name="_Toc61013540"/>
      <w:r>
        <w:t>Evaluate</w:t>
      </w:r>
      <w:bookmarkEnd w:id="27"/>
    </w:p>
    <w:p w14:paraId="110189DF" w14:textId="77777777" w:rsidR="00953B21" w:rsidRDefault="00953B21">
      <w:r>
        <w:t>This process involves planning of a full system evaluation and determining the scope of such an event.  An audit mechanism should be conceived with the goal of checking the areas of the system at different time intervals which are determined by their level of importance.  The audit should be undertaken by impartial employees and reported to multiple persons within the upper management tier.</w:t>
      </w:r>
    </w:p>
    <w:p w14:paraId="72153C43" w14:textId="77777777" w:rsidR="0053562C" w:rsidRDefault="00953B21">
      <w:r>
        <w:tab/>
        <w:t>The evaluation stage should not just evaluate the operational side of the system, but also the exploration stage as new technologies emerge very quickly and may either pose a threat or an opportunity to the company.  This audit system should heavily reflect that of ISO 27001’s section 9 entitled ‘Performance Evaluation’.</w:t>
      </w:r>
    </w:p>
    <w:p w14:paraId="420773F4" w14:textId="3E972BFA" w:rsidR="0053562C" w:rsidRDefault="0053562C" w:rsidP="0053562C">
      <w:pPr>
        <w:pStyle w:val="Heading3"/>
        <w:numPr>
          <w:ilvl w:val="2"/>
          <w:numId w:val="1"/>
        </w:numPr>
      </w:pPr>
      <w:bookmarkStart w:id="28" w:name="_Toc61013541"/>
      <w:r>
        <w:t>System Review</w:t>
      </w:r>
      <w:bookmarkEnd w:id="28"/>
    </w:p>
    <w:p w14:paraId="487ED97B" w14:textId="39059772" w:rsidR="008D5297" w:rsidRPr="008D5297" w:rsidRDefault="008D5297" w:rsidP="008D5297">
      <w:r>
        <w:t xml:space="preserve">Due to the </w:t>
      </w:r>
      <w:r w:rsidR="00ED2B61">
        <w:t>ever-changing</w:t>
      </w:r>
      <w:r>
        <w:t xml:space="preserve"> </w:t>
      </w:r>
      <w:r w:rsidR="00ED2B61">
        <w:t>technological landscape, it is advised that a full system review take place annually.  This will aid in efforts to keep threats at bay by adopting new elements (both managerial and operational) into the ISMS.</w:t>
      </w:r>
    </w:p>
    <w:p w14:paraId="0F4B9A81" w14:textId="0E26076E" w:rsidR="0053562C" w:rsidRDefault="0053562C" w:rsidP="0053562C">
      <w:pPr>
        <w:pStyle w:val="Heading3"/>
        <w:numPr>
          <w:ilvl w:val="2"/>
          <w:numId w:val="1"/>
        </w:numPr>
      </w:pPr>
      <w:bookmarkStart w:id="29" w:name="_Toc61013542"/>
      <w:r>
        <w:t>Exploratory Review</w:t>
      </w:r>
      <w:bookmarkEnd w:id="29"/>
    </w:p>
    <w:p w14:paraId="63F7C8D2" w14:textId="59E2CCF8" w:rsidR="00BE6E98" w:rsidRPr="00BE6E98" w:rsidRDefault="00BE6E98" w:rsidP="00BE6E98">
      <w:r>
        <w:t>A full Exploratory review should take place bi-annually and will consist of a reiteration of both the risk assessment and risk management processes.  This ensures that new risks are allowed to be investigated and managed in a timely manner.</w:t>
      </w:r>
    </w:p>
    <w:p w14:paraId="4BBD3815" w14:textId="5106114E" w:rsidR="00CB1170" w:rsidRDefault="0053562C" w:rsidP="0053562C">
      <w:pPr>
        <w:pStyle w:val="Heading3"/>
        <w:numPr>
          <w:ilvl w:val="2"/>
          <w:numId w:val="1"/>
        </w:numPr>
      </w:pPr>
      <w:bookmarkStart w:id="30" w:name="_Toc61013543"/>
      <w:r>
        <w:t>Engagement Review</w:t>
      </w:r>
      <w:bookmarkEnd w:id="30"/>
    </w:p>
    <w:p w14:paraId="20C4823D" w14:textId="4836AB6B" w:rsidR="008D5297" w:rsidRPr="008D5297" w:rsidRDefault="00BE6E98" w:rsidP="008D5297">
      <w:r>
        <w:t>An Engagement review should occur monthly as the infrastructure will be the prime target of attackers.</w:t>
      </w:r>
    </w:p>
    <w:p w14:paraId="7E61B371" w14:textId="34F21637" w:rsidR="008D5297" w:rsidRDefault="00A167CE" w:rsidP="00A167CE">
      <w:pPr>
        <w:pStyle w:val="Heading1"/>
        <w:numPr>
          <w:ilvl w:val="0"/>
          <w:numId w:val="1"/>
        </w:numPr>
      </w:pPr>
      <w:bookmarkStart w:id="31" w:name="_Toc61013544"/>
      <w:r>
        <w:t>Conclusion</w:t>
      </w:r>
      <w:bookmarkEnd w:id="31"/>
    </w:p>
    <w:p w14:paraId="4549C7BC" w14:textId="07A29F27" w:rsidR="00A167CE" w:rsidRDefault="00B01654">
      <w:pPr>
        <w:rPr>
          <w:rFonts w:eastAsiaTheme="majorEastAsia" w:cstheme="majorBidi"/>
          <w:b/>
          <w:sz w:val="32"/>
          <w:szCs w:val="32"/>
        </w:rPr>
      </w:pPr>
      <w:r>
        <w:t>This report firstly researched different Information Security Frameworks and how they can be applied to organisations from all different industries.  The benefits and shortcomings of each were analysed and compared to produce a solid platform from which to tackle task 2’s scenario of custom designing an ISMS to fit the described company.  The created ISMS covered areas that closely relate to ones found in task 1, with particular attention paid to ISO 27000 and NIST CSF.</w:t>
      </w:r>
      <w:r w:rsidR="00A167CE">
        <w:br w:type="page"/>
      </w:r>
    </w:p>
    <w:p w14:paraId="6B470B05" w14:textId="464AF946" w:rsidR="00C73722" w:rsidRDefault="00236231" w:rsidP="00236231">
      <w:pPr>
        <w:pStyle w:val="Heading1"/>
      </w:pPr>
      <w:bookmarkStart w:id="32" w:name="_Toc61013545"/>
      <w:r>
        <w:t>References</w:t>
      </w:r>
      <w:bookmarkEnd w:id="32"/>
    </w:p>
    <w:p w14:paraId="1F84D4FE" w14:textId="77777777" w:rsidR="00236231" w:rsidRPr="00236231" w:rsidRDefault="00236231" w:rsidP="00236231"/>
    <w:p w14:paraId="66C4DD1C" w14:textId="385ECEC7" w:rsidR="002C13C6" w:rsidRPr="002C13C6" w:rsidRDefault="00C73722" w:rsidP="002C13C6">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2C13C6" w:rsidRPr="002C13C6">
        <w:rPr>
          <w:rFonts w:cs="Arial"/>
          <w:noProof/>
          <w:szCs w:val="24"/>
        </w:rPr>
        <w:t>[1]</w:t>
      </w:r>
      <w:r w:rsidR="002C13C6" w:rsidRPr="002C13C6">
        <w:rPr>
          <w:rFonts w:cs="Arial"/>
          <w:noProof/>
          <w:szCs w:val="24"/>
        </w:rPr>
        <w:tab/>
        <w:t>International Telecommunication Union, “Measuring Digital Development,” Geneva, 2019.</w:t>
      </w:r>
    </w:p>
    <w:p w14:paraId="2963730F"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w:t>
      </w:r>
      <w:r w:rsidRPr="002C13C6">
        <w:rPr>
          <w:rFonts w:cs="Arial"/>
          <w:noProof/>
          <w:szCs w:val="24"/>
        </w:rPr>
        <w:tab/>
        <w:t>Cisco, “Cisco Annual Internet Report (2018-2023),” 2018.</w:t>
      </w:r>
    </w:p>
    <w:p w14:paraId="6741D1E6"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[3]</w:t>
      </w:r>
      <w:r w:rsidRPr="002C13C6">
        <w:rPr>
          <w:rFonts w:cs="Arial"/>
          <w:noProof/>
          <w:szCs w:val="24"/>
        </w:rPr>
        <w:tab/>
        <w:t>MalwareBytes Labs, “2020 State of Malware Report,” 2020.</w:t>
      </w:r>
    </w:p>
    <w:p w14:paraId="631E6162"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[4]</w:t>
      </w:r>
      <w:r w:rsidRPr="002C13C6">
        <w:rPr>
          <w:rFonts w:cs="Arial"/>
          <w:noProof/>
          <w:szCs w:val="24"/>
        </w:rPr>
        <w:tab/>
        <w:t xml:space="preserve">S. Sen, E. Aydogan, and A. I. Aysan, “Coevolution of Mobile Malware and Anti-Malware,” </w:t>
      </w:r>
      <w:r w:rsidRPr="002C13C6">
        <w:rPr>
          <w:rFonts w:cs="Arial"/>
          <w:i/>
          <w:iCs/>
          <w:noProof/>
          <w:szCs w:val="24"/>
        </w:rPr>
        <w:t>IEEE Trans. Inf. Forensics Secur.</w:t>
      </w:r>
      <w:r w:rsidRPr="002C13C6">
        <w:rPr>
          <w:rFonts w:cs="Arial"/>
          <w:noProof/>
          <w:szCs w:val="24"/>
        </w:rPr>
        <w:t>, vol. 13, no. 10, pp. 2563–2574, Oct. 2018.</w:t>
      </w:r>
    </w:p>
    <w:p w14:paraId="1F8ADDF8"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[5]</w:t>
      </w:r>
      <w:r w:rsidRPr="002C13C6">
        <w:rPr>
          <w:rFonts w:cs="Arial"/>
          <w:noProof/>
          <w:szCs w:val="24"/>
        </w:rPr>
        <w:tab/>
        <w:t>B. Ryon, “Microsoft Announces Plans for No-Cost Consumer Security Offering - Stories,” 18-Nov-2008. [Online]. Available: https://news.microsoft.com/2008/11/18/microsoft-announces-plans-for-no-cost-consumer-security-offering/. [Accessed: 07-Oct-2020].</w:t>
      </w:r>
    </w:p>
    <w:p w14:paraId="2D72461E"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[6]</w:t>
      </w:r>
      <w:r w:rsidRPr="002C13C6">
        <w:rPr>
          <w:rFonts w:cs="Arial"/>
          <w:noProof/>
          <w:szCs w:val="24"/>
        </w:rPr>
        <w:tab/>
        <w:t xml:space="preserve">M. Xu, K. M. Schweitzer, R. M. Bateman, and S. Xu, “Modeling and Predicting Cyber Hacking Breaches,” </w:t>
      </w:r>
      <w:r w:rsidRPr="002C13C6">
        <w:rPr>
          <w:rFonts w:cs="Arial"/>
          <w:i/>
          <w:iCs/>
          <w:noProof/>
          <w:szCs w:val="24"/>
        </w:rPr>
        <w:t>IEEE Trans. Inf. Forensics Secur.</w:t>
      </w:r>
      <w:r w:rsidRPr="002C13C6">
        <w:rPr>
          <w:rFonts w:cs="Arial"/>
          <w:noProof/>
          <w:szCs w:val="24"/>
        </w:rPr>
        <w:t>, vol. 13, no. 11, pp. 2856–2871, Nov. 2018.</w:t>
      </w:r>
    </w:p>
    <w:p w14:paraId="13F8AA45"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[7]</w:t>
      </w:r>
      <w:r w:rsidRPr="002C13C6">
        <w:rPr>
          <w:rFonts w:cs="Arial"/>
          <w:noProof/>
          <w:szCs w:val="24"/>
        </w:rPr>
        <w:tab/>
        <w:t xml:space="preserve">J. W. McCormick and P. C. Chapin, </w:t>
      </w:r>
      <w:r w:rsidRPr="002C13C6">
        <w:rPr>
          <w:rFonts w:cs="Arial"/>
          <w:i/>
          <w:iCs/>
          <w:noProof/>
          <w:szCs w:val="24"/>
        </w:rPr>
        <w:t>Building high integrity applications with spark</w:t>
      </w:r>
      <w:r w:rsidRPr="002C13C6">
        <w:rPr>
          <w:rFonts w:cs="Arial"/>
          <w:noProof/>
          <w:szCs w:val="24"/>
        </w:rPr>
        <w:t>. Cambridge University Press, 2015.</w:t>
      </w:r>
    </w:p>
    <w:p w14:paraId="45A8C37A"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[8]</w:t>
      </w:r>
      <w:r w:rsidRPr="002C13C6">
        <w:rPr>
          <w:rFonts w:cs="Arial"/>
          <w:noProof/>
          <w:szCs w:val="24"/>
        </w:rPr>
        <w:tab/>
        <w:t xml:space="preserve">A. Kovacevic, N. Putnik, and O. Toskovic, “Factors Related to Cyber Security Behavior,” </w:t>
      </w:r>
      <w:r w:rsidRPr="002C13C6">
        <w:rPr>
          <w:rFonts w:cs="Arial"/>
          <w:i/>
          <w:iCs/>
          <w:noProof/>
          <w:szCs w:val="24"/>
        </w:rPr>
        <w:t>IEEE Access</w:t>
      </w:r>
      <w:r w:rsidRPr="002C13C6">
        <w:rPr>
          <w:rFonts w:cs="Arial"/>
          <w:noProof/>
          <w:szCs w:val="24"/>
        </w:rPr>
        <w:t>, vol. 8, pp. 125140–125148, 2020.</w:t>
      </w:r>
    </w:p>
    <w:p w14:paraId="765FF1D0"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[9]</w:t>
      </w:r>
      <w:r w:rsidRPr="002C13C6">
        <w:rPr>
          <w:rFonts w:cs="Arial"/>
          <w:noProof/>
          <w:szCs w:val="24"/>
        </w:rPr>
        <w:tab/>
        <w:t xml:space="preserve">Z. Hamdi, A. Anir Norman, N. Nuha Abdul Molok, and F. Hassandoust, “A Comparative Review of ISMS Implementation Based on ISO 27000 Series in Organizations of Different Business Sectors,” in </w:t>
      </w:r>
      <w:r w:rsidRPr="002C13C6">
        <w:rPr>
          <w:rFonts w:cs="Arial"/>
          <w:i/>
          <w:iCs/>
          <w:noProof/>
          <w:szCs w:val="24"/>
        </w:rPr>
        <w:t>Journal of Physics: Conference Series</w:t>
      </w:r>
      <w:r w:rsidRPr="002C13C6">
        <w:rPr>
          <w:rFonts w:cs="Arial"/>
          <w:noProof/>
          <w:szCs w:val="24"/>
        </w:rPr>
        <w:t>, 2019, vol. 1339, no. 1, p. 12103.</w:t>
      </w:r>
    </w:p>
    <w:p w14:paraId="59CCB83D"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[10]</w:t>
      </w:r>
      <w:r w:rsidRPr="002C13C6">
        <w:rPr>
          <w:rFonts w:cs="Arial"/>
          <w:noProof/>
          <w:szCs w:val="24"/>
        </w:rPr>
        <w:tab/>
        <w:t xml:space="preserve">M. E. Whitman and H. J. Mattord, “The Value of Information and the C.I.A Triad,” in </w:t>
      </w:r>
      <w:r w:rsidRPr="002C13C6">
        <w:rPr>
          <w:rFonts w:cs="Arial"/>
          <w:i/>
          <w:iCs/>
          <w:noProof/>
          <w:szCs w:val="24"/>
        </w:rPr>
        <w:t>Management of Information Security</w:t>
      </w:r>
      <w:r w:rsidRPr="002C13C6">
        <w:rPr>
          <w:rFonts w:cs="Arial"/>
          <w:noProof/>
          <w:szCs w:val="24"/>
        </w:rPr>
        <w:t>, 6th ed., Cengage, 2018, pp. 7–10.</w:t>
      </w:r>
    </w:p>
    <w:p w14:paraId="1DC4E9C8"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[11]</w:t>
      </w:r>
      <w:r w:rsidRPr="002C13C6">
        <w:rPr>
          <w:rFonts w:cs="Arial"/>
          <w:noProof/>
          <w:szCs w:val="24"/>
        </w:rPr>
        <w:tab/>
        <w:t xml:space="preserve">D. J. Tjirare and F. B. Shava, “A gap analysis of the ISO/IEC 27000 standard implementation in Namibia,” in </w:t>
      </w:r>
      <w:r w:rsidRPr="002C13C6">
        <w:rPr>
          <w:rFonts w:cs="Arial"/>
          <w:i/>
          <w:iCs/>
          <w:noProof/>
          <w:szCs w:val="24"/>
        </w:rPr>
        <w:t>2017 IST-Africa Week Conference, IST-Africa 2017</w:t>
      </w:r>
      <w:r w:rsidRPr="002C13C6">
        <w:rPr>
          <w:rFonts w:cs="Arial"/>
          <w:noProof/>
          <w:szCs w:val="24"/>
        </w:rPr>
        <w:t>, 2017.</w:t>
      </w:r>
    </w:p>
    <w:p w14:paraId="26496D88"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[12]</w:t>
      </w:r>
      <w:r w:rsidRPr="002C13C6">
        <w:rPr>
          <w:rFonts w:cs="Arial"/>
          <w:noProof/>
          <w:szCs w:val="24"/>
        </w:rPr>
        <w:tab/>
        <w:t>ISO, “NEN-ISO/IEC 27001,” 2013.</w:t>
      </w:r>
    </w:p>
    <w:p w14:paraId="69FBC602"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[13]</w:t>
      </w:r>
      <w:r w:rsidRPr="002C13C6">
        <w:rPr>
          <w:rFonts w:cs="Arial"/>
          <w:noProof/>
          <w:szCs w:val="24"/>
        </w:rPr>
        <w:tab/>
        <w:t xml:space="preserve">M. Barrett, “Framework for improving critical infrastructure cybersecurity,” in </w:t>
      </w:r>
      <w:r w:rsidRPr="002C13C6">
        <w:rPr>
          <w:rFonts w:cs="Arial"/>
          <w:i/>
          <w:iCs/>
          <w:noProof/>
          <w:szCs w:val="24"/>
        </w:rPr>
        <w:t>Proceedings of the Annual ISA Analysis Division Symposium</w:t>
      </w:r>
      <w:r w:rsidRPr="002C13C6">
        <w:rPr>
          <w:rFonts w:cs="Arial"/>
          <w:noProof/>
          <w:szCs w:val="24"/>
        </w:rPr>
        <w:t>, 2018, vol. 535, pp. 9–25.</w:t>
      </w:r>
    </w:p>
    <w:p w14:paraId="7AE81F21"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[14]</w:t>
      </w:r>
      <w:r w:rsidRPr="002C13C6">
        <w:rPr>
          <w:rFonts w:cs="Arial"/>
          <w:noProof/>
          <w:szCs w:val="24"/>
        </w:rPr>
        <w:tab/>
        <w:t>J. Beasley, “A Guide to Successfully Implementing the NIST Cybersecurity Framework,” 2015.</w:t>
      </w:r>
    </w:p>
    <w:p w14:paraId="35FF1E1D"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[15]</w:t>
      </w:r>
      <w:r w:rsidRPr="002C13C6">
        <w:rPr>
          <w:rFonts w:cs="Arial"/>
          <w:noProof/>
          <w:szCs w:val="24"/>
        </w:rPr>
        <w:tab/>
        <w:t xml:space="preserve">L. A. Gordon, M. P. Loeb, and L. Zhou, “Integrating cost–benefit analysis into the NIST Cybersecurity Framework via the Gordon–Loeb Model,” </w:t>
      </w:r>
      <w:r w:rsidRPr="002C13C6">
        <w:rPr>
          <w:rFonts w:cs="Arial"/>
          <w:i/>
          <w:iCs/>
          <w:noProof/>
          <w:szCs w:val="24"/>
        </w:rPr>
        <w:t>J. Cybersecurity</w:t>
      </w:r>
      <w:r w:rsidRPr="002C13C6">
        <w:rPr>
          <w:rFonts w:cs="Arial"/>
          <w:noProof/>
          <w:szCs w:val="24"/>
        </w:rPr>
        <w:t>, vol. 6, no. 1, Jan. 2020.</w:t>
      </w:r>
    </w:p>
    <w:p w14:paraId="17331262"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[16]</w:t>
      </w:r>
      <w:r w:rsidRPr="002C13C6">
        <w:rPr>
          <w:rFonts w:cs="Arial"/>
          <w:noProof/>
          <w:szCs w:val="24"/>
        </w:rPr>
        <w:tab/>
        <w:t xml:space="preserve">HCPro, “Bringing together information security and finance with PCI DSS,” </w:t>
      </w:r>
      <w:r w:rsidRPr="002C13C6">
        <w:rPr>
          <w:rFonts w:cs="Arial"/>
          <w:i/>
          <w:iCs/>
          <w:noProof/>
          <w:szCs w:val="24"/>
        </w:rPr>
        <w:t>Briefings on HIPAA</w:t>
      </w:r>
      <w:r w:rsidRPr="002C13C6">
        <w:rPr>
          <w:rFonts w:cs="Arial"/>
          <w:noProof/>
          <w:szCs w:val="24"/>
        </w:rPr>
        <w:t>, vol. 16, no. 12, pp. 6–8, 2016.</w:t>
      </w:r>
    </w:p>
    <w:p w14:paraId="1D54F6E5"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[17]</w:t>
      </w:r>
      <w:r w:rsidRPr="002C13C6">
        <w:rPr>
          <w:rFonts w:cs="Arial"/>
          <w:noProof/>
          <w:szCs w:val="24"/>
        </w:rPr>
        <w:tab/>
        <w:t xml:space="preserve">J. Liu, Y. Xiao, H. Chen, S. Ozdemir, S. Dodle, and V. Singh, “A survey of payment card industry data security standard,” </w:t>
      </w:r>
      <w:r w:rsidRPr="002C13C6">
        <w:rPr>
          <w:rFonts w:cs="Arial"/>
          <w:i/>
          <w:iCs/>
          <w:noProof/>
          <w:szCs w:val="24"/>
        </w:rPr>
        <w:t>IEEE Commun. Surv. Tutorials</w:t>
      </w:r>
      <w:r w:rsidRPr="002C13C6">
        <w:rPr>
          <w:rFonts w:cs="Arial"/>
          <w:noProof/>
          <w:szCs w:val="24"/>
        </w:rPr>
        <w:t>, vol. 12, no. 3, pp. 287–303, Sep. 2010.</w:t>
      </w:r>
    </w:p>
    <w:p w14:paraId="5F9078FF"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[18]</w:t>
      </w:r>
      <w:r w:rsidRPr="002C13C6">
        <w:rPr>
          <w:rFonts w:cs="Arial"/>
          <w:noProof/>
          <w:szCs w:val="24"/>
        </w:rPr>
        <w:tab/>
        <w:t xml:space="preserve">O. Tounekti, A. Ruiz-Martinez, and A. F. Skarmeta Gomez, “Users Supporting Multiple (Mobile) Electronic Payment Systems in Online Purchases: An Empirical Study of Their Payment Transaction Preferences,” </w:t>
      </w:r>
      <w:r w:rsidRPr="002C13C6">
        <w:rPr>
          <w:rFonts w:cs="Arial"/>
          <w:i/>
          <w:iCs/>
          <w:noProof/>
          <w:szCs w:val="24"/>
        </w:rPr>
        <w:t>IEEE Access</w:t>
      </w:r>
      <w:r w:rsidRPr="002C13C6">
        <w:rPr>
          <w:rFonts w:cs="Arial"/>
          <w:noProof/>
          <w:szCs w:val="24"/>
        </w:rPr>
        <w:t>, vol. 8, pp. 735–766, 2020.</w:t>
      </w:r>
    </w:p>
    <w:p w14:paraId="447EA541"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[19]</w:t>
      </w:r>
      <w:r w:rsidRPr="002C13C6">
        <w:rPr>
          <w:rFonts w:cs="Arial"/>
          <w:noProof/>
          <w:szCs w:val="24"/>
        </w:rPr>
        <w:tab/>
        <w:t xml:space="preserve">K. Randhawa, C. K. Loo, M. Seera, C. P. Lim, and A. K. Nandi, “Credit Card Fraud Detection Using AdaBoost and Majority Voting,” </w:t>
      </w:r>
      <w:r w:rsidRPr="002C13C6">
        <w:rPr>
          <w:rFonts w:cs="Arial"/>
          <w:i/>
          <w:iCs/>
          <w:noProof/>
          <w:szCs w:val="24"/>
        </w:rPr>
        <w:t>IEEE Access</w:t>
      </w:r>
      <w:r w:rsidRPr="002C13C6">
        <w:rPr>
          <w:rFonts w:cs="Arial"/>
          <w:noProof/>
          <w:szCs w:val="24"/>
        </w:rPr>
        <w:t>, vol. 6, pp. 14277–14284, Feb. 2018.</w:t>
      </w:r>
    </w:p>
    <w:p w14:paraId="4996878E"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[20]</w:t>
      </w:r>
      <w:r w:rsidRPr="002C13C6">
        <w:rPr>
          <w:rFonts w:cs="Arial"/>
          <w:noProof/>
          <w:szCs w:val="24"/>
        </w:rPr>
        <w:tab/>
        <w:t>Dejan Kosutic, “How to implement NIST Cybersecurity Framework using ISO 27001,” 2017.</w:t>
      </w:r>
    </w:p>
    <w:p w14:paraId="2EDB1D5E"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[21]</w:t>
      </w:r>
      <w:r w:rsidRPr="002C13C6">
        <w:rPr>
          <w:rFonts w:cs="Arial"/>
          <w:noProof/>
          <w:szCs w:val="24"/>
        </w:rPr>
        <w:tab/>
        <w:t xml:space="preserve">P. P. Roy, “A High-Level Comparison between the NIST Cyber Security Framework and the ISO 27001 Information Security Standard,” in </w:t>
      </w:r>
      <w:r w:rsidRPr="002C13C6">
        <w:rPr>
          <w:rFonts w:cs="Arial"/>
          <w:i/>
          <w:iCs/>
          <w:noProof/>
          <w:szCs w:val="24"/>
        </w:rPr>
        <w:t>2020 National Conference on Emerging Trends on Sustainable Technology and Engineering Applications, NCETSTEA 2020</w:t>
      </w:r>
      <w:r w:rsidRPr="002C13C6">
        <w:rPr>
          <w:rFonts w:cs="Arial"/>
          <w:noProof/>
          <w:szCs w:val="24"/>
        </w:rPr>
        <w:t>, 2020.</w:t>
      </w:r>
    </w:p>
    <w:p w14:paraId="27025D44"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[22]</w:t>
      </w:r>
      <w:r w:rsidRPr="002C13C6">
        <w:rPr>
          <w:rFonts w:cs="Arial"/>
          <w:noProof/>
          <w:szCs w:val="24"/>
        </w:rPr>
        <w:tab/>
        <w:t xml:space="preserve">T. Mataracioglu, “Comparison of PCI DSS and ISO / IEC 27001 Standards,” </w:t>
      </w:r>
      <w:r w:rsidRPr="002C13C6">
        <w:rPr>
          <w:rFonts w:cs="Arial"/>
          <w:i/>
          <w:iCs/>
          <w:noProof/>
          <w:szCs w:val="24"/>
        </w:rPr>
        <w:t>ISACA J.</w:t>
      </w:r>
      <w:r w:rsidRPr="002C13C6">
        <w:rPr>
          <w:rFonts w:cs="Arial"/>
          <w:noProof/>
          <w:szCs w:val="24"/>
        </w:rPr>
        <w:t>, vol. 1, no. October 2010, pp. 1–5, 2016.</w:t>
      </w:r>
    </w:p>
    <w:p w14:paraId="20C0C36F"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[23]</w:t>
      </w:r>
      <w:r w:rsidRPr="002C13C6">
        <w:rPr>
          <w:rFonts w:cs="Arial"/>
          <w:noProof/>
          <w:szCs w:val="24"/>
        </w:rPr>
        <w:tab/>
        <w:t xml:space="preserve">K. Bauer, V. Dedhia, R. Skowyra, W. Streilein, and H. Okhravi, “Multi-variant execution to protect unpatched software,” in </w:t>
      </w:r>
      <w:r w:rsidRPr="002C13C6">
        <w:rPr>
          <w:rFonts w:cs="Arial"/>
          <w:i/>
          <w:iCs/>
          <w:noProof/>
          <w:szCs w:val="24"/>
        </w:rPr>
        <w:t>Proceedings - 2015 Resilience Week, RSW 2015</w:t>
      </w:r>
      <w:r w:rsidRPr="002C13C6">
        <w:rPr>
          <w:rFonts w:cs="Arial"/>
          <w:noProof/>
          <w:szCs w:val="24"/>
        </w:rPr>
        <w:t>, 2015, pp. 108–113.</w:t>
      </w:r>
    </w:p>
    <w:p w14:paraId="1E1648FA"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[24]</w:t>
      </w:r>
      <w:r w:rsidRPr="002C13C6">
        <w:rPr>
          <w:rFonts w:cs="Arial"/>
          <w:noProof/>
          <w:szCs w:val="24"/>
        </w:rPr>
        <w:tab/>
        <w:t xml:space="preserve">A. Chopra and M. Chaudhary, “Annex A.10: Cryptographic Control,” in </w:t>
      </w:r>
      <w:r w:rsidRPr="002C13C6">
        <w:rPr>
          <w:rFonts w:cs="Arial"/>
          <w:i/>
          <w:iCs/>
          <w:noProof/>
          <w:szCs w:val="24"/>
        </w:rPr>
        <w:t>Implementing an Information Security Management System</w:t>
      </w:r>
      <w:r w:rsidRPr="002C13C6">
        <w:rPr>
          <w:rFonts w:cs="Arial"/>
          <w:noProof/>
          <w:szCs w:val="24"/>
        </w:rPr>
        <w:t>, APRESS, 2020, pp. 63–64.</w:t>
      </w:r>
    </w:p>
    <w:p w14:paraId="57FA5584"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[25]</w:t>
      </w:r>
      <w:r w:rsidRPr="002C13C6">
        <w:rPr>
          <w:rFonts w:cs="Arial"/>
          <w:noProof/>
          <w:szCs w:val="24"/>
        </w:rPr>
        <w:tab/>
        <w:t xml:space="preserve">K. Timms, “BYOD must be met with a wider appreciation of the cyber-security threat,” </w:t>
      </w:r>
      <w:r w:rsidRPr="002C13C6">
        <w:rPr>
          <w:rFonts w:cs="Arial"/>
          <w:i/>
          <w:iCs/>
          <w:noProof/>
          <w:szCs w:val="24"/>
        </w:rPr>
        <w:t>Comput. Fraud Secur.</w:t>
      </w:r>
      <w:r w:rsidRPr="002C13C6">
        <w:rPr>
          <w:rFonts w:cs="Arial"/>
          <w:noProof/>
          <w:szCs w:val="24"/>
        </w:rPr>
        <w:t>, vol. 2017, no. 7, pp. 5–8, Jul. 2017.</w:t>
      </w:r>
    </w:p>
    <w:p w14:paraId="39AF99B9"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[26]</w:t>
      </w:r>
      <w:r w:rsidRPr="002C13C6">
        <w:rPr>
          <w:rFonts w:cs="Arial"/>
          <w:noProof/>
          <w:szCs w:val="24"/>
        </w:rPr>
        <w:tab/>
        <w:t xml:space="preserve">M. S. Doargajudhur and P. Dell, “Impact of BYOD on organizational commitment: an empirical investigation,” </w:t>
      </w:r>
      <w:r w:rsidRPr="002C13C6">
        <w:rPr>
          <w:rFonts w:cs="Arial"/>
          <w:i/>
          <w:iCs/>
          <w:noProof/>
          <w:szCs w:val="24"/>
        </w:rPr>
        <w:t>Inf. Technol. People</w:t>
      </w:r>
      <w:r w:rsidRPr="002C13C6">
        <w:rPr>
          <w:rFonts w:cs="Arial"/>
          <w:noProof/>
          <w:szCs w:val="24"/>
        </w:rPr>
        <w:t>, vol. 32, no. 2, pp. 246–268, Apr. 2019.</w:t>
      </w:r>
    </w:p>
    <w:p w14:paraId="20A90FD9"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[27]</w:t>
      </w:r>
      <w:r w:rsidRPr="002C13C6">
        <w:rPr>
          <w:rFonts w:cs="Arial"/>
          <w:noProof/>
          <w:szCs w:val="24"/>
        </w:rPr>
        <w:tab/>
        <w:t xml:space="preserve">Z. Mitrovic, I. Veljkovic, G. Whyte, and K. Thompson, “Introducing BYOD in an Organisation : The Risk and Customer Services Viewpoints,” in </w:t>
      </w:r>
      <w:r w:rsidRPr="002C13C6">
        <w:rPr>
          <w:rFonts w:cs="Arial"/>
          <w:i/>
          <w:iCs/>
          <w:noProof/>
          <w:szCs w:val="24"/>
        </w:rPr>
        <w:t>CSM Africa Conference 2014</w:t>
      </w:r>
      <w:r w:rsidRPr="002C13C6">
        <w:rPr>
          <w:rFonts w:cs="Arial"/>
          <w:noProof/>
          <w:szCs w:val="24"/>
        </w:rPr>
        <w:t>, 2015.</w:t>
      </w:r>
    </w:p>
    <w:p w14:paraId="10D1AFCF"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[28]</w:t>
      </w:r>
      <w:r w:rsidRPr="002C13C6">
        <w:rPr>
          <w:rFonts w:cs="Arial"/>
          <w:noProof/>
          <w:szCs w:val="24"/>
        </w:rPr>
        <w:tab/>
        <w:t>NCSC, “BYOD: Executive Summary - NCSC.GOV.UK,” 2016. [Online]. Available: https://www.ncsc.gov.uk/guidance/byod-executive-summary. [Accessed: 08-Jan-2021].</w:t>
      </w:r>
    </w:p>
    <w:p w14:paraId="57523F9C"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[29]</w:t>
      </w:r>
      <w:r w:rsidRPr="002C13C6">
        <w:rPr>
          <w:rFonts w:cs="Arial"/>
          <w:noProof/>
          <w:szCs w:val="24"/>
        </w:rPr>
        <w:tab/>
        <w:t xml:space="preserve">M. Olalere, M. T. Abdullah, R. Mahmod, and A. Abdullah, “Bring Your Own Device: Security Challenges and A Theoretical Framework for Two-Factor Authentication,” </w:t>
      </w:r>
      <w:r w:rsidRPr="002C13C6">
        <w:rPr>
          <w:rFonts w:cs="Arial"/>
          <w:i/>
          <w:iCs/>
          <w:noProof/>
          <w:szCs w:val="24"/>
        </w:rPr>
        <w:t>Int. J. Comput. Networks Commun. Secur.</w:t>
      </w:r>
      <w:r w:rsidRPr="002C13C6">
        <w:rPr>
          <w:rFonts w:cs="Arial"/>
          <w:noProof/>
          <w:szCs w:val="24"/>
        </w:rPr>
        <w:t>, vol. 4, no. 1, pp. 21–32, 2016.</w:t>
      </w:r>
    </w:p>
    <w:p w14:paraId="095F3258"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[30]</w:t>
      </w:r>
      <w:r w:rsidRPr="002C13C6">
        <w:rPr>
          <w:rFonts w:cs="Arial"/>
          <w:noProof/>
          <w:szCs w:val="24"/>
        </w:rPr>
        <w:tab/>
        <w:t>NCSC, “Mobile Device Guidance.” [Online]. Available: https://www.ncsc.gov.uk/collection/mobile-device-guidance/bring-your-own-device#section_3. [Accessed: 08-Jan-2021].</w:t>
      </w:r>
    </w:p>
    <w:p w14:paraId="241B1850"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[31]</w:t>
      </w:r>
      <w:r w:rsidRPr="002C13C6">
        <w:rPr>
          <w:rFonts w:cs="Arial"/>
          <w:noProof/>
          <w:szCs w:val="24"/>
        </w:rPr>
        <w:tab/>
        <w:t xml:space="preserve">L. Dostalek, “Multi-Factor Authentication Modeling,” in </w:t>
      </w:r>
      <w:r w:rsidRPr="002C13C6">
        <w:rPr>
          <w:rFonts w:cs="Arial"/>
          <w:i/>
          <w:iCs/>
          <w:noProof/>
          <w:szCs w:val="24"/>
        </w:rPr>
        <w:t>2019 9th International Conference on Advanced Computer Information Technologies, ACIT 2019 - Proceedings</w:t>
      </w:r>
      <w:r w:rsidRPr="002C13C6">
        <w:rPr>
          <w:rFonts w:cs="Arial"/>
          <w:noProof/>
          <w:szCs w:val="24"/>
        </w:rPr>
        <w:t>, 2019, pp. 443–446.</w:t>
      </w:r>
    </w:p>
    <w:p w14:paraId="3E806D56"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[32]</w:t>
      </w:r>
      <w:r w:rsidRPr="002C13C6">
        <w:rPr>
          <w:rFonts w:cs="Arial"/>
          <w:noProof/>
          <w:szCs w:val="24"/>
        </w:rPr>
        <w:tab/>
        <w:t xml:space="preserve">J. Webb and D. Hume, “Campus IoT collaboration and governance using the NIST cybersecurity framework,” in </w:t>
      </w:r>
      <w:r w:rsidRPr="002C13C6">
        <w:rPr>
          <w:rFonts w:cs="Arial"/>
          <w:i/>
          <w:iCs/>
          <w:noProof/>
          <w:szCs w:val="24"/>
        </w:rPr>
        <w:t>IET Conference Publications</w:t>
      </w:r>
      <w:r w:rsidRPr="002C13C6">
        <w:rPr>
          <w:rFonts w:cs="Arial"/>
          <w:noProof/>
          <w:szCs w:val="24"/>
        </w:rPr>
        <w:t>, 2018, vol. 2018, no. CP740, pp. 25 (7 pp.)-25 (7 pp.).</w:t>
      </w:r>
    </w:p>
    <w:p w14:paraId="5FEF3F87" w14:textId="77777777" w:rsidR="002C13C6" w:rsidRPr="002C13C6" w:rsidRDefault="002C13C6" w:rsidP="002C13C6">
      <w:pPr>
        <w:widowControl w:val="0"/>
        <w:autoSpaceDE w:val="0"/>
        <w:autoSpaceDN w:val="0"/>
        <w:adjustRightInd w:val="0"/>
        <w:spacing w:line="240" w:lineRule="auto"/>
        <w:ind w:left="640" w:hanging="640"/>
        <w:rPr>
          <w:rFonts w:cs="Arial"/>
          <w:noProof/>
          <w:szCs w:val="24"/>
        </w:rPr>
      </w:pPr>
      <w:r w:rsidRPr="002C13C6">
        <w:rPr>
          <w:rFonts w:cs="Arial"/>
          <w:noProof/>
          <w:szCs w:val="24"/>
        </w:rPr>
        <w:t>[33]</w:t>
      </w:r>
      <w:r w:rsidRPr="002C13C6">
        <w:rPr>
          <w:rFonts w:cs="Arial"/>
          <w:noProof/>
          <w:szCs w:val="24"/>
        </w:rPr>
        <w:tab/>
        <w:t xml:space="preserve">NIST, “History and Creation of the Framework,” </w:t>
      </w:r>
      <w:r w:rsidRPr="002C13C6">
        <w:rPr>
          <w:rFonts w:cs="Arial"/>
          <w:i/>
          <w:iCs/>
          <w:noProof/>
          <w:szCs w:val="24"/>
        </w:rPr>
        <w:t>NIST</w:t>
      </w:r>
      <w:r w:rsidRPr="002C13C6">
        <w:rPr>
          <w:rFonts w:cs="Arial"/>
          <w:noProof/>
          <w:szCs w:val="24"/>
        </w:rPr>
        <w:t>, 2018. [Online]. Available: https://www.nist.gov/cyberframework/online-learning/history-and-creation-framework. [Accessed: 09-Oct-2020].</w:t>
      </w:r>
    </w:p>
    <w:p w14:paraId="7864FC3A" w14:textId="77777777" w:rsidR="002C13C6" w:rsidRPr="002C13C6" w:rsidRDefault="002C13C6" w:rsidP="002C13C6">
      <w:pPr>
        <w:widowControl w:val="0"/>
        <w:autoSpaceDE w:val="0"/>
        <w:autoSpaceDN w:val="0"/>
        <w:adjustRightInd w:val="0"/>
        <w:spacing w:line="240" w:lineRule="auto"/>
        <w:ind w:left="640" w:hanging="640"/>
        <w:rPr>
          <w:rFonts w:cs="Arial"/>
          <w:noProof/>
        </w:rPr>
      </w:pPr>
      <w:r w:rsidRPr="002C13C6">
        <w:rPr>
          <w:rFonts w:cs="Arial"/>
          <w:noProof/>
          <w:szCs w:val="24"/>
        </w:rPr>
        <w:t>[34]</w:t>
      </w:r>
      <w:r w:rsidRPr="002C13C6">
        <w:rPr>
          <w:rFonts w:cs="Arial"/>
          <w:noProof/>
          <w:szCs w:val="24"/>
        </w:rPr>
        <w:tab/>
        <w:t>M. Hinchey and L. Coyle, “Evolving Critical Systems: a Research Agenda for Computer-Based Systems,” 2010.</w:t>
      </w:r>
    </w:p>
    <w:p w14:paraId="5C5635DB" w14:textId="059C6E12" w:rsidR="00C73722" w:rsidRDefault="00C73722" w:rsidP="00C73722">
      <w:r>
        <w:fldChar w:fldCharType="end"/>
      </w:r>
    </w:p>
    <w:p w14:paraId="5D3769EA" w14:textId="31E70F23" w:rsidR="00CE1D58" w:rsidRDefault="00CE1D58" w:rsidP="00C73722"/>
    <w:p w14:paraId="43D94F6F" w14:textId="77777777" w:rsidR="00CB1170" w:rsidRDefault="00CB1170">
      <w:pPr>
        <w:rPr>
          <w:rFonts w:eastAsiaTheme="majorEastAsia" w:cstheme="majorBidi"/>
          <w:b/>
          <w:sz w:val="32"/>
          <w:szCs w:val="32"/>
        </w:rPr>
      </w:pPr>
      <w:r>
        <w:br w:type="page"/>
      </w:r>
    </w:p>
    <w:p w14:paraId="083C7AB3" w14:textId="351D65DB" w:rsidR="00CE1D58" w:rsidRDefault="00CE1D58" w:rsidP="00CE1D58">
      <w:pPr>
        <w:pStyle w:val="Heading1"/>
      </w:pPr>
      <w:bookmarkStart w:id="33" w:name="_Toc61013546"/>
      <w:r>
        <w:t>Appendices</w:t>
      </w:r>
      <w:bookmarkEnd w:id="33"/>
    </w:p>
    <w:p w14:paraId="0B7F257F" w14:textId="03D8DC80" w:rsidR="00CE1D58" w:rsidRDefault="00CE1D58" w:rsidP="00CE1D58"/>
    <w:p w14:paraId="318FD7CB" w14:textId="59C402C5" w:rsidR="00CE1D58" w:rsidRDefault="00CE1D58" w:rsidP="00CE1D58">
      <w:pPr>
        <w:pStyle w:val="Heading2"/>
      </w:pPr>
      <w:bookmarkStart w:id="34" w:name="_Toc61013547"/>
      <w:r>
        <w:t>Appendix A1 – NIST History and Creation</w:t>
      </w:r>
      <w:bookmarkEnd w:id="34"/>
    </w:p>
    <w:p w14:paraId="7A9D4C30" w14:textId="47965CE3" w:rsidR="00CE1D58" w:rsidRDefault="00CE1D58" w:rsidP="00CE1D58">
      <w:r>
        <w:t xml:space="preserve">The cybersecurity framework was developed by NIST (National Institute of Standards and Technology) and was originally intended as a means of safeguarding United States critical infrastructure from cyber threats.  The scheme was conceived in 2013 when President Obama enacted executive order 13636, effectively calling for a new cybersecurity framework to be created that offered the flexibility of allowing many different organisations and agencies to adopt it </w:t>
      </w:r>
      <w:r>
        <w:fldChar w:fldCharType="begin" w:fldLock="1"/>
      </w:r>
      <w:r w:rsidR="002C13C6">
        <w:instrText>ADDIN CSL_CITATION {"citationItems":[{"id":"ITEM-1","itemData":{"DOI":"10.1049/cp.2018.0025","ISBN":"9781785618161","abstract":"West Texas A&amp;M University established a strategic initiative to develop the Internet of Things across its 176-acre campus that connects more than 42 different buildings, including 11 residence halls and a 2,393-acre working ranch that is dedicated to faculty and student research in agriculture, livestock, crop and land management, and the development and research of wind energy. The University has recently adopted the NIST Cybersecurity Framework, which is now used by 30 percent of U.S. organizations and is projected to reach 50 percent by 2020 [1]. This security policy framework, combined with a new information security governance model, has enabled the University to embark on other IoT initiatives that relate to mobile and wireless communications such as smart-connected transportation, smart-connected parking, and the deployment of a LoRaWAN network to support faculty research projects. Through these IoT initiatives, West Texas A&amp;M University will be able to transfer its insights and ideas to other similar regions in the nation, and even beyond our national borders.","author":[{"dropping-particle":"","family":"Webb","given":"James","non-dropping-particle":"","parse-names":false,"suffix":""},{"dropping-particle":"","family":"Hume","given":"Dustin","non-dropping-particle":"","parse-names":false,"suffix":""}],"container-title":"IET Conference Publications","id":"ITEM-1","issue":"CP740","issued":{"date-parts":[["2018"]]},"page":"25 (7 pp.)-25 (7 pp.)","publisher":"Institution of Engineering and Technology","title":"Campus IoT collaboration and governance using the NIST cybersecurity framework","type":"paper-conference","volume":"2018"},"uris":["http://www.mendeley.com/documents/?uuid=5f5c055c-d4f5-3b4c-8e5d-e18102c17a0b"]},{"id":"ITEM-2","itemData":{"DOI":"10.6028/NIST.CSWP.04162018","ISBN":"9781510888753","ISSN":"10506527","author":[{"dropping-particle":"","family":"Barrett","given":"Matt","non-dropping-particle":"","parse-names":false,"suffix":""}],"container-title":"Proceedings of the Annual ISA Analysis Division Symposium","id":"ITEM-2","issued":{"date-parts":[["2018","4","16"]]},"page":"9-25","publisher-place":"Gaithersburg, MD","title":"Framework for improving critical infrastructure cybersecurity","type":"paper-conference","volume":"535"},"uris":["http://www.mendeley.com/documents/?uuid=f6845a1d-8148-3c30-94bd-4201f048baa8"]},{"id":"ITEM-3","itemData":{"URL":"https://www.nist.gov/cyberframework/online-learning/history-and-creation-framework","accessed":{"date-parts":[["2020","10","9"]]},"author":[{"dropping-particle":"","family":"NIST","given":"","non-dropping-particle":"","parse-names":false,"suffix":""}],"container-title":"NIST","id":"ITEM-3","issued":{"date-parts":[["2018"]]},"title":"History and Creation of the Framework","type":"webpage"},"uris":["http://www.mendeley.com/documents/?uuid=48b15d4b-2321-39da-ac5c-1f30aa28ae95"]}],"mendeley":{"formattedCitation":"[13], [32], [33]","plainTextFormattedCitation":"[13], [32], [33]","previouslyFormattedCitation":"[13], [31], [32]"},"properties":{"noteIndex":0},"schema":"https://github.com/citation-style-language/schema/raw/master/csl-citation.json"}</w:instrText>
      </w:r>
      <w:r>
        <w:fldChar w:fldCharType="separate"/>
      </w:r>
      <w:r w:rsidR="002C13C6" w:rsidRPr="002C13C6">
        <w:rPr>
          <w:noProof/>
        </w:rPr>
        <w:t>[13], [32], [33]</w:t>
      </w:r>
      <w:r>
        <w:fldChar w:fldCharType="end"/>
      </w:r>
      <w:r>
        <w:t>.  The framework encourages users to regard threats to their cyberspace and digital information as part of the organisations general risk policy.</w:t>
      </w:r>
    </w:p>
    <w:p w14:paraId="4FAB15CF" w14:textId="5CF09A54" w:rsidR="00CE1D58" w:rsidRDefault="00CE1D58" w:rsidP="00CE1D58">
      <w:r>
        <w:tab/>
        <w:t xml:space="preserve">As previously mentioned, the original recipients of this framework were to be those involved with the operation of critical systems within the United States.  These systems have been categorised by Hinchey &amp; Coyle </w:t>
      </w:r>
      <w:r>
        <w:fldChar w:fldCharType="begin" w:fldLock="1"/>
      </w:r>
      <w:r w:rsidR="002C13C6">
        <w:instrText>ADDIN CSL_CITATION {"citationItems":[{"id":"ITEM-1","itemData":{"DOI":"10.1109/ECBS.2010.56","ISBN":"9780769540054","abstract":"Increasingly software can be considered to be critical, due to the business or other functionality which it supports. Upgrades or changes to such software are expensive and risky, primarily because the software has not been designed and built for ease of change. Expertise, tools and method-ologies which support the design and implementation of software systems that evolve without risk (of failure or loss of quality) are essential. We address a research agenda for building software in computer-based systems that (a) is highly reliable and (b) retains this reliability as it evolves, either over time or at run-time.","author":[{"dropping-particle":"","family":"Hinchey","given":"Mike","non-dropping-particle":"","parse-names":false,"suffix":""},{"dropping-particle":"","family":"Coyle","given":"Lorcan","non-dropping-particle":"","parse-names":false,"suffix":""}],"id":"ITEM-1","issued":{"date-parts":[["2010"]]},"title":"Evolving Critical Systems: a Research Agenda for Computer-Based Systems","type":"article-journal"},"uris":["http://www.mendeley.com/documents/?uuid=96f57f48-ecb2-322b-a759-c352cf927fd9"]}],"mendeley":{"formattedCitation":"[34]","plainTextFormattedCitation":"[34]","previouslyFormattedCitation":"[33]"},"properties":{"noteIndex":0},"schema":"https://github.com/citation-style-language/schema/raw/master/csl-citation.json"}</w:instrText>
      </w:r>
      <w:r>
        <w:fldChar w:fldCharType="separate"/>
      </w:r>
      <w:r w:rsidR="002C13C6" w:rsidRPr="002C13C6">
        <w:rPr>
          <w:noProof/>
        </w:rPr>
        <w:t>[34]</w:t>
      </w:r>
      <w:r>
        <w:fldChar w:fldCharType="end"/>
      </w:r>
      <w:r>
        <w:t xml:space="preserve"> into four distinct areas (Safety, Mission, Business and Security critical) and a cyber intrusion into any of them could result in a situation whereby human lives, national security or social balance are put at risk.</w:t>
      </w:r>
    </w:p>
    <w:p w14:paraId="164E0E9B" w14:textId="104869EE" w:rsidR="00CE1D58" w:rsidRDefault="00CE1D58" w:rsidP="00CE1D58">
      <w:pPr>
        <w:pStyle w:val="Heading2"/>
      </w:pPr>
      <w:bookmarkStart w:id="35" w:name="_Ref61008382"/>
      <w:bookmarkStart w:id="36" w:name="_Toc61013548"/>
      <w:r>
        <w:t>Appendix A2 – NIST Core Functions</w:t>
      </w:r>
      <w:bookmarkEnd w:id="35"/>
      <w:bookmarkEnd w:id="36"/>
    </w:p>
    <w:p w14:paraId="3D6074D6" w14:textId="77777777" w:rsidR="00CE1D58" w:rsidRDefault="00CE1D58" w:rsidP="00CE1D58">
      <w:pPr>
        <w:pStyle w:val="ListParagraph"/>
        <w:numPr>
          <w:ilvl w:val="0"/>
          <w:numId w:val="3"/>
        </w:numPr>
      </w:pPr>
      <w:r w:rsidRPr="00940FB2">
        <w:rPr>
          <w:b/>
          <w:bCs/>
        </w:rPr>
        <w:t>Identify</w:t>
      </w:r>
      <w:r>
        <w:t xml:space="preserve"> – This function prompts organisations to assess their current level of cybersecurity awareness and analyse areas of weakness and strength.  The end goal of this action is for management to have a clear outline of the association’s stance on cybersecurity, the readiness and current ability to mitigate an attack and present key areas of improvement needed.</w:t>
      </w:r>
    </w:p>
    <w:p w14:paraId="386F0C83" w14:textId="77777777" w:rsidR="00CE1D58" w:rsidRPr="00940FB2" w:rsidRDefault="00CE1D58" w:rsidP="00CE1D58">
      <w:pPr>
        <w:pStyle w:val="ListParagraph"/>
        <w:numPr>
          <w:ilvl w:val="0"/>
          <w:numId w:val="3"/>
        </w:numPr>
        <w:rPr>
          <w:b/>
          <w:bCs/>
        </w:rPr>
      </w:pPr>
      <w:r w:rsidRPr="00940FB2">
        <w:rPr>
          <w:b/>
          <w:bCs/>
        </w:rPr>
        <w:t>Protect</w:t>
      </w:r>
      <w:r>
        <w:t xml:space="preserve"> – </w:t>
      </w:r>
      <w:r w:rsidRPr="00940FB2">
        <w:rPr>
          <w:b/>
          <w:bCs/>
        </w:rPr>
        <w:t xml:space="preserve"> </w:t>
      </w:r>
      <w:r>
        <w:t>The ‘Protect’ function serves as a way of ensuring that all data used by the company/organisation is not unnecessarily exposed and is also responsible for the application of safeguards should the data need added protection.</w:t>
      </w:r>
    </w:p>
    <w:p w14:paraId="173FBE1B" w14:textId="77777777" w:rsidR="00CE1D58" w:rsidRPr="00466EC8" w:rsidRDefault="00CE1D58" w:rsidP="00CE1D58">
      <w:pPr>
        <w:pStyle w:val="ListParagraph"/>
        <w:numPr>
          <w:ilvl w:val="0"/>
          <w:numId w:val="3"/>
        </w:numPr>
        <w:rPr>
          <w:b/>
          <w:bCs/>
        </w:rPr>
      </w:pPr>
      <w:r w:rsidRPr="00940FB2">
        <w:rPr>
          <w:b/>
          <w:bCs/>
        </w:rPr>
        <w:t>Detect</w:t>
      </w:r>
      <w:r>
        <w:rPr>
          <w:b/>
          <w:bCs/>
        </w:rPr>
        <w:t xml:space="preserve"> </w:t>
      </w:r>
      <w:r>
        <w:t>– This function provides guidance for the continual monitoring of internal systems to expose potential threats and attacks</w:t>
      </w:r>
      <w:r w:rsidRPr="00466EC8">
        <w:rPr>
          <w:b/>
          <w:bCs/>
        </w:rPr>
        <w:t>.</w:t>
      </w:r>
      <w:r>
        <w:rPr>
          <w:b/>
          <w:bCs/>
        </w:rPr>
        <w:t xml:space="preserve">  </w:t>
      </w:r>
      <w:r>
        <w:t>This can be done by watching for anomalies in data management, access control and other unusual activity.</w:t>
      </w:r>
    </w:p>
    <w:p w14:paraId="036CD459" w14:textId="77777777" w:rsidR="00CE1D58" w:rsidRPr="00466EC8" w:rsidRDefault="00CE1D58" w:rsidP="00CE1D58">
      <w:pPr>
        <w:pStyle w:val="ListParagraph"/>
        <w:numPr>
          <w:ilvl w:val="0"/>
          <w:numId w:val="3"/>
        </w:numPr>
        <w:rPr>
          <w:b/>
          <w:bCs/>
        </w:rPr>
      </w:pPr>
      <w:r w:rsidRPr="00940FB2">
        <w:rPr>
          <w:b/>
          <w:bCs/>
        </w:rPr>
        <w:t>Respond</w:t>
      </w:r>
      <w:r>
        <w:rPr>
          <w:b/>
          <w:bCs/>
        </w:rPr>
        <w:t xml:space="preserve"> </w:t>
      </w:r>
      <w:r>
        <w:t>– The manner in which an organisation responds to a cybersecurity attack is critical</w:t>
      </w:r>
      <w:r w:rsidRPr="00B03F62">
        <w:rPr>
          <w:b/>
          <w:bCs/>
        </w:rPr>
        <w:t>.</w:t>
      </w:r>
      <w:r>
        <w:rPr>
          <w:b/>
          <w:bCs/>
        </w:rPr>
        <w:t xml:space="preserve">  </w:t>
      </w:r>
      <w:r>
        <w:t>This function promotes the rapid and aggressive reaction to any potential breaches or attacks made from both internal and external sources.</w:t>
      </w:r>
    </w:p>
    <w:p w14:paraId="011B1933" w14:textId="77777777" w:rsidR="00CE1D58" w:rsidRPr="00534A81" w:rsidRDefault="00CE1D58" w:rsidP="00CE1D58">
      <w:pPr>
        <w:pStyle w:val="ListParagraph"/>
        <w:numPr>
          <w:ilvl w:val="0"/>
          <w:numId w:val="3"/>
        </w:numPr>
        <w:rPr>
          <w:b/>
          <w:bCs/>
        </w:rPr>
      </w:pPr>
      <w:r w:rsidRPr="00940FB2">
        <w:rPr>
          <w:b/>
          <w:bCs/>
        </w:rPr>
        <w:t>Recover</w:t>
      </w:r>
      <w:r>
        <w:t xml:space="preserve"> – The ‘Recover’ function outlines means by which data, communications and financial loss can be restored.  This can be achieved via data backups, encrypted communication, and insurance.</w:t>
      </w:r>
    </w:p>
    <w:p w14:paraId="45147886" w14:textId="170C863C" w:rsidR="00CE1D58" w:rsidRDefault="00C442B6" w:rsidP="00C442B6">
      <w:pPr>
        <w:pStyle w:val="Heading2"/>
      </w:pPr>
      <w:bookmarkStart w:id="37" w:name="_Ref61008642"/>
      <w:bookmarkStart w:id="38" w:name="_Toc61013549"/>
      <w:r>
        <w:t>Appendix A3 – NIST Implementation Tiers</w:t>
      </w:r>
      <w:bookmarkEnd w:id="37"/>
      <w:bookmarkEnd w:id="38"/>
    </w:p>
    <w:p w14:paraId="742A9499" w14:textId="020A28F3" w:rsidR="00C442B6" w:rsidRPr="00C442B6" w:rsidRDefault="00C60C8A" w:rsidP="00C442B6">
      <w:pPr>
        <w:pStyle w:val="ListParagraph"/>
        <w:numPr>
          <w:ilvl w:val="0"/>
          <w:numId w:val="4"/>
        </w:numPr>
      </w:pPr>
      <w:r>
        <w:rPr>
          <w:b/>
          <w:bCs/>
        </w:rPr>
        <w:t>Tier 1 (</w:t>
      </w:r>
      <w:r w:rsidR="00C442B6">
        <w:rPr>
          <w:b/>
          <w:bCs/>
        </w:rPr>
        <w:t>Partial</w:t>
      </w:r>
      <w:r>
        <w:rPr>
          <w:b/>
          <w:bCs/>
        </w:rPr>
        <w:t>)</w:t>
      </w:r>
      <w:r w:rsidR="00C442B6">
        <w:t xml:space="preserve"> –</w:t>
      </w:r>
      <w:r>
        <w:t xml:space="preserve"> Organisations operating at this level have little to no formulated cybersecurity plans and tend to perform sporadic risk assessments if at all.  Any threats received are dealt with reactively and on a case-by-case basis.</w:t>
      </w:r>
      <w:r w:rsidR="00C442B6">
        <w:t xml:space="preserve"> </w:t>
      </w:r>
    </w:p>
    <w:p w14:paraId="33BD281B" w14:textId="46C9E19B" w:rsidR="00C60C8A" w:rsidRPr="00C442B6" w:rsidRDefault="00C60C8A" w:rsidP="00C60C8A">
      <w:pPr>
        <w:pStyle w:val="ListParagraph"/>
        <w:numPr>
          <w:ilvl w:val="0"/>
          <w:numId w:val="4"/>
        </w:numPr>
      </w:pPr>
      <w:r>
        <w:rPr>
          <w:b/>
          <w:bCs/>
        </w:rPr>
        <w:t>Tier 2 (</w:t>
      </w:r>
      <w:r w:rsidR="00C442B6">
        <w:rPr>
          <w:b/>
          <w:bCs/>
        </w:rPr>
        <w:t>Risk Informed</w:t>
      </w:r>
      <w:r>
        <w:rPr>
          <w:b/>
          <w:bCs/>
        </w:rPr>
        <w:t>)</w:t>
      </w:r>
      <w:r>
        <w:t xml:space="preserve"> – Organisations are aware of general cybersecurity threats and may enforce best practices, however a structured policy is not yet in place.  Cybersecurity information may be generated by the </w:t>
      </w:r>
      <w:r w:rsidR="006E7FDF">
        <w:t>company,</w:t>
      </w:r>
      <w:r>
        <w:t xml:space="preserve"> but it is not usually shared externally and is only shared internally on an informal basis.</w:t>
      </w:r>
    </w:p>
    <w:p w14:paraId="5CC7DD3C" w14:textId="0FE24B65" w:rsidR="006E7FDF" w:rsidRPr="00C442B6" w:rsidRDefault="00C60C8A" w:rsidP="006E7FDF">
      <w:pPr>
        <w:pStyle w:val="ListParagraph"/>
        <w:numPr>
          <w:ilvl w:val="0"/>
          <w:numId w:val="4"/>
        </w:numPr>
      </w:pPr>
      <w:r>
        <w:rPr>
          <w:b/>
          <w:bCs/>
        </w:rPr>
        <w:t xml:space="preserve">Tier 3 </w:t>
      </w:r>
      <w:r w:rsidR="006E7FDF">
        <w:rPr>
          <w:b/>
          <w:bCs/>
        </w:rPr>
        <w:t>(</w:t>
      </w:r>
      <w:r w:rsidR="00C442B6">
        <w:rPr>
          <w:b/>
          <w:bCs/>
        </w:rPr>
        <w:t>Repeatable</w:t>
      </w:r>
      <w:r w:rsidR="006E7FDF">
        <w:rPr>
          <w:b/>
          <w:bCs/>
        </w:rPr>
        <w:t xml:space="preserve">) </w:t>
      </w:r>
      <w:r w:rsidR="006E7FDF">
        <w:t xml:space="preserve">– At this </w:t>
      </w:r>
      <w:r w:rsidR="00315F7F">
        <w:t>level,</w:t>
      </w:r>
      <w:r w:rsidR="006E7FDF">
        <w:t xml:space="preserve"> a cybersecurity risk policy is properly implemented in the organisation and </w:t>
      </w:r>
      <w:r w:rsidR="001352EB">
        <w:t>are regularly amended to reflect a dynamic threat environment.  Staff are made aware of their importance in deterring potential situations</w:t>
      </w:r>
      <w:r w:rsidR="00315F7F">
        <w:t xml:space="preserve"> and</w:t>
      </w:r>
      <w:r w:rsidR="001352EB">
        <w:t xml:space="preserve"> </w:t>
      </w:r>
      <w:r w:rsidR="00315F7F">
        <w:t>the</w:t>
      </w:r>
      <w:r w:rsidR="001352EB">
        <w:t xml:space="preserve"> company will continually monitor </w:t>
      </w:r>
      <w:r w:rsidR="00315F7F">
        <w:t>company resources and assets.</w:t>
      </w:r>
    </w:p>
    <w:p w14:paraId="17012787" w14:textId="0D63560D" w:rsidR="00236231" w:rsidRDefault="00315F7F" w:rsidP="00B36678">
      <w:pPr>
        <w:pStyle w:val="ListParagraph"/>
        <w:numPr>
          <w:ilvl w:val="0"/>
          <w:numId w:val="4"/>
        </w:numPr>
      </w:pPr>
      <w:r>
        <w:rPr>
          <w:b/>
          <w:bCs/>
        </w:rPr>
        <w:t>Tier 4 (</w:t>
      </w:r>
      <w:r w:rsidR="00C442B6">
        <w:rPr>
          <w:b/>
          <w:bCs/>
        </w:rPr>
        <w:t>Adaptive</w:t>
      </w:r>
      <w:r>
        <w:rPr>
          <w:b/>
          <w:bCs/>
        </w:rPr>
        <w:t>)</w:t>
      </w:r>
      <w:r>
        <w:t xml:space="preserve"> – </w:t>
      </w:r>
      <w:r w:rsidR="00CB4339">
        <w:t>Organisations will have a well-established information security policy in place that is kept updated on a very regular basis in response to emerging threats in the technological environment.  Information is not only generated by the company and shared both internally and externally, but they will also take a proactive role in the investigation and detection of threats that may not have been initially targeted at them.</w:t>
      </w:r>
    </w:p>
    <w:p w14:paraId="6301E2DE" w14:textId="225613FA" w:rsidR="00236231" w:rsidRPr="00236231" w:rsidRDefault="00236231" w:rsidP="00236231">
      <w:pPr>
        <w:pStyle w:val="Heading2"/>
      </w:pPr>
      <w:bookmarkStart w:id="39" w:name="_Ref61008721"/>
      <w:bookmarkStart w:id="40" w:name="_Toc61013550"/>
      <w:r>
        <w:t>Appendix B1 – ISO 27000 Family Outline</w:t>
      </w:r>
      <w:bookmarkEnd w:id="39"/>
      <w:bookmarkEnd w:id="40"/>
    </w:p>
    <w:p w14:paraId="7F8E4917" w14:textId="50E17B7D" w:rsidR="00236231" w:rsidRDefault="00236231" w:rsidP="00236231">
      <w:pPr>
        <w:pStyle w:val="ListParagraph"/>
        <w:numPr>
          <w:ilvl w:val="0"/>
          <w:numId w:val="5"/>
        </w:numPr>
      </w:pPr>
      <w:r>
        <w:t>ISO 27000 – Synopsis of the framework</w:t>
      </w:r>
    </w:p>
    <w:p w14:paraId="753AAE51" w14:textId="77777777" w:rsidR="00236231" w:rsidRDefault="00236231" w:rsidP="00236231">
      <w:pPr>
        <w:pStyle w:val="ListParagraph"/>
        <w:numPr>
          <w:ilvl w:val="0"/>
          <w:numId w:val="5"/>
        </w:numPr>
      </w:pPr>
      <w:r>
        <w:t>ISO 27001 – Requirements and implementation details</w:t>
      </w:r>
    </w:p>
    <w:p w14:paraId="673E4ED6" w14:textId="77777777" w:rsidR="00236231" w:rsidRDefault="00236231" w:rsidP="00236231">
      <w:pPr>
        <w:pStyle w:val="ListParagraph"/>
        <w:numPr>
          <w:ilvl w:val="0"/>
          <w:numId w:val="5"/>
        </w:numPr>
      </w:pPr>
      <w:r>
        <w:t>ISO 27002 – Code of practice</w:t>
      </w:r>
    </w:p>
    <w:p w14:paraId="26EE55BC" w14:textId="77777777" w:rsidR="00236231" w:rsidRDefault="00236231" w:rsidP="00236231">
      <w:pPr>
        <w:pStyle w:val="ListParagraph"/>
        <w:numPr>
          <w:ilvl w:val="0"/>
          <w:numId w:val="5"/>
        </w:numPr>
      </w:pPr>
      <w:r>
        <w:t>ISO 27003 – Application instruction</w:t>
      </w:r>
    </w:p>
    <w:p w14:paraId="0DF5FAF7" w14:textId="129CA5CF" w:rsidR="00236231" w:rsidRDefault="00236231" w:rsidP="00236231">
      <w:pPr>
        <w:pStyle w:val="ListParagraph"/>
        <w:numPr>
          <w:ilvl w:val="0"/>
          <w:numId w:val="5"/>
        </w:numPr>
      </w:pPr>
      <w:r>
        <w:t>ISO 27004 – Measurement practices</w:t>
      </w:r>
    </w:p>
    <w:p w14:paraId="1E91B537" w14:textId="45A24478" w:rsidR="00A9026F" w:rsidRDefault="00A9026F" w:rsidP="00A9026F">
      <w:pPr>
        <w:pStyle w:val="Heading2"/>
      </w:pPr>
      <w:bookmarkStart w:id="41" w:name="_Ref61008859"/>
      <w:bookmarkStart w:id="42" w:name="_Toc61013551"/>
      <w:r>
        <w:t>Appendix C1 – ISO</w:t>
      </w:r>
      <w:r w:rsidR="00BF5C5F">
        <w:t xml:space="preserve"> </w:t>
      </w:r>
      <w:r>
        <w:t>27001 &amp; NIST CSF Similarities (Clauses)</w:t>
      </w:r>
      <w:bookmarkEnd w:id="41"/>
      <w:bookmarkEnd w:id="42"/>
    </w:p>
    <w:p w14:paraId="0119356C" w14:textId="3F2317F2" w:rsidR="00A9026F" w:rsidRDefault="00A9026F" w:rsidP="00A9026F"/>
    <w:p w14:paraId="37A58A78" w14:textId="77777777" w:rsidR="00A9026F" w:rsidRDefault="00A9026F" w:rsidP="00A9026F">
      <w:pPr>
        <w:keepNext/>
      </w:pPr>
      <w:r>
        <w:rPr>
          <w:noProof/>
        </w:rPr>
        <w:drawing>
          <wp:inline distT="0" distB="0" distL="0" distR="0" wp14:anchorId="06FB9644" wp14:editId="4716193A">
            <wp:extent cx="5731510" cy="52857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285740"/>
                    </a:xfrm>
                    <a:prstGeom prst="rect">
                      <a:avLst/>
                    </a:prstGeom>
                  </pic:spPr>
                </pic:pic>
              </a:graphicData>
            </a:graphic>
          </wp:inline>
        </w:drawing>
      </w:r>
    </w:p>
    <w:p w14:paraId="405A8318" w14:textId="5C9F35EE" w:rsidR="00A9026F" w:rsidRDefault="00A9026F" w:rsidP="00A9026F">
      <w:pPr>
        <w:pStyle w:val="Caption"/>
        <w:jc w:val="right"/>
      </w:pPr>
      <w:bookmarkStart w:id="43" w:name="_Toc61010210"/>
      <w:r>
        <w:t xml:space="preserve">Figure </w:t>
      </w:r>
      <w:r w:rsidR="00611E1C">
        <w:fldChar w:fldCharType="begin"/>
      </w:r>
      <w:r w:rsidR="00611E1C">
        <w:instrText xml:space="preserve"> SEQ Figure \* ARABIC </w:instrText>
      </w:r>
      <w:r w:rsidR="00611E1C">
        <w:fldChar w:fldCharType="separate"/>
      </w:r>
      <w:r w:rsidR="00411AB4">
        <w:rPr>
          <w:noProof/>
        </w:rPr>
        <w:t>2</w:t>
      </w:r>
      <w:r w:rsidR="00611E1C">
        <w:rPr>
          <w:noProof/>
        </w:rPr>
        <w:fldChar w:fldCharType="end"/>
      </w:r>
      <w:r>
        <w:t xml:space="preserve"> - Similarities between framework clauses (ISO</w:t>
      </w:r>
      <w:r w:rsidR="00BF5C5F">
        <w:t xml:space="preserve"> </w:t>
      </w:r>
      <w:r>
        <w:t xml:space="preserve">27001 &amp; NIST CSF) </w:t>
      </w:r>
      <w:r>
        <w:fldChar w:fldCharType="begin" w:fldLock="1"/>
      </w:r>
      <w:r w:rsidR="00235D02">
        <w:instrText>ADDIN CSL_CITATION {"citationItems":[{"id":"ITEM-1","itemData":{"abstract":"In this document, you will find information about ISO 27001, the leading ISO standard for information security management, and NIST Cybersecurity Framework, a response to the U.S. Presidential Executive Order 13636 – Improving Critical Infrastructure Cybersecurity, issued in 2013. You’ll learn about their similarities and differences, and how they can be used together to improve information protection. Furthermore, you’ll find links to additional learning materials like articles and other white papers.","author":[{"dropping-particle":"","family":"Dejan Kosutic","given":"","non-dropping-particle":"","parse-names":false,"suffix":""}],"id":"ITEM-1","issued":{"date-parts":[["2017"]]},"number-of-pages":"1-16","title":"How to implement NIST Cybersecurity Framework using ISO 27001","type":"report"},"uris":["http://www.mendeley.com/documents/?uuid=f3e6c087-64e5-3e4c-8a49-ad0f617e86f4"]}],"mendeley":{"formattedCitation":"[20]","plainTextFormattedCitation":"[20]","previouslyFormattedCitation":"[20]"},"properties":{"noteIndex":0},"schema":"https://github.com/citation-style-language/schema/raw/master/csl-citation.json"}</w:instrText>
      </w:r>
      <w:r>
        <w:fldChar w:fldCharType="separate"/>
      </w:r>
      <w:r w:rsidRPr="00A9026F">
        <w:rPr>
          <w:i w:val="0"/>
          <w:noProof/>
        </w:rPr>
        <w:t>[20]</w:t>
      </w:r>
      <w:bookmarkEnd w:id="43"/>
      <w:r>
        <w:fldChar w:fldCharType="end"/>
      </w:r>
    </w:p>
    <w:p w14:paraId="6723F918" w14:textId="77777777" w:rsidR="00A9026F" w:rsidRDefault="00A9026F">
      <w:pPr>
        <w:rPr>
          <w:rFonts w:eastAsiaTheme="majorEastAsia" w:cstheme="majorBidi"/>
          <w:b/>
          <w:sz w:val="26"/>
          <w:szCs w:val="26"/>
        </w:rPr>
      </w:pPr>
      <w:r>
        <w:br w:type="page"/>
      </w:r>
    </w:p>
    <w:p w14:paraId="74B0F41A" w14:textId="0F71782D" w:rsidR="00A9026F" w:rsidRDefault="00A9026F" w:rsidP="00126985">
      <w:pPr>
        <w:pStyle w:val="Heading2"/>
      </w:pPr>
      <w:bookmarkStart w:id="44" w:name="_Ref61008915"/>
      <w:bookmarkStart w:id="45" w:name="_Toc61013552"/>
      <w:r>
        <w:t>Appendix C2 – ISO</w:t>
      </w:r>
      <w:r w:rsidR="00BF5C5F">
        <w:t xml:space="preserve"> </w:t>
      </w:r>
      <w:r>
        <w:t>27001 &amp; NIST CSF Similarities (Controls)</w:t>
      </w:r>
      <w:bookmarkEnd w:id="44"/>
      <w:bookmarkEnd w:id="45"/>
    </w:p>
    <w:p w14:paraId="433F1B30" w14:textId="0A54388F" w:rsidR="00A9026F" w:rsidRDefault="00A9026F" w:rsidP="00A9026F">
      <w:pPr>
        <w:keepNext/>
      </w:pPr>
    </w:p>
    <w:p w14:paraId="0C3EF54E" w14:textId="77777777" w:rsidR="00126985" w:rsidRDefault="00126985" w:rsidP="00126985">
      <w:pPr>
        <w:keepNext/>
        <w:jc w:val="center"/>
      </w:pPr>
      <w:r>
        <w:rPr>
          <w:noProof/>
        </w:rPr>
        <w:drawing>
          <wp:inline distT="0" distB="0" distL="0" distR="0" wp14:anchorId="1682CF9B" wp14:editId="3A300565">
            <wp:extent cx="5113669" cy="812482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128241" cy="8147978"/>
                    </a:xfrm>
                    <a:prstGeom prst="rect">
                      <a:avLst/>
                    </a:prstGeom>
                  </pic:spPr>
                </pic:pic>
              </a:graphicData>
            </a:graphic>
          </wp:inline>
        </w:drawing>
      </w:r>
    </w:p>
    <w:p w14:paraId="0320A049" w14:textId="4711B6D3" w:rsidR="00A9026F" w:rsidRDefault="00126985" w:rsidP="00126985">
      <w:pPr>
        <w:pStyle w:val="Caption"/>
        <w:jc w:val="right"/>
      </w:pPr>
      <w:bookmarkStart w:id="46" w:name="_Toc61010211"/>
      <w:r>
        <w:t xml:space="preserve">Figure </w:t>
      </w:r>
      <w:r w:rsidR="00611E1C">
        <w:fldChar w:fldCharType="begin"/>
      </w:r>
      <w:r w:rsidR="00611E1C">
        <w:instrText xml:space="preserve"> SEQ Figure \* ARABIC </w:instrText>
      </w:r>
      <w:r w:rsidR="00611E1C">
        <w:fldChar w:fldCharType="separate"/>
      </w:r>
      <w:r w:rsidR="00411AB4">
        <w:rPr>
          <w:noProof/>
        </w:rPr>
        <w:t>3</w:t>
      </w:r>
      <w:r w:rsidR="00611E1C">
        <w:rPr>
          <w:noProof/>
        </w:rPr>
        <w:fldChar w:fldCharType="end"/>
      </w:r>
      <w:r>
        <w:t xml:space="preserve"> - </w:t>
      </w:r>
      <w:r w:rsidRPr="000E7BA3">
        <w:t>Similarities between framework c</w:t>
      </w:r>
      <w:r>
        <w:t>ontrols</w:t>
      </w:r>
      <w:r w:rsidRPr="000E7BA3">
        <w:t xml:space="preserve"> (ISO</w:t>
      </w:r>
      <w:r w:rsidR="00BF5C5F">
        <w:t xml:space="preserve"> </w:t>
      </w:r>
      <w:r w:rsidRPr="000E7BA3">
        <w:t>27001 &amp; NIST CSF) [20]</w:t>
      </w:r>
      <w:bookmarkEnd w:id="46"/>
    </w:p>
    <w:p w14:paraId="27B2F951" w14:textId="181372DE" w:rsidR="00DA1FA9" w:rsidRPr="00DA1FA9" w:rsidRDefault="00DA1FA9" w:rsidP="00DA1FA9">
      <w:pPr>
        <w:pStyle w:val="Heading2"/>
      </w:pPr>
      <w:bookmarkStart w:id="47" w:name="_Ref61007683"/>
      <w:bookmarkStart w:id="48" w:name="_Toc61013553"/>
      <w:r>
        <w:t>Appendix D1 – ISO 27001 Requirements</w:t>
      </w:r>
      <w:bookmarkEnd w:id="47"/>
      <w:bookmarkEnd w:id="48"/>
    </w:p>
    <w:p w14:paraId="2DA95550" w14:textId="77777777" w:rsidR="00DA1FA9" w:rsidRDefault="00DA1FA9" w:rsidP="00DA1FA9">
      <w:pPr>
        <w:ind w:firstLine="360"/>
      </w:pPr>
      <w:r>
        <w:t xml:space="preserve">4. </w:t>
      </w:r>
      <w:r w:rsidRPr="001C2AC8">
        <w:rPr>
          <w:i/>
          <w:iCs/>
        </w:rPr>
        <w:t>Context of the Organisation</w:t>
      </w:r>
      <w:r>
        <w:t xml:space="preserve"> –</w:t>
      </w:r>
    </w:p>
    <w:p w14:paraId="543AA372" w14:textId="77777777" w:rsidR="00DA1FA9" w:rsidRDefault="00DA1FA9" w:rsidP="00DA1FA9">
      <w:r>
        <w:t>This section focuses on the considerations, needs and aspirations of both the organisation that is implementing the ISMS and any third-party affiliates.  It is responsible for managing the expectations of what the framework can offer whilst also highlighting the areas in which the organisation identifies as a weakness in terms of cybersecurity.</w:t>
      </w:r>
    </w:p>
    <w:p w14:paraId="689D2DE5" w14:textId="77777777" w:rsidR="00DA1FA9" w:rsidRDefault="00DA1FA9" w:rsidP="00DA1FA9">
      <w:pPr>
        <w:ind w:firstLine="360"/>
      </w:pPr>
      <w:r>
        <w:t xml:space="preserve">5. </w:t>
      </w:r>
      <w:r w:rsidRPr="001C2AC8">
        <w:rPr>
          <w:i/>
          <w:iCs/>
        </w:rPr>
        <w:t>Leadership</w:t>
      </w:r>
      <w:r>
        <w:t xml:space="preserve"> –</w:t>
      </w:r>
    </w:p>
    <w:p w14:paraId="70F69017" w14:textId="77777777" w:rsidR="00DA1FA9" w:rsidRDefault="00DA1FA9" w:rsidP="00DA1FA9">
      <w:r>
        <w:t>This branch targets the leaders and managers of an organisation and emphasises how these members are involved with the ISMS and their particular roles in ensuring its operation.</w:t>
      </w:r>
    </w:p>
    <w:p w14:paraId="3E02C3C2" w14:textId="77777777" w:rsidR="00DA1FA9" w:rsidRDefault="00DA1FA9" w:rsidP="00DA1FA9">
      <w:pPr>
        <w:ind w:firstLine="360"/>
      </w:pPr>
      <w:r>
        <w:t xml:space="preserve">6. </w:t>
      </w:r>
      <w:r w:rsidRPr="001C2AC8">
        <w:rPr>
          <w:i/>
          <w:iCs/>
        </w:rPr>
        <w:t>Planning</w:t>
      </w:r>
      <w:r>
        <w:t xml:space="preserve"> –</w:t>
      </w:r>
    </w:p>
    <w:p w14:paraId="0B1CB7A1" w14:textId="77777777" w:rsidR="00DA1FA9" w:rsidRDefault="00DA1FA9" w:rsidP="00DA1FA9">
      <w:r>
        <w:t>The focal point of the planning stage is to ideate any potential risks and opportunities that may be present in relation to the cyberspace of the organisation.  Not only are risks found during this stage, but also any remedies and treatments to them.  The list should be as inclusive as possible to ensure maximum benefit effectiveness for the rest of the ISMS operation.</w:t>
      </w:r>
    </w:p>
    <w:p w14:paraId="67BD6045" w14:textId="77777777" w:rsidR="00DA1FA9" w:rsidRDefault="00DA1FA9" w:rsidP="00DA1FA9">
      <w:pPr>
        <w:ind w:firstLine="360"/>
      </w:pPr>
      <w:r>
        <w:t xml:space="preserve">7. </w:t>
      </w:r>
      <w:r w:rsidRPr="001C2AC8">
        <w:rPr>
          <w:i/>
          <w:iCs/>
        </w:rPr>
        <w:t>Support</w:t>
      </w:r>
      <w:r>
        <w:t xml:space="preserve"> –</w:t>
      </w:r>
    </w:p>
    <w:p w14:paraId="67232D87" w14:textId="77777777" w:rsidR="00DA1FA9" w:rsidRDefault="00DA1FA9" w:rsidP="00DA1FA9">
      <w:r>
        <w:t xml:space="preserve">The target of the Support section is to establish the criteria needed for persons operating under the regulations posed by the ISMS.  It specifically incorporates a need for employee </w:t>
      </w:r>
      <w:r w:rsidRPr="00A62DCE">
        <w:rPr>
          <w:i/>
          <w:iCs/>
        </w:rPr>
        <w:t>competence</w:t>
      </w:r>
      <w:r>
        <w:t xml:space="preserve"> (is each person adequately trained/qualified in security measures), </w:t>
      </w:r>
      <w:r w:rsidRPr="00A62DCE">
        <w:rPr>
          <w:i/>
          <w:iCs/>
        </w:rPr>
        <w:t>awareness</w:t>
      </w:r>
      <w:r>
        <w:t xml:space="preserve"> (are they aware of the ISMS, what it means, how it affects them and the organisation and the consequences of not adhering to it) and </w:t>
      </w:r>
      <w:r>
        <w:rPr>
          <w:i/>
          <w:iCs/>
        </w:rPr>
        <w:t>communication</w:t>
      </w:r>
      <w:r>
        <w:t xml:space="preserve"> (what can be communicated and to whom it may be sent).</w:t>
      </w:r>
      <w:r>
        <w:tab/>
        <w:t xml:space="preserve"> </w:t>
      </w:r>
    </w:p>
    <w:p w14:paraId="4B96748D" w14:textId="77777777" w:rsidR="00DA1FA9" w:rsidRDefault="00DA1FA9" w:rsidP="00DA1FA9">
      <w:pPr>
        <w:ind w:firstLine="360"/>
      </w:pPr>
      <w:r>
        <w:t xml:space="preserve">8. </w:t>
      </w:r>
      <w:r w:rsidRPr="001C2AC8">
        <w:rPr>
          <w:i/>
          <w:iCs/>
        </w:rPr>
        <w:t>Operation</w:t>
      </w:r>
      <w:r>
        <w:t xml:space="preserve"> –</w:t>
      </w:r>
    </w:p>
    <w:p w14:paraId="66021D43" w14:textId="77777777" w:rsidR="00DA1FA9" w:rsidRDefault="00DA1FA9" w:rsidP="00DA1FA9">
      <w:r>
        <w:t>This category covers the control process of meeting the requirement standards as a whole.  It outlines the organisations need to document all results that return from information security risk assessments and treatments.  It also ensures the monitoring of outsourced projects.</w:t>
      </w:r>
    </w:p>
    <w:p w14:paraId="7A297D96" w14:textId="77777777" w:rsidR="00DA1FA9" w:rsidRDefault="00DA1FA9" w:rsidP="00DA1FA9">
      <w:pPr>
        <w:ind w:firstLine="360"/>
      </w:pPr>
      <w:r>
        <w:t xml:space="preserve">9. </w:t>
      </w:r>
      <w:r w:rsidRPr="001C2AC8">
        <w:rPr>
          <w:i/>
          <w:iCs/>
        </w:rPr>
        <w:t>Performance Management</w:t>
      </w:r>
      <w:r>
        <w:t xml:space="preserve"> – </w:t>
      </w:r>
    </w:p>
    <w:p w14:paraId="24C3D310" w14:textId="77777777" w:rsidR="00DA1FA9" w:rsidRDefault="00DA1FA9" w:rsidP="00DA1FA9">
      <w:r>
        <w:t xml:space="preserve">The organisation is advised to constantly evaluate the successes and failures of their system and section 9 provides details on how to achieve this.  It suggests that the organisation be aware of not only what metrics are being evaluated, but also who is performing them. </w:t>
      </w:r>
    </w:p>
    <w:p w14:paraId="0784D220" w14:textId="77777777" w:rsidR="00DA1FA9" w:rsidRDefault="00DA1FA9" w:rsidP="00DA1FA9">
      <w:pPr>
        <w:ind w:firstLine="360"/>
      </w:pPr>
      <w:r>
        <w:t xml:space="preserve">10. </w:t>
      </w:r>
      <w:r w:rsidRPr="001C2AC8">
        <w:rPr>
          <w:i/>
          <w:iCs/>
        </w:rPr>
        <w:t>Improvement</w:t>
      </w:r>
      <w:r>
        <w:t xml:space="preserve"> – </w:t>
      </w:r>
    </w:p>
    <w:p w14:paraId="0D7DC9C7" w14:textId="77777777" w:rsidR="00DA1FA9" w:rsidRDefault="00DA1FA9" w:rsidP="00DA1FA9">
      <w:r>
        <w:t>Should the organisation find itself operating outside of the guidelines stipulated by ISO 27001, it should begin a corrective process in order to continue to receive accreditation by ISO.</w:t>
      </w:r>
    </w:p>
    <w:p w14:paraId="1FD446B5" w14:textId="29E38C59" w:rsidR="00411AB4" w:rsidRDefault="00411AB4">
      <w:r>
        <w:br w:type="page"/>
      </w:r>
    </w:p>
    <w:p w14:paraId="198BF240" w14:textId="661356F4" w:rsidR="00DA1FA9" w:rsidRDefault="00411AB4" w:rsidP="00411AB4">
      <w:pPr>
        <w:pStyle w:val="Heading2"/>
      </w:pPr>
      <w:bookmarkStart w:id="49" w:name="_Ref61008616"/>
      <w:bookmarkStart w:id="50" w:name="_Toc61013554"/>
      <w:r>
        <w:t>Appendix E1 – NIST Function Breakdown</w:t>
      </w:r>
      <w:bookmarkEnd w:id="49"/>
      <w:bookmarkEnd w:id="50"/>
    </w:p>
    <w:p w14:paraId="3DBC9B4D" w14:textId="77777777" w:rsidR="00411AB4" w:rsidRDefault="00411AB4" w:rsidP="00411AB4">
      <w:pPr>
        <w:keepNext/>
      </w:pPr>
      <w:r>
        <w:rPr>
          <w:noProof/>
        </w:rPr>
        <w:drawing>
          <wp:inline distT="0" distB="0" distL="0" distR="0" wp14:anchorId="504BBBBB" wp14:editId="046DD213">
            <wp:extent cx="5610225" cy="6019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0225" cy="6019800"/>
                    </a:xfrm>
                    <a:prstGeom prst="rect">
                      <a:avLst/>
                    </a:prstGeom>
                  </pic:spPr>
                </pic:pic>
              </a:graphicData>
            </a:graphic>
          </wp:inline>
        </w:drawing>
      </w:r>
    </w:p>
    <w:p w14:paraId="0EFBC974" w14:textId="773745CC" w:rsidR="00411AB4" w:rsidRDefault="00411AB4" w:rsidP="00411AB4">
      <w:pPr>
        <w:pStyle w:val="Caption"/>
        <w:jc w:val="right"/>
      </w:pPr>
      <w:bookmarkStart w:id="51" w:name="_Toc61010212"/>
      <w:r>
        <w:t xml:space="preserve">Figure </w:t>
      </w:r>
      <w:r w:rsidR="00611E1C">
        <w:fldChar w:fldCharType="begin"/>
      </w:r>
      <w:r w:rsidR="00611E1C">
        <w:instrText xml:space="preserve"> SEQ Figure \* ARABIC </w:instrText>
      </w:r>
      <w:r w:rsidR="00611E1C">
        <w:fldChar w:fldCharType="separate"/>
      </w:r>
      <w:r>
        <w:rPr>
          <w:noProof/>
        </w:rPr>
        <w:t>4</w:t>
      </w:r>
      <w:r w:rsidR="00611E1C">
        <w:rPr>
          <w:noProof/>
        </w:rPr>
        <w:fldChar w:fldCharType="end"/>
      </w:r>
      <w:r>
        <w:t xml:space="preserve"> - NIST CSF Functions &amp; Categories</w:t>
      </w:r>
      <w:bookmarkEnd w:id="51"/>
    </w:p>
    <w:p w14:paraId="1E7DA7CF" w14:textId="559B7E0C" w:rsidR="00411AB4" w:rsidRDefault="00411AB4" w:rsidP="00411AB4"/>
    <w:p w14:paraId="3633DCD5" w14:textId="77777777" w:rsidR="00411AB4" w:rsidRDefault="00411AB4">
      <w:pPr>
        <w:rPr>
          <w:rFonts w:eastAsiaTheme="majorEastAsia" w:cstheme="majorBidi"/>
          <w:b/>
          <w:sz w:val="26"/>
          <w:szCs w:val="26"/>
        </w:rPr>
      </w:pPr>
      <w:r>
        <w:br w:type="page"/>
      </w:r>
    </w:p>
    <w:p w14:paraId="1D19333E" w14:textId="6ACF8080" w:rsidR="00411AB4" w:rsidRPr="00411AB4" w:rsidRDefault="00411AB4" w:rsidP="00411AB4">
      <w:pPr>
        <w:pStyle w:val="Heading2"/>
      </w:pPr>
      <w:bookmarkStart w:id="52" w:name="_Ref61008810"/>
      <w:bookmarkStart w:id="53" w:name="_Toc61013555"/>
      <w:r>
        <w:t>Appendix F1 – PCI DSS Requirements</w:t>
      </w:r>
      <w:bookmarkEnd w:id="52"/>
      <w:bookmarkEnd w:id="53"/>
    </w:p>
    <w:p w14:paraId="245F85B2" w14:textId="77777777" w:rsidR="00411AB4" w:rsidRDefault="00411AB4" w:rsidP="00411AB4">
      <w:pPr>
        <w:pStyle w:val="ListParagraph"/>
        <w:numPr>
          <w:ilvl w:val="0"/>
          <w:numId w:val="6"/>
        </w:numPr>
      </w:pPr>
      <w:r>
        <w:t>Secure Network</w:t>
      </w:r>
    </w:p>
    <w:p w14:paraId="7F98BBA0" w14:textId="77777777" w:rsidR="00411AB4" w:rsidRDefault="00411AB4" w:rsidP="00411AB4">
      <w:pPr>
        <w:pStyle w:val="ListParagraph"/>
        <w:numPr>
          <w:ilvl w:val="1"/>
          <w:numId w:val="6"/>
        </w:numPr>
      </w:pPr>
      <w:r>
        <w:t>Functional firewall.</w:t>
      </w:r>
    </w:p>
    <w:p w14:paraId="2162F1A6" w14:textId="77777777" w:rsidR="00411AB4" w:rsidRDefault="00411AB4" w:rsidP="00411AB4">
      <w:pPr>
        <w:pStyle w:val="ListParagraph"/>
        <w:numPr>
          <w:ilvl w:val="1"/>
          <w:numId w:val="6"/>
        </w:numPr>
      </w:pPr>
      <w:r>
        <w:t>Changing all default passwords.</w:t>
      </w:r>
    </w:p>
    <w:p w14:paraId="6BDD1EFB" w14:textId="77777777" w:rsidR="00411AB4" w:rsidRDefault="00411AB4" w:rsidP="00411AB4">
      <w:pPr>
        <w:pStyle w:val="ListParagraph"/>
        <w:numPr>
          <w:ilvl w:val="0"/>
          <w:numId w:val="6"/>
        </w:numPr>
      </w:pPr>
      <w:r>
        <w:t>Cardholder Data Protection</w:t>
      </w:r>
    </w:p>
    <w:p w14:paraId="1CFA6D6F" w14:textId="77777777" w:rsidR="00411AB4" w:rsidRDefault="00411AB4" w:rsidP="00411AB4">
      <w:pPr>
        <w:pStyle w:val="ListParagraph"/>
        <w:numPr>
          <w:ilvl w:val="0"/>
          <w:numId w:val="7"/>
        </w:numPr>
      </w:pPr>
      <w:r>
        <w:t>Protection of data when stored.</w:t>
      </w:r>
    </w:p>
    <w:p w14:paraId="4E4504AE" w14:textId="77777777" w:rsidR="00411AB4" w:rsidRDefault="00411AB4" w:rsidP="00411AB4">
      <w:pPr>
        <w:pStyle w:val="ListParagraph"/>
        <w:numPr>
          <w:ilvl w:val="0"/>
          <w:numId w:val="7"/>
        </w:numPr>
      </w:pPr>
      <w:r>
        <w:t>Employing encryption when sending data across public networks.</w:t>
      </w:r>
    </w:p>
    <w:p w14:paraId="48D15A62" w14:textId="77777777" w:rsidR="00411AB4" w:rsidRDefault="00411AB4" w:rsidP="00411AB4">
      <w:pPr>
        <w:pStyle w:val="ListParagraph"/>
        <w:numPr>
          <w:ilvl w:val="0"/>
          <w:numId w:val="6"/>
        </w:numPr>
      </w:pPr>
      <w:r>
        <w:t>Vulnerability Management Program Maintenance</w:t>
      </w:r>
    </w:p>
    <w:p w14:paraId="22852CE8" w14:textId="77777777" w:rsidR="00411AB4" w:rsidRDefault="00411AB4" w:rsidP="00411AB4">
      <w:pPr>
        <w:pStyle w:val="ListParagraph"/>
        <w:numPr>
          <w:ilvl w:val="0"/>
          <w:numId w:val="8"/>
        </w:numPr>
      </w:pPr>
      <w:r>
        <w:t>Use of up-to-date antivirus software.</w:t>
      </w:r>
    </w:p>
    <w:p w14:paraId="6A1888CF" w14:textId="77777777" w:rsidR="00411AB4" w:rsidRDefault="00411AB4" w:rsidP="00411AB4">
      <w:pPr>
        <w:pStyle w:val="ListParagraph"/>
        <w:numPr>
          <w:ilvl w:val="0"/>
          <w:numId w:val="8"/>
        </w:numPr>
      </w:pPr>
      <w:r>
        <w:t>Use of secure systems and ensuring that they are updated frequently.</w:t>
      </w:r>
    </w:p>
    <w:p w14:paraId="4A4566CF" w14:textId="77777777" w:rsidR="00411AB4" w:rsidRDefault="00411AB4" w:rsidP="00411AB4">
      <w:pPr>
        <w:pStyle w:val="ListParagraph"/>
        <w:numPr>
          <w:ilvl w:val="0"/>
          <w:numId w:val="6"/>
        </w:numPr>
      </w:pPr>
      <w:r>
        <w:t>Strong Access Control Measure Implementation</w:t>
      </w:r>
    </w:p>
    <w:p w14:paraId="6385E578" w14:textId="77777777" w:rsidR="00411AB4" w:rsidRDefault="00411AB4" w:rsidP="00411AB4">
      <w:pPr>
        <w:pStyle w:val="ListParagraph"/>
        <w:numPr>
          <w:ilvl w:val="0"/>
          <w:numId w:val="9"/>
        </w:numPr>
      </w:pPr>
      <w:r>
        <w:t>Sensitive data should only be accessed on a need-to-know basis.</w:t>
      </w:r>
    </w:p>
    <w:p w14:paraId="22C1175E" w14:textId="77777777" w:rsidR="00411AB4" w:rsidRDefault="00411AB4" w:rsidP="00411AB4">
      <w:pPr>
        <w:pStyle w:val="ListParagraph"/>
        <w:numPr>
          <w:ilvl w:val="0"/>
          <w:numId w:val="9"/>
        </w:numPr>
      </w:pPr>
      <w:r>
        <w:t xml:space="preserve">Formalised access controls </w:t>
      </w:r>
    </w:p>
    <w:p w14:paraId="64AA44C4" w14:textId="77777777" w:rsidR="00411AB4" w:rsidRDefault="00411AB4" w:rsidP="00411AB4">
      <w:pPr>
        <w:pStyle w:val="ListParagraph"/>
        <w:numPr>
          <w:ilvl w:val="0"/>
          <w:numId w:val="9"/>
        </w:numPr>
      </w:pPr>
      <w:r>
        <w:t>Secure access for the physical storage of the data</w:t>
      </w:r>
    </w:p>
    <w:p w14:paraId="731D0850" w14:textId="77777777" w:rsidR="00411AB4" w:rsidRDefault="00411AB4" w:rsidP="00411AB4">
      <w:pPr>
        <w:pStyle w:val="ListParagraph"/>
        <w:numPr>
          <w:ilvl w:val="0"/>
          <w:numId w:val="6"/>
        </w:numPr>
      </w:pPr>
      <w:r>
        <w:t>Network Monitoring and Testing</w:t>
      </w:r>
    </w:p>
    <w:p w14:paraId="3BD4E198" w14:textId="77777777" w:rsidR="00411AB4" w:rsidRDefault="00411AB4" w:rsidP="00411AB4">
      <w:pPr>
        <w:pStyle w:val="ListParagraph"/>
        <w:numPr>
          <w:ilvl w:val="0"/>
          <w:numId w:val="10"/>
        </w:numPr>
      </w:pPr>
      <w:r>
        <w:t>All network resources should be monitored, tracked, and audited.</w:t>
      </w:r>
    </w:p>
    <w:p w14:paraId="70DF59DC" w14:textId="77777777" w:rsidR="00411AB4" w:rsidRDefault="00411AB4" w:rsidP="00411AB4">
      <w:pPr>
        <w:pStyle w:val="ListParagraph"/>
        <w:numPr>
          <w:ilvl w:val="0"/>
          <w:numId w:val="10"/>
        </w:numPr>
      </w:pPr>
      <w:r>
        <w:t>All security systems should be tested periodically.</w:t>
      </w:r>
    </w:p>
    <w:p w14:paraId="43873E5D" w14:textId="77777777" w:rsidR="00411AB4" w:rsidRDefault="00411AB4" w:rsidP="00411AB4">
      <w:pPr>
        <w:pStyle w:val="ListParagraph"/>
        <w:numPr>
          <w:ilvl w:val="0"/>
          <w:numId w:val="6"/>
        </w:numPr>
      </w:pPr>
      <w:r>
        <w:t>Information Security Policy Maintenance</w:t>
      </w:r>
    </w:p>
    <w:p w14:paraId="36704FED" w14:textId="77777777" w:rsidR="00411AB4" w:rsidRPr="00602CD7" w:rsidRDefault="00411AB4" w:rsidP="00411AB4">
      <w:pPr>
        <w:pStyle w:val="ListParagraph"/>
        <w:numPr>
          <w:ilvl w:val="0"/>
          <w:numId w:val="11"/>
        </w:numPr>
      </w:pPr>
      <w:r>
        <w:t xml:space="preserve"> Suitable ISMS in place in organisation</w:t>
      </w:r>
    </w:p>
    <w:p w14:paraId="36DF0214" w14:textId="77777777" w:rsidR="00411AB4" w:rsidRPr="00411AB4" w:rsidRDefault="00411AB4" w:rsidP="00411AB4"/>
    <w:sectPr w:rsidR="00411AB4" w:rsidRPr="00411AB4" w:rsidSect="000271EE">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92C14" w14:textId="77777777" w:rsidR="00ED2B61" w:rsidRDefault="00ED2B61" w:rsidP="00CB1170">
      <w:pPr>
        <w:spacing w:after="0" w:line="240" w:lineRule="auto"/>
      </w:pPr>
      <w:r>
        <w:separator/>
      </w:r>
    </w:p>
  </w:endnote>
  <w:endnote w:type="continuationSeparator" w:id="0">
    <w:p w14:paraId="135A29B0" w14:textId="77777777" w:rsidR="00ED2B61" w:rsidRDefault="00ED2B61" w:rsidP="00CB1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4604465"/>
      <w:docPartObj>
        <w:docPartGallery w:val="Page Numbers (Bottom of Page)"/>
        <w:docPartUnique/>
      </w:docPartObj>
    </w:sdtPr>
    <w:sdtEndPr>
      <w:rPr>
        <w:noProof/>
      </w:rPr>
    </w:sdtEndPr>
    <w:sdtContent>
      <w:p w14:paraId="297F1AAB" w14:textId="7E86B4E4" w:rsidR="00ED2B61" w:rsidRDefault="00ED2B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27B888" w14:textId="77777777" w:rsidR="00ED2B61" w:rsidRDefault="00ED2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E2C310" w14:textId="77777777" w:rsidR="00ED2B61" w:rsidRDefault="00ED2B61" w:rsidP="00CB1170">
      <w:pPr>
        <w:spacing w:after="0" w:line="240" w:lineRule="auto"/>
      </w:pPr>
      <w:r>
        <w:separator/>
      </w:r>
    </w:p>
  </w:footnote>
  <w:footnote w:type="continuationSeparator" w:id="0">
    <w:p w14:paraId="0C022736" w14:textId="77777777" w:rsidR="00ED2B61" w:rsidRDefault="00ED2B61" w:rsidP="00CB11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42920"/>
    <w:multiLevelType w:val="hybridMultilevel"/>
    <w:tmpl w:val="E4E84CD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015E20"/>
    <w:multiLevelType w:val="multilevel"/>
    <w:tmpl w:val="DC1CCC5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C201F0C"/>
    <w:multiLevelType w:val="hybridMultilevel"/>
    <w:tmpl w:val="7414BDAA"/>
    <w:lvl w:ilvl="0" w:tplc="FC806F4C">
      <w:start w:val="5"/>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426CA5"/>
    <w:multiLevelType w:val="hybridMultilevel"/>
    <w:tmpl w:val="A5D2E0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920DBF"/>
    <w:multiLevelType w:val="hybridMultilevel"/>
    <w:tmpl w:val="07A8F250"/>
    <w:lvl w:ilvl="0" w:tplc="43CA2498">
      <w:start w:val="12"/>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1E5C7C"/>
    <w:multiLevelType w:val="hybridMultilevel"/>
    <w:tmpl w:val="955A2CA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335E5E"/>
    <w:multiLevelType w:val="hybridMultilevel"/>
    <w:tmpl w:val="F384C8B8"/>
    <w:lvl w:ilvl="0" w:tplc="96F6047C">
      <w:start w:val="7"/>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B01EDA"/>
    <w:multiLevelType w:val="hybridMultilevel"/>
    <w:tmpl w:val="A59A93C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4826A4"/>
    <w:multiLevelType w:val="hybridMultilevel"/>
    <w:tmpl w:val="52D8920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DA6896"/>
    <w:multiLevelType w:val="hybridMultilevel"/>
    <w:tmpl w:val="35460DC0"/>
    <w:lvl w:ilvl="0" w:tplc="EFD0A516">
      <w:start w:val="10"/>
      <w:numFmt w:val="lowerLetter"/>
      <w:lvlText w:val="%1."/>
      <w:lvlJc w:val="left"/>
      <w:pPr>
        <w:ind w:left="144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0828C1"/>
    <w:multiLevelType w:val="hybridMultilevel"/>
    <w:tmpl w:val="49C8D646"/>
    <w:lvl w:ilvl="0" w:tplc="FE2096EE">
      <w:start w:val="3"/>
      <w:numFmt w:val="lowerLetter"/>
      <w:lvlText w:val="%1."/>
      <w:lvlJc w:val="left"/>
      <w:pPr>
        <w:ind w:left="144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C018A7"/>
    <w:multiLevelType w:val="hybridMultilevel"/>
    <w:tmpl w:val="ED520A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8215B2"/>
    <w:multiLevelType w:val="hybridMultilevel"/>
    <w:tmpl w:val="EAA4356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DA0E0B"/>
    <w:multiLevelType w:val="hybridMultilevel"/>
    <w:tmpl w:val="CB645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4B547F"/>
    <w:multiLevelType w:val="hybridMultilevel"/>
    <w:tmpl w:val="C09CBCD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222B4D"/>
    <w:multiLevelType w:val="hybridMultilevel"/>
    <w:tmpl w:val="C5A2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F74F07"/>
    <w:multiLevelType w:val="hybridMultilevel"/>
    <w:tmpl w:val="2230F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5"/>
  </w:num>
  <w:num w:numId="4">
    <w:abstractNumId w:val="16"/>
  </w:num>
  <w:num w:numId="5">
    <w:abstractNumId w:val="0"/>
  </w:num>
  <w:num w:numId="6">
    <w:abstractNumId w:val="8"/>
  </w:num>
  <w:num w:numId="7">
    <w:abstractNumId w:val="10"/>
  </w:num>
  <w:num w:numId="8">
    <w:abstractNumId w:val="2"/>
  </w:num>
  <w:num w:numId="9">
    <w:abstractNumId w:val="6"/>
  </w:num>
  <w:num w:numId="10">
    <w:abstractNumId w:val="9"/>
  </w:num>
  <w:num w:numId="11">
    <w:abstractNumId w:val="4"/>
  </w:num>
  <w:num w:numId="12">
    <w:abstractNumId w:val="11"/>
  </w:num>
  <w:num w:numId="13">
    <w:abstractNumId w:val="14"/>
  </w:num>
  <w:num w:numId="14">
    <w:abstractNumId w:val="3"/>
  </w:num>
  <w:num w:numId="15">
    <w:abstractNumId w:val="7"/>
  </w:num>
  <w:num w:numId="16">
    <w:abstractNumId w:val="1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1EE"/>
    <w:rsid w:val="00000438"/>
    <w:rsid w:val="00003677"/>
    <w:rsid w:val="00020832"/>
    <w:rsid w:val="000214BD"/>
    <w:rsid w:val="00025C87"/>
    <w:rsid w:val="000271EE"/>
    <w:rsid w:val="000450B3"/>
    <w:rsid w:val="00047BE0"/>
    <w:rsid w:val="0005381F"/>
    <w:rsid w:val="00056830"/>
    <w:rsid w:val="00056F64"/>
    <w:rsid w:val="00086A66"/>
    <w:rsid w:val="0008754F"/>
    <w:rsid w:val="00087DCE"/>
    <w:rsid w:val="000A42A1"/>
    <w:rsid w:val="000A7B54"/>
    <w:rsid w:val="000D08D8"/>
    <w:rsid w:val="000E5061"/>
    <w:rsid w:val="000E729F"/>
    <w:rsid w:val="001035FB"/>
    <w:rsid w:val="00126985"/>
    <w:rsid w:val="001352EB"/>
    <w:rsid w:val="0014299C"/>
    <w:rsid w:val="001924F8"/>
    <w:rsid w:val="00195517"/>
    <w:rsid w:val="00197CF8"/>
    <w:rsid w:val="001A2C54"/>
    <w:rsid w:val="001C0A1C"/>
    <w:rsid w:val="001C13AE"/>
    <w:rsid w:val="001C2AC8"/>
    <w:rsid w:val="001E6C9C"/>
    <w:rsid w:val="00207AF7"/>
    <w:rsid w:val="00235D02"/>
    <w:rsid w:val="00236231"/>
    <w:rsid w:val="0027700F"/>
    <w:rsid w:val="00290F37"/>
    <w:rsid w:val="0029760F"/>
    <w:rsid w:val="002A6BF7"/>
    <w:rsid w:val="002B23D3"/>
    <w:rsid w:val="002C13C6"/>
    <w:rsid w:val="002C6578"/>
    <w:rsid w:val="002E0967"/>
    <w:rsid w:val="0030461D"/>
    <w:rsid w:val="00315F7F"/>
    <w:rsid w:val="00341FEB"/>
    <w:rsid w:val="0035440B"/>
    <w:rsid w:val="00387A05"/>
    <w:rsid w:val="003B7722"/>
    <w:rsid w:val="003D5304"/>
    <w:rsid w:val="004103D6"/>
    <w:rsid w:val="00411AB4"/>
    <w:rsid w:val="004521B2"/>
    <w:rsid w:val="004634AC"/>
    <w:rsid w:val="00466EC8"/>
    <w:rsid w:val="0047281D"/>
    <w:rsid w:val="004815DB"/>
    <w:rsid w:val="00491E37"/>
    <w:rsid w:val="004969F2"/>
    <w:rsid w:val="004D43BC"/>
    <w:rsid w:val="004F049F"/>
    <w:rsid w:val="004F7B36"/>
    <w:rsid w:val="00534A81"/>
    <w:rsid w:val="0053562C"/>
    <w:rsid w:val="00571AE9"/>
    <w:rsid w:val="00571EEC"/>
    <w:rsid w:val="005B4F10"/>
    <w:rsid w:val="005B67C8"/>
    <w:rsid w:val="005C27E5"/>
    <w:rsid w:val="005D4C0C"/>
    <w:rsid w:val="005E7C00"/>
    <w:rsid w:val="005F23DD"/>
    <w:rsid w:val="00602CD7"/>
    <w:rsid w:val="00605CA5"/>
    <w:rsid w:val="00611E1C"/>
    <w:rsid w:val="0063181E"/>
    <w:rsid w:val="00633DE6"/>
    <w:rsid w:val="00643F3A"/>
    <w:rsid w:val="0065391C"/>
    <w:rsid w:val="0067789D"/>
    <w:rsid w:val="00686A1F"/>
    <w:rsid w:val="00692D33"/>
    <w:rsid w:val="00694B51"/>
    <w:rsid w:val="006A1F76"/>
    <w:rsid w:val="006A4440"/>
    <w:rsid w:val="006A75A4"/>
    <w:rsid w:val="006C3FD8"/>
    <w:rsid w:val="006D1A61"/>
    <w:rsid w:val="006E7FDF"/>
    <w:rsid w:val="00700092"/>
    <w:rsid w:val="00714DF4"/>
    <w:rsid w:val="00730C82"/>
    <w:rsid w:val="007740B3"/>
    <w:rsid w:val="007B005B"/>
    <w:rsid w:val="007D11C0"/>
    <w:rsid w:val="007E1196"/>
    <w:rsid w:val="007F19C2"/>
    <w:rsid w:val="007F55F7"/>
    <w:rsid w:val="008171F5"/>
    <w:rsid w:val="00826007"/>
    <w:rsid w:val="00827C16"/>
    <w:rsid w:val="00842C4B"/>
    <w:rsid w:val="00844CEC"/>
    <w:rsid w:val="00846B18"/>
    <w:rsid w:val="0085797E"/>
    <w:rsid w:val="00872086"/>
    <w:rsid w:val="00882961"/>
    <w:rsid w:val="008B0B48"/>
    <w:rsid w:val="008B419B"/>
    <w:rsid w:val="008C5D43"/>
    <w:rsid w:val="008D456D"/>
    <w:rsid w:val="008D5297"/>
    <w:rsid w:val="00914465"/>
    <w:rsid w:val="00940FB2"/>
    <w:rsid w:val="00952314"/>
    <w:rsid w:val="00952829"/>
    <w:rsid w:val="00953B21"/>
    <w:rsid w:val="009566B9"/>
    <w:rsid w:val="00960E5A"/>
    <w:rsid w:val="00982C0D"/>
    <w:rsid w:val="00996C1F"/>
    <w:rsid w:val="009A3A86"/>
    <w:rsid w:val="009A7428"/>
    <w:rsid w:val="009E7E1B"/>
    <w:rsid w:val="00A07DD3"/>
    <w:rsid w:val="00A10E27"/>
    <w:rsid w:val="00A167CE"/>
    <w:rsid w:val="00A31644"/>
    <w:rsid w:val="00A34DC8"/>
    <w:rsid w:val="00A42C1B"/>
    <w:rsid w:val="00A45C84"/>
    <w:rsid w:val="00A62DCE"/>
    <w:rsid w:val="00A639C9"/>
    <w:rsid w:val="00A656C9"/>
    <w:rsid w:val="00A9026F"/>
    <w:rsid w:val="00A95177"/>
    <w:rsid w:val="00AA320C"/>
    <w:rsid w:val="00AA5CAE"/>
    <w:rsid w:val="00AD389C"/>
    <w:rsid w:val="00AD4641"/>
    <w:rsid w:val="00AE21C5"/>
    <w:rsid w:val="00AE5150"/>
    <w:rsid w:val="00AE5298"/>
    <w:rsid w:val="00AE6AF5"/>
    <w:rsid w:val="00B01654"/>
    <w:rsid w:val="00B03F62"/>
    <w:rsid w:val="00B06030"/>
    <w:rsid w:val="00B11C82"/>
    <w:rsid w:val="00B17DF2"/>
    <w:rsid w:val="00B36678"/>
    <w:rsid w:val="00B46742"/>
    <w:rsid w:val="00B476C3"/>
    <w:rsid w:val="00B6423B"/>
    <w:rsid w:val="00B9088E"/>
    <w:rsid w:val="00B94952"/>
    <w:rsid w:val="00BA169E"/>
    <w:rsid w:val="00BB66D6"/>
    <w:rsid w:val="00BE6E98"/>
    <w:rsid w:val="00BF5C5F"/>
    <w:rsid w:val="00C04876"/>
    <w:rsid w:val="00C16DB4"/>
    <w:rsid w:val="00C2560A"/>
    <w:rsid w:val="00C308DF"/>
    <w:rsid w:val="00C442B6"/>
    <w:rsid w:val="00C60C8A"/>
    <w:rsid w:val="00C73722"/>
    <w:rsid w:val="00C7577F"/>
    <w:rsid w:val="00CA0B2A"/>
    <w:rsid w:val="00CA4A76"/>
    <w:rsid w:val="00CA642E"/>
    <w:rsid w:val="00CB1170"/>
    <w:rsid w:val="00CB4339"/>
    <w:rsid w:val="00CE1D58"/>
    <w:rsid w:val="00D01CFA"/>
    <w:rsid w:val="00D2092B"/>
    <w:rsid w:val="00D304CC"/>
    <w:rsid w:val="00D435A0"/>
    <w:rsid w:val="00D44125"/>
    <w:rsid w:val="00D56A19"/>
    <w:rsid w:val="00D602B8"/>
    <w:rsid w:val="00D661FE"/>
    <w:rsid w:val="00D67F41"/>
    <w:rsid w:val="00D727E5"/>
    <w:rsid w:val="00DA1FA9"/>
    <w:rsid w:val="00DF0258"/>
    <w:rsid w:val="00E1233C"/>
    <w:rsid w:val="00E21A6D"/>
    <w:rsid w:val="00E24D12"/>
    <w:rsid w:val="00E31EB7"/>
    <w:rsid w:val="00E433EB"/>
    <w:rsid w:val="00E57046"/>
    <w:rsid w:val="00E70D10"/>
    <w:rsid w:val="00E82D60"/>
    <w:rsid w:val="00EA3B30"/>
    <w:rsid w:val="00EC3B77"/>
    <w:rsid w:val="00ED0F79"/>
    <w:rsid w:val="00ED2B61"/>
    <w:rsid w:val="00EF503A"/>
    <w:rsid w:val="00F02170"/>
    <w:rsid w:val="00F36C0A"/>
    <w:rsid w:val="00F4420F"/>
    <w:rsid w:val="00F760E4"/>
    <w:rsid w:val="00F77FC1"/>
    <w:rsid w:val="00F913B6"/>
    <w:rsid w:val="00FB2FC5"/>
    <w:rsid w:val="00FF3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5CA3D9"/>
  <w15:chartTrackingRefBased/>
  <w15:docId w15:val="{769A8FD1-B556-438C-B31E-53CB8157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DE6"/>
    <w:rPr>
      <w:rFonts w:ascii="Arial" w:hAnsi="Arial"/>
    </w:rPr>
  </w:style>
  <w:style w:type="paragraph" w:styleId="Heading1">
    <w:name w:val="heading 1"/>
    <w:basedOn w:val="Normal"/>
    <w:next w:val="Normal"/>
    <w:link w:val="Heading1Char"/>
    <w:uiPriority w:val="9"/>
    <w:qFormat/>
    <w:rsid w:val="006A75A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035FB"/>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035FB"/>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1035FB"/>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71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71EE"/>
    <w:rPr>
      <w:rFonts w:eastAsiaTheme="minorEastAsia"/>
      <w:lang w:val="en-US"/>
    </w:rPr>
  </w:style>
  <w:style w:type="character" w:customStyle="1" w:styleId="Heading1Char">
    <w:name w:val="Heading 1 Char"/>
    <w:basedOn w:val="DefaultParagraphFont"/>
    <w:link w:val="Heading1"/>
    <w:uiPriority w:val="9"/>
    <w:rsid w:val="006A75A4"/>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1035FB"/>
    <w:rPr>
      <w:rFonts w:ascii="Arial" w:eastAsiaTheme="majorEastAsia" w:hAnsi="Arial" w:cstheme="majorBidi"/>
      <w:b/>
      <w:sz w:val="26"/>
      <w:szCs w:val="26"/>
    </w:rPr>
  </w:style>
  <w:style w:type="paragraph" w:styleId="TOCHeading">
    <w:name w:val="TOC Heading"/>
    <w:basedOn w:val="Heading1"/>
    <w:next w:val="Normal"/>
    <w:uiPriority w:val="39"/>
    <w:unhideWhenUsed/>
    <w:qFormat/>
    <w:rsid w:val="006A75A4"/>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A75A4"/>
    <w:pPr>
      <w:spacing w:after="100"/>
    </w:pPr>
  </w:style>
  <w:style w:type="character" w:styleId="Hyperlink">
    <w:name w:val="Hyperlink"/>
    <w:basedOn w:val="DefaultParagraphFont"/>
    <w:uiPriority w:val="99"/>
    <w:unhideWhenUsed/>
    <w:rsid w:val="006A75A4"/>
    <w:rPr>
      <w:color w:val="0563C1" w:themeColor="hyperlink"/>
      <w:u w:val="single"/>
    </w:rPr>
  </w:style>
  <w:style w:type="paragraph" w:styleId="ListParagraph">
    <w:name w:val="List Paragraph"/>
    <w:basedOn w:val="Normal"/>
    <w:uiPriority w:val="34"/>
    <w:qFormat/>
    <w:rsid w:val="005D4C0C"/>
    <w:pPr>
      <w:ind w:left="720"/>
      <w:contextualSpacing/>
    </w:pPr>
  </w:style>
  <w:style w:type="paragraph" w:styleId="TOC2">
    <w:name w:val="toc 2"/>
    <w:basedOn w:val="Normal"/>
    <w:next w:val="Normal"/>
    <w:autoRedefine/>
    <w:uiPriority w:val="39"/>
    <w:unhideWhenUsed/>
    <w:rsid w:val="00826007"/>
    <w:pPr>
      <w:spacing w:after="100"/>
      <w:ind w:left="220"/>
    </w:pPr>
  </w:style>
  <w:style w:type="character" w:customStyle="1" w:styleId="Heading3Char">
    <w:name w:val="Heading 3 Char"/>
    <w:basedOn w:val="DefaultParagraphFont"/>
    <w:link w:val="Heading3"/>
    <w:uiPriority w:val="9"/>
    <w:rsid w:val="001035FB"/>
    <w:rPr>
      <w:rFonts w:ascii="Arial" w:eastAsiaTheme="majorEastAsia" w:hAnsi="Arial" w:cstheme="majorBidi"/>
      <w:b/>
      <w:szCs w:val="24"/>
    </w:rPr>
  </w:style>
  <w:style w:type="paragraph" w:styleId="TOC3">
    <w:name w:val="toc 3"/>
    <w:basedOn w:val="Normal"/>
    <w:next w:val="Normal"/>
    <w:autoRedefine/>
    <w:uiPriority w:val="39"/>
    <w:unhideWhenUsed/>
    <w:rsid w:val="00E1233C"/>
    <w:pPr>
      <w:spacing w:after="100"/>
      <w:ind w:left="440"/>
    </w:pPr>
  </w:style>
  <w:style w:type="character" w:customStyle="1" w:styleId="Heading4Char">
    <w:name w:val="Heading 4 Char"/>
    <w:basedOn w:val="DefaultParagraphFont"/>
    <w:link w:val="Heading4"/>
    <w:uiPriority w:val="9"/>
    <w:rsid w:val="001035FB"/>
    <w:rPr>
      <w:rFonts w:ascii="Arial" w:eastAsiaTheme="majorEastAsia" w:hAnsi="Arial" w:cstheme="majorBidi"/>
      <w:b/>
      <w:i/>
      <w:iCs/>
    </w:rPr>
  </w:style>
  <w:style w:type="paragraph" w:styleId="Caption">
    <w:name w:val="caption"/>
    <w:basedOn w:val="Normal"/>
    <w:next w:val="Normal"/>
    <w:uiPriority w:val="35"/>
    <w:unhideWhenUsed/>
    <w:qFormat/>
    <w:rsid w:val="00A9026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B1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170"/>
    <w:rPr>
      <w:rFonts w:ascii="Arial" w:hAnsi="Arial"/>
    </w:rPr>
  </w:style>
  <w:style w:type="paragraph" w:styleId="Footer">
    <w:name w:val="footer"/>
    <w:basedOn w:val="Normal"/>
    <w:link w:val="FooterChar"/>
    <w:uiPriority w:val="99"/>
    <w:unhideWhenUsed/>
    <w:rsid w:val="00CB1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170"/>
    <w:rPr>
      <w:rFonts w:ascii="Arial" w:hAnsi="Arial"/>
    </w:rPr>
  </w:style>
  <w:style w:type="table" w:styleId="TableGrid">
    <w:name w:val="Table Grid"/>
    <w:basedOn w:val="TableNormal"/>
    <w:uiPriority w:val="39"/>
    <w:rsid w:val="00E70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C13A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563AF9-B427-47F7-8133-7741035C978A}" type="doc">
      <dgm:prSet loTypeId="urn:microsoft.com/office/officeart/2009/layout/CircleArrowProcess" loCatId="cycle" qsTypeId="urn:microsoft.com/office/officeart/2005/8/quickstyle/simple1" qsCatId="simple" csTypeId="urn:microsoft.com/office/officeart/2005/8/colors/accent1_2" csCatId="accent1" phldr="1"/>
      <dgm:spPr/>
      <dgm:t>
        <a:bodyPr/>
        <a:lstStyle/>
        <a:p>
          <a:endParaRPr lang="en-GB"/>
        </a:p>
      </dgm:t>
    </dgm:pt>
    <dgm:pt modelId="{C84A4F8A-98B7-471C-A24C-8F78C372661B}">
      <dgm:prSet phldrT="[Text]"/>
      <dgm:spPr/>
      <dgm:t>
        <a:bodyPr/>
        <a:lstStyle/>
        <a:p>
          <a:pPr algn="ctr"/>
          <a:r>
            <a:rPr lang="en-GB"/>
            <a:t>Explore</a:t>
          </a:r>
        </a:p>
      </dgm:t>
    </dgm:pt>
    <dgm:pt modelId="{14029119-38FE-4EF2-8B5A-C996AC7AAD18}" type="parTrans" cxnId="{715D8A50-9E5B-40EC-BA0D-96C0E95FF259}">
      <dgm:prSet/>
      <dgm:spPr/>
      <dgm:t>
        <a:bodyPr/>
        <a:lstStyle/>
        <a:p>
          <a:pPr algn="ctr"/>
          <a:endParaRPr lang="en-GB"/>
        </a:p>
      </dgm:t>
    </dgm:pt>
    <dgm:pt modelId="{BF58CD1B-B5DC-44D4-AB86-081D374CF0AA}" type="sibTrans" cxnId="{715D8A50-9E5B-40EC-BA0D-96C0E95FF259}">
      <dgm:prSet/>
      <dgm:spPr/>
      <dgm:t>
        <a:bodyPr/>
        <a:lstStyle/>
        <a:p>
          <a:pPr algn="ctr"/>
          <a:endParaRPr lang="en-GB"/>
        </a:p>
      </dgm:t>
    </dgm:pt>
    <dgm:pt modelId="{F81B7104-B84B-4F6A-B5CF-42C83FD8FCD1}">
      <dgm:prSet phldrT="[Text]"/>
      <dgm:spPr/>
      <dgm:t>
        <a:bodyPr/>
        <a:lstStyle/>
        <a:p>
          <a:pPr algn="ctr"/>
          <a:r>
            <a:rPr lang="en-GB"/>
            <a:t>Engage</a:t>
          </a:r>
        </a:p>
      </dgm:t>
    </dgm:pt>
    <dgm:pt modelId="{57F6C22F-B881-400A-B2BF-8F04C185038C}" type="parTrans" cxnId="{D17994D0-163F-4869-84F2-D6284422440E}">
      <dgm:prSet/>
      <dgm:spPr/>
      <dgm:t>
        <a:bodyPr/>
        <a:lstStyle/>
        <a:p>
          <a:pPr algn="ctr"/>
          <a:endParaRPr lang="en-GB"/>
        </a:p>
      </dgm:t>
    </dgm:pt>
    <dgm:pt modelId="{C2C70B0F-FD7E-45B9-88E8-3D184D61FFA2}" type="sibTrans" cxnId="{D17994D0-163F-4869-84F2-D6284422440E}">
      <dgm:prSet/>
      <dgm:spPr/>
      <dgm:t>
        <a:bodyPr/>
        <a:lstStyle/>
        <a:p>
          <a:pPr algn="ctr"/>
          <a:endParaRPr lang="en-GB"/>
        </a:p>
      </dgm:t>
    </dgm:pt>
    <dgm:pt modelId="{9682A474-54B1-4AA8-A2CA-E3245C6673B1}">
      <dgm:prSet phldrT="[Text]"/>
      <dgm:spPr/>
      <dgm:t>
        <a:bodyPr/>
        <a:lstStyle/>
        <a:p>
          <a:pPr algn="ctr"/>
          <a:r>
            <a:rPr lang="en-GB"/>
            <a:t>Evaluate</a:t>
          </a:r>
        </a:p>
      </dgm:t>
    </dgm:pt>
    <dgm:pt modelId="{04C43418-05EC-4B7F-998C-7FE9B1A7C0C0}" type="parTrans" cxnId="{10491C14-052A-4875-AF58-C27DE3EA2347}">
      <dgm:prSet/>
      <dgm:spPr/>
      <dgm:t>
        <a:bodyPr/>
        <a:lstStyle/>
        <a:p>
          <a:pPr algn="ctr"/>
          <a:endParaRPr lang="en-GB"/>
        </a:p>
      </dgm:t>
    </dgm:pt>
    <dgm:pt modelId="{A3325424-5D86-4E59-BAA5-C615E697A39D}" type="sibTrans" cxnId="{10491C14-052A-4875-AF58-C27DE3EA2347}">
      <dgm:prSet/>
      <dgm:spPr/>
      <dgm:t>
        <a:bodyPr/>
        <a:lstStyle/>
        <a:p>
          <a:pPr algn="ctr"/>
          <a:endParaRPr lang="en-GB"/>
        </a:p>
      </dgm:t>
    </dgm:pt>
    <dgm:pt modelId="{C37281CF-2C86-4D06-A551-925A75EA2918}" type="pres">
      <dgm:prSet presAssocID="{1A563AF9-B427-47F7-8133-7741035C978A}" presName="Name0" presStyleCnt="0">
        <dgm:presLayoutVars>
          <dgm:chMax val="7"/>
          <dgm:chPref val="7"/>
          <dgm:dir/>
          <dgm:animLvl val="lvl"/>
        </dgm:presLayoutVars>
      </dgm:prSet>
      <dgm:spPr/>
    </dgm:pt>
    <dgm:pt modelId="{D0FDA7A6-45D1-483B-915F-D630AE055F44}" type="pres">
      <dgm:prSet presAssocID="{C84A4F8A-98B7-471C-A24C-8F78C372661B}" presName="Accent1" presStyleCnt="0"/>
      <dgm:spPr/>
    </dgm:pt>
    <dgm:pt modelId="{7357F146-7B16-401B-B6D8-702B4A52D262}" type="pres">
      <dgm:prSet presAssocID="{C84A4F8A-98B7-471C-A24C-8F78C372661B}" presName="Accent" presStyleLbl="node1" presStyleIdx="0" presStyleCnt="3"/>
      <dgm:spPr>
        <a:solidFill>
          <a:srgbClr val="00B050"/>
        </a:solidFill>
      </dgm:spPr>
    </dgm:pt>
    <dgm:pt modelId="{F1F5BB65-F86E-4345-9373-9BEFF7685E0C}" type="pres">
      <dgm:prSet presAssocID="{C84A4F8A-98B7-471C-A24C-8F78C372661B}" presName="Parent1" presStyleLbl="revTx" presStyleIdx="0" presStyleCnt="3">
        <dgm:presLayoutVars>
          <dgm:chMax val="1"/>
          <dgm:chPref val="1"/>
          <dgm:bulletEnabled val="1"/>
        </dgm:presLayoutVars>
      </dgm:prSet>
      <dgm:spPr/>
    </dgm:pt>
    <dgm:pt modelId="{1B0777C5-8801-4258-BAE1-6440C03AD249}" type="pres">
      <dgm:prSet presAssocID="{F81B7104-B84B-4F6A-B5CF-42C83FD8FCD1}" presName="Accent2" presStyleCnt="0"/>
      <dgm:spPr/>
    </dgm:pt>
    <dgm:pt modelId="{4DC0F44C-B356-454E-8C72-787B8C6CBC9B}" type="pres">
      <dgm:prSet presAssocID="{F81B7104-B84B-4F6A-B5CF-42C83FD8FCD1}" presName="Accent" presStyleLbl="node1" presStyleIdx="1" presStyleCnt="3"/>
      <dgm:spPr>
        <a:solidFill>
          <a:srgbClr val="00B0F0"/>
        </a:solidFill>
      </dgm:spPr>
    </dgm:pt>
    <dgm:pt modelId="{E8109FEF-F378-421E-B19F-52089DFE7F8B}" type="pres">
      <dgm:prSet presAssocID="{F81B7104-B84B-4F6A-B5CF-42C83FD8FCD1}" presName="Parent2" presStyleLbl="revTx" presStyleIdx="1" presStyleCnt="3">
        <dgm:presLayoutVars>
          <dgm:chMax val="1"/>
          <dgm:chPref val="1"/>
          <dgm:bulletEnabled val="1"/>
        </dgm:presLayoutVars>
      </dgm:prSet>
      <dgm:spPr/>
    </dgm:pt>
    <dgm:pt modelId="{4A5C697A-8144-42E5-8687-B37C00F90EA1}" type="pres">
      <dgm:prSet presAssocID="{9682A474-54B1-4AA8-A2CA-E3245C6673B1}" presName="Accent3" presStyleCnt="0"/>
      <dgm:spPr/>
    </dgm:pt>
    <dgm:pt modelId="{A07D3A23-DC5D-42BE-A4FD-90C14976034E}" type="pres">
      <dgm:prSet presAssocID="{9682A474-54B1-4AA8-A2CA-E3245C6673B1}" presName="Accent" presStyleLbl="node1" presStyleIdx="2" presStyleCnt="3"/>
      <dgm:spPr>
        <a:solidFill>
          <a:srgbClr val="FFC000"/>
        </a:solidFill>
      </dgm:spPr>
    </dgm:pt>
    <dgm:pt modelId="{BB0906D4-0BEA-45E8-A786-003F31F1945B}" type="pres">
      <dgm:prSet presAssocID="{9682A474-54B1-4AA8-A2CA-E3245C6673B1}" presName="Parent3" presStyleLbl="revTx" presStyleIdx="2" presStyleCnt="3">
        <dgm:presLayoutVars>
          <dgm:chMax val="1"/>
          <dgm:chPref val="1"/>
          <dgm:bulletEnabled val="1"/>
        </dgm:presLayoutVars>
      </dgm:prSet>
      <dgm:spPr/>
    </dgm:pt>
  </dgm:ptLst>
  <dgm:cxnLst>
    <dgm:cxn modelId="{10491C14-052A-4875-AF58-C27DE3EA2347}" srcId="{1A563AF9-B427-47F7-8133-7741035C978A}" destId="{9682A474-54B1-4AA8-A2CA-E3245C6673B1}" srcOrd="2" destOrd="0" parTransId="{04C43418-05EC-4B7F-998C-7FE9B1A7C0C0}" sibTransId="{A3325424-5D86-4E59-BAA5-C615E697A39D}"/>
    <dgm:cxn modelId="{10D5A11F-5D33-4E87-B038-C4EF29347521}" type="presOf" srcId="{1A563AF9-B427-47F7-8133-7741035C978A}" destId="{C37281CF-2C86-4D06-A551-925A75EA2918}" srcOrd="0" destOrd="0" presId="urn:microsoft.com/office/officeart/2009/layout/CircleArrowProcess"/>
    <dgm:cxn modelId="{45A66E6F-B7B9-4356-9698-ACC52A88F78A}" type="presOf" srcId="{C84A4F8A-98B7-471C-A24C-8F78C372661B}" destId="{F1F5BB65-F86E-4345-9373-9BEFF7685E0C}" srcOrd="0" destOrd="0" presId="urn:microsoft.com/office/officeart/2009/layout/CircleArrowProcess"/>
    <dgm:cxn modelId="{715D8A50-9E5B-40EC-BA0D-96C0E95FF259}" srcId="{1A563AF9-B427-47F7-8133-7741035C978A}" destId="{C84A4F8A-98B7-471C-A24C-8F78C372661B}" srcOrd="0" destOrd="0" parTransId="{14029119-38FE-4EF2-8B5A-C996AC7AAD18}" sibTransId="{BF58CD1B-B5DC-44D4-AB86-081D374CF0AA}"/>
    <dgm:cxn modelId="{7AF2D853-2563-47F9-BCD9-F06FF4BED537}" type="presOf" srcId="{9682A474-54B1-4AA8-A2CA-E3245C6673B1}" destId="{BB0906D4-0BEA-45E8-A786-003F31F1945B}" srcOrd="0" destOrd="0" presId="urn:microsoft.com/office/officeart/2009/layout/CircleArrowProcess"/>
    <dgm:cxn modelId="{D17994D0-163F-4869-84F2-D6284422440E}" srcId="{1A563AF9-B427-47F7-8133-7741035C978A}" destId="{F81B7104-B84B-4F6A-B5CF-42C83FD8FCD1}" srcOrd="1" destOrd="0" parTransId="{57F6C22F-B881-400A-B2BF-8F04C185038C}" sibTransId="{C2C70B0F-FD7E-45B9-88E8-3D184D61FFA2}"/>
    <dgm:cxn modelId="{508DB3F6-2DC5-4319-B2AE-6B829512CF69}" type="presOf" srcId="{F81B7104-B84B-4F6A-B5CF-42C83FD8FCD1}" destId="{E8109FEF-F378-421E-B19F-52089DFE7F8B}" srcOrd="0" destOrd="0" presId="urn:microsoft.com/office/officeart/2009/layout/CircleArrowProcess"/>
    <dgm:cxn modelId="{D625B447-00EE-4D21-9CDD-0151E0B3B4F8}" type="presParOf" srcId="{C37281CF-2C86-4D06-A551-925A75EA2918}" destId="{D0FDA7A6-45D1-483B-915F-D630AE055F44}" srcOrd="0" destOrd="0" presId="urn:microsoft.com/office/officeart/2009/layout/CircleArrowProcess"/>
    <dgm:cxn modelId="{FF64A595-3F3F-4E81-855D-FEF9B99FE673}" type="presParOf" srcId="{D0FDA7A6-45D1-483B-915F-D630AE055F44}" destId="{7357F146-7B16-401B-B6D8-702B4A52D262}" srcOrd="0" destOrd="0" presId="urn:microsoft.com/office/officeart/2009/layout/CircleArrowProcess"/>
    <dgm:cxn modelId="{79BE5521-8B9F-46A6-9D7A-7BA8C56C803E}" type="presParOf" srcId="{C37281CF-2C86-4D06-A551-925A75EA2918}" destId="{F1F5BB65-F86E-4345-9373-9BEFF7685E0C}" srcOrd="1" destOrd="0" presId="urn:microsoft.com/office/officeart/2009/layout/CircleArrowProcess"/>
    <dgm:cxn modelId="{E6BFE423-C166-4DCC-A8B0-6AA0F252B5CB}" type="presParOf" srcId="{C37281CF-2C86-4D06-A551-925A75EA2918}" destId="{1B0777C5-8801-4258-BAE1-6440C03AD249}" srcOrd="2" destOrd="0" presId="urn:microsoft.com/office/officeart/2009/layout/CircleArrowProcess"/>
    <dgm:cxn modelId="{AA7F321D-0FC1-47F0-B9DA-412995E86518}" type="presParOf" srcId="{1B0777C5-8801-4258-BAE1-6440C03AD249}" destId="{4DC0F44C-B356-454E-8C72-787B8C6CBC9B}" srcOrd="0" destOrd="0" presId="urn:microsoft.com/office/officeart/2009/layout/CircleArrowProcess"/>
    <dgm:cxn modelId="{C160AB07-489D-426E-B65F-92A7FA0B0C23}" type="presParOf" srcId="{C37281CF-2C86-4D06-A551-925A75EA2918}" destId="{E8109FEF-F378-421E-B19F-52089DFE7F8B}" srcOrd="3" destOrd="0" presId="urn:microsoft.com/office/officeart/2009/layout/CircleArrowProcess"/>
    <dgm:cxn modelId="{CD46619D-3088-44ED-A646-F9729194D781}" type="presParOf" srcId="{C37281CF-2C86-4D06-A551-925A75EA2918}" destId="{4A5C697A-8144-42E5-8687-B37C00F90EA1}" srcOrd="4" destOrd="0" presId="urn:microsoft.com/office/officeart/2009/layout/CircleArrowProcess"/>
    <dgm:cxn modelId="{7EDA9172-E55F-4DB5-B278-4A73987C7898}" type="presParOf" srcId="{4A5C697A-8144-42E5-8687-B37C00F90EA1}" destId="{A07D3A23-DC5D-42BE-A4FD-90C14976034E}" srcOrd="0" destOrd="0" presId="urn:microsoft.com/office/officeart/2009/layout/CircleArrowProcess"/>
    <dgm:cxn modelId="{9F8294D9-67C2-42FD-AB9A-68C63BFC2A83}" type="presParOf" srcId="{C37281CF-2C86-4D06-A551-925A75EA2918}" destId="{BB0906D4-0BEA-45E8-A786-003F31F1945B}" srcOrd="5" destOrd="0" presId="urn:microsoft.com/office/officeart/2009/layout/CircleArrow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57F146-7B16-401B-B6D8-702B4A52D262}">
      <dsp:nvSpPr>
        <dsp:cNvPr id="0" name=""/>
        <dsp:cNvSpPr/>
      </dsp:nvSpPr>
      <dsp:spPr>
        <a:xfrm>
          <a:off x="2083766" y="0"/>
          <a:ext cx="1430406" cy="1430624"/>
        </a:xfrm>
        <a:prstGeom prst="circularArrow">
          <a:avLst>
            <a:gd name="adj1" fmla="val 10980"/>
            <a:gd name="adj2" fmla="val 1142322"/>
            <a:gd name="adj3" fmla="val 4500000"/>
            <a:gd name="adj4" fmla="val 10800000"/>
            <a:gd name="adj5" fmla="val 125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1F5BB65-F86E-4345-9373-9BEFF7685E0C}">
      <dsp:nvSpPr>
        <dsp:cNvPr id="0" name=""/>
        <dsp:cNvSpPr/>
      </dsp:nvSpPr>
      <dsp:spPr>
        <a:xfrm>
          <a:off x="2399933" y="516498"/>
          <a:ext cx="794849" cy="3973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Explore</a:t>
          </a:r>
        </a:p>
      </dsp:txBody>
      <dsp:txXfrm>
        <a:off x="2399933" y="516498"/>
        <a:ext cx="794849" cy="397329"/>
      </dsp:txXfrm>
    </dsp:sp>
    <dsp:sp modelId="{4DC0F44C-B356-454E-8C72-787B8C6CBC9B}">
      <dsp:nvSpPr>
        <dsp:cNvPr id="0" name=""/>
        <dsp:cNvSpPr/>
      </dsp:nvSpPr>
      <dsp:spPr>
        <a:xfrm>
          <a:off x="1686476" y="821999"/>
          <a:ext cx="1430406" cy="1430624"/>
        </a:xfrm>
        <a:prstGeom prst="leftCircularArrow">
          <a:avLst>
            <a:gd name="adj1" fmla="val 10980"/>
            <a:gd name="adj2" fmla="val 1142322"/>
            <a:gd name="adj3" fmla="val 6300000"/>
            <a:gd name="adj4" fmla="val 18900000"/>
            <a:gd name="adj5" fmla="val 125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8109FEF-F378-421E-B19F-52089DFE7F8B}">
      <dsp:nvSpPr>
        <dsp:cNvPr id="0" name=""/>
        <dsp:cNvSpPr/>
      </dsp:nvSpPr>
      <dsp:spPr>
        <a:xfrm>
          <a:off x="2004254" y="1343253"/>
          <a:ext cx="794849" cy="3973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Engage</a:t>
          </a:r>
        </a:p>
      </dsp:txBody>
      <dsp:txXfrm>
        <a:off x="2004254" y="1343253"/>
        <a:ext cx="794849" cy="397329"/>
      </dsp:txXfrm>
    </dsp:sp>
    <dsp:sp modelId="{A07D3A23-DC5D-42BE-A4FD-90C14976034E}">
      <dsp:nvSpPr>
        <dsp:cNvPr id="0" name=""/>
        <dsp:cNvSpPr/>
      </dsp:nvSpPr>
      <dsp:spPr>
        <a:xfrm>
          <a:off x="2185574" y="1742366"/>
          <a:ext cx="1228941" cy="1229433"/>
        </a:xfrm>
        <a:prstGeom prst="blockArc">
          <a:avLst>
            <a:gd name="adj1" fmla="val 13500000"/>
            <a:gd name="adj2" fmla="val 10800000"/>
            <a:gd name="adj3" fmla="val 1274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B0906D4-0BEA-45E8-A786-003F31F1945B}">
      <dsp:nvSpPr>
        <dsp:cNvPr id="0" name=""/>
        <dsp:cNvSpPr/>
      </dsp:nvSpPr>
      <dsp:spPr>
        <a:xfrm>
          <a:off x="2401814" y="2171197"/>
          <a:ext cx="794849" cy="3973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Evaluate</a:t>
          </a:r>
        </a:p>
      </dsp:txBody>
      <dsp:txXfrm>
        <a:off x="2401814" y="2171197"/>
        <a:ext cx="794849" cy="397329"/>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9FE7A-6C63-465A-8B53-7F751883C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3088</TotalTime>
  <Pages>21</Pages>
  <Words>15198</Words>
  <Characters>86635</Characters>
  <Application>Microsoft Office Word</Application>
  <DocSecurity>0</DocSecurity>
  <Lines>721</Lines>
  <Paragraphs>203</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Data security, governance &amp; compliance</vt:lpstr>
      <vt:lpstr>Table of Figures</vt:lpstr>
      <vt:lpstr>Abstract</vt:lpstr>
      <vt:lpstr>Introduction</vt:lpstr>
      <vt:lpstr>Literature Review</vt:lpstr>
      <vt:lpstr>    What is a Cybersecurity Framework?</vt:lpstr>
      <vt:lpstr>    Frameworks and Models</vt:lpstr>
      <vt:lpstr>        ISO 27000</vt:lpstr>
      <vt:lpstr>        NIST Cybersecurity Framework (NIST CSF)</vt:lpstr>
      <vt:lpstr>        PCI DSS Framework</vt:lpstr>
      <vt:lpstr>    ISMS Comparison</vt:lpstr>
      <vt:lpstr>        Application</vt:lpstr>
      <vt:lpstr>        Structure  </vt:lpstr>
      <vt:lpstr>        Global/Organisational Standing</vt:lpstr>
      <vt:lpstr>ISMS Design</vt:lpstr>
      <vt:lpstr>    Explore</vt:lpstr>
      <vt:lpstr>        Review</vt:lpstr>
      <vt:lpstr>        Risk Assessment</vt:lpstr>
      <vt:lpstr>        Risk Management</vt:lpstr>
      <vt:lpstr>        Employee Needs</vt:lpstr>
      <vt:lpstr>    Engage</vt:lpstr>
      <vt:lpstr>        Network</vt:lpstr>
      <vt:lpstr>        Software</vt:lpstr>
      <vt:lpstr>        Data</vt:lpstr>
      <vt:lpstr>        Cloud</vt:lpstr>
      <vt:lpstr>        Bring Your Own Device (BYOD)</vt:lpstr>
      <vt:lpstr>    Evaluate</vt:lpstr>
      <vt:lpstr>        System Review</vt:lpstr>
      <vt:lpstr>        Exploratory Review</vt:lpstr>
      <vt:lpstr>        Engagement Review</vt:lpstr>
      <vt:lpstr>Conclusion</vt:lpstr>
      <vt:lpstr>References</vt:lpstr>
      <vt:lpstr>Appendices</vt:lpstr>
      <vt:lpstr>    Appendix A1 – NIST History and Creation</vt:lpstr>
      <vt:lpstr>    Appendix A2 – NIST Core Functions</vt:lpstr>
      <vt:lpstr>    Appendix A3 – NIST Implementation Tiers</vt:lpstr>
      <vt:lpstr>    Appendix B1 – ISO 27000 Family Outline</vt:lpstr>
      <vt:lpstr>    Appendix C1 – ISO 27001 &amp; NIST CSF Similarities (Clauses)</vt:lpstr>
      <vt:lpstr>    Appendix C2 – ISO 27001 &amp; NIST CSF Similarities (Controls)</vt:lpstr>
      <vt:lpstr>    Appendix D1 – ISO 27001 Requirements</vt:lpstr>
    </vt:vector>
  </TitlesOfParts>
  <Company/>
  <LinksUpToDate>false</LinksUpToDate>
  <CharactersWithSpaces>101630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governance &amp; compliance</dc:title>
  <dc:subject>Name: Jonathan Davies</dc:subject>
  <dc:creator>Jon Davies</dc:creator>
  <cp:keywords/>
  <dc:description/>
  <cp:lastModifiedBy>Jon Davies</cp:lastModifiedBy>
  <cp:revision>23</cp:revision>
  <dcterms:created xsi:type="dcterms:W3CDTF">2020-12-16T11:04:00Z</dcterms:created>
  <dcterms:modified xsi:type="dcterms:W3CDTF">2021-01-09T10:42:00Z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f0857e47-30ff-38e4-97aa-b7a253fc09a3</vt:lpwstr>
  </property>
  <property fmtid="{D5CDD505-2E9C-101B-9397-08002B2CF9AE}" pid="24" name="Mendeley Citation Style_1">
    <vt:lpwstr>http://www.zotero.org/styles/ieee</vt:lpwstr>
  </property>
</Properties>
</file>