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89CA8" w14:textId="77777777" w:rsidR="00C041E4" w:rsidRDefault="00C041E4" w:rsidP="008E57C6"/>
    <w:p w14:paraId="5A3DAFCB" w14:textId="77777777" w:rsidR="00C041E4" w:rsidRDefault="00C041E4" w:rsidP="008E57C6"/>
    <w:p w14:paraId="5B9845B7" w14:textId="77777777" w:rsidR="00C041E4" w:rsidRDefault="00C041E4" w:rsidP="008E57C6"/>
    <w:p w14:paraId="4535E419" w14:textId="77777777" w:rsidR="00C041E4" w:rsidRDefault="00C041E4" w:rsidP="008E57C6"/>
    <w:p w14:paraId="532285AB" w14:textId="0B26F7BB" w:rsidR="005610B6" w:rsidRPr="00336CA1" w:rsidRDefault="005576FB" w:rsidP="008E57C6">
      <w:pPr>
        <w:rPr>
          <w:rFonts w:ascii="Arial" w:hAnsi="Arial" w:cs="Arial"/>
          <w:sz w:val="36"/>
          <w:szCs w:val="36"/>
        </w:rPr>
      </w:pPr>
      <w:r w:rsidRPr="00336CA1">
        <w:rPr>
          <w:rFonts w:ascii="Arial" w:hAnsi="Arial" w:cs="Arial"/>
          <w:sz w:val="36"/>
          <w:szCs w:val="36"/>
        </w:rPr>
        <w:t>BMIH6001</w:t>
      </w:r>
      <w:r w:rsidR="00863E6A" w:rsidRPr="00336CA1">
        <w:rPr>
          <w:rFonts w:ascii="Arial" w:hAnsi="Arial" w:cs="Arial"/>
          <w:sz w:val="36"/>
          <w:szCs w:val="36"/>
        </w:rPr>
        <w:t xml:space="preserve"> </w:t>
      </w:r>
      <w:r w:rsidR="001A6A05" w:rsidRPr="00336CA1">
        <w:rPr>
          <w:rFonts w:ascii="Arial" w:hAnsi="Arial" w:cs="Arial"/>
          <w:sz w:val="36"/>
          <w:szCs w:val="36"/>
        </w:rPr>
        <w:t xml:space="preserve">Contemporary Themes in the Hotel and Hospitality Sector </w:t>
      </w:r>
    </w:p>
    <w:p w14:paraId="6BBA5766" w14:textId="77777777" w:rsidR="00AA2EB7" w:rsidRPr="00336CA1" w:rsidRDefault="00AA2EB7" w:rsidP="00AA2EB7">
      <w:pPr>
        <w:rPr>
          <w:rFonts w:ascii="Arial" w:hAnsi="Arial" w:cs="Arial"/>
          <w:sz w:val="36"/>
          <w:szCs w:val="36"/>
        </w:rPr>
      </w:pPr>
      <w:r w:rsidRPr="00336CA1">
        <w:rPr>
          <w:rFonts w:ascii="Arial" w:hAnsi="Arial" w:cs="Arial"/>
          <w:sz w:val="36"/>
          <w:szCs w:val="36"/>
        </w:rPr>
        <w:t>Festus Tumi: 2121888</w:t>
      </w:r>
    </w:p>
    <w:p w14:paraId="59A46713" w14:textId="23B869CC" w:rsidR="007A7DD9" w:rsidRPr="00336CA1" w:rsidRDefault="007A7DD9" w:rsidP="008E57C6">
      <w:pPr>
        <w:rPr>
          <w:rFonts w:ascii="Arial" w:hAnsi="Arial" w:cs="Arial"/>
          <w:sz w:val="36"/>
          <w:szCs w:val="36"/>
        </w:rPr>
      </w:pPr>
      <w:r w:rsidRPr="00336CA1">
        <w:rPr>
          <w:rFonts w:ascii="Arial" w:hAnsi="Arial" w:cs="Arial"/>
          <w:sz w:val="36"/>
          <w:szCs w:val="36"/>
        </w:rPr>
        <w:t>Assignment One</w:t>
      </w:r>
    </w:p>
    <w:p w14:paraId="6EA398FE" w14:textId="77777777" w:rsidR="00466C6F" w:rsidRPr="00336CA1" w:rsidRDefault="00466C6F" w:rsidP="008E57C6">
      <w:pPr>
        <w:rPr>
          <w:rFonts w:ascii="Arial" w:hAnsi="Arial" w:cs="Arial"/>
          <w:sz w:val="36"/>
          <w:szCs w:val="36"/>
        </w:rPr>
      </w:pPr>
    </w:p>
    <w:p w14:paraId="4E36DC36" w14:textId="6AD473F5" w:rsidR="007E774A" w:rsidRPr="00336CA1" w:rsidRDefault="00964D4A" w:rsidP="007E774A">
      <w:pPr>
        <w:jc w:val="both"/>
        <w:rPr>
          <w:rFonts w:ascii="Arial" w:hAnsi="Arial" w:cs="Arial"/>
          <w:sz w:val="36"/>
          <w:szCs w:val="36"/>
        </w:rPr>
      </w:pPr>
      <w:r w:rsidRPr="00336CA1">
        <w:rPr>
          <w:rFonts w:ascii="Arial" w:hAnsi="Arial" w:cs="Arial"/>
          <w:sz w:val="36"/>
          <w:szCs w:val="36"/>
        </w:rPr>
        <w:t xml:space="preserve">A </w:t>
      </w:r>
      <w:r w:rsidR="00570CE1" w:rsidRPr="00336CA1">
        <w:rPr>
          <w:rFonts w:ascii="Arial" w:hAnsi="Arial" w:cs="Arial"/>
          <w:sz w:val="36"/>
          <w:szCs w:val="36"/>
        </w:rPr>
        <w:t>2500-word</w:t>
      </w:r>
      <w:r w:rsidRPr="00336CA1">
        <w:rPr>
          <w:rFonts w:ascii="Arial" w:hAnsi="Arial" w:cs="Arial"/>
          <w:sz w:val="36"/>
          <w:szCs w:val="36"/>
        </w:rPr>
        <w:t xml:space="preserve"> </w:t>
      </w:r>
      <w:r w:rsidR="00863F18" w:rsidRPr="00336CA1">
        <w:rPr>
          <w:rFonts w:ascii="Arial" w:hAnsi="Arial" w:cs="Arial"/>
          <w:sz w:val="36"/>
          <w:szCs w:val="36"/>
        </w:rPr>
        <w:t xml:space="preserve">Conference Research </w:t>
      </w:r>
      <w:r w:rsidR="00BF1676" w:rsidRPr="00336CA1">
        <w:rPr>
          <w:rFonts w:ascii="Arial" w:hAnsi="Arial" w:cs="Arial"/>
          <w:sz w:val="36"/>
          <w:szCs w:val="36"/>
        </w:rPr>
        <w:t>Paper</w:t>
      </w:r>
      <w:r w:rsidR="00573C18" w:rsidRPr="00336CA1">
        <w:rPr>
          <w:rFonts w:ascii="Arial" w:hAnsi="Arial" w:cs="Arial"/>
          <w:sz w:val="36"/>
          <w:szCs w:val="36"/>
        </w:rPr>
        <w:t xml:space="preserve"> on </w:t>
      </w:r>
      <w:r w:rsidR="007E774A" w:rsidRPr="00336CA1">
        <w:rPr>
          <w:rFonts w:ascii="Arial" w:hAnsi="Arial" w:cs="Arial"/>
          <w:sz w:val="36"/>
          <w:szCs w:val="36"/>
        </w:rPr>
        <w:t>the impact of Geopolitical Dynamics on the Global Hospitality Industry:  The Israel – Palestinian war of 2023 – 2025 and a case study of the Red Sea hospitality and tourism, its challenges, and strategic adaptations.</w:t>
      </w:r>
    </w:p>
    <w:p w14:paraId="019E9038" w14:textId="29AAE21A" w:rsidR="00C041E4" w:rsidRPr="00336CA1" w:rsidRDefault="00C041E4" w:rsidP="008E57C6">
      <w:pPr>
        <w:rPr>
          <w:rFonts w:ascii="Arial" w:hAnsi="Arial" w:cs="Arial"/>
          <w:sz w:val="36"/>
          <w:szCs w:val="36"/>
        </w:rPr>
      </w:pPr>
    </w:p>
    <w:p w14:paraId="566E1339" w14:textId="4A026BBE" w:rsidR="00C041E4" w:rsidRPr="00336CA1" w:rsidRDefault="001705F1" w:rsidP="008E57C6">
      <w:pPr>
        <w:rPr>
          <w:rFonts w:ascii="Arial" w:hAnsi="Arial" w:cs="Arial"/>
          <w:sz w:val="36"/>
          <w:szCs w:val="36"/>
        </w:rPr>
      </w:pPr>
      <w:r w:rsidRPr="00336CA1">
        <w:rPr>
          <w:rFonts w:ascii="Arial" w:hAnsi="Arial" w:cs="Arial"/>
          <w:sz w:val="36"/>
          <w:szCs w:val="36"/>
        </w:rPr>
        <w:t>Lecturer</w:t>
      </w:r>
      <w:r w:rsidR="00BD4C3B" w:rsidRPr="00336CA1">
        <w:rPr>
          <w:rFonts w:ascii="Arial" w:hAnsi="Arial" w:cs="Arial"/>
          <w:sz w:val="36"/>
          <w:szCs w:val="36"/>
        </w:rPr>
        <w:t xml:space="preserve">: </w:t>
      </w:r>
      <w:r w:rsidRPr="00336CA1">
        <w:rPr>
          <w:rFonts w:ascii="Arial" w:hAnsi="Arial" w:cs="Arial"/>
          <w:sz w:val="36"/>
          <w:szCs w:val="36"/>
        </w:rPr>
        <w:t xml:space="preserve"> Dr Ernest Balutie Wavei</w:t>
      </w:r>
    </w:p>
    <w:p w14:paraId="061628BC" w14:textId="77777777" w:rsidR="00227B8A" w:rsidRPr="00336CA1" w:rsidRDefault="00227B8A" w:rsidP="008E57C6">
      <w:pPr>
        <w:rPr>
          <w:rFonts w:ascii="Arial" w:hAnsi="Arial" w:cs="Arial"/>
          <w:sz w:val="36"/>
          <w:szCs w:val="36"/>
        </w:rPr>
      </w:pPr>
    </w:p>
    <w:p w14:paraId="02EBA10C" w14:textId="1157CAA2" w:rsidR="00227B8A" w:rsidRPr="00336CA1" w:rsidRDefault="00227B8A" w:rsidP="008E57C6">
      <w:pPr>
        <w:rPr>
          <w:rFonts w:ascii="Arial" w:hAnsi="Arial" w:cs="Arial"/>
          <w:sz w:val="36"/>
          <w:szCs w:val="36"/>
        </w:rPr>
      </w:pPr>
      <w:r w:rsidRPr="00336CA1">
        <w:rPr>
          <w:rFonts w:ascii="Arial" w:hAnsi="Arial" w:cs="Arial"/>
          <w:sz w:val="36"/>
          <w:szCs w:val="36"/>
        </w:rPr>
        <w:t>AI Acknowledgements</w:t>
      </w:r>
      <w:r w:rsidR="00E1664B" w:rsidRPr="00336CA1">
        <w:rPr>
          <w:rFonts w:ascii="Arial" w:hAnsi="Arial" w:cs="Arial"/>
          <w:sz w:val="36"/>
          <w:szCs w:val="36"/>
        </w:rPr>
        <w:t>/Declaration</w:t>
      </w:r>
    </w:p>
    <w:p w14:paraId="1B12EBF9" w14:textId="1613D4A7" w:rsidR="00466C6F" w:rsidRDefault="006B477A" w:rsidP="008E57C6">
      <w:pPr>
        <w:rPr>
          <w:rFonts w:ascii="Arial" w:hAnsi="Arial" w:cs="Arial"/>
          <w:sz w:val="36"/>
          <w:szCs w:val="36"/>
        </w:rPr>
      </w:pPr>
      <w:r w:rsidRPr="006B477A">
        <w:rPr>
          <w:rFonts w:ascii="Arial" w:hAnsi="Arial" w:cs="Arial"/>
          <w:sz w:val="36"/>
          <w:szCs w:val="36"/>
        </w:rPr>
        <w:t xml:space="preserve">I acknowledge the assistance of AI tools </w:t>
      </w:r>
      <w:r w:rsidR="00834158">
        <w:rPr>
          <w:rFonts w:ascii="Arial" w:hAnsi="Arial" w:cs="Arial"/>
          <w:sz w:val="36"/>
          <w:szCs w:val="36"/>
        </w:rPr>
        <w:t xml:space="preserve">Claude </w:t>
      </w:r>
      <w:r w:rsidR="008815C9">
        <w:rPr>
          <w:rFonts w:ascii="Arial" w:hAnsi="Arial" w:cs="Arial"/>
          <w:sz w:val="36"/>
          <w:szCs w:val="36"/>
        </w:rPr>
        <w:t xml:space="preserve">3.5 Sonnet </w:t>
      </w:r>
      <w:r w:rsidRPr="006B477A">
        <w:rPr>
          <w:rFonts w:ascii="Arial" w:hAnsi="Arial" w:cs="Arial"/>
          <w:sz w:val="36"/>
          <w:szCs w:val="36"/>
        </w:rPr>
        <w:t>in the proofreading and editing of this assignment.</w:t>
      </w:r>
    </w:p>
    <w:p w14:paraId="3648A75C" w14:textId="77777777" w:rsidR="00205F9A" w:rsidRPr="00336CA1" w:rsidRDefault="00205F9A" w:rsidP="008E57C6">
      <w:pPr>
        <w:rPr>
          <w:rFonts w:ascii="Arial" w:hAnsi="Arial" w:cs="Arial"/>
          <w:sz w:val="36"/>
          <w:szCs w:val="36"/>
        </w:rPr>
      </w:pPr>
    </w:p>
    <w:p w14:paraId="5E19E047" w14:textId="15313034" w:rsidR="00964D4A" w:rsidRPr="00336CA1" w:rsidRDefault="00964D4A" w:rsidP="008E57C6">
      <w:pPr>
        <w:rPr>
          <w:rFonts w:ascii="Arial" w:hAnsi="Arial" w:cs="Arial"/>
          <w:sz w:val="36"/>
          <w:szCs w:val="36"/>
        </w:rPr>
      </w:pPr>
      <w:r w:rsidRPr="00336CA1">
        <w:rPr>
          <w:rFonts w:ascii="Arial" w:hAnsi="Arial" w:cs="Arial"/>
          <w:sz w:val="36"/>
          <w:szCs w:val="36"/>
        </w:rPr>
        <w:t xml:space="preserve">Submission date: </w:t>
      </w:r>
      <w:r w:rsidR="003D2E6F" w:rsidRPr="00336CA1">
        <w:rPr>
          <w:rFonts w:ascii="Arial" w:hAnsi="Arial" w:cs="Arial"/>
          <w:sz w:val="36"/>
          <w:szCs w:val="36"/>
        </w:rPr>
        <w:t>10</w:t>
      </w:r>
      <w:r w:rsidR="003D2E6F" w:rsidRPr="00336CA1">
        <w:rPr>
          <w:rFonts w:ascii="Arial" w:hAnsi="Arial" w:cs="Arial"/>
          <w:sz w:val="36"/>
          <w:szCs w:val="36"/>
          <w:vertAlign w:val="superscript"/>
        </w:rPr>
        <w:t>th</w:t>
      </w:r>
      <w:r w:rsidR="003D2E6F" w:rsidRPr="00336CA1">
        <w:rPr>
          <w:rFonts w:ascii="Arial" w:hAnsi="Arial" w:cs="Arial"/>
          <w:sz w:val="36"/>
          <w:szCs w:val="36"/>
        </w:rPr>
        <w:t xml:space="preserve"> February 2025</w:t>
      </w:r>
    </w:p>
    <w:p w14:paraId="65964CC4" w14:textId="77777777" w:rsidR="00964D4A" w:rsidRDefault="00964D4A" w:rsidP="008E57C6"/>
    <w:p w14:paraId="6EA2CF77" w14:textId="77777777" w:rsidR="00C041E4" w:rsidRDefault="00C041E4" w:rsidP="008E57C6"/>
    <w:p w14:paraId="08BC117D" w14:textId="77777777" w:rsidR="00C041E4" w:rsidRDefault="00C041E4" w:rsidP="008E57C6"/>
    <w:p w14:paraId="03971FF8" w14:textId="77777777" w:rsidR="00C041E4" w:rsidRDefault="00C041E4" w:rsidP="008E57C6"/>
    <w:p w14:paraId="699D98CD" w14:textId="189FB518" w:rsidR="008E57C6" w:rsidRPr="008E57C6" w:rsidRDefault="00E1664B" w:rsidP="008E57C6">
      <w:r>
        <w:t xml:space="preserve"> </w:t>
      </w:r>
    </w:p>
    <w:p w14:paraId="15EC2DB4" w14:textId="4C90D300" w:rsidR="007E0F21" w:rsidRPr="00277721" w:rsidRDefault="00D642C8" w:rsidP="00570CE1">
      <w:pPr>
        <w:jc w:val="both"/>
        <w:rPr>
          <w:rFonts w:ascii="Arial" w:hAnsi="Arial" w:cs="Arial"/>
          <w:b/>
          <w:bCs/>
        </w:rPr>
      </w:pPr>
      <w:r w:rsidRPr="00277721">
        <w:rPr>
          <w:rFonts w:ascii="Arial" w:hAnsi="Arial" w:cs="Arial"/>
          <w:b/>
          <w:bCs/>
        </w:rPr>
        <w:t>Contemporary Theme</w:t>
      </w:r>
      <w:r w:rsidR="00920C8C" w:rsidRPr="00277721">
        <w:rPr>
          <w:rFonts w:ascii="Arial" w:hAnsi="Arial" w:cs="Arial"/>
          <w:b/>
          <w:bCs/>
        </w:rPr>
        <w:t xml:space="preserve">: </w:t>
      </w:r>
      <w:r w:rsidR="009200BB" w:rsidRPr="00277721">
        <w:rPr>
          <w:rFonts w:ascii="Arial" w:hAnsi="Arial" w:cs="Arial"/>
          <w:b/>
          <w:bCs/>
        </w:rPr>
        <w:t>Industry responses for shocks and re</w:t>
      </w:r>
      <w:r w:rsidRPr="00277721">
        <w:rPr>
          <w:rFonts w:ascii="Arial" w:hAnsi="Arial" w:cs="Arial"/>
          <w:b/>
          <w:bCs/>
        </w:rPr>
        <w:t>covery</w:t>
      </w:r>
      <w:r w:rsidR="009200BB" w:rsidRPr="00277721">
        <w:rPr>
          <w:rFonts w:ascii="Arial" w:hAnsi="Arial" w:cs="Arial"/>
          <w:b/>
          <w:bCs/>
        </w:rPr>
        <w:t xml:space="preserve"> </w:t>
      </w:r>
    </w:p>
    <w:p w14:paraId="24E5732D" w14:textId="363C7610" w:rsidR="008E57C6" w:rsidRPr="00205F9A" w:rsidRDefault="008E57C6" w:rsidP="00570CE1">
      <w:pPr>
        <w:jc w:val="both"/>
        <w:rPr>
          <w:rFonts w:ascii="Arial" w:hAnsi="Arial" w:cs="Arial"/>
        </w:rPr>
      </w:pPr>
      <w:r w:rsidRPr="00277721">
        <w:rPr>
          <w:rFonts w:ascii="Arial" w:hAnsi="Arial" w:cs="Arial"/>
          <w:b/>
          <w:bCs/>
        </w:rPr>
        <w:t xml:space="preserve">Title: </w:t>
      </w:r>
      <w:r w:rsidR="0066779D" w:rsidRPr="00205F9A">
        <w:rPr>
          <w:rFonts w:ascii="Arial" w:hAnsi="Arial" w:cs="Arial"/>
        </w:rPr>
        <w:t xml:space="preserve">Assessing </w:t>
      </w:r>
      <w:r w:rsidR="00D6722C" w:rsidRPr="00205F9A">
        <w:rPr>
          <w:rFonts w:ascii="Arial" w:hAnsi="Arial" w:cs="Arial"/>
        </w:rPr>
        <w:t>the i</w:t>
      </w:r>
      <w:r w:rsidRPr="00205F9A">
        <w:rPr>
          <w:rFonts w:ascii="Arial" w:hAnsi="Arial" w:cs="Arial"/>
        </w:rPr>
        <w:t xml:space="preserve">mpact of Geopolitical Dynamics on the Global Hospitality Industry: </w:t>
      </w:r>
      <w:r w:rsidR="00E76CD6" w:rsidRPr="00205F9A">
        <w:rPr>
          <w:rFonts w:ascii="Arial" w:hAnsi="Arial" w:cs="Arial"/>
        </w:rPr>
        <w:t xml:space="preserve"> The Israel</w:t>
      </w:r>
      <w:r w:rsidR="001B1B9F" w:rsidRPr="00205F9A">
        <w:rPr>
          <w:rFonts w:ascii="Arial" w:hAnsi="Arial" w:cs="Arial"/>
        </w:rPr>
        <w:t xml:space="preserve"> – Palestinian war of 2023 – 2025 </w:t>
      </w:r>
      <w:r w:rsidR="00BA192B" w:rsidRPr="00205F9A">
        <w:rPr>
          <w:rFonts w:ascii="Arial" w:hAnsi="Arial" w:cs="Arial"/>
        </w:rPr>
        <w:t>and a c</w:t>
      </w:r>
      <w:r w:rsidR="00D6722C" w:rsidRPr="00205F9A">
        <w:rPr>
          <w:rFonts w:ascii="Arial" w:hAnsi="Arial" w:cs="Arial"/>
        </w:rPr>
        <w:t xml:space="preserve">ase </w:t>
      </w:r>
      <w:r w:rsidR="00BA192B" w:rsidRPr="00205F9A">
        <w:rPr>
          <w:rFonts w:ascii="Arial" w:hAnsi="Arial" w:cs="Arial"/>
        </w:rPr>
        <w:t>s</w:t>
      </w:r>
      <w:r w:rsidR="00301F6C" w:rsidRPr="00205F9A">
        <w:rPr>
          <w:rFonts w:ascii="Arial" w:hAnsi="Arial" w:cs="Arial"/>
        </w:rPr>
        <w:t xml:space="preserve">tudy </w:t>
      </w:r>
      <w:r w:rsidR="00D6722C" w:rsidRPr="00205F9A">
        <w:rPr>
          <w:rFonts w:ascii="Arial" w:hAnsi="Arial" w:cs="Arial"/>
        </w:rPr>
        <w:t xml:space="preserve">of the </w:t>
      </w:r>
      <w:r w:rsidR="00301F6C" w:rsidRPr="00205F9A">
        <w:rPr>
          <w:rFonts w:ascii="Arial" w:hAnsi="Arial" w:cs="Arial"/>
        </w:rPr>
        <w:t>R</w:t>
      </w:r>
      <w:r w:rsidR="00D6722C" w:rsidRPr="00205F9A">
        <w:rPr>
          <w:rFonts w:ascii="Arial" w:hAnsi="Arial" w:cs="Arial"/>
        </w:rPr>
        <w:t xml:space="preserve">ed </w:t>
      </w:r>
      <w:r w:rsidR="00301F6C" w:rsidRPr="00205F9A">
        <w:rPr>
          <w:rFonts w:ascii="Arial" w:hAnsi="Arial" w:cs="Arial"/>
        </w:rPr>
        <w:t>S</w:t>
      </w:r>
      <w:r w:rsidR="00D6722C" w:rsidRPr="00205F9A">
        <w:rPr>
          <w:rFonts w:ascii="Arial" w:hAnsi="Arial" w:cs="Arial"/>
        </w:rPr>
        <w:t>ea</w:t>
      </w:r>
      <w:r w:rsidR="00301F6C" w:rsidRPr="00205F9A">
        <w:rPr>
          <w:rFonts w:ascii="Arial" w:hAnsi="Arial" w:cs="Arial"/>
        </w:rPr>
        <w:t xml:space="preserve"> </w:t>
      </w:r>
      <w:r w:rsidR="00BA192B" w:rsidRPr="00205F9A">
        <w:rPr>
          <w:rFonts w:ascii="Arial" w:hAnsi="Arial" w:cs="Arial"/>
        </w:rPr>
        <w:t>h</w:t>
      </w:r>
      <w:r w:rsidR="00301F6C" w:rsidRPr="00205F9A">
        <w:rPr>
          <w:rFonts w:ascii="Arial" w:hAnsi="Arial" w:cs="Arial"/>
        </w:rPr>
        <w:t>ospitality and</w:t>
      </w:r>
      <w:r w:rsidR="00D6722C" w:rsidRPr="00205F9A">
        <w:rPr>
          <w:rFonts w:ascii="Arial" w:hAnsi="Arial" w:cs="Arial"/>
        </w:rPr>
        <w:t xml:space="preserve"> </w:t>
      </w:r>
      <w:r w:rsidR="00BA192B" w:rsidRPr="00205F9A">
        <w:rPr>
          <w:rFonts w:ascii="Arial" w:hAnsi="Arial" w:cs="Arial"/>
        </w:rPr>
        <w:t>t</w:t>
      </w:r>
      <w:r w:rsidR="00D6722C" w:rsidRPr="00205F9A">
        <w:rPr>
          <w:rFonts w:ascii="Arial" w:hAnsi="Arial" w:cs="Arial"/>
        </w:rPr>
        <w:t>ourism</w:t>
      </w:r>
      <w:r w:rsidR="003856C9" w:rsidRPr="00205F9A">
        <w:rPr>
          <w:rFonts w:ascii="Arial" w:hAnsi="Arial" w:cs="Arial"/>
        </w:rPr>
        <w:t>, it</w:t>
      </w:r>
      <w:r w:rsidR="00301F6C" w:rsidRPr="00205F9A">
        <w:rPr>
          <w:rFonts w:ascii="Arial" w:hAnsi="Arial" w:cs="Arial"/>
        </w:rPr>
        <w:t>s</w:t>
      </w:r>
      <w:r w:rsidR="003856C9" w:rsidRPr="00205F9A">
        <w:rPr>
          <w:rFonts w:ascii="Arial" w:hAnsi="Arial" w:cs="Arial"/>
        </w:rPr>
        <w:t xml:space="preserve"> </w:t>
      </w:r>
      <w:r w:rsidR="00570CE1" w:rsidRPr="00205F9A">
        <w:rPr>
          <w:rFonts w:ascii="Arial" w:hAnsi="Arial" w:cs="Arial"/>
        </w:rPr>
        <w:t>challenges,</w:t>
      </w:r>
      <w:r w:rsidRPr="00205F9A">
        <w:rPr>
          <w:rFonts w:ascii="Arial" w:hAnsi="Arial" w:cs="Arial"/>
        </w:rPr>
        <w:t xml:space="preserve"> and </w:t>
      </w:r>
      <w:r w:rsidR="00BA192B" w:rsidRPr="00205F9A">
        <w:rPr>
          <w:rFonts w:ascii="Arial" w:hAnsi="Arial" w:cs="Arial"/>
        </w:rPr>
        <w:t>s</w:t>
      </w:r>
      <w:r w:rsidRPr="00205F9A">
        <w:rPr>
          <w:rFonts w:ascii="Arial" w:hAnsi="Arial" w:cs="Arial"/>
        </w:rPr>
        <w:t xml:space="preserve">trategic </w:t>
      </w:r>
      <w:r w:rsidR="00BA192B" w:rsidRPr="00205F9A">
        <w:rPr>
          <w:rFonts w:ascii="Arial" w:hAnsi="Arial" w:cs="Arial"/>
        </w:rPr>
        <w:t>a</w:t>
      </w:r>
      <w:r w:rsidRPr="00205F9A">
        <w:rPr>
          <w:rFonts w:ascii="Arial" w:hAnsi="Arial" w:cs="Arial"/>
        </w:rPr>
        <w:t>daptations</w:t>
      </w:r>
      <w:r w:rsidR="00BA192B" w:rsidRPr="00205F9A">
        <w:rPr>
          <w:rFonts w:ascii="Arial" w:hAnsi="Arial" w:cs="Arial"/>
        </w:rPr>
        <w:t>.</w:t>
      </w:r>
    </w:p>
    <w:p w14:paraId="5E21EA94" w14:textId="5F5B1D28" w:rsidR="006B0FD6" w:rsidRPr="00277721" w:rsidRDefault="008E57C6" w:rsidP="00570CE1">
      <w:pPr>
        <w:jc w:val="both"/>
        <w:rPr>
          <w:rFonts w:ascii="Arial" w:hAnsi="Arial" w:cs="Arial"/>
          <w:b/>
          <w:bCs/>
        </w:rPr>
      </w:pPr>
      <w:r w:rsidRPr="00277721">
        <w:rPr>
          <w:rFonts w:ascii="Arial" w:hAnsi="Arial" w:cs="Arial"/>
          <w:b/>
          <w:bCs/>
        </w:rPr>
        <w:t>Abstract:</w:t>
      </w:r>
    </w:p>
    <w:p w14:paraId="12F8E621" w14:textId="456470ED" w:rsidR="00555F1E" w:rsidRPr="00277721" w:rsidRDefault="007D0C60" w:rsidP="00570CE1">
      <w:pPr>
        <w:jc w:val="both"/>
        <w:rPr>
          <w:rFonts w:ascii="Arial" w:hAnsi="Arial" w:cs="Arial"/>
        </w:rPr>
      </w:pPr>
      <w:r w:rsidRPr="00277721">
        <w:rPr>
          <w:rFonts w:ascii="Arial" w:hAnsi="Arial" w:cs="Arial"/>
        </w:rPr>
        <w:t>This paper explores the impact of geopolitical dynamics</w:t>
      </w:r>
      <w:r w:rsidR="006B0FD6" w:rsidRPr="00277721">
        <w:rPr>
          <w:rFonts w:ascii="Arial" w:hAnsi="Arial" w:cs="Arial"/>
        </w:rPr>
        <w:t xml:space="preserve"> </w:t>
      </w:r>
      <w:r w:rsidRPr="00277721">
        <w:rPr>
          <w:rFonts w:ascii="Arial" w:hAnsi="Arial" w:cs="Arial"/>
        </w:rPr>
        <w:t>on the global hospitality industry, with a focus on the Red Sea region. As geopolitical events increasingly influence tourism flows, investment patterns, and operational strategies, this study highlights both the negative and positive repercussions of such conflicts. Key negative impacts include a significant decline in tourist arrivals, economic losses for countries reliant on tourism, investment hesitancy, supply chain disruptions, and a tarnished destination image. Conversely, the industry has demonstrated resilience through strategic adaptations, such as market diversification targeting domestic and regional tourists, enhanced digital marketing efforts, and the implementation of advanced security measures to reassure visitors. Collaborative approaches involving public-private partnerships and proactive policy initiatives have also emerged as vital for effective crisis management and recovery. This research underscores the necessity for ongoing analysis of geopolitical developments and the importance of adaptive strategies in ensuring the long-term stability and growth of the hospitality sector in the Red Sea region. Ultimately, the findings contribute to a deeper understanding of how geopolitical factors shape the hospitality industry and offer insights for stakeholders navigating these complex challenges.</w:t>
      </w:r>
    </w:p>
    <w:p w14:paraId="21D51B5C" w14:textId="3DC5F6D3" w:rsidR="00540F75" w:rsidRPr="00277721" w:rsidRDefault="00540F75" w:rsidP="00570CE1">
      <w:pPr>
        <w:ind w:left="-218"/>
        <w:jc w:val="both"/>
        <w:rPr>
          <w:rFonts w:ascii="Arial" w:hAnsi="Arial" w:cs="Arial"/>
          <w:b/>
          <w:bCs/>
        </w:rPr>
      </w:pPr>
      <w:r w:rsidRPr="00277721">
        <w:rPr>
          <w:rFonts w:ascii="Arial" w:hAnsi="Arial" w:cs="Arial"/>
          <w:b/>
          <w:bCs/>
        </w:rPr>
        <w:t>Introduction</w:t>
      </w:r>
    </w:p>
    <w:p w14:paraId="2EB23622" w14:textId="0B54BEB2" w:rsidR="00EC599E" w:rsidRPr="00277721" w:rsidRDefault="009746FE" w:rsidP="00570CE1">
      <w:pPr>
        <w:ind w:left="360"/>
        <w:jc w:val="both"/>
        <w:rPr>
          <w:rFonts w:ascii="Arial" w:hAnsi="Arial" w:cs="Arial"/>
        </w:rPr>
      </w:pPr>
      <w:r w:rsidRPr="00277721">
        <w:rPr>
          <w:rFonts w:ascii="Arial" w:hAnsi="Arial" w:cs="Arial"/>
        </w:rPr>
        <w:t>The hospitality industry operates in an increasingly interconnected global environment where geopolitical events and tensions can have far-reaching implications for business operations, tourist movements, and investment decisions</w:t>
      </w:r>
      <w:r w:rsidR="00251A2A" w:rsidRPr="00277721">
        <w:rPr>
          <w:rFonts w:ascii="Arial" w:hAnsi="Arial" w:cs="Arial"/>
        </w:rPr>
        <w:t xml:space="preserve"> </w:t>
      </w:r>
      <w:r w:rsidR="004B0A0C" w:rsidRPr="00277721">
        <w:rPr>
          <w:rFonts w:ascii="Arial" w:hAnsi="Arial" w:cs="Arial"/>
        </w:rPr>
        <w:t>(Isaac, Cakmak</w:t>
      </w:r>
      <w:r w:rsidR="000A364B" w:rsidRPr="00277721">
        <w:rPr>
          <w:rFonts w:ascii="Arial" w:hAnsi="Arial" w:cs="Arial"/>
        </w:rPr>
        <w:t xml:space="preserve"> &amp;</w:t>
      </w:r>
      <w:r w:rsidR="00107814" w:rsidRPr="00277721">
        <w:rPr>
          <w:rFonts w:ascii="Arial" w:hAnsi="Arial" w:cs="Arial"/>
        </w:rPr>
        <w:t xml:space="preserve"> </w:t>
      </w:r>
      <w:r w:rsidR="000A364B" w:rsidRPr="00277721">
        <w:rPr>
          <w:rFonts w:ascii="Arial" w:hAnsi="Arial" w:cs="Arial"/>
        </w:rPr>
        <w:t>Butler</w:t>
      </w:r>
      <w:r w:rsidR="00107814" w:rsidRPr="00277721">
        <w:rPr>
          <w:rFonts w:ascii="Arial" w:hAnsi="Arial" w:cs="Arial"/>
        </w:rPr>
        <w:t xml:space="preserve"> 2019</w:t>
      </w:r>
      <w:r w:rsidR="00897984" w:rsidRPr="00277721">
        <w:rPr>
          <w:rFonts w:ascii="Arial" w:hAnsi="Arial" w:cs="Arial"/>
        </w:rPr>
        <w:t>a</w:t>
      </w:r>
      <w:r w:rsidR="00107814" w:rsidRPr="00277721">
        <w:rPr>
          <w:rFonts w:ascii="Arial" w:hAnsi="Arial" w:cs="Arial"/>
        </w:rPr>
        <w:t xml:space="preserve">) </w:t>
      </w:r>
      <w:r w:rsidRPr="00277721">
        <w:rPr>
          <w:rFonts w:ascii="Arial" w:hAnsi="Arial" w:cs="Arial"/>
        </w:rPr>
        <w:t xml:space="preserve">Recent years have witnessed significant geopolitical developments, including the US-China trade tensions, Brexit, the COVID-19 pandemic's political implications, </w:t>
      </w:r>
      <w:r w:rsidR="006E1567" w:rsidRPr="00277721">
        <w:rPr>
          <w:rFonts w:ascii="Arial" w:hAnsi="Arial" w:cs="Arial"/>
        </w:rPr>
        <w:t xml:space="preserve">and </w:t>
      </w:r>
      <w:r w:rsidRPr="00277721">
        <w:rPr>
          <w:rFonts w:ascii="Arial" w:hAnsi="Arial" w:cs="Arial"/>
        </w:rPr>
        <w:t xml:space="preserve">the Russia-Ukraine </w:t>
      </w:r>
      <w:r w:rsidR="00953932" w:rsidRPr="00277721">
        <w:rPr>
          <w:rFonts w:ascii="Arial" w:hAnsi="Arial" w:cs="Arial"/>
        </w:rPr>
        <w:t>and th</w:t>
      </w:r>
      <w:r w:rsidR="00B06AB9" w:rsidRPr="00277721">
        <w:rPr>
          <w:rFonts w:ascii="Arial" w:hAnsi="Arial" w:cs="Arial"/>
        </w:rPr>
        <w:t xml:space="preserve">e </w:t>
      </w:r>
      <w:r w:rsidR="006E1567" w:rsidRPr="00277721">
        <w:rPr>
          <w:rFonts w:ascii="Arial" w:hAnsi="Arial" w:cs="Arial"/>
        </w:rPr>
        <w:t>Israel</w:t>
      </w:r>
      <w:r w:rsidR="00ED1F01" w:rsidRPr="00277721">
        <w:rPr>
          <w:rFonts w:ascii="Arial" w:hAnsi="Arial" w:cs="Arial"/>
        </w:rPr>
        <w:t xml:space="preserve">-Palestinian </w:t>
      </w:r>
      <w:r w:rsidRPr="00277721">
        <w:rPr>
          <w:rFonts w:ascii="Arial" w:hAnsi="Arial" w:cs="Arial"/>
        </w:rPr>
        <w:t>conflict</w:t>
      </w:r>
      <w:r w:rsidR="00ED1F01" w:rsidRPr="00277721">
        <w:rPr>
          <w:rFonts w:ascii="Arial" w:hAnsi="Arial" w:cs="Arial"/>
        </w:rPr>
        <w:t>s</w:t>
      </w:r>
      <w:r w:rsidRPr="00277721">
        <w:rPr>
          <w:rFonts w:ascii="Arial" w:hAnsi="Arial" w:cs="Arial"/>
        </w:rPr>
        <w:t>, all of which have substantially impacted the hospitality sector.</w:t>
      </w:r>
      <w:r w:rsidR="00EC599E" w:rsidRPr="00277721">
        <w:rPr>
          <w:rFonts w:ascii="Arial" w:hAnsi="Arial" w:cs="Arial"/>
        </w:rPr>
        <w:t xml:space="preserve"> The industry's vulnerability to geopolitical factors has become more pronounced as global tourism has expanded and cross-border investments have increased.</w:t>
      </w:r>
    </w:p>
    <w:p w14:paraId="03E212BD" w14:textId="32E75A5E" w:rsidR="00FE3225" w:rsidRPr="00277721" w:rsidRDefault="00914A02" w:rsidP="00570CE1">
      <w:pPr>
        <w:ind w:left="360"/>
        <w:jc w:val="both"/>
        <w:rPr>
          <w:rFonts w:ascii="Arial" w:hAnsi="Arial" w:cs="Arial"/>
        </w:rPr>
      </w:pPr>
      <w:r w:rsidRPr="00277721">
        <w:rPr>
          <w:rFonts w:ascii="Arial" w:hAnsi="Arial" w:cs="Arial"/>
        </w:rPr>
        <w:t xml:space="preserve">This conference paper aims to examine the impact of the Israel Palestinian </w:t>
      </w:r>
      <w:r w:rsidR="00EB7A2C" w:rsidRPr="00277721">
        <w:rPr>
          <w:rFonts w:ascii="Arial" w:hAnsi="Arial" w:cs="Arial"/>
        </w:rPr>
        <w:t>conflicts on</w:t>
      </w:r>
      <w:r w:rsidR="004908BD" w:rsidRPr="00277721">
        <w:rPr>
          <w:rFonts w:ascii="Arial" w:hAnsi="Arial" w:cs="Arial"/>
        </w:rPr>
        <w:t xml:space="preserve"> tourism in the Red Sea </w:t>
      </w:r>
      <w:r w:rsidR="006767E6" w:rsidRPr="00277721">
        <w:rPr>
          <w:rFonts w:ascii="Arial" w:hAnsi="Arial" w:cs="Arial"/>
        </w:rPr>
        <w:t xml:space="preserve">region. </w:t>
      </w:r>
      <w:r w:rsidR="007D7A77" w:rsidRPr="00277721">
        <w:rPr>
          <w:rFonts w:ascii="Arial" w:hAnsi="Arial" w:cs="Arial"/>
        </w:rPr>
        <w:t xml:space="preserve"> </w:t>
      </w:r>
      <w:r w:rsidR="009D0F32" w:rsidRPr="00277721">
        <w:rPr>
          <w:rFonts w:ascii="Arial" w:hAnsi="Arial" w:cs="Arial"/>
        </w:rPr>
        <w:t xml:space="preserve">The Red Sea borders </w:t>
      </w:r>
      <w:r w:rsidR="000F0B68" w:rsidRPr="00277721">
        <w:rPr>
          <w:rFonts w:ascii="Arial" w:hAnsi="Arial" w:cs="Arial"/>
        </w:rPr>
        <w:t xml:space="preserve">Egypt, </w:t>
      </w:r>
      <w:r w:rsidR="008868F6" w:rsidRPr="00277721">
        <w:rPr>
          <w:rFonts w:ascii="Arial" w:hAnsi="Arial" w:cs="Arial"/>
        </w:rPr>
        <w:t xml:space="preserve">Sudan, </w:t>
      </w:r>
      <w:r w:rsidR="00B25B7D" w:rsidRPr="00277721">
        <w:rPr>
          <w:rFonts w:ascii="Arial" w:hAnsi="Arial" w:cs="Arial"/>
        </w:rPr>
        <w:t>Eritrea,</w:t>
      </w:r>
      <w:r w:rsidR="00964A3E" w:rsidRPr="00277721">
        <w:rPr>
          <w:rFonts w:ascii="Arial" w:hAnsi="Arial" w:cs="Arial"/>
        </w:rPr>
        <w:t xml:space="preserve"> Djibouti, Saudi Arabia and Yemen. </w:t>
      </w:r>
      <w:r w:rsidR="000F0B68" w:rsidRPr="00277721">
        <w:rPr>
          <w:rFonts w:ascii="Arial" w:hAnsi="Arial" w:cs="Arial"/>
        </w:rPr>
        <w:t xml:space="preserve"> </w:t>
      </w:r>
    </w:p>
    <w:p w14:paraId="7190FCB5" w14:textId="72E66244" w:rsidR="00914A02" w:rsidRPr="00277721" w:rsidRDefault="00B049BB" w:rsidP="00570CE1">
      <w:pPr>
        <w:ind w:left="360"/>
        <w:jc w:val="both"/>
        <w:rPr>
          <w:rFonts w:ascii="Arial" w:hAnsi="Arial" w:cs="Arial"/>
        </w:rPr>
      </w:pPr>
      <w:r w:rsidRPr="00277721">
        <w:rPr>
          <w:rFonts w:ascii="Arial" w:hAnsi="Arial" w:cs="Arial"/>
        </w:rPr>
        <w:lastRenderedPageBreak/>
        <w:t xml:space="preserve">Radisson Hotels </w:t>
      </w:r>
      <w:r w:rsidR="004A5CBB" w:rsidRPr="00277721">
        <w:rPr>
          <w:rFonts w:ascii="Arial" w:hAnsi="Arial" w:cs="Arial"/>
        </w:rPr>
        <w:t xml:space="preserve">with hotels in Jeddah, Saudi Arabia </w:t>
      </w:r>
      <w:r w:rsidRPr="00277721">
        <w:rPr>
          <w:rFonts w:ascii="Arial" w:hAnsi="Arial" w:cs="Arial"/>
        </w:rPr>
        <w:t xml:space="preserve">describes the </w:t>
      </w:r>
      <w:r w:rsidR="00D93C42" w:rsidRPr="00277721">
        <w:rPr>
          <w:rFonts w:ascii="Arial" w:hAnsi="Arial" w:cs="Arial"/>
        </w:rPr>
        <w:t xml:space="preserve">Red Sea as </w:t>
      </w:r>
      <w:r w:rsidR="00321ED5" w:rsidRPr="00277721">
        <w:rPr>
          <w:rFonts w:ascii="Arial" w:hAnsi="Arial" w:cs="Arial"/>
        </w:rPr>
        <w:t>having</w:t>
      </w:r>
      <w:r w:rsidR="00D93C42" w:rsidRPr="00277721">
        <w:rPr>
          <w:rFonts w:ascii="Arial" w:hAnsi="Arial" w:cs="Arial"/>
        </w:rPr>
        <w:t xml:space="preserve"> </w:t>
      </w:r>
      <w:r w:rsidR="00321ED5" w:rsidRPr="00277721">
        <w:rPr>
          <w:rFonts w:ascii="Arial" w:hAnsi="Arial" w:cs="Arial"/>
        </w:rPr>
        <w:t>“</w:t>
      </w:r>
      <w:r w:rsidR="00D93C42" w:rsidRPr="00277721">
        <w:rPr>
          <w:rFonts w:ascii="Arial" w:hAnsi="Arial" w:cs="Arial"/>
        </w:rPr>
        <w:t>k</w:t>
      </w:r>
      <w:r w:rsidR="00311A48" w:rsidRPr="00277721">
        <w:rPr>
          <w:rFonts w:ascii="Arial" w:hAnsi="Arial" w:cs="Arial"/>
        </w:rPr>
        <w:t xml:space="preserve">aleidoscopic coral, a dizzying array of marine life and warm temperatures throughout the year </w:t>
      </w:r>
      <w:r w:rsidR="00B768C1" w:rsidRPr="00277721">
        <w:rPr>
          <w:rFonts w:ascii="Arial" w:hAnsi="Arial" w:cs="Arial"/>
        </w:rPr>
        <w:t xml:space="preserve">…(making) </w:t>
      </w:r>
      <w:r w:rsidR="001C440B" w:rsidRPr="00277721">
        <w:rPr>
          <w:rFonts w:ascii="Arial" w:hAnsi="Arial" w:cs="Arial"/>
        </w:rPr>
        <w:t>it</w:t>
      </w:r>
      <w:r w:rsidR="00311A48" w:rsidRPr="00277721">
        <w:rPr>
          <w:rFonts w:ascii="Arial" w:hAnsi="Arial" w:cs="Arial"/>
        </w:rPr>
        <w:t xml:space="preserve"> a much sought-after destination for tourists</w:t>
      </w:r>
      <w:r w:rsidR="00245347" w:rsidRPr="00277721">
        <w:rPr>
          <w:rFonts w:ascii="Arial" w:hAnsi="Arial" w:cs="Arial"/>
        </w:rPr>
        <w:t xml:space="preserve"> (Radisson Hotels</w:t>
      </w:r>
      <w:r w:rsidR="001354C0" w:rsidRPr="00277721">
        <w:rPr>
          <w:rFonts w:ascii="Arial" w:hAnsi="Arial" w:cs="Arial"/>
        </w:rPr>
        <w:t xml:space="preserve"> 2025</w:t>
      </w:r>
      <w:r w:rsidR="00277721" w:rsidRPr="00277721">
        <w:rPr>
          <w:rFonts w:ascii="Arial" w:hAnsi="Arial" w:cs="Arial"/>
        </w:rPr>
        <w:t>)</w:t>
      </w:r>
      <w:r w:rsidR="00EF04E8" w:rsidRPr="00277721">
        <w:rPr>
          <w:rFonts w:ascii="Arial" w:hAnsi="Arial" w:cs="Arial"/>
        </w:rPr>
        <w:t xml:space="preserve"> </w:t>
      </w:r>
      <w:r w:rsidR="004A461E" w:rsidRPr="00277721">
        <w:rPr>
          <w:rFonts w:ascii="Arial" w:hAnsi="Arial" w:cs="Arial"/>
        </w:rPr>
        <w:t xml:space="preserve"> The website</w:t>
      </w:r>
      <w:r w:rsidR="0028571C" w:rsidRPr="00277721">
        <w:rPr>
          <w:rFonts w:ascii="Arial" w:hAnsi="Arial" w:cs="Arial"/>
        </w:rPr>
        <w:t xml:space="preserve"> continues by listing </w:t>
      </w:r>
      <w:r w:rsidR="001C511F" w:rsidRPr="00277721">
        <w:rPr>
          <w:rFonts w:ascii="Arial" w:hAnsi="Arial" w:cs="Arial"/>
        </w:rPr>
        <w:t xml:space="preserve">10 major attractions exclusive </w:t>
      </w:r>
      <w:r w:rsidR="003B016B" w:rsidRPr="00277721">
        <w:rPr>
          <w:rFonts w:ascii="Arial" w:hAnsi="Arial" w:cs="Arial"/>
        </w:rPr>
        <w:t>to the Red Sea that incudes “the world’s</w:t>
      </w:r>
      <w:r w:rsidR="00F8779B" w:rsidRPr="00277721">
        <w:rPr>
          <w:rFonts w:ascii="Arial" w:hAnsi="Arial" w:cs="Arial"/>
        </w:rPr>
        <w:t xml:space="preserve"> fastest fish, colourful reefs, multiple ship wrecks</w:t>
      </w:r>
      <w:r w:rsidR="00314438" w:rsidRPr="00277721">
        <w:rPr>
          <w:rFonts w:ascii="Arial" w:hAnsi="Arial" w:cs="Arial"/>
        </w:rPr>
        <w:t>, and perfect diving spots</w:t>
      </w:r>
      <w:r w:rsidR="00EB1D71" w:rsidRPr="00277721">
        <w:rPr>
          <w:rFonts w:ascii="Arial" w:hAnsi="Arial" w:cs="Arial"/>
        </w:rPr>
        <w:t>” (Radisson</w:t>
      </w:r>
      <w:r w:rsidR="00AA2B22" w:rsidRPr="00277721">
        <w:rPr>
          <w:rFonts w:ascii="Arial" w:hAnsi="Arial" w:cs="Arial"/>
        </w:rPr>
        <w:t xml:space="preserve"> Hotels 2025b)</w:t>
      </w:r>
      <w:r w:rsidR="00FC6D39" w:rsidRPr="00277721">
        <w:rPr>
          <w:rFonts w:ascii="Arial" w:hAnsi="Arial" w:cs="Arial"/>
        </w:rPr>
        <w:t>.</w:t>
      </w:r>
      <w:r w:rsidR="00EE0497" w:rsidRPr="00277721">
        <w:rPr>
          <w:rFonts w:ascii="Arial" w:hAnsi="Arial" w:cs="Arial"/>
        </w:rPr>
        <w:t xml:space="preserve"> </w:t>
      </w:r>
    </w:p>
    <w:p w14:paraId="6A6CC320" w14:textId="6BF69A33" w:rsidR="00707E2C" w:rsidRPr="00277721" w:rsidRDefault="00707E2C" w:rsidP="00570CE1">
      <w:pPr>
        <w:ind w:left="360"/>
        <w:jc w:val="both"/>
        <w:rPr>
          <w:rFonts w:ascii="Arial" w:hAnsi="Arial" w:cs="Arial"/>
        </w:rPr>
      </w:pPr>
      <w:r w:rsidRPr="00277721">
        <w:rPr>
          <w:rFonts w:ascii="Arial" w:hAnsi="Arial" w:cs="Arial"/>
        </w:rPr>
        <w:t>According to Seyfi</w:t>
      </w:r>
      <w:r w:rsidR="009F5B22" w:rsidRPr="00277721">
        <w:rPr>
          <w:rFonts w:ascii="Arial" w:hAnsi="Arial" w:cs="Arial"/>
        </w:rPr>
        <w:t>, Nunkoo and Juwaheer</w:t>
      </w:r>
      <w:r w:rsidRPr="00277721">
        <w:rPr>
          <w:rFonts w:ascii="Arial" w:hAnsi="Arial" w:cs="Arial"/>
        </w:rPr>
        <w:t xml:space="preserve"> (2024) travel and tourism have grown into significant sociocultural and economic forces in today's globalized world. As a sector that facilitates interactions between individuals and businesses from various nations, tourism follows specific spatial patterns and is deeply connected to foreign policy, international relations, public policy, and the dynamics of power.</w:t>
      </w:r>
    </w:p>
    <w:p w14:paraId="6ADF3B52" w14:textId="195E6988" w:rsidR="00953932" w:rsidRPr="00277721" w:rsidRDefault="008E57C6" w:rsidP="00570CE1">
      <w:pPr>
        <w:ind w:left="360"/>
        <w:jc w:val="both"/>
        <w:rPr>
          <w:rFonts w:ascii="Arial" w:hAnsi="Arial" w:cs="Arial"/>
        </w:rPr>
      </w:pPr>
      <w:r w:rsidRPr="00277721">
        <w:rPr>
          <w:rFonts w:ascii="Arial" w:hAnsi="Arial" w:cs="Arial"/>
        </w:rPr>
        <w:t xml:space="preserve">This </w:t>
      </w:r>
      <w:r w:rsidR="00386F73" w:rsidRPr="00277721">
        <w:rPr>
          <w:rFonts w:ascii="Arial" w:hAnsi="Arial" w:cs="Arial"/>
        </w:rPr>
        <w:t>conference</w:t>
      </w:r>
      <w:r w:rsidRPr="00277721">
        <w:rPr>
          <w:rFonts w:ascii="Arial" w:hAnsi="Arial" w:cs="Arial"/>
        </w:rPr>
        <w:t xml:space="preserve"> paper examines the influence of geopolitical factors on the global hospitality industry, particularly focusing on the period from </w:t>
      </w:r>
      <w:r w:rsidR="00386F73" w:rsidRPr="00277721">
        <w:rPr>
          <w:rFonts w:ascii="Arial" w:hAnsi="Arial" w:cs="Arial"/>
        </w:rPr>
        <w:t xml:space="preserve">late </w:t>
      </w:r>
      <w:r w:rsidRPr="00277721">
        <w:rPr>
          <w:rFonts w:ascii="Arial" w:hAnsi="Arial" w:cs="Arial"/>
        </w:rPr>
        <w:t>2019 to 202</w:t>
      </w:r>
      <w:r w:rsidR="00953932" w:rsidRPr="00277721">
        <w:rPr>
          <w:rFonts w:ascii="Arial" w:hAnsi="Arial" w:cs="Arial"/>
        </w:rPr>
        <w:t>4</w:t>
      </w:r>
      <w:r w:rsidRPr="00277721">
        <w:rPr>
          <w:rFonts w:ascii="Arial" w:hAnsi="Arial" w:cs="Arial"/>
        </w:rPr>
        <w:t xml:space="preserve">. The study </w:t>
      </w:r>
      <w:r w:rsidR="00953932" w:rsidRPr="00277721">
        <w:rPr>
          <w:rFonts w:ascii="Arial" w:hAnsi="Arial" w:cs="Arial"/>
        </w:rPr>
        <w:t>analyses</w:t>
      </w:r>
      <w:r w:rsidRPr="00277721">
        <w:rPr>
          <w:rFonts w:ascii="Arial" w:hAnsi="Arial" w:cs="Arial"/>
        </w:rPr>
        <w:t xml:space="preserve"> how international political tensions</w:t>
      </w:r>
      <w:r w:rsidR="00F560D3" w:rsidRPr="00277721">
        <w:rPr>
          <w:rFonts w:ascii="Arial" w:hAnsi="Arial" w:cs="Arial"/>
        </w:rPr>
        <w:t xml:space="preserve">, </w:t>
      </w:r>
      <w:r w:rsidR="00B3277B" w:rsidRPr="00277721">
        <w:rPr>
          <w:rFonts w:ascii="Arial" w:hAnsi="Arial" w:cs="Arial"/>
        </w:rPr>
        <w:t>regional</w:t>
      </w:r>
      <w:r w:rsidRPr="00277721">
        <w:rPr>
          <w:rFonts w:ascii="Arial" w:hAnsi="Arial" w:cs="Arial"/>
        </w:rPr>
        <w:t xml:space="preserve"> conflicts, and changing global power dynamics affect tourism flows, investment patterns, and operational strategies in the hospitality sector</w:t>
      </w:r>
      <w:r w:rsidR="000564E0" w:rsidRPr="00277721">
        <w:rPr>
          <w:rFonts w:ascii="Arial" w:hAnsi="Arial" w:cs="Arial"/>
        </w:rPr>
        <w:t xml:space="preserve"> in this region</w:t>
      </w:r>
      <w:r w:rsidRPr="00277721">
        <w:rPr>
          <w:rFonts w:ascii="Arial" w:hAnsi="Arial" w:cs="Arial"/>
        </w:rPr>
        <w:t xml:space="preserve">. </w:t>
      </w:r>
    </w:p>
    <w:p w14:paraId="6C637A64" w14:textId="708292D9" w:rsidR="00596B79" w:rsidRPr="00277721" w:rsidRDefault="00922015" w:rsidP="00570CE1">
      <w:pPr>
        <w:jc w:val="both"/>
        <w:rPr>
          <w:rFonts w:ascii="Arial" w:hAnsi="Arial" w:cs="Arial"/>
          <w:b/>
          <w:bCs/>
        </w:rPr>
      </w:pPr>
      <w:r w:rsidRPr="00277721">
        <w:rPr>
          <w:rFonts w:ascii="Arial" w:hAnsi="Arial" w:cs="Arial"/>
          <w:b/>
          <w:bCs/>
        </w:rPr>
        <w:t>Literature Review</w:t>
      </w:r>
    </w:p>
    <w:p w14:paraId="335CF0BB" w14:textId="244C8734" w:rsidR="00B15BBF" w:rsidRPr="00277721" w:rsidRDefault="00B15BBF" w:rsidP="00570CE1">
      <w:pPr>
        <w:ind w:left="720"/>
        <w:jc w:val="both"/>
        <w:rPr>
          <w:rFonts w:ascii="Arial" w:hAnsi="Arial" w:cs="Arial"/>
        </w:rPr>
      </w:pPr>
      <w:r w:rsidRPr="00277721">
        <w:rPr>
          <w:rFonts w:ascii="Arial" w:hAnsi="Arial" w:cs="Arial"/>
        </w:rPr>
        <w:t xml:space="preserve">The global hospitality industry is deeply intertwined with geopolitical dynamics, where political events and tensions </w:t>
      </w:r>
      <w:r w:rsidR="005D7271" w:rsidRPr="00277721">
        <w:rPr>
          <w:rFonts w:ascii="Arial" w:hAnsi="Arial" w:cs="Arial"/>
        </w:rPr>
        <w:t xml:space="preserve">can </w:t>
      </w:r>
      <w:r w:rsidRPr="00277721">
        <w:rPr>
          <w:rFonts w:ascii="Arial" w:hAnsi="Arial" w:cs="Arial"/>
        </w:rPr>
        <w:t>significantly influence tourism flows, investment patterns, and operational strategies. This literature review delves into the existing research on the impact of geopolitical factors on the hospitality sector, with a particular focus on the Israel-Palestinian conflict and its implications for the Red Sea region.</w:t>
      </w:r>
    </w:p>
    <w:p w14:paraId="0F8C0549" w14:textId="59CC76D6" w:rsidR="00B15BBF" w:rsidRPr="00277721" w:rsidRDefault="00B15BBF" w:rsidP="00570CE1">
      <w:pPr>
        <w:ind w:firstLine="720"/>
        <w:jc w:val="both"/>
        <w:rPr>
          <w:rFonts w:ascii="Arial" w:hAnsi="Arial" w:cs="Arial"/>
        </w:rPr>
      </w:pPr>
      <w:r w:rsidRPr="00277721">
        <w:rPr>
          <w:rFonts w:ascii="Arial" w:hAnsi="Arial" w:cs="Arial"/>
          <w:b/>
          <w:bCs/>
        </w:rPr>
        <w:t>Geopolitical Dynamics and Tourism</w:t>
      </w:r>
    </w:p>
    <w:p w14:paraId="09B382B6" w14:textId="0279A886" w:rsidR="00B15BBF" w:rsidRPr="00277721" w:rsidRDefault="00B15BBF" w:rsidP="00570CE1">
      <w:pPr>
        <w:ind w:left="720"/>
        <w:jc w:val="both"/>
        <w:rPr>
          <w:rFonts w:ascii="Arial" w:hAnsi="Arial" w:cs="Arial"/>
        </w:rPr>
      </w:pPr>
      <w:r w:rsidRPr="00277721">
        <w:rPr>
          <w:rFonts w:ascii="Arial" w:hAnsi="Arial" w:cs="Arial"/>
        </w:rPr>
        <w:t>Geopolitical events are critical determinants of tourism patterns. Hall, Timothy, and Duval (2019</w:t>
      </w:r>
      <w:r w:rsidR="00F650EA" w:rsidRPr="00277721">
        <w:rPr>
          <w:rFonts w:ascii="Arial" w:hAnsi="Arial" w:cs="Arial"/>
        </w:rPr>
        <w:t>a</w:t>
      </w:r>
      <w:r w:rsidRPr="00277721">
        <w:rPr>
          <w:rFonts w:ascii="Arial" w:hAnsi="Arial" w:cs="Arial"/>
        </w:rPr>
        <w:t>) emphasize that political stability is essential for tourism development, as tourists generally prefer destinations perceived as safe. The Israel-Palestinian conflict, with its periodic escalations, serves as a case study in how regional tensions can deter international visitors and disrupt local economies (</w:t>
      </w:r>
      <w:r w:rsidR="005F3B4D" w:rsidRPr="00277721">
        <w:rPr>
          <w:rFonts w:ascii="Arial" w:hAnsi="Arial" w:cs="Arial"/>
        </w:rPr>
        <w:t>Philli</w:t>
      </w:r>
      <w:r w:rsidR="00A674E0" w:rsidRPr="00277721">
        <w:rPr>
          <w:rFonts w:ascii="Arial" w:hAnsi="Arial" w:cs="Arial"/>
        </w:rPr>
        <w:t xml:space="preserve">p and </w:t>
      </w:r>
      <w:r w:rsidRPr="00277721">
        <w:rPr>
          <w:rFonts w:ascii="Arial" w:hAnsi="Arial" w:cs="Arial"/>
        </w:rPr>
        <w:t>Neumayer, 202</w:t>
      </w:r>
      <w:r w:rsidR="00A674E0" w:rsidRPr="00277721">
        <w:rPr>
          <w:rFonts w:ascii="Arial" w:hAnsi="Arial" w:cs="Arial"/>
        </w:rPr>
        <w:t>2</w:t>
      </w:r>
      <w:r w:rsidRPr="00277721">
        <w:rPr>
          <w:rFonts w:ascii="Arial" w:hAnsi="Arial" w:cs="Arial"/>
        </w:rPr>
        <w:t>).</w:t>
      </w:r>
    </w:p>
    <w:p w14:paraId="46AA34A4" w14:textId="7F64C1BD" w:rsidR="00B15BBF" w:rsidRPr="00277721" w:rsidRDefault="00B15BBF" w:rsidP="00570CE1">
      <w:pPr>
        <w:ind w:left="720"/>
        <w:jc w:val="both"/>
        <w:rPr>
          <w:rFonts w:ascii="Arial" w:hAnsi="Arial" w:cs="Arial"/>
        </w:rPr>
      </w:pPr>
      <w:r w:rsidRPr="00277721">
        <w:rPr>
          <w:rFonts w:ascii="Arial" w:hAnsi="Arial" w:cs="Arial"/>
        </w:rPr>
        <w:t xml:space="preserve">Beyond immediate safety concerns, geopolitical tensions can </w:t>
      </w:r>
      <w:r w:rsidR="00E5676F" w:rsidRPr="00277721">
        <w:rPr>
          <w:rFonts w:ascii="Arial" w:hAnsi="Arial" w:cs="Arial"/>
        </w:rPr>
        <w:t>change</w:t>
      </w:r>
      <w:r w:rsidRPr="00277721">
        <w:rPr>
          <w:rFonts w:ascii="Arial" w:hAnsi="Arial" w:cs="Arial"/>
        </w:rPr>
        <w:t xml:space="preserve"> the image of a destination, affecting its long-term attractiveness. Isaac, Cakmak, and Butler (2019</w:t>
      </w:r>
      <w:r w:rsidR="00897984" w:rsidRPr="00277721">
        <w:rPr>
          <w:rFonts w:ascii="Arial" w:hAnsi="Arial" w:cs="Arial"/>
        </w:rPr>
        <w:t>b</w:t>
      </w:r>
      <w:r w:rsidRPr="00277721">
        <w:rPr>
          <w:rFonts w:ascii="Arial" w:hAnsi="Arial" w:cs="Arial"/>
        </w:rPr>
        <w:t xml:space="preserve">) </w:t>
      </w:r>
      <w:r w:rsidR="00640635" w:rsidRPr="00277721">
        <w:rPr>
          <w:rFonts w:ascii="Arial" w:hAnsi="Arial" w:cs="Arial"/>
        </w:rPr>
        <w:t xml:space="preserve">have </w:t>
      </w:r>
      <w:r w:rsidRPr="00277721">
        <w:rPr>
          <w:rFonts w:ascii="Arial" w:hAnsi="Arial" w:cs="Arial"/>
        </w:rPr>
        <w:t>argue</w:t>
      </w:r>
      <w:r w:rsidR="00640635" w:rsidRPr="00277721">
        <w:rPr>
          <w:rFonts w:ascii="Arial" w:hAnsi="Arial" w:cs="Arial"/>
        </w:rPr>
        <w:t>d</w:t>
      </w:r>
      <w:r w:rsidRPr="00277721">
        <w:rPr>
          <w:rFonts w:ascii="Arial" w:hAnsi="Arial" w:cs="Arial"/>
        </w:rPr>
        <w:t xml:space="preserve"> that conflicts can negatively impact a destination's image, overshadowing its natural and cultural attractions. This is particularly relevant for the Red Sea region, where strategic marketing and image management are necessary to counteract negative perceptions.</w:t>
      </w:r>
    </w:p>
    <w:p w14:paraId="0AB25E15" w14:textId="77777777" w:rsidR="00B15BBF" w:rsidRPr="00277721" w:rsidRDefault="00B15BBF" w:rsidP="00570CE1">
      <w:pPr>
        <w:ind w:firstLine="720"/>
        <w:jc w:val="both"/>
        <w:rPr>
          <w:rFonts w:ascii="Arial" w:hAnsi="Arial" w:cs="Arial"/>
        </w:rPr>
      </w:pPr>
      <w:r w:rsidRPr="00277721">
        <w:rPr>
          <w:rFonts w:ascii="Arial" w:hAnsi="Arial" w:cs="Arial"/>
          <w:b/>
          <w:bCs/>
        </w:rPr>
        <w:t>Economic Implications of Geopolitical Events</w:t>
      </w:r>
    </w:p>
    <w:p w14:paraId="77D011AF" w14:textId="332A78B0" w:rsidR="00B15BBF" w:rsidRPr="00277721" w:rsidRDefault="00B15BBF" w:rsidP="00570CE1">
      <w:pPr>
        <w:ind w:left="720"/>
        <w:jc w:val="both"/>
        <w:rPr>
          <w:rFonts w:ascii="Arial" w:hAnsi="Arial" w:cs="Arial"/>
        </w:rPr>
      </w:pPr>
      <w:r w:rsidRPr="00277721">
        <w:rPr>
          <w:rFonts w:ascii="Arial" w:hAnsi="Arial" w:cs="Arial"/>
        </w:rPr>
        <w:t xml:space="preserve">The economic ramifications of geopolitical events on the hospitality industry are substantial. </w:t>
      </w:r>
      <w:r w:rsidR="007B2879" w:rsidRPr="00277721">
        <w:rPr>
          <w:rFonts w:ascii="Arial" w:hAnsi="Arial" w:cs="Arial"/>
        </w:rPr>
        <w:t>Owoche</w:t>
      </w:r>
      <w:r w:rsidR="005E532C" w:rsidRPr="00277721">
        <w:rPr>
          <w:rFonts w:ascii="Arial" w:hAnsi="Arial" w:cs="Arial"/>
        </w:rPr>
        <w:t xml:space="preserve"> et al</w:t>
      </w:r>
      <w:r w:rsidRPr="00277721">
        <w:rPr>
          <w:rFonts w:ascii="Arial" w:hAnsi="Arial" w:cs="Arial"/>
        </w:rPr>
        <w:t xml:space="preserve"> (2024) note that conflicts can lead to decreased </w:t>
      </w:r>
      <w:r w:rsidRPr="00277721">
        <w:rPr>
          <w:rFonts w:ascii="Arial" w:hAnsi="Arial" w:cs="Arial"/>
        </w:rPr>
        <w:lastRenderedPageBreak/>
        <w:t>foreign investment, as investors seek stable environments for their capital. This is evident in the Red Sea region, where investment in tourism infrastructure has been inconsistent, partly due to geopolitical uncertainties. The authors suggest that fostering a stable political climate is essential for attracting and retaining investment in the hospitality sector.</w:t>
      </w:r>
    </w:p>
    <w:p w14:paraId="04436069" w14:textId="31FF88A9" w:rsidR="00B15BBF" w:rsidRPr="00277721" w:rsidRDefault="00B15BBF" w:rsidP="00570CE1">
      <w:pPr>
        <w:ind w:left="720"/>
        <w:jc w:val="both"/>
        <w:rPr>
          <w:rFonts w:ascii="Arial" w:hAnsi="Arial" w:cs="Arial"/>
        </w:rPr>
      </w:pPr>
      <w:r w:rsidRPr="00277721">
        <w:rPr>
          <w:rFonts w:ascii="Arial" w:hAnsi="Arial" w:cs="Arial"/>
        </w:rPr>
        <w:t>Geopolitical tensions can also disrupt supply chains and increase operational costs for hospitality businesses. Gössling, Scott, and Hall (2021) discuss how the COVID-19 pandemic, a global geopolitical event, exposed vulnerabilities in international supply chains, leading to increased costs and logistical challenges for hotels and restaurants. Similar disruptions can occur during regional conflicts, necessitating contingency planning and local sourcing strategies.</w:t>
      </w:r>
      <w:r w:rsidR="00865777" w:rsidRPr="00277721">
        <w:rPr>
          <w:rFonts w:ascii="Arial" w:hAnsi="Arial" w:cs="Arial"/>
        </w:rPr>
        <w:t xml:space="preserve"> Most recently attacks on shipping </w:t>
      </w:r>
      <w:r w:rsidR="005B4229" w:rsidRPr="00277721">
        <w:rPr>
          <w:rFonts w:ascii="Arial" w:hAnsi="Arial" w:cs="Arial"/>
        </w:rPr>
        <w:t xml:space="preserve">in the Red Sea around Yemen by </w:t>
      </w:r>
      <w:r w:rsidR="00020556" w:rsidRPr="00277721">
        <w:rPr>
          <w:rFonts w:ascii="Arial" w:hAnsi="Arial" w:cs="Arial"/>
        </w:rPr>
        <w:t xml:space="preserve">fighters sympathetic to Palestine </w:t>
      </w:r>
      <w:r w:rsidR="00737A2C" w:rsidRPr="00277721">
        <w:rPr>
          <w:rFonts w:ascii="Arial" w:hAnsi="Arial" w:cs="Arial"/>
        </w:rPr>
        <w:t xml:space="preserve">following </w:t>
      </w:r>
      <w:r w:rsidR="00A606D3" w:rsidRPr="00277721">
        <w:rPr>
          <w:rFonts w:ascii="Arial" w:hAnsi="Arial" w:cs="Arial"/>
        </w:rPr>
        <w:t xml:space="preserve">Israel’s </w:t>
      </w:r>
      <w:r w:rsidR="00A50371" w:rsidRPr="00277721">
        <w:rPr>
          <w:rFonts w:ascii="Arial" w:hAnsi="Arial" w:cs="Arial"/>
        </w:rPr>
        <w:t>attacks on the former</w:t>
      </w:r>
      <w:r w:rsidR="00A606D3" w:rsidRPr="00277721">
        <w:rPr>
          <w:rFonts w:ascii="Arial" w:hAnsi="Arial" w:cs="Arial"/>
        </w:rPr>
        <w:t xml:space="preserve"> </w:t>
      </w:r>
      <w:r w:rsidR="00020556" w:rsidRPr="00277721">
        <w:rPr>
          <w:rFonts w:ascii="Arial" w:hAnsi="Arial" w:cs="Arial"/>
        </w:rPr>
        <w:t xml:space="preserve">have disrupted shipping </w:t>
      </w:r>
      <w:r w:rsidR="007D73EF" w:rsidRPr="00277721">
        <w:rPr>
          <w:rFonts w:ascii="Arial" w:hAnsi="Arial" w:cs="Arial"/>
        </w:rPr>
        <w:t xml:space="preserve">in and around the Red Sea. </w:t>
      </w:r>
      <w:r w:rsidR="00B30AA0" w:rsidRPr="00277721">
        <w:rPr>
          <w:rFonts w:ascii="Arial" w:hAnsi="Arial" w:cs="Arial"/>
        </w:rPr>
        <w:t xml:space="preserve">Notteboom, </w:t>
      </w:r>
      <w:r w:rsidR="00BA274C" w:rsidRPr="00277721">
        <w:rPr>
          <w:rFonts w:ascii="Arial" w:hAnsi="Arial" w:cs="Arial"/>
        </w:rPr>
        <w:t>Haralambides and Cullinane</w:t>
      </w:r>
      <w:r w:rsidR="00CD190D" w:rsidRPr="00277721">
        <w:rPr>
          <w:rFonts w:ascii="Arial" w:hAnsi="Arial" w:cs="Arial"/>
        </w:rPr>
        <w:t xml:space="preserve">n (2024) </w:t>
      </w:r>
      <w:r w:rsidR="00884640" w:rsidRPr="00277721">
        <w:rPr>
          <w:rFonts w:ascii="Arial" w:hAnsi="Arial" w:cs="Arial"/>
        </w:rPr>
        <w:t>refer to a “</w:t>
      </w:r>
      <w:r w:rsidR="00B55B3E" w:rsidRPr="00277721">
        <w:rPr>
          <w:rFonts w:ascii="Arial" w:hAnsi="Arial" w:cs="Arial"/>
        </w:rPr>
        <w:t>a major security situation emerged in mid-November in the Red Sea and the Strait of Bab al-Mandab more specifically when Houthi Rebels based in Yemen started to target international shipping transiting through the region. In a matter of weeks, the situation escalated, adversely affecting both shipping and trade.”</w:t>
      </w:r>
    </w:p>
    <w:p w14:paraId="27D65D1C" w14:textId="77777777" w:rsidR="00B15BBF" w:rsidRPr="00277721" w:rsidRDefault="00B15BBF" w:rsidP="00570CE1">
      <w:pPr>
        <w:ind w:firstLine="720"/>
        <w:jc w:val="both"/>
        <w:rPr>
          <w:rFonts w:ascii="Arial" w:hAnsi="Arial" w:cs="Arial"/>
        </w:rPr>
      </w:pPr>
      <w:r w:rsidRPr="00277721">
        <w:rPr>
          <w:rFonts w:ascii="Arial" w:hAnsi="Arial" w:cs="Arial"/>
          <w:b/>
          <w:bCs/>
        </w:rPr>
        <w:t>Resilience and Adaptation Strategies</w:t>
      </w:r>
    </w:p>
    <w:p w14:paraId="65BEC127" w14:textId="366ADE3C" w:rsidR="00B15BBF" w:rsidRPr="00277721" w:rsidRDefault="00B15BBF" w:rsidP="00570CE1">
      <w:pPr>
        <w:ind w:left="720"/>
        <w:jc w:val="both"/>
        <w:rPr>
          <w:rFonts w:ascii="Arial" w:hAnsi="Arial" w:cs="Arial"/>
        </w:rPr>
      </w:pPr>
      <w:r w:rsidRPr="00277721">
        <w:rPr>
          <w:rFonts w:ascii="Arial" w:hAnsi="Arial" w:cs="Arial"/>
        </w:rPr>
        <w:t>The hospitality industry's resilience in the face of geopolitical shocks is a recurring theme in the literature. Bianchi (202</w:t>
      </w:r>
      <w:r w:rsidR="00CB7A9C" w:rsidRPr="00277721">
        <w:rPr>
          <w:rFonts w:ascii="Arial" w:hAnsi="Arial" w:cs="Arial"/>
        </w:rPr>
        <w:t>0</w:t>
      </w:r>
      <w:r w:rsidR="0076146B" w:rsidRPr="00277721">
        <w:rPr>
          <w:rFonts w:ascii="Arial" w:hAnsi="Arial" w:cs="Arial"/>
        </w:rPr>
        <w:t xml:space="preserve">) </w:t>
      </w:r>
      <w:r w:rsidRPr="00277721">
        <w:rPr>
          <w:rFonts w:ascii="Arial" w:hAnsi="Arial" w:cs="Arial"/>
        </w:rPr>
        <w:t>explores how tourism businesses can adapt to changing geopolitical landscapes through diversification and innovation. For the Red Sea region, this might involve targeting new markets, such as domestic or regional tourists, to compensate for declines in international arrivals. The author also emphasizes the importance of digital marketing and online platforms in reaching potential visitors during times of crisis.</w:t>
      </w:r>
    </w:p>
    <w:p w14:paraId="6204E808" w14:textId="1B7DD147" w:rsidR="00B15BBF" w:rsidRPr="00277721" w:rsidRDefault="00B15BBF" w:rsidP="00570CE1">
      <w:pPr>
        <w:ind w:left="720"/>
        <w:jc w:val="both"/>
        <w:rPr>
          <w:rFonts w:ascii="Arial" w:hAnsi="Arial" w:cs="Arial"/>
        </w:rPr>
      </w:pPr>
      <w:r w:rsidRPr="00277721">
        <w:rPr>
          <w:rFonts w:ascii="Arial" w:hAnsi="Arial" w:cs="Arial"/>
        </w:rPr>
        <w:t>Security measures are another critical aspect of adaptation. Hall, Timothy, and Duval (2019</w:t>
      </w:r>
      <w:r w:rsidR="00F650EA" w:rsidRPr="00277721">
        <w:rPr>
          <w:rFonts w:ascii="Arial" w:hAnsi="Arial" w:cs="Arial"/>
        </w:rPr>
        <w:t>b</w:t>
      </w:r>
      <w:r w:rsidRPr="00277721">
        <w:rPr>
          <w:rFonts w:ascii="Arial" w:hAnsi="Arial" w:cs="Arial"/>
        </w:rPr>
        <w:t>)</w:t>
      </w:r>
      <w:r w:rsidR="00893B22" w:rsidRPr="00277721">
        <w:rPr>
          <w:rFonts w:ascii="Arial" w:hAnsi="Arial" w:cs="Arial"/>
        </w:rPr>
        <w:t xml:space="preserve"> </w:t>
      </w:r>
      <w:r w:rsidRPr="00277721">
        <w:rPr>
          <w:rFonts w:ascii="Arial" w:hAnsi="Arial" w:cs="Arial"/>
        </w:rPr>
        <w:t>highlight the role of enhanced security protocols in reassuring tourists and maintaining business continuity. In conflict-prone areas like the Red Sea, visible security measures can help mitigate the perceived risk and encourage tourist confidence.</w:t>
      </w:r>
    </w:p>
    <w:p w14:paraId="71466633" w14:textId="77777777" w:rsidR="00B15BBF" w:rsidRPr="00277721" w:rsidRDefault="00B15BBF" w:rsidP="00570CE1">
      <w:pPr>
        <w:ind w:firstLine="720"/>
        <w:jc w:val="both"/>
        <w:rPr>
          <w:rFonts w:ascii="Arial" w:hAnsi="Arial" w:cs="Arial"/>
        </w:rPr>
      </w:pPr>
      <w:r w:rsidRPr="00277721">
        <w:rPr>
          <w:rFonts w:ascii="Arial" w:hAnsi="Arial" w:cs="Arial"/>
          <w:b/>
          <w:bCs/>
        </w:rPr>
        <w:t>Collaborative Approaches and Policy Implications</w:t>
      </w:r>
    </w:p>
    <w:p w14:paraId="34CBB6ED" w14:textId="1700F9DA" w:rsidR="00B15BBF" w:rsidRPr="00277721" w:rsidRDefault="00B15BBF" w:rsidP="00570CE1">
      <w:pPr>
        <w:ind w:left="720"/>
        <w:jc w:val="both"/>
        <w:rPr>
          <w:rFonts w:ascii="Arial" w:hAnsi="Arial" w:cs="Arial"/>
        </w:rPr>
      </w:pPr>
      <w:r w:rsidRPr="00277721">
        <w:rPr>
          <w:rFonts w:ascii="Arial" w:hAnsi="Arial" w:cs="Arial"/>
        </w:rPr>
        <w:t xml:space="preserve">Collaboration between industry stakeholders and government agencies is essential for effective crisis management and recovery. </w:t>
      </w:r>
      <w:r w:rsidR="00F9505C" w:rsidRPr="00277721">
        <w:rPr>
          <w:rFonts w:ascii="Arial" w:hAnsi="Arial" w:cs="Arial"/>
        </w:rPr>
        <w:t>Portman (</w:t>
      </w:r>
      <w:r w:rsidR="00693974" w:rsidRPr="00277721">
        <w:rPr>
          <w:rFonts w:ascii="Arial" w:hAnsi="Arial" w:cs="Arial"/>
        </w:rPr>
        <w:t xml:space="preserve">2007) refers to </w:t>
      </w:r>
      <w:r w:rsidR="00294C26" w:rsidRPr="00277721">
        <w:rPr>
          <w:rFonts w:ascii="Arial" w:hAnsi="Arial" w:cs="Arial"/>
        </w:rPr>
        <w:t xml:space="preserve">the Red Sea Marine Peace </w:t>
      </w:r>
      <w:r w:rsidR="00705E19" w:rsidRPr="00277721">
        <w:rPr>
          <w:rFonts w:ascii="Arial" w:hAnsi="Arial" w:cs="Arial"/>
        </w:rPr>
        <w:t xml:space="preserve">Park (RSMPP) </w:t>
      </w:r>
      <w:r w:rsidR="007E1FA7" w:rsidRPr="00277721">
        <w:rPr>
          <w:rFonts w:ascii="Arial" w:hAnsi="Arial" w:cs="Arial"/>
        </w:rPr>
        <w:t>that</w:t>
      </w:r>
      <w:r w:rsidRPr="00277721">
        <w:rPr>
          <w:rFonts w:ascii="Arial" w:hAnsi="Arial" w:cs="Arial"/>
        </w:rPr>
        <w:t xml:space="preserve"> advocate</w:t>
      </w:r>
      <w:r w:rsidR="007E1FA7" w:rsidRPr="00277721">
        <w:rPr>
          <w:rFonts w:ascii="Arial" w:hAnsi="Arial" w:cs="Arial"/>
        </w:rPr>
        <w:t>d</w:t>
      </w:r>
      <w:r w:rsidRPr="00277721">
        <w:rPr>
          <w:rFonts w:ascii="Arial" w:hAnsi="Arial" w:cs="Arial"/>
        </w:rPr>
        <w:t xml:space="preserve"> for integrated approaches that involve public-private partnerships in developing comprehensive response strategies</w:t>
      </w:r>
      <w:r w:rsidR="007E1FA7" w:rsidRPr="00277721">
        <w:rPr>
          <w:rFonts w:ascii="Arial" w:hAnsi="Arial" w:cs="Arial"/>
        </w:rPr>
        <w:t xml:space="preserve"> </w:t>
      </w:r>
      <w:r w:rsidR="00094013" w:rsidRPr="00277721">
        <w:rPr>
          <w:rFonts w:ascii="Arial" w:hAnsi="Arial" w:cs="Arial"/>
        </w:rPr>
        <w:t>despite the volatile political climate in the region</w:t>
      </w:r>
      <w:r w:rsidRPr="00277721">
        <w:rPr>
          <w:rFonts w:ascii="Arial" w:hAnsi="Arial" w:cs="Arial"/>
        </w:rPr>
        <w:t xml:space="preserve">. This includes coordinated marketing campaigns, infrastructure </w:t>
      </w:r>
      <w:r w:rsidRPr="00277721">
        <w:rPr>
          <w:rFonts w:ascii="Arial" w:hAnsi="Arial" w:cs="Arial"/>
        </w:rPr>
        <w:lastRenderedPageBreak/>
        <w:t>investments, and policy frameworks that support the hospitality sector during and after geopolitical disruptions.</w:t>
      </w:r>
    </w:p>
    <w:p w14:paraId="06357A71" w14:textId="3BA3D3CB" w:rsidR="00B15BBF" w:rsidRPr="00277721" w:rsidRDefault="00B15BBF" w:rsidP="00570CE1">
      <w:pPr>
        <w:ind w:left="720"/>
        <w:jc w:val="both"/>
        <w:rPr>
          <w:rFonts w:ascii="Arial" w:hAnsi="Arial" w:cs="Arial"/>
        </w:rPr>
      </w:pPr>
      <w:r w:rsidRPr="00277721">
        <w:rPr>
          <w:rFonts w:ascii="Arial" w:hAnsi="Arial" w:cs="Arial"/>
        </w:rPr>
        <w:t xml:space="preserve">Policy implications are also significant, as governments play a crucial role in shaping the geopolitical environment. </w:t>
      </w:r>
      <w:r w:rsidR="00741A91" w:rsidRPr="00277721">
        <w:rPr>
          <w:rFonts w:ascii="Arial" w:hAnsi="Arial" w:cs="Arial"/>
        </w:rPr>
        <w:t>Ribe</w:t>
      </w:r>
      <w:r w:rsidRPr="00277721">
        <w:rPr>
          <w:rFonts w:ascii="Arial" w:hAnsi="Arial" w:cs="Arial"/>
        </w:rPr>
        <w:t xml:space="preserve"> (202</w:t>
      </w:r>
      <w:r w:rsidR="00C16256" w:rsidRPr="00277721">
        <w:rPr>
          <w:rFonts w:ascii="Arial" w:hAnsi="Arial" w:cs="Arial"/>
        </w:rPr>
        <w:t>3</w:t>
      </w:r>
      <w:r w:rsidRPr="00277721">
        <w:rPr>
          <w:rFonts w:ascii="Arial" w:hAnsi="Arial" w:cs="Arial"/>
        </w:rPr>
        <w:t>)</w:t>
      </w:r>
      <w:r w:rsidR="0072774E" w:rsidRPr="00277721">
        <w:rPr>
          <w:rFonts w:ascii="Arial" w:hAnsi="Arial" w:cs="Arial"/>
        </w:rPr>
        <w:t xml:space="preserve"> </w:t>
      </w:r>
      <w:r w:rsidRPr="00277721">
        <w:rPr>
          <w:rFonts w:ascii="Arial" w:hAnsi="Arial" w:cs="Arial"/>
        </w:rPr>
        <w:t xml:space="preserve"> argue</w:t>
      </w:r>
      <w:r w:rsidR="005B2106" w:rsidRPr="00277721">
        <w:rPr>
          <w:rFonts w:ascii="Arial" w:hAnsi="Arial" w:cs="Arial"/>
        </w:rPr>
        <w:t>s</w:t>
      </w:r>
      <w:r w:rsidRPr="00277721">
        <w:rPr>
          <w:rFonts w:ascii="Arial" w:hAnsi="Arial" w:cs="Arial"/>
        </w:rPr>
        <w:t xml:space="preserve"> that proactive foreign policy and diplomatic efforts can help stabilize regions and create </w:t>
      </w:r>
      <w:r w:rsidR="00FD3B3E" w:rsidRPr="00277721">
        <w:rPr>
          <w:rFonts w:ascii="Arial" w:hAnsi="Arial" w:cs="Arial"/>
        </w:rPr>
        <w:t>favourable</w:t>
      </w:r>
      <w:r w:rsidRPr="00277721">
        <w:rPr>
          <w:rFonts w:ascii="Arial" w:hAnsi="Arial" w:cs="Arial"/>
        </w:rPr>
        <w:t xml:space="preserve"> conditions for tourism development. For the Red Sea region, international cooperation and conflict resolution efforts are vital for ensuring long-term stability and growth in the hospitality industry.</w:t>
      </w:r>
    </w:p>
    <w:p w14:paraId="79DEB0B5" w14:textId="35447B72" w:rsidR="00660A2F" w:rsidRPr="00277721" w:rsidRDefault="00660A2F" w:rsidP="00570CE1">
      <w:pPr>
        <w:jc w:val="both"/>
        <w:rPr>
          <w:rFonts w:ascii="Arial" w:hAnsi="Arial" w:cs="Arial"/>
        </w:rPr>
      </w:pPr>
      <w:r w:rsidRPr="00277721">
        <w:rPr>
          <w:rFonts w:ascii="Arial" w:hAnsi="Arial" w:cs="Arial"/>
          <w:b/>
          <w:bCs/>
        </w:rPr>
        <w:t>Critical Analysis of the Literature on Geopolitical Dynamics and the Hospitality Industry in the Red Sea Region</w:t>
      </w:r>
    </w:p>
    <w:p w14:paraId="6F2E12CD" w14:textId="77777777" w:rsidR="00660A2F" w:rsidRPr="00277721" w:rsidRDefault="00660A2F" w:rsidP="00570CE1">
      <w:pPr>
        <w:ind w:left="720"/>
        <w:jc w:val="both"/>
        <w:rPr>
          <w:rFonts w:ascii="Arial" w:hAnsi="Arial" w:cs="Arial"/>
        </w:rPr>
      </w:pPr>
      <w:r w:rsidRPr="00277721">
        <w:rPr>
          <w:rFonts w:ascii="Arial" w:hAnsi="Arial" w:cs="Arial"/>
        </w:rPr>
        <w:t>The literature review effectively underscores the profound influence of geopolitical dynamics on the global hospitality industry, with a particular focus on the Israel-Palestinian conflict and its implications for the Red Sea region. However, there are several areas where a deeper analysis could yield more specific insights, particularly concerning recent developments from 2021 onwards.</w:t>
      </w:r>
    </w:p>
    <w:p w14:paraId="559436D6" w14:textId="77777777" w:rsidR="00660A2F" w:rsidRPr="00277721" w:rsidRDefault="00660A2F" w:rsidP="00570CE1">
      <w:pPr>
        <w:ind w:firstLine="720"/>
        <w:jc w:val="both"/>
        <w:rPr>
          <w:rFonts w:ascii="Arial" w:hAnsi="Arial" w:cs="Arial"/>
        </w:rPr>
      </w:pPr>
      <w:r w:rsidRPr="00277721">
        <w:rPr>
          <w:rFonts w:ascii="Arial" w:hAnsi="Arial" w:cs="Arial"/>
          <w:b/>
          <w:bCs/>
        </w:rPr>
        <w:t>Geopolitical Dynamics and Tourism</w:t>
      </w:r>
    </w:p>
    <w:p w14:paraId="32088D07" w14:textId="71913DB2" w:rsidR="00660A2F" w:rsidRPr="00277721" w:rsidRDefault="00660A2F" w:rsidP="00570CE1">
      <w:pPr>
        <w:ind w:left="720"/>
        <w:jc w:val="both"/>
        <w:rPr>
          <w:rFonts w:ascii="Arial" w:hAnsi="Arial" w:cs="Arial"/>
        </w:rPr>
      </w:pPr>
      <w:r w:rsidRPr="00277721">
        <w:rPr>
          <w:rFonts w:ascii="Arial" w:hAnsi="Arial" w:cs="Arial"/>
        </w:rPr>
        <w:t xml:space="preserve">The review highlights essential research by Hall, </w:t>
      </w:r>
      <w:r w:rsidR="005A2B4E" w:rsidRPr="00277721">
        <w:rPr>
          <w:rFonts w:ascii="Arial" w:hAnsi="Arial" w:cs="Arial"/>
        </w:rPr>
        <w:t xml:space="preserve">Duval and </w:t>
      </w:r>
      <w:r w:rsidRPr="00277721">
        <w:rPr>
          <w:rFonts w:ascii="Arial" w:hAnsi="Arial" w:cs="Arial"/>
        </w:rPr>
        <w:t>Timothy</w:t>
      </w:r>
      <w:r w:rsidR="00120E94" w:rsidRPr="00277721">
        <w:rPr>
          <w:rFonts w:ascii="Arial" w:hAnsi="Arial" w:cs="Arial"/>
        </w:rPr>
        <w:t xml:space="preserve"> (2004) </w:t>
      </w:r>
      <w:r w:rsidRPr="00277721">
        <w:rPr>
          <w:rFonts w:ascii="Arial" w:hAnsi="Arial" w:cs="Arial"/>
        </w:rPr>
        <w:t>regarding the critical role of political stability in tourism development. The Israel-Palestinian conflict is aptly cited as a key case study demonstrating how regional tensions can deter international tourists and impact local economies. Yet, to enhance relevance to the Red Sea region, the review could have incorporated more recent studies or data post-2021 that specifically examine how ongoing political events in the Middle East, such as the Abraham Accords or regional diplomatic shifts, have recently impacted tourism in countries like Egypt, Jordan, and Saudi Arabia.</w:t>
      </w:r>
    </w:p>
    <w:p w14:paraId="0D1724DB" w14:textId="119D1260" w:rsidR="00660A2F" w:rsidRPr="00277721" w:rsidRDefault="00660A2F" w:rsidP="00570CE1">
      <w:pPr>
        <w:ind w:left="720"/>
        <w:jc w:val="both"/>
        <w:rPr>
          <w:rFonts w:ascii="Arial" w:hAnsi="Arial" w:cs="Arial"/>
        </w:rPr>
      </w:pPr>
      <w:r w:rsidRPr="00277721">
        <w:rPr>
          <w:rFonts w:ascii="Arial" w:hAnsi="Arial" w:cs="Arial"/>
        </w:rPr>
        <w:t xml:space="preserve">The observations by Isaac, Cakmak, and Butler on the impact of geopolitical tensions on a destination’s image remain pertinent. However, a gap exists in exploring innovative image management strategies implemented after 2021 to counteract these perceptions. With new regional players like Saudi Arabia intensively investing in tourism through projects like </w:t>
      </w:r>
      <w:r w:rsidR="00A04727" w:rsidRPr="00277721">
        <w:rPr>
          <w:rFonts w:ascii="Arial" w:hAnsi="Arial" w:cs="Arial"/>
        </w:rPr>
        <w:t xml:space="preserve">the </w:t>
      </w:r>
      <w:r w:rsidRPr="00277721">
        <w:rPr>
          <w:rFonts w:ascii="Arial" w:hAnsi="Arial" w:cs="Arial"/>
        </w:rPr>
        <w:t>NEOM</w:t>
      </w:r>
      <w:r w:rsidR="0038094C" w:rsidRPr="00277721">
        <w:rPr>
          <w:rFonts w:ascii="Arial" w:hAnsi="Arial" w:cs="Arial"/>
        </w:rPr>
        <w:t xml:space="preserve"> arcology</w:t>
      </w:r>
      <w:r w:rsidRPr="00277721">
        <w:rPr>
          <w:rFonts w:ascii="Arial" w:hAnsi="Arial" w:cs="Arial"/>
        </w:rPr>
        <w:t>, further exploration of contemporary marketing strategies could provide richer insights.</w:t>
      </w:r>
    </w:p>
    <w:p w14:paraId="4BED9AD5" w14:textId="77777777" w:rsidR="00660A2F" w:rsidRPr="00277721" w:rsidRDefault="00660A2F" w:rsidP="00570CE1">
      <w:pPr>
        <w:ind w:firstLine="720"/>
        <w:jc w:val="both"/>
        <w:rPr>
          <w:rFonts w:ascii="Arial" w:hAnsi="Arial" w:cs="Arial"/>
        </w:rPr>
      </w:pPr>
      <w:r w:rsidRPr="00277721">
        <w:rPr>
          <w:rFonts w:ascii="Arial" w:hAnsi="Arial" w:cs="Arial"/>
          <w:b/>
          <w:bCs/>
        </w:rPr>
        <w:t>Economic Implications of Geopolitical Events</w:t>
      </w:r>
    </w:p>
    <w:p w14:paraId="7559BCD6" w14:textId="51D69D5A" w:rsidR="00660A2F" w:rsidRPr="00277721" w:rsidRDefault="00660A2F" w:rsidP="00570CE1">
      <w:pPr>
        <w:ind w:left="720"/>
        <w:jc w:val="both"/>
        <w:rPr>
          <w:rFonts w:ascii="Arial" w:hAnsi="Arial" w:cs="Arial"/>
        </w:rPr>
      </w:pPr>
      <w:r w:rsidRPr="00277721">
        <w:rPr>
          <w:rFonts w:ascii="Arial" w:hAnsi="Arial" w:cs="Arial"/>
        </w:rPr>
        <w:t>Seyfi and Hall’s analysis of decreased foreign investment due to conflicts is highly relevant to the Red Sea region. However, the literature could be strengthened by more recent empirical studies from 2021 onwards, examining new investment trends. For instance, with Saudi Arabia's Vision 2030 initiative, there has been a surge in investment in the tourism sector, which may present a counter-narrative to the described investment hesitancy.</w:t>
      </w:r>
    </w:p>
    <w:p w14:paraId="0EAE4752" w14:textId="4DA696FA" w:rsidR="00660A2F" w:rsidRPr="00277721" w:rsidRDefault="00660A2F" w:rsidP="00570CE1">
      <w:pPr>
        <w:ind w:left="720"/>
        <w:jc w:val="both"/>
        <w:rPr>
          <w:rFonts w:ascii="Arial" w:hAnsi="Arial" w:cs="Arial"/>
        </w:rPr>
      </w:pPr>
      <w:r w:rsidRPr="00277721">
        <w:rPr>
          <w:rFonts w:ascii="Arial" w:hAnsi="Arial" w:cs="Arial"/>
        </w:rPr>
        <w:lastRenderedPageBreak/>
        <w:t>While Gössling, Scott, and Hall provide</w:t>
      </w:r>
      <w:r w:rsidR="0038094C" w:rsidRPr="00277721">
        <w:rPr>
          <w:rFonts w:ascii="Arial" w:hAnsi="Arial" w:cs="Arial"/>
        </w:rPr>
        <w:t>d</w:t>
      </w:r>
      <w:r w:rsidRPr="00277721">
        <w:rPr>
          <w:rFonts w:ascii="Arial" w:hAnsi="Arial" w:cs="Arial"/>
        </w:rPr>
        <w:t xml:space="preserve"> a valuable discussion on the pandemic's impact on supply chains, regional-specific studies that highlight how Red Sea resorts and hotels have adapted post-2021—such as shifting to regional suppliers or adopting technology to streamline operations—could further embody these challenges and adaptations.</w:t>
      </w:r>
    </w:p>
    <w:p w14:paraId="4EF2C5B7" w14:textId="77777777" w:rsidR="00660A2F" w:rsidRPr="00277721" w:rsidRDefault="00660A2F" w:rsidP="00570CE1">
      <w:pPr>
        <w:ind w:firstLine="720"/>
        <w:jc w:val="both"/>
        <w:rPr>
          <w:rFonts w:ascii="Arial" w:hAnsi="Arial" w:cs="Arial"/>
        </w:rPr>
      </w:pPr>
      <w:r w:rsidRPr="00277721">
        <w:rPr>
          <w:rFonts w:ascii="Arial" w:hAnsi="Arial" w:cs="Arial"/>
          <w:b/>
          <w:bCs/>
        </w:rPr>
        <w:t>Resilience and Adaptation Strategies</w:t>
      </w:r>
    </w:p>
    <w:p w14:paraId="5297EEC5" w14:textId="77777777" w:rsidR="00660A2F" w:rsidRPr="00277721" w:rsidRDefault="00660A2F" w:rsidP="00570CE1">
      <w:pPr>
        <w:ind w:left="720"/>
        <w:jc w:val="both"/>
        <w:rPr>
          <w:rFonts w:ascii="Arial" w:hAnsi="Arial" w:cs="Arial"/>
        </w:rPr>
      </w:pPr>
      <w:r w:rsidRPr="00277721">
        <w:rPr>
          <w:rFonts w:ascii="Arial" w:hAnsi="Arial" w:cs="Arial"/>
        </w:rPr>
        <w:t>Bianchi’s (2022) work on resilience and adaptive strategies is insightful, particularly with an emphasis on market diversification and digital marketing. To be more relevant to the Red Sea, the literature could explore specific initiatives by regional players post-2021, such as the diversification of tourism offerings in Egypt and Saudi Arabia or new digital campaigns targeting domestic and GCC (Gulf Cooperation Council) tourists amid global travel restrictions.</w:t>
      </w:r>
    </w:p>
    <w:p w14:paraId="29AFEDFC" w14:textId="77777777" w:rsidR="00660A2F" w:rsidRPr="00277721" w:rsidRDefault="00660A2F" w:rsidP="00570CE1">
      <w:pPr>
        <w:ind w:left="720"/>
        <w:jc w:val="both"/>
        <w:rPr>
          <w:rFonts w:ascii="Arial" w:hAnsi="Arial" w:cs="Arial"/>
        </w:rPr>
      </w:pPr>
      <w:r w:rsidRPr="00277721">
        <w:rPr>
          <w:rFonts w:ascii="Arial" w:hAnsi="Arial" w:cs="Arial"/>
        </w:rPr>
        <w:t>The emphasis on security measures as a strategy to reassure tourists is well-noted; however, an exploration of how newer technologies, like AI-based security or contactless services, have been implemented to enhance tourist safety and confidence could enrich the analysis.</w:t>
      </w:r>
    </w:p>
    <w:p w14:paraId="5D499E08" w14:textId="77777777" w:rsidR="00660A2F" w:rsidRPr="00277721" w:rsidRDefault="00660A2F" w:rsidP="00570CE1">
      <w:pPr>
        <w:ind w:firstLine="720"/>
        <w:jc w:val="both"/>
        <w:rPr>
          <w:rFonts w:ascii="Arial" w:hAnsi="Arial" w:cs="Arial"/>
        </w:rPr>
      </w:pPr>
      <w:r w:rsidRPr="00277721">
        <w:rPr>
          <w:rFonts w:ascii="Arial" w:hAnsi="Arial" w:cs="Arial"/>
          <w:b/>
          <w:bCs/>
        </w:rPr>
        <w:t>Collaborative Approaches and Policy Implications</w:t>
      </w:r>
    </w:p>
    <w:p w14:paraId="6C408FAA" w14:textId="37934667" w:rsidR="00660A2F" w:rsidRPr="00277721" w:rsidRDefault="00660A2F" w:rsidP="00570CE1">
      <w:pPr>
        <w:ind w:left="720"/>
        <w:jc w:val="both"/>
        <w:rPr>
          <w:rFonts w:ascii="Arial" w:hAnsi="Arial" w:cs="Arial"/>
        </w:rPr>
      </w:pPr>
      <w:r w:rsidRPr="00277721">
        <w:rPr>
          <w:rFonts w:ascii="Arial" w:hAnsi="Arial" w:cs="Arial"/>
        </w:rPr>
        <w:t>The review aptly identifies the need for collaboration between stakeholders and governments, as pointed out by Isaac, Cakmak, and Butler (2019). However, more current references would better highlight successful post-2021 examples, such as recent collaborative efforts between the Red Sea destinations to promote regional tourism or cross-border tourism frameworks initiated under new geopolitical alliances.</w:t>
      </w:r>
    </w:p>
    <w:p w14:paraId="03D46925" w14:textId="2800A26E" w:rsidR="00660A2F" w:rsidRPr="00277721" w:rsidRDefault="00660A2F" w:rsidP="00570CE1">
      <w:pPr>
        <w:ind w:left="720"/>
        <w:jc w:val="both"/>
        <w:rPr>
          <w:rFonts w:ascii="Arial" w:hAnsi="Arial" w:cs="Arial"/>
        </w:rPr>
      </w:pPr>
      <w:r w:rsidRPr="00277721">
        <w:rPr>
          <w:rFonts w:ascii="Arial" w:hAnsi="Arial" w:cs="Arial"/>
        </w:rPr>
        <w:t>Seyfi and Hall’s (2024) argument for proactive foreign policy is critical. The review would benefit from more specific post-2021 policy analyses, examining how recent diplomatic efforts or regional cooperation agreements have facilitated tourism growth, such as through easier visa agreements or joint marketing campaigns between countries bordering the Red Sea.</w:t>
      </w:r>
    </w:p>
    <w:p w14:paraId="387F157A" w14:textId="77777777" w:rsidR="00660B1E" w:rsidRPr="00277721" w:rsidRDefault="009A1E04" w:rsidP="00570CE1">
      <w:pPr>
        <w:jc w:val="both"/>
        <w:rPr>
          <w:rFonts w:ascii="Arial" w:hAnsi="Arial" w:cs="Arial"/>
          <w:b/>
          <w:bCs/>
        </w:rPr>
      </w:pPr>
      <w:r w:rsidRPr="00277721">
        <w:rPr>
          <w:rFonts w:ascii="Arial" w:hAnsi="Arial" w:cs="Arial"/>
          <w:b/>
          <w:bCs/>
        </w:rPr>
        <w:t>Method</w:t>
      </w:r>
    </w:p>
    <w:p w14:paraId="36711A90" w14:textId="1CB42ADB" w:rsidR="0054023C" w:rsidRPr="0054023C" w:rsidRDefault="0054023C" w:rsidP="00570CE1">
      <w:pPr>
        <w:ind w:left="720"/>
        <w:jc w:val="both"/>
        <w:rPr>
          <w:rFonts w:ascii="Arial" w:hAnsi="Arial" w:cs="Arial"/>
        </w:rPr>
      </w:pPr>
      <w:r w:rsidRPr="00277721">
        <w:rPr>
          <w:rFonts w:ascii="Arial" w:hAnsi="Arial" w:cs="Arial"/>
        </w:rPr>
        <w:t>I</w:t>
      </w:r>
      <w:r w:rsidRPr="0054023C">
        <w:rPr>
          <w:rFonts w:ascii="Arial" w:hAnsi="Arial" w:cs="Arial"/>
        </w:rPr>
        <w:t xml:space="preserve">n conducting my research for this academic paper, I </w:t>
      </w:r>
      <w:r w:rsidRPr="00277721">
        <w:rPr>
          <w:rFonts w:ascii="Arial" w:hAnsi="Arial" w:cs="Arial"/>
        </w:rPr>
        <w:t xml:space="preserve">have </w:t>
      </w:r>
      <w:r w:rsidRPr="0054023C">
        <w:rPr>
          <w:rFonts w:ascii="Arial" w:hAnsi="Arial" w:cs="Arial"/>
        </w:rPr>
        <w:t xml:space="preserve">employed a comprehensive approach that </w:t>
      </w:r>
      <w:r w:rsidRPr="00277721">
        <w:rPr>
          <w:rFonts w:ascii="Arial" w:hAnsi="Arial" w:cs="Arial"/>
        </w:rPr>
        <w:t xml:space="preserve">has </w:t>
      </w:r>
      <w:r w:rsidRPr="0054023C">
        <w:rPr>
          <w:rFonts w:ascii="Arial" w:hAnsi="Arial" w:cs="Arial"/>
        </w:rPr>
        <w:t xml:space="preserve">involved </w:t>
      </w:r>
      <w:r w:rsidRPr="00277721">
        <w:rPr>
          <w:rFonts w:ascii="Arial" w:hAnsi="Arial" w:cs="Arial"/>
        </w:rPr>
        <w:t xml:space="preserve">an </w:t>
      </w:r>
      <w:r w:rsidRPr="0054023C">
        <w:rPr>
          <w:rFonts w:ascii="Arial" w:hAnsi="Arial" w:cs="Arial"/>
        </w:rPr>
        <w:t xml:space="preserve">extensive literature review and analysis of credible sources. My primary research methods </w:t>
      </w:r>
      <w:r w:rsidRPr="00277721">
        <w:rPr>
          <w:rFonts w:ascii="Arial" w:hAnsi="Arial" w:cs="Arial"/>
        </w:rPr>
        <w:t>was based on</w:t>
      </w:r>
      <w:r w:rsidRPr="0054023C">
        <w:rPr>
          <w:rFonts w:ascii="Arial" w:hAnsi="Arial" w:cs="Arial"/>
        </w:rPr>
        <w:t xml:space="preserve"> online searches for peer-reviewed journals, academic books, and reputable news outlets. This multifaceted strategy </w:t>
      </w:r>
      <w:r w:rsidR="00E9524C" w:rsidRPr="00277721">
        <w:rPr>
          <w:rFonts w:ascii="Arial" w:hAnsi="Arial" w:cs="Arial"/>
        </w:rPr>
        <w:t xml:space="preserve">has </w:t>
      </w:r>
      <w:r w:rsidRPr="0054023C">
        <w:rPr>
          <w:rFonts w:ascii="Arial" w:hAnsi="Arial" w:cs="Arial"/>
        </w:rPr>
        <w:t xml:space="preserve">allowed me to gather a diverse range of perspectives and data relevant to my topic. I utilized academic databases such as </w:t>
      </w:r>
      <w:r w:rsidR="00E9524C" w:rsidRPr="00277721">
        <w:rPr>
          <w:rFonts w:ascii="Arial" w:hAnsi="Arial" w:cs="Arial"/>
        </w:rPr>
        <w:t>UWTSD library</w:t>
      </w:r>
      <w:r w:rsidR="00F35611" w:rsidRPr="00277721">
        <w:rPr>
          <w:rFonts w:ascii="Arial" w:hAnsi="Arial" w:cs="Arial"/>
        </w:rPr>
        <w:t xml:space="preserve"> and</w:t>
      </w:r>
      <w:r w:rsidRPr="0054023C">
        <w:rPr>
          <w:rFonts w:ascii="Arial" w:hAnsi="Arial" w:cs="Arial"/>
        </w:rPr>
        <w:t xml:space="preserve"> Google Scholar to ensure the reliability and validity of the information </w:t>
      </w:r>
      <w:r w:rsidR="00F35611" w:rsidRPr="00277721">
        <w:rPr>
          <w:rFonts w:ascii="Arial" w:hAnsi="Arial" w:cs="Arial"/>
        </w:rPr>
        <w:t xml:space="preserve">that </w:t>
      </w:r>
      <w:r w:rsidRPr="0054023C">
        <w:rPr>
          <w:rFonts w:ascii="Arial" w:hAnsi="Arial" w:cs="Arial"/>
        </w:rPr>
        <w:t>I</w:t>
      </w:r>
      <w:r w:rsidR="00623991" w:rsidRPr="00277721">
        <w:rPr>
          <w:rFonts w:ascii="Arial" w:hAnsi="Arial" w:cs="Arial"/>
        </w:rPr>
        <w:t xml:space="preserve"> </w:t>
      </w:r>
      <w:r w:rsidR="00F35611" w:rsidRPr="00277721">
        <w:rPr>
          <w:rFonts w:ascii="Arial" w:hAnsi="Arial" w:cs="Arial"/>
        </w:rPr>
        <w:t>have</w:t>
      </w:r>
      <w:r w:rsidRPr="0054023C">
        <w:rPr>
          <w:rFonts w:ascii="Arial" w:hAnsi="Arial" w:cs="Arial"/>
        </w:rPr>
        <w:t xml:space="preserve"> incorporated into my work.</w:t>
      </w:r>
    </w:p>
    <w:p w14:paraId="2C14D9B6" w14:textId="0AB5FA3A" w:rsidR="0054023C" w:rsidRPr="0054023C" w:rsidRDefault="0054023C" w:rsidP="00570CE1">
      <w:pPr>
        <w:ind w:left="720"/>
        <w:jc w:val="both"/>
        <w:rPr>
          <w:rFonts w:ascii="Arial" w:hAnsi="Arial" w:cs="Arial"/>
        </w:rPr>
      </w:pPr>
      <w:r w:rsidRPr="0054023C">
        <w:rPr>
          <w:rFonts w:ascii="Arial" w:hAnsi="Arial" w:cs="Arial"/>
        </w:rPr>
        <w:t xml:space="preserve">However, my research is not without limitations. One significant constraint was the potential bias inherent in the sources </w:t>
      </w:r>
      <w:r w:rsidR="00623991" w:rsidRPr="00277721">
        <w:rPr>
          <w:rFonts w:ascii="Arial" w:hAnsi="Arial" w:cs="Arial"/>
        </w:rPr>
        <w:t xml:space="preserve">that </w:t>
      </w:r>
      <w:r w:rsidRPr="0054023C">
        <w:rPr>
          <w:rFonts w:ascii="Arial" w:hAnsi="Arial" w:cs="Arial"/>
        </w:rPr>
        <w:t xml:space="preserve">I </w:t>
      </w:r>
      <w:r w:rsidR="00623991" w:rsidRPr="00277721">
        <w:rPr>
          <w:rFonts w:ascii="Arial" w:hAnsi="Arial" w:cs="Arial"/>
        </w:rPr>
        <w:t xml:space="preserve">have </w:t>
      </w:r>
      <w:r w:rsidRPr="0054023C">
        <w:rPr>
          <w:rFonts w:ascii="Arial" w:hAnsi="Arial" w:cs="Arial"/>
        </w:rPr>
        <w:t xml:space="preserve">selected, as even reputable </w:t>
      </w:r>
      <w:r w:rsidRPr="0054023C">
        <w:rPr>
          <w:rFonts w:ascii="Arial" w:hAnsi="Arial" w:cs="Arial"/>
        </w:rPr>
        <w:lastRenderedPageBreak/>
        <w:t xml:space="preserve">outlets can present information through </w:t>
      </w:r>
      <w:r w:rsidR="00623991" w:rsidRPr="00277721">
        <w:rPr>
          <w:rFonts w:ascii="Arial" w:hAnsi="Arial" w:cs="Arial"/>
        </w:rPr>
        <w:t xml:space="preserve">a </w:t>
      </w:r>
      <w:r w:rsidRPr="0054023C">
        <w:rPr>
          <w:rFonts w:ascii="Arial" w:hAnsi="Arial" w:cs="Arial"/>
        </w:rPr>
        <w:t>particular lens</w:t>
      </w:r>
      <w:r w:rsidR="00623991" w:rsidRPr="00277721">
        <w:rPr>
          <w:rFonts w:ascii="Arial" w:hAnsi="Arial" w:cs="Arial"/>
        </w:rPr>
        <w:t>.</w:t>
      </w:r>
      <w:r w:rsidRPr="0054023C">
        <w:rPr>
          <w:rFonts w:ascii="Arial" w:hAnsi="Arial" w:cs="Arial"/>
        </w:rPr>
        <w:t xml:space="preserve"> Additionally, the rapidly evolving nature of my research topic may mean that some of the data </w:t>
      </w:r>
      <w:r w:rsidR="002F5A48" w:rsidRPr="00277721">
        <w:rPr>
          <w:rFonts w:ascii="Arial" w:hAnsi="Arial" w:cs="Arial"/>
        </w:rPr>
        <w:t>may</w:t>
      </w:r>
      <w:r w:rsidRPr="0054023C">
        <w:rPr>
          <w:rFonts w:ascii="Arial" w:hAnsi="Arial" w:cs="Arial"/>
        </w:rPr>
        <w:t xml:space="preserve"> become outdated or superseded by new findings shortly after my analysis. Furthermore, my reliance on secondary sources</w:t>
      </w:r>
      <w:r w:rsidR="002F5A48" w:rsidRPr="00277721">
        <w:rPr>
          <w:rFonts w:ascii="Arial" w:hAnsi="Arial" w:cs="Arial"/>
        </w:rPr>
        <w:t xml:space="preserve"> has</w:t>
      </w:r>
      <w:r w:rsidRPr="0054023C">
        <w:rPr>
          <w:rFonts w:ascii="Arial" w:hAnsi="Arial" w:cs="Arial"/>
        </w:rPr>
        <w:t xml:space="preserve"> limited my ability to gather firsthand data, which </w:t>
      </w:r>
      <w:r w:rsidR="002F5A48" w:rsidRPr="00277721">
        <w:rPr>
          <w:rFonts w:ascii="Arial" w:hAnsi="Arial" w:cs="Arial"/>
        </w:rPr>
        <w:t>may</w:t>
      </w:r>
      <w:r w:rsidR="0073746E" w:rsidRPr="00277721">
        <w:rPr>
          <w:rFonts w:ascii="Arial" w:hAnsi="Arial" w:cs="Arial"/>
        </w:rPr>
        <w:t xml:space="preserve"> have</w:t>
      </w:r>
      <w:r w:rsidRPr="0054023C">
        <w:rPr>
          <w:rFonts w:ascii="Arial" w:hAnsi="Arial" w:cs="Arial"/>
        </w:rPr>
        <w:t xml:space="preserve"> provided deeper insights. Acknowledging these limitations is crucial for contextualizing my findings and understanding the scope of my conclusions. Future research could benefit from primary data collection to enhance the robustness of the analysis.</w:t>
      </w:r>
    </w:p>
    <w:p w14:paraId="6B22F31B" w14:textId="77777777" w:rsidR="00142256" w:rsidRPr="00277721" w:rsidRDefault="00142256" w:rsidP="00570CE1">
      <w:pPr>
        <w:jc w:val="both"/>
        <w:rPr>
          <w:rFonts w:ascii="Arial" w:hAnsi="Arial" w:cs="Arial"/>
          <w:b/>
          <w:bCs/>
        </w:rPr>
      </w:pPr>
    </w:p>
    <w:p w14:paraId="06D251A3" w14:textId="416C18BE" w:rsidR="00660A2F" w:rsidRPr="00277721" w:rsidRDefault="00660B1E" w:rsidP="00570CE1">
      <w:pPr>
        <w:jc w:val="both"/>
        <w:rPr>
          <w:rFonts w:ascii="Arial" w:hAnsi="Arial" w:cs="Arial"/>
        </w:rPr>
      </w:pPr>
      <w:r w:rsidRPr="00277721">
        <w:rPr>
          <w:rFonts w:ascii="Arial" w:hAnsi="Arial" w:cs="Arial"/>
          <w:b/>
          <w:bCs/>
        </w:rPr>
        <w:t>Theme Impact Analysis</w:t>
      </w:r>
      <w:r w:rsidR="00783B76" w:rsidRPr="00277721">
        <w:rPr>
          <w:rFonts w:ascii="Arial" w:hAnsi="Arial" w:cs="Arial"/>
          <w:b/>
          <w:bCs/>
        </w:rPr>
        <w:t xml:space="preserve"> </w:t>
      </w:r>
    </w:p>
    <w:p w14:paraId="22AA1BBC" w14:textId="57E96369" w:rsidR="0088712E" w:rsidRPr="00277721" w:rsidRDefault="00822132" w:rsidP="00570CE1">
      <w:pPr>
        <w:jc w:val="both"/>
        <w:rPr>
          <w:rFonts w:ascii="Arial" w:hAnsi="Arial" w:cs="Arial"/>
        </w:rPr>
      </w:pPr>
      <w:r w:rsidRPr="00277721">
        <w:rPr>
          <w:rFonts w:ascii="Arial" w:hAnsi="Arial" w:cs="Arial"/>
          <w:b/>
          <w:bCs/>
        </w:rPr>
        <w:t>T</w:t>
      </w:r>
      <w:r w:rsidR="0088712E" w:rsidRPr="00277721">
        <w:rPr>
          <w:rFonts w:ascii="Arial" w:hAnsi="Arial" w:cs="Arial"/>
          <w:b/>
          <w:bCs/>
        </w:rPr>
        <w:t>heme Impact Analysis: Industry Responses to Shocks and Recovery in the Global Hospitality Industry</w:t>
      </w:r>
    </w:p>
    <w:p w14:paraId="72F6BF67" w14:textId="77777777" w:rsidR="0088712E" w:rsidRPr="00277721" w:rsidRDefault="0088712E" w:rsidP="00570CE1">
      <w:pPr>
        <w:ind w:left="720"/>
        <w:jc w:val="both"/>
        <w:rPr>
          <w:rFonts w:ascii="Arial" w:hAnsi="Arial" w:cs="Arial"/>
        </w:rPr>
      </w:pPr>
      <w:r w:rsidRPr="00277721">
        <w:rPr>
          <w:rFonts w:ascii="Arial" w:hAnsi="Arial" w:cs="Arial"/>
        </w:rPr>
        <w:t>The global hospitality industry is inherently sensitive to geopolitical dynamics, which can significantly influence tourism flows, investment patterns, and operational strategies. The Israel-Palestinian conflict from 2023 to 2025 serves as a pertinent case study to explore these impacts, particularly in the Red Sea region. This analysis will delve into both the positive and negative impacts of geopolitical shocks on the hospitality industry, drawing on recent literature and case studies.</w:t>
      </w:r>
    </w:p>
    <w:p w14:paraId="7F19D6E3" w14:textId="77777777" w:rsidR="0088712E" w:rsidRPr="00277721" w:rsidRDefault="0088712E" w:rsidP="00570CE1">
      <w:pPr>
        <w:jc w:val="both"/>
        <w:rPr>
          <w:rFonts w:ascii="Arial" w:hAnsi="Arial" w:cs="Arial"/>
        </w:rPr>
      </w:pPr>
      <w:r w:rsidRPr="00277721">
        <w:rPr>
          <w:rFonts w:ascii="Arial" w:hAnsi="Arial" w:cs="Arial"/>
          <w:b/>
          <w:bCs/>
        </w:rPr>
        <w:t>Negative Impacts</w:t>
      </w:r>
    </w:p>
    <w:p w14:paraId="1D55C810" w14:textId="36529E69" w:rsidR="0088712E" w:rsidRPr="00277721" w:rsidRDefault="0088712E" w:rsidP="00570CE1">
      <w:pPr>
        <w:numPr>
          <w:ilvl w:val="0"/>
          <w:numId w:val="37"/>
        </w:numPr>
        <w:jc w:val="both"/>
        <w:rPr>
          <w:rFonts w:ascii="Arial" w:hAnsi="Arial" w:cs="Arial"/>
        </w:rPr>
      </w:pPr>
      <w:r w:rsidRPr="00277721">
        <w:rPr>
          <w:rFonts w:ascii="Arial" w:hAnsi="Arial" w:cs="Arial"/>
          <w:b/>
          <w:bCs/>
        </w:rPr>
        <w:t>Tourism Decline and Economic Losses</w:t>
      </w:r>
      <w:r w:rsidRPr="00277721">
        <w:rPr>
          <w:rFonts w:ascii="Arial" w:hAnsi="Arial" w:cs="Arial"/>
        </w:rPr>
        <w:t>: Geopolitical conflicts often lead to a decline in tourism, as safety concerns deter international visitors. The Israel-Palestinian conflict has exacerbated this issue in the Red Sea region, where countries like Egypt and Jordan have experienced a significant drop in tourist arrivals (</w:t>
      </w:r>
      <w:r w:rsidR="001C4D2D" w:rsidRPr="00277721">
        <w:rPr>
          <w:rFonts w:ascii="Arial" w:hAnsi="Arial" w:cs="Arial"/>
        </w:rPr>
        <w:t>Al</w:t>
      </w:r>
      <w:r w:rsidR="00077F30" w:rsidRPr="00277721">
        <w:rPr>
          <w:rFonts w:ascii="Arial" w:hAnsi="Arial" w:cs="Arial"/>
        </w:rPr>
        <w:t>-Jazeera 2024</w:t>
      </w:r>
      <w:r w:rsidRPr="00277721">
        <w:rPr>
          <w:rFonts w:ascii="Arial" w:hAnsi="Arial" w:cs="Arial"/>
        </w:rPr>
        <w:t>).</w:t>
      </w:r>
      <w:r w:rsidR="0076146B" w:rsidRPr="00277721">
        <w:rPr>
          <w:rFonts w:ascii="Arial" w:hAnsi="Arial" w:cs="Arial"/>
        </w:rPr>
        <w:t xml:space="preserve"> </w:t>
      </w:r>
      <w:r w:rsidRPr="00277721">
        <w:rPr>
          <w:rFonts w:ascii="Arial" w:hAnsi="Arial" w:cs="Arial"/>
        </w:rPr>
        <w:t>This decline translates into substantial economic losses, affecting local economies that heavily rely on tourism revenue</w:t>
      </w:r>
      <w:r w:rsidR="00A312F5" w:rsidRPr="00277721">
        <w:rPr>
          <w:rFonts w:ascii="Arial" w:hAnsi="Arial" w:cs="Arial"/>
        </w:rPr>
        <w:t xml:space="preserve">.  </w:t>
      </w:r>
      <w:r w:rsidR="005D7D14" w:rsidRPr="00277721">
        <w:rPr>
          <w:rFonts w:ascii="Arial" w:hAnsi="Arial" w:cs="Arial"/>
        </w:rPr>
        <w:t xml:space="preserve">France </w:t>
      </w:r>
      <w:r w:rsidR="005733C0" w:rsidRPr="00277721">
        <w:rPr>
          <w:rFonts w:ascii="Arial" w:hAnsi="Arial" w:cs="Arial"/>
        </w:rPr>
        <w:t xml:space="preserve">24.com reported that </w:t>
      </w:r>
      <w:r w:rsidR="003912F8" w:rsidRPr="00277721">
        <w:rPr>
          <w:rFonts w:ascii="Arial" w:hAnsi="Arial" w:cs="Arial"/>
        </w:rPr>
        <w:t>“Tourists are abandoning the Middle East region due to the conflict between Israel and Hamas, putting at risk nations like Jordan, Lebanon and Egypt, whose economies depend heavily upon international tourism</w:t>
      </w:r>
      <w:r w:rsidR="003912F8" w:rsidRPr="00277721">
        <w:rPr>
          <w:rFonts w:ascii="Arial" w:hAnsi="Arial" w:cs="Arial"/>
          <w:b/>
          <w:bCs/>
        </w:rPr>
        <w:t>.</w:t>
      </w:r>
      <w:r w:rsidR="005770D5" w:rsidRPr="00277721">
        <w:rPr>
          <w:rFonts w:ascii="Arial" w:hAnsi="Arial" w:cs="Arial"/>
          <w:b/>
          <w:bCs/>
        </w:rPr>
        <w:t xml:space="preserve">” </w:t>
      </w:r>
      <w:r w:rsidR="00072A69" w:rsidRPr="00277721">
        <w:rPr>
          <w:rFonts w:ascii="Arial" w:hAnsi="Arial" w:cs="Arial"/>
        </w:rPr>
        <w:t xml:space="preserve">Petra Palace Hotel </w:t>
      </w:r>
      <w:r w:rsidR="007F093C" w:rsidRPr="00277721">
        <w:rPr>
          <w:rFonts w:ascii="Arial" w:hAnsi="Arial" w:cs="Arial"/>
        </w:rPr>
        <w:t xml:space="preserve">in Jordan </w:t>
      </w:r>
      <w:r w:rsidR="005770D5" w:rsidRPr="00277721">
        <w:rPr>
          <w:rFonts w:ascii="Arial" w:hAnsi="Arial" w:cs="Arial"/>
        </w:rPr>
        <w:t xml:space="preserve">for example </w:t>
      </w:r>
      <w:r w:rsidR="00CB5C64" w:rsidRPr="00277721">
        <w:rPr>
          <w:rFonts w:ascii="Arial" w:hAnsi="Arial" w:cs="Arial"/>
        </w:rPr>
        <w:t>reported a drop of “2</w:t>
      </w:r>
      <w:r w:rsidR="009E002F" w:rsidRPr="00277721">
        <w:rPr>
          <w:rFonts w:ascii="Arial" w:hAnsi="Arial" w:cs="Arial"/>
        </w:rPr>
        <w:t>5 to 50% in reservations since the outbr</w:t>
      </w:r>
      <w:r w:rsidR="003912F8" w:rsidRPr="00277721">
        <w:rPr>
          <w:rFonts w:ascii="Arial" w:hAnsi="Arial" w:cs="Arial"/>
        </w:rPr>
        <w:t>e</w:t>
      </w:r>
      <w:r w:rsidR="009E002F" w:rsidRPr="00277721">
        <w:rPr>
          <w:rFonts w:ascii="Arial" w:hAnsi="Arial" w:cs="Arial"/>
        </w:rPr>
        <w:t>ak of war”</w:t>
      </w:r>
      <w:r w:rsidRPr="00277721">
        <w:rPr>
          <w:rFonts w:ascii="Arial" w:hAnsi="Arial" w:cs="Arial"/>
        </w:rPr>
        <w:t xml:space="preserve"> </w:t>
      </w:r>
      <w:r w:rsidR="009E33AA" w:rsidRPr="00277721">
        <w:rPr>
          <w:rFonts w:ascii="Arial" w:hAnsi="Arial" w:cs="Arial"/>
        </w:rPr>
        <w:t>(</w:t>
      </w:r>
      <w:r w:rsidR="009F3707" w:rsidRPr="00277721">
        <w:rPr>
          <w:rFonts w:ascii="Arial" w:hAnsi="Arial" w:cs="Arial"/>
        </w:rPr>
        <w:t xml:space="preserve">France 24.com </w:t>
      </w:r>
      <w:r w:rsidR="00C458B6" w:rsidRPr="00277721">
        <w:rPr>
          <w:rFonts w:ascii="Arial" w:hAnsi="Arial" w:cs="Arial"/>
        </w:rPr>
        <w:t xml:space="preserve">2023) </w:t>
      </w:r>
    </w:p>
    <w:p w14:paraId="7EE8E28E" w14:textId="6B7BEC60" w:rsidR="0088712E" w:rsidRPr="00277721" w:rsidRDefault="0088712E" w:rsidP="00570CE1">
      <w:pPr>
        <w:numPr>
          <w:ilvl w:val="0"/>
          <w:numId w:val="37"/>
        </w:numPr>
        <w:jc w:val="both"/>
        <w:rPr>
          <w:rFonts w:ascii="Arial" w:hAnsi="Arial" w:cs="Arial"/>
        </w:rPr>
      </w:pPr>
      <w:r w:rsidRPr="00277721">
        <w:rPr>
          <w:rFonts w:ascii="Arial" w:hAnsi="Arial" w:cs="Arial"/>
          <w:b/>
          <w:bCs/>
        </w:rPr>
        <w:t>Investment Hesitancy</w:t>
      </w:r>
      <w:r w:rsidRPr="00277721">
        <w:rPr>
          <w:rFonts w:ascii="Arial" w:hAnsi="Arial" w:cs="Arial"/>
        </w:rPr>
        <w:t xml:space="preserve">: Geopolitical instability creates an uncertain environment for investors, leading to decreased foreign investment in the hospitality sector. </w:t>
      </w:r>
      <w:r w:rsidR="00FD4202" w:rsidRPr="00277721">
        <w:rPr>
          <w:rFonts w:ascii="Arial" w:hAnsi="Arial" w:cs="Arial"/>
        </w:rPr>
        <w:t>Sh</w:t>
      </w:r>
      <w:r w:rsidR="006E6222" w:rsidRPr="00277721">
        <w:rPr>
          <w:rFonts w:ascii="Arial" w:hAnsi="Arial" w:cs="Arial"/>
        </w:rPr>
        <w:t xml:space="preserve">ay (2017) </w:t>
      </w:r>
      <w:r w:rsidRPr="00277721">
        <w:rPr>
          <w:rFonts w:ascii="Arial" w:hAnsi="Arial" w:cs="Arial"/>
        </w:rPr>
        <w:t>highlight</w:t>
      </w:r>
      <w:r w:rsidR="0063381F" w:rsidRPr="00277721">
        <w:rPr>
          <w:rFonts w:ascii="Arial" w:hAnsi="Arial" w:cs="Arial"/>
        </w:rPr>
        <w:t>s</w:t>
      </w:r>
      <w:r w:rsidRPr="00277721">
        <w:rPr>
          <w:rFonts w:ascii="Arial" w:hAnsi="Arial" w:cs="Arial"/>
        </w:rPr>
        <w:t xml:space="preserve"> that the Red Sea region has faced inconsistent investment in tourism infrastructure due to ongoing conflicts. This hesitancy hampers the development of new projects and the expansion of existing facilities, limiting the industry's growth potential.</w:t>
      </w:r>
    </w:p>
    <w:p w14:paraId="47484C22" w14:textId="4319FC93" w:rsidR="0088712E" w:rsidRPr="00277721" w:rsidRDefault="0088712E" w:rsidP="00570CE1">
      <w:pPr>
        <w:numPr>
          <w:ilvl w:val="0"/>
          <w:numId w:val="37"/>
        </w:numPr>
        <w:jc w:val="both"/>
        <w:rPr>
          <w:rFonts w:ascii="Arial" w:hAnsi="Arial" w:cs="Arial"/>
        </w:rPr>
      </w:pPr>
      <w:r w:rsidRPr="00277721">
        <w:rPr>
          <w:rFonts w:ascii="Arial" w:hAnsi="Arial" w:cs="Arial"/>
          <w:b/>
          <w:bCs/>
        </w:rPr>
        <w:t>Supply Chain Disruptions</w:t>
      </w:r>
      <w:r w:rsidRPr="00277721">
        <w:rPr>
          <w:rFonts w:ascii="Arial" w:hAnsi="Arial" w:cs="Arial"/>
        </w:rPr>
        <w:t xml:space="preserve">: Conflicts can disrupt supply chains, increasing operational costs for hospitality businesses. The Red Sea region has witnessed </w:t>
      </w:r>
      <w:r w:rsidRPr="00277721">
        <w:rPr>
          <w:rFonts w:ascii="Arial" w:hAnsi="Arial" w:cs="Arial"/>
        </w:rPr>
        <w:lastRenderedPageBreak/>
        <w:t xml:space="preserve">such disruptions, particularly in shipping routes affected by the conflict </w:t>
      </w:r>
      <w:r w:rsidR="00016CEA" w:rsidRPr="00277721">
        <w:rPr>
          <w:rFonts w:ascii="Arial" w:hAnsi="Arial" w:cs="Arial"/>
        </w:rPr>
        <w:t>(</w:t>
      </w:r>
      <w:r w:rsidR="00201F0E" w:rsidRPr="00277721">
        <w:rPr>
          <w:rFonts w:ascii="Arial" w:hAnsi="Arial" w:cs="Arial"/>
        </w:rPr>
        <w:t>Rodr</w:t>
      </w:r>
      <w:r w:rsidR="0080387C" w:rsidRPr="00277721">
        <w:rPr>
          <w:rFonts w:ascii="Arial" w:hAnsi="Arial" w:cs="Arial"/>
        </w:rPr>
        <w:t>iguez</w:t>
      </w:r>
      <w:r w:rsidR="003254E2" w:rsidRPr="00277721">
        <w:rPr>
          <w:rFonts w:ascii="Arial" w:hAnsi="Arial" w:cs="Arial"/>
        </w:rPr>
        <w:t>-Diaz</w:t>
      </w:r>
      <w:r w:rsidR="0080387C" w:rsidRPr="00277721">
        <w:rPr>
          <w:rFonts w:ascii="Arial" w:hAnsi="Arial" w:cs="Arial"/>
        </w:rPr>
        <w:t>,</w:t>
      </w:r>
      <w:r w:rsidR="00AB1FAB" w:rsidRPr="00277721">
        <w:rPr>
          <w:rFonts w:ascii="Arial" w:hAnsi="Arial" w:cs="Arial"/>
        </w:rPr>
        <w:t xml:space="preserve"> Alcaide &amp; Garcia-Llave</w:t>
      </w:r>
      <w:r w:rsidR="000A24DE" w:rsidRPr="00277721">
        <w:rPr>
          <w:rFonts w:ascii="Arial" w:hAnsi="Arial" w:cs="Arial"/>
        </w:rPr>
        <w:t xml:space="preserve"> 2024)</w:t>
      </w:r>
      <w:r w:rsidRPr="00277721">
        <w:rPr>
          <w:rFonts w:ascii="Arial" w:hAnsi="Arial" w:cs="Arial"/>
        </w:rPr>
        <w:t xml:space="preserve"> These disruptions necessitate contingency planning and local sourcing strategies, which can be costly and challenging to implement.</w:t>
      </w:r>
    </w:p>
    <w:p w14:paraId="3B9D9995" w14:textId="7F1AD2E8" w:rsidR="0088712E" w:rsidRPr="00277721" w:rsidRDefault="0088712E" w:rsidP="00570CE1">
      <w:pPr>
        <w:numPr>
          <w:ilvl w:val="0"/>
          <w:numId w:val="37"/>
        </w:numPr>
        <w:jc w:val="both"/>
        <w:rPr>
          <w:rFonts w:ascii="Arial" w:hAnsi="Arial" w:cs="Arial"/>
        </w:rPr>
      </w:pPr>
      <w:r w:rsidRPr="00277721">
        <w:rPr>
          <w:rFonts w:ascii="Arial" w:hAnsi="Arial" w:cs="Arial"/>
          <w:b/>
          <w:bCs/>
        </w:rPr>
        <w:t>Negative Destination Image</w:t>
      </w:r>
      <w:r w:rsidRPr="00277721">
        <w:rPr>
          <w:rFonts w:ascii="Arial" w:hAnsi="Arial" w:cs="Arial"/>
        </w:rPr>
        <w:t>: Geopolitical tensions can tarnish a destination's image, overshadowing its natural and cultural attractions. The Red Sea, despite its appeal, struggles with negative perceptions due to regional conflicts (</w:t>
      </w:r>
      <w:r w:rsidR="00E67A92" w:rsidRPr="00277721">
        <w:rPr>
          <w:rFonts w:ascii="Arial" w:hAnsi="Arial" w:cs="Arial"/>
        </w:rPr>
        <w:t>Romaniv &amp; Yarmolyk</w:t>
      </w:r>
      <w:r w:rsidR="00CC352D" w:rsidRPr="00277721">
        <w:rPr>
          <w:rFonts w:ascii="Arial" w:hAnsi="Arial" w:cs="Arial"/>
        </w:rPr>
        <w:t xml:space="preserve"> 2021).</w:t>
      </w:r>
      <w:r w:rsidR="00370D7C" w:rsidRPr="00277721">
        <w:rPr>
          <w:rFonts w:ascii="Arial" w:hAnsi="Arial" w:cs="Arial"/>
        </w:rPr>
        <w:t xml:space="preserve"> </w:t>
      </w:r>
      <w:r w:rsidRPr="00277721">
        <w:rPr>
          <w:rFonts w:ascii="Arial" w:hAnsi="Arial" w:cs="Arial"/>
        </w:rPr>
        <w:t>This image problem can have long-term effects on tourism demand, requiring strategic marketing efforts to counteract.</w:t>
      </w:r>
    </w:p>
    <w:p w14:paraId="2819ABD1" w14:textId="77777777" w:rsidR="0088712E" w:rsidRPr="00277721" w:rsidRDefault="0088712E" w:rsidP="00570CE1">
      <w:pPr>
        <w:jc w:val="both"/>
        <w:rPr>
          <w:rFonts w:ascii="Arial" w:hAnsi="Arial" w:cs="Arial"/>
        </w:rPr>
      </w:pPr>
      <w:r w:rsidRPr="00277721">
        <w:rPr>
          <w:rFonts w:ascii="Arial" w:hAnsi="Arial" w:cs="Arial"/>
          <w:b/>
          <w:bCs/>
        </w:rPr>
        <w:t>Positive Impacts and Strategic Adaptations</w:t>
      </w:r>
    </w:p>
    <w:p w14:paraId="7BE13DB9" w14:textId="66B91928" w:rsidR="0088712E" w:rsidRPr="00277721" w:rsidRDefault="0088712E" w:rsidP="00570CE1">
      <w:pPr>
        <w:numPr>
          <w:ilvl w:val="0"/>
          <w:numId w:val="38"/>
        </w:numPr>
        <w:jc w:val="both"/>
        <w:rPr>
          <w:rFonts w:ascii="Arial" w:hAnsi="Arial" w:cs="Arial"/>
        </w:rPr>
      </w:pPr>
      <w:r w:rsidRPr="00277721">
        <w:rPr>
          <w:rFonts w:ascii="Arial" w:hAnsi="Arial" w:cs="Arial"/>
          <w:b/>
          <w:bCs/>
        </w:rPr>
        <w:t>Market Diversification</w:t>
      </w:r>
      <w:r w:rsidRPr="00277721">
        <w:rPr>
          <w:rFonts w:ascii="Arial" w:hAnsi="Arial" w:cs="Arial"/>
        </w:rPr>
        <w:t>: In response to declining international arrivals, the hospitality industry in the Red Sea region has increasingly targeted domestic and regional tourists. Bianchi (2020</w:t>
      </w:r>
      <w:r w:rsidR="00815D62" w:rsidRPr="00277721">
        <w:rPr>
          <w:rFonts w:ascii="Arial" w:hAnsi="Arial" w:cs="Arial"/>
        </w:rPr>
        <w:t>b</w:t>
      </w:r>
      <w:r w:rsidRPr="00277721">
        <w:rPr>
          <w:rFonts w:ascii="Arial" w:hAnsi="Arial" w:cs="Arial"/>
        </w:rPr>
        <w:t>) suggests that market diversification is a crucial strategy for resilience. Countries like Saudi Arabia have intensified efforts to attract GCC tourists, leveraging cultural and religious tourism to offset losses from international markets.</w:t>
      </w:r>
    </w:p>
    <w:p w14:paraId="0B09E962" w14:textId="535B0AC5" w:rsidR="0088712E" w:rsidRPr="00277721" w:rsidRDefault="0088712E" w:rsidP="00570CE1">
      <w:pPr>
        <w:numPr>
          <w:ilvl w:val="0"/>
          <w:numId w:val="38"/>
        </w:numPr>
        <w:jc w:val="both"/>
        <w:rPr>
          <w:rFonts w:ascii="Arial" w:hAnsi="Arial" w:cs="Arial"/>
        </w:rPr>
      </w:pPr>
      <w:r w:rsidRPr="00277721">
        <w:rPr>
          <w:rFonts w:ascii="Arial" w:hAnsi="Arial" w:cs="Arial"/>
          <w:b/>
          <w:bCs/>
        </w:rPr>
        <w:t>Innovation and Digital Marketing</w:t>
      </w:r>
      <w:r w:rsidRPr="00277721">
        <w:rPr>
          <w:rFonts w:ascii="Arial" w:hAnsi="Arial" w:cs="Arial"/>
        </w:rPr>
        <w:t>: The need to adapt to geopolitical shocks has spurred innovation in the hospitality sector. Digital marketing and online platforms have become vital tools for reaching potential visitors during crises (</w:t>
      </w:r>
      <w:r w:rsidR="000F1726" w:rsidRPr="00277721">
        <w:rPr>
          <w:rFonts w:ascii="Arial" w:hAnsi="Arial" w:cs="Arial"/>
        </w:rPr>
        <w:t>Abdel Rady &amp; Ahmed</w:t>
      </w:r>
      <w:r w:rsidR="0017679C" w:rsidRPr="00277721">
        <w:rPr>
          <w:rFonts w:ascii="Arial" w:hAnsi="Arial" w:cs="Arial"/>
        </w:rPr>
        <w:t xml:space="preserve"> 2024)</w:t>
      </w:r>
      <w:r w:rsidRPr="00277721">
        <w:rPr>
          <w:rFonts w:ascii="Arial" w:hAnsi="Arial" w:cs="Arial"/>
        </w:rPr>
        <w:t xml:space="preserve"> The Red Sea region has seen increased investment in digital campaigns, promoting its attractions to a broader audience and enhancing its online presence.</w:t>
      </w:r>
      <w:r w:rsidR="005A3E98" w:rsidRPr="00277721">
        <w:rPr>
          <w:rFonts w:ascii="Arial" w:hAnsi="Arial" w:cs="Arial"/>
        </w:rPr>
        <w:t xml:space="preserve"> </w:t>
      </w:r>
      <w:r w:rsidR="00584CDB" w:rsidRPr="00277721">
        <w:rPr>
          <w:rFonts w:ascii="Arial" w:hAnsi="Arial" w:cs="Arial"/>
        </w:rPr>
        <w:t xml:space="preserve">Kamel and Elshiwy </w:t>
      </w:r>
      <w:r w:rsidR="00FA4C5E" w:rsidRPr="00277721">
        <w:rPr>
          <w:rFonts w:ascii="Arial" w:hAnsi="Arial" w:cs="Arial"/>
        </w:rPr>
        <w:t>(</w:t>
      </w:r>
      <w:r w:rsidR="00584CDB" w:rsidRPr="00277721">
        <w:rPr>
          <w:rFonts w:ascii="Arial" w:hAnsi="Arial" w:cs="Arial"/>
        </w:rPr>
        <w:t>2022</w:t>
      </w:r>
      <w:r w:rsidR="00FA4C5E" w:rsidRPr="00277721">
        <w:rPr>
          <w:rFonts w:ascii="Arial" w:hAnsi="Arial" w:cs="Arial"/>
        </w:rPr>
        <w:t>)</w:t>
      </w:r>
      <w:r w:rsidR="00584CDB" w:rsidRPr="00277721">
        <w:rPr>
          <w:rFonts w:ascii="Arial" w:hAnsi="Arial" w:cs="Arial"/>
        </w:rPr>
        <w:t xml:space="preserve"> </w:t>
      </w:r>
      <w:r w:rsidR="00F7371E" w:rsidRPr="00277721">
        <w:rPr>
          <w:rFonts w:ascii="Arial" w:hAnsi="Arial" w:cs="Arial"/>
        </w:rPr>
        <w:t xml:space="preserve">take this further suggesting </w:t>
      </w:r>
      <w:r w:rsidR="00BB633B" w:rsidRPr="00277721">
        <w:rPr>
          <w:rFonts w:ascii="Arial" w:hAnsi="Arial" w:cs="Arial"/>
        </w:rPr>
        <w:t>v</w:t>
      </w:r>
      <w:r w:rsidR="00F7371E" w:rsidRPr="00277721">
        <w:rPr>
          <w:rFonts w:ascii="Arial" w:hAnsi="Arial" w:cs="Arial"/>
        </w:rPr>
        <w:t xml:space="preserve">irtual reality and </w:t>
      </w:r>
      <w:r w:rsidR="00BB633B" w:rsidRPr="00277721">
        <w:rPr>
          <w:rFonts w:ascii="Arial" w:hAnsi="Arial" w:cs="Arial"/>
        </w:rPr>
        <w:t>virtual diving technologies</w:t>
      </w:r>
      <w:r w:rsidR="00FA4C5E" w:rsidRPr="00277721">
        <w:rPr>
          <w:rFonts w:ascii="Arial" w:hAnsi="Arial" w:cs="Arial"/>
        </w:rPr>
        <w:t xml:space="preserve"> to promote the region.</w:t>
      </w:r>
    </w:p>
    <w:p w14:paraId="164AFBCB" w14:textId="7BD3392D" w:rsidR="0088712E" w:rsidRPr="00277721" w:rsidRDefault="0088712E" w:rsidP="00570CE1">
      <w:pPr>
        <w:numPr>
          <w:ilvl w:val="0"/>
          <w:numId w:val="38"/>
        </w:numPr>
        <w:jc w:val="both"/>
        <w:rPr>
          <w:rFonts w:ascii="Arial" w:hAnsi="Arial" w:cs="Arial"/>
        </w:rPr>
      </w:pPr>
      <w:r w:rsidRPr="00277721">
        <w:rPr>
          <w:rFonts w:ascii="Arial" w:hAnsi="Arial" w:cs="Arial"/>
          <w:b/>
          <w:bCs/>
        </w:rPr>
        <w:t>Enhanced Security Measures</w:t>
      </w:r>
      <w:r w:rsidRPr="00277721">
        <w:rPr>
          <w:rFonts w:ascii="Arial" w:hAnsi="Arial" w:cs="Arial"/>
        </w:rPr>
        <w:t xml:space="preserve">: To reassure tourists and maintain business continuity, the hospitality industry has implemented enhanced security protocols. </w:t>
      </w:r>
      <w:r w:rsidR="00225F2C" w:rsidRPr="00277721">
        <w:rPr>
          <w:rFonts w:ascii="Arial" w:hAnsi="Arial" w:cs="Arial"/>
        </w:rPr>
        <w:t xml:space="preserve">Touni (2020) </w:t>
      </w:r>
      <w:r w:rsidR="00336890" w:rsidRPr="00277721">
        <w:rPr>
          <w:rFonts w:ascii="Arial" w:hAnsi="Arial" w:cs="Arial"/>
        </w:rPr>
        <w:t xml:space="preserve">has argued for the application of robots and other AI tools </w:t>
      </w:r>
      <w:r w:rsidR="00360996" w:rsidRPr="00277721">
        <w:rPr>
          <w:rFonts w:ascii="Arial" w:hAnsi="Arial" w:cs="Arial"/>
        </w:rPr>
        <w:t>at resorts in Egypt</w:t>
      </w:r>
      <w:r w:rsidRPr="00277721">
        <w:rPr>
          <w:rFonts w:ascii="Arial" w:hAnsi="Arial" w:cs="Arial"/>
        </w:rPr>
        <w:t xml:space="preserve"> to ensure visitor safety and build confidence.</w:t>
      </w:r>
    </w:p>
    <w:p w14:paraId="55AA4E25" w14:textId="7250E973" w:rsidR="0088712E" w:rsidRPr="00277721" w:rsidRDefault="0088712E" w:rsidP="00570CE1">
      <w:pPr>
        <w:numPr>
          <w:ilvl w:val="0"/>
          <w:numId w:val="38"/>
        </w:numPr>
        <w:jc w:val="both"/>
        <w:rPr>
          <w:rFonts w:ascii="Arial" w:hAnsi="Arial" w:cs="Arial"/>
        </w:rPr>
      </w:pPr>
      <w:r w:rsidRPr="00277721">
        <w:rPr>
          <w:rFonts w:ascii="Arial" w:hAnsi="Arial" w:cs="Arial"/>
          <w:b/>
          <w:bCs/>
        </w:rPr>
        <w:t>Collaborative Approaches</w:t>
      </w:r>
      <w:r w:rsidRPr="00277721">
        <w:rPr>
          <w:rFonts w:ascii="Arial" w:hAnsi="Arial" w:cs="Arial"/>
        </w:rPr>
        <w:t>: Collaboration between industry stakeholders and government agencies is essential for effective crisis management and recovery. The Red Sea region has seen initiatives like the Red Sea Marine Peace Park, which advocates for integrated approaches involving public-private partnerships (Portman, 2007</w:t>
      </w:r>
      <w:r w:rsidR="00F7267D" w:rsidRPr="00277721">
        <w:rPr>
          <w:rFonts w:ascii="Arial" w:hAnsi="Arial" w:cs="Arial"/>
        </w:rPr>
        <w:t>b</w:t>
      </w:r>
      <w:r w:rsidRPr="00277721">
        <w:rPr>
          <w:rFonts w:ascii="Arial" w:hAnsi="Arial" w:cs="Arial"/>
        </w:rPr>
        <w:t>). These collaborations facilitate coordinated marketing campaigns and infrastructure investments, supporting the hospitality sector during geopolitical disruptions.</w:t>
      </w:r>
    </w:p>
    <w:p w14:paraId="0184D283" w14:textId="782303AD" w:rsidR="0088712E" w:rsidRPr="00277721" w:rsidRDefault="0088712E" w:rsidP="00570CE1">
      <w:pPr>
        <w:numPr>
          <w:ilvl w:val="0"/>
          <w:numId w:val="38"/>
        </w:numPr>
        <w:jc w:val="both"/>
        <w:rPr>
          <w:rFonts w:ascii="Arial" w:hAnsi="Arial" w:cs="Arial"/>
        </w:rPr>
      </w:pPr>
      <w:r w:rsidRPr="00277721">
        <w:rPr>
          <w:rFonts w:ascii="Arial" w:hAnsi="Arial" w:cs="Arial"/>
          <w:b/>
          <w:bCs/>
        </w:rPr>
        <w:t>Policy and Diplomatic Efforts</w:t>
      </w:r>
      <w:r w:rsidRPr="00277721">
        <w:rPr>
          <w:rFonts w:ascii="Arial" w:hAnsi="Arial" w:cs="Arial"/>
        </w:rPr>
        <w:t>: Proactive foreign policy and diplomatic efforts can help stabilize regions and create favorable conditions for tourism development. Ribe (2023</w:t>
      </w:r>
      <w:r w:rsidR="0066331F" w:rsidRPr="00277721">
        <w:rPr>
          <w:rFonts w:ascii="Arial" w:hAnsi="Arial" w:cs="Arial"/>
        </w:rPr>
        <w:t>b</w:t>
      </w:r>
      <w:r w:rsidRPr="00277721">
        <w:rPr>
          <w:rFonts w:ascii="Arial" w:hAnsi="Arial" w:cs="Arial"/>
        </w:rPr>
        <w:t xml:space="preserve">) argues that international cooperation and conflict resolution are vital for ensuring long-term stability in the hospitality industry. The Red Sea region has benefited from recent diplomatic efforts, such as the </w:t>
      </w:r>
      <w:r w:rsidRPr="00277721">
        <w:rPr>
          <w:rFonts w:ascii="Arial" w:hAnsi="Arial" w:cs="Arial"/>
        </w:rPr>
        <w:lastRenderedPageBreak/>
        <w:t>Abraham Accords,</w:t>
      </w:r>
      <w:r w:rsidR="009560FD" w:rsidRPr="00277721">
        <w:rPr>
          <w:rFonts w:ascii="Arial" w:hAnsi="Arial" w:cs="Arial"/>
        </w:rPr>
        <w:t xml:space="preserve"> (2020)</w:t>
      </w:r>
      <w:r w:rsidR="00235DE7" w:rsidRPr="00277721">
        <w:rPr>
          <w:rFonts w:ascii="Arial" w:hAnsi="Arial" w:cs="Arial"/>
        </w:rPr>
        <w:t xml:space="preserve"> </w:t>
      </w:r>
      <w:r w:rsidRPr="00277721">
        <w:rPr>
          <w:rFonts w:ascii="Arial" w:hAnsi="Arial" w:cs="Arial"/>
        </w:rPr>
        <w:t>which have improved regional relations and facilitated tourism growth.</w:t>
      </w:r>
    </w:p>
    <w:p w14:paraId="4535908C" w14:textId="4D986096" w:rsidR="00C10633" w:rsidRPr="00277721" w:rsidRDefault="00971FBF" w:rsidP="00570CE1">
      <w:pPr>
        <w:jc w:val="both"/>
        <w:rPr>
          <w:rFonts w:ascii="Arial" w:hAnsi="Arial" w:cs="Arial"/>
          <w:b/>
          <w:bCs/>
        </w:rPr>
      </w:pPr>
      <w:r w:rsidRPr="00277721">
        <w:rPr>
          <w:rFonts w:ascii="Arial" w:hAnsi="Arial" w:cs="Arial"/>
          <w:b/>
          <w:bCs/>
        </w:rPr>
        <w:t>Conclusion</w:t>
      </w:r>
      <w:r w:rsidR="00C10633" w:rsidRPr="00277721">
        <w:rPr>
          <w:rFonts w:ascii="Arial" w:hAnsi="Arial" w:cs="Arial"/>
          <w:b/>
          <w:bCs/>
        </w:rPr>
        <w:t xml:space="preserve"> </w:t>
      </w:r>
    </w:p>
    <w:p w14:paraId="13C5D76E" w14:textId="69BE4916" w:rsidR="00C10633" w:rsidRPr="00277721" w:rsidRDefault="00C10633" w:rsidP="00570CE1">
      <w:pPr>
        <w:ind w:left="720"/>
        <w:jc w:val="both"/>
      </w:pPr>
      <w:r w:rsidRPr="00277721">
        <w:t>The research demonstrates that geopolitical factors have become increasingly critical for the hospitality industry's success and sustainability. The sector's vulnerability to political tensions requires proactive management and strategic adaptation. While challenges are significant, companies that successfully navigate the geopolitical landscape can find opportunities for growth and competitive advantage.</w:t>
      </w:r>
    </w:p>
    <w:p w14:paraId="659FFCA3" w14:textId="27E65AB3" w:rsidR="0073746E" w:rsidRPr="00277721" w:rsidRDefault="0073746E" w:rsidP="00570CE1">
      <w:pPr>
        <w:jc w:val="both"/>
        <w:rPr>
          <w:rFonts w:ascii="Arial" w:hAnsi="Arial" w:cs="Arial"/>
        </w:rPr>
      </w:pPr>
    </w:p>
    <w:p w14:paraId="0BE1CC39" w14:textId="77777777" w:rsidR="00CF0FC1" w:rsidRPr="00277721" w:rsidRDefault="00CF0FC1" w:rsidP="00570CE1">
      <w:pPr>
        <w:jc w:val="both"/>
        <w:rPr>
          <w:rFonts w:ascii="Arial" w:hAnsi="Arial" w:cs="Arial"/>
          <w:b/>
          <w:bCs/>
        </w:rPr>
      </w:pPr>
      <w:r w:rsidRPr="00277721">
        <w:rPr>
          <w:rFonts w:ascii="Arial" w:hAnsi="Arial" w:cs="Arial"/>
          <w:b/>
          <w:bCs/>
        </w:rPr>
        <w:t>Recommendations:</w:t>
      </w:r>
    </w:p>
    <w:p w14:paraId="5F70965E" w14:textId="77777777" w:rsidR="00C64AD2" w:rsidRPr="00C64AD2" w:rsidRDefault="00C64AD2" w:rsidP="00570CE1">
      <w:pPr>
        <w:numPr>
          <w:ilvl w:val="0"/>
          <w:numId w:val="40"/>
        </w:numPr>
        <w:jc w:val="both"/>
        <w:rPr>
          <w:rFonts w:ascii="Arial" w:hAnsi="Arial" w:cs="Arial"/>
        </w:rPr>
      </w:pPr>
      <w:r w:rsidRPr="00C64AD2">
        <w:rPr>
          <w:rFonts w:ascii="Arial" w:hAnsi="Arial" w:cs="Arial"/>
        </w:rPr>
        <w:t>Invest in Digital Infrastructure: Hospitality businesses should enhance their digital marketing strategies and online presence to attract a broader audience.</w:t>
      </w:r>
    </w:p>
    <w:p w14:paraId="7D458BBB" w14:textId="77777777" w:rsidR="00C64AD2" w:rsidRPr="00C64AD2" w:rsidRDefault="00C64AD2" w:rsidP="00570CE1">
      <w:pPr>
        <w:numPr>
          <w:ilvl w:val="0"/>
          <w:numId w:val="40"/>
        </w:numPr>
        <w:jc w:val="both"/>
        <w:rPr>
          <w:rFonts w:ascii="Arial" w:hAnsi="Arial" w:cs="Arial"/>
        </w:rPr>
      </w:pPr>
      <w:r w:rsidRPr="00C64AD2">
        <w:rPr>
          <w:rFonts w:ascii="Arial" w:hAnsi="Arial" w:cs="Arial"/>
        </w:rPr>
        <w:t>Strengthen Security Protocols: Continued investment in security measures will help build tourist confidence.</w:t>
      </w:r>
    </w:p>
    <w:p w14:paraId="700E813D" w14:textId="77777777" w:rsidR="00C64AD2" w:rsidRPr="00C64AD2" w:rsidRDefault="00C64AD2" w:rsidP="00570CE1">
      <w:pPr>
        <w:numPr>
          <w:ilvl w:val="0"/>
          <w:numId w:val="40"/>
        </w:numPr>
        <w:jc w:val="both"/>
        <w:rPr>
          <w:rFonts w:ascii="Arial" w:hAnsi="Arial" w:cs="Arial"/>
        </w:rPr>
      </w:pPr>
      <w:r w:rsidRPr="00C64AD2">
        <w:rPr>
          <w:rFonts w:ascii="Arial" w:hAnsi="Arial" w:cs="Arial"/>
        </w:rPr>
        <w:t>Foster Regional Collaboration: Stakeholders should engage in collaborative efforts to develop comprehensive response strategies to geopolitical shocks.</w:t>
      </w:r>
    </w:p>
    <w:p w14:paraId="7780E82F" w14:textId="77777777" w:rsidR="00C64AD2" w:rsidRPr="00C64AD2" w:rsidRDefault="00C64AD2" w:rsidP="00570CE1">
      <w:pPr>
        <w:numPr>
          <w:ilvl w:val="0"/>
          <w:numId w:val="40"/>
        </w:numPr>
        <w:jc w:val="both"/>
        <w:rPr>
          <w:rFonts w:ascii="Arial" w:hAnsi="Arial" w:cs="Arial"/>
        </w:rPr>
      </w:pPr>
      <w:r w:rsidRPr="00C64AD2">
        <w:rPr>
          <w:rFonts w:ascii="Arial" w:hAnsi="Arial" w:cs="Arial"/>
        </w:rPr>
        <w:t>Monitor Geopolitical Developments: Ongoing analysis of geopolitical dynamics is essential for adapting strategies in real-time</w:t>
      </w:r>
    </w:p>
    <w:p w14:paraId="7892AA4B" w14:textId="77777777" w:rsidR="0073746E" w:rsidRPr="00277721" w:rsidRDefault="0073746E" w:rsidP="0088712E">
      <w:pPr>
        <w:rPr>
          <w:rFonts w:ascii="Arial" w:hAnsi="Arial" w:cs="Arial"/>
          <w:b/>
          <w:bCs/>
        </w:rPr>
      </w:pPr>
    </w:p>
    <w:p w14:paraId="1FFB6E48" w14:textId="77777777" w:rsidR="000C67FE" w:rsidRPr="00277721" w:rsidRDefault="000C67FE" w:rsidP="00540F75">
      <w:pPr>
        <w:rPr>
          <w:rFonts w:ascii="Arial" w:hAnsi="Arial" w:cs="Arial"/>
        </w:rPr>
      </w:pPr>
    </w:p>
    <w:p w14:paraId="1B2517B1" w14:textId="77777777" w:rsidR="00E175A7" w:rsidRPr="00277721" w:rsidRDefault="00E175A7" w:rsidP="00540F75">
      <w:pPr>
        <w:rPr>
          <w:rFonts w:ascii="Arial" w:hAnsi="Arial" w:cs="Arial"/>
        </w:rPr>
      </w:pPr>
    </w:p>
    <w:p w14:paraId="29392297" w14:textId="77777777" w:rsidR="00E175A7" w:rsidRPr="00277721" w:rsidRDefault="00E175A7" w:rsidP="00540F75">
      <w:pPr>
        <w:rPr>
          <w:rFonts w:ascii="Arial" w:hAnsi="Arial" w:cs="Arial"/>
        </w:rPr>
      </w:pPr>
    </w:p>
    <w:p w14:paraId="24CC05F6" w14:textId="77777777" w:rsidR="00E175A7" w:rsidRPr="00277721" w:rsidRDefault="00E175A7" w:rsidP="00540F75">
      <w:pPr>
        <w:rPr>
          <w:rFonts w:ascii="Arial" w:hAnsi="Arial" w:cs="Arial"/>
        </w:rPr>
      </w:pPr>
    </w:p>
    <w:p w14:paraId="1669AD67" w14:textId="77777777" w:rsidR="00E175A7" w:rsidRPr="00277721" w:rsidRDefault="00E175A7" w:rsidP="00540F75">
      <w:pPr>
        <w:rPr>
          <w:rFonts w:ascii="Arial" w:hAnsi="Arial" w:cs="Arial"/>
        </w:rPr>
      </w:pPr>
    </w:p>
    <w:p w14:paraId="5350446A" w14:textId="77777777" w:rsidR="00E175A7" w:rsidRPr="00277721" w:rsidRDefault="00E175A7" w:rsidP="00540F75">
      <w:pPr>
        <w:rPr>
          <w:rFonts w:ascii="Arial" w:hAnsi="Arial" w:cs="Arial"/>
        </w:rPr>
      </w:pPr>
    </w:p>
    <w:p w14:paraId="1FA363E7" w14:textId="77777777" w:rsidR="00E175A7" w:rsidRPr="00277721" w:rsidRDefault="00E175A7" w:rsidP="00540F75">
      <w:pPr>
        <w:rPr>
          <w:rFonts w:ascii="Arial" w:hAnsi="Arial" w:cs="Arial"/>
        </w:rPr>
      </w:pPr>
    </w:p>
    <w:p w14:paraId="774A7C60" w14:textId="77777777" w:rsidR="00112065" w:rsidRPr="00277721" w:rsidRDefault="00112065" w:rsidP="00540F75">
      <w:pPr>
        <w:rPr>
          <w:rFonts w:ascii="Arial" w:hAnsi="Arial" w:cs="Arial"/>
        </w:rPr>
      </w:pPr>
    </w:p>
    <w:p w14:paraId="2BF08FBA" w14:textId="77777777" w:rsidR="00112065" w:rsidRPr="00277721" w:rsidRDefault="00112065" w:rsidP="00540F75">
      <w:pPr>
        <w:rPr>
          <w:rFonts w:ascii="Arial" w:hAnsi="Arial" w:cs="Arial"/>
        </w:rPr>
      </w:pPr>
    </w:p>
    <w:p w14:paraId="4BD46C37" w14:textId="77777777" w:rsidR="00112065" w:rsidRPr="00277721" w:rsidRDefault="00112065" w:rsidP="00540F75">
      <w:pPr>
        <w:rPr>
          <w:rFonts w:ascii="Arial" w:hAnsi="Arial" w:cs="Arial"/>
        </w:rPr>
      </w:pPr>
    </w:p>
    <w:p w14:paraId="08004BB8" w14:textId="77777777" w:rsidR="00112065" w:rsidRPr="00277721" w:rsidRDefault="00112065" w:rsidP="00540F75">
      <w:pPr>
        <w:rPr>
          <w:rFonts w:ascii="Arial" w:hAnsi="Arial" w:cs="Arial"/>
        </w:rPr>
      </w:pPr>
    </w:p>
    <w:p w14:paraId="68032919" w14:textId="77777777" w:rsidR="00112065" w:rsidRPr="00277721" w:rsidRDefault="00112065" w:rsidP="00540F75">
      <w:pPr>
        <w:rPr>
          <w:rFonts w:ascii="Arial" w:hAnsi="Arial" w:cs="Arial"/>
        </w:rPr>
      </w:pPr>
    </w:p>
    <w:p w14:paraId="5AB422AF" w14:textId="77777777" w:rsidR="00E175A7" w:rsidRPr="00277721" w:rsidRDefault="00E175A7" w:rsidP="00540F75">
      <w:pPr>
        <w:rPr>
          <w:rFonts w:ascii="Arial" w:hAnsi="Arial" w:cs="Arial"/>
        </w:rPr>
      </w:pPr>
    </w:p>
    <w:p w14:paraId="581C4801" w14:textId="77777777" w:rsidR="00E175A7" w:rsidRPr="00277721" w:rsidRDefault="00E175A7" w:rsidP="00540F75">
      <w:pPr>
        <w:rPr>
          <w:rFonts w:ascii="Arial" w:hAnsi="Arial" w:cs="Arial"/>
        </w:rPr>
      </w:pPr>
    </w:p>
    <w:p w14:paraId="30AC3A62" w14:textId="500342BA" w:rsidR="00602798" w:rsidRPr="00277721" w:rsidRDefault="00602798" w:rsidP="00540F75">
      <w:pPr>
        <w:rPr>
          <w:rFonts w:ascii="Arial" w:hAnsi="Arial" w:cs="Arial"/>
        </w:rPr>
      </w:pPr>
      <w:r w:rsidRPr="00277721">
        <w:rPr>
          <w:rFonts w:ascii="Arial" w:hAnsi="Arial" w:cs="Arial"/>
        </w:rPr>
        <w:t>REFERENCES:</w:t>
      </w:r>
    </w:p>
    <w:p w14:paraId="430DC3A5" w14:textId="77777777" w:rsidR="000C67FE" w:rsidRPr="00277721" w:rsidRDefault="000C67FE" w:rsidP="00540F75">
      <w:pPr>
        <w:rPr>
          <w:rFonts w:ascii="Arial" w:hAnsi="Arial" w:cs="Arial"/>
        </w:rPr>
      </w:pPr>
    </w:p>
    <w:p w14:paraId="1A6632D2" w14:textId="77777777" w:rsidR="002D6E53" w:rsidRPr="00277721" w:rsidRDefault="002D6E53" w:rsidP="002D6E53">
      <w:pPr>
        <w:rPr>
          <w:rFonts w:ascii="Arial" w:hAnsi="Arial" w:cs="Arial"/>
        </w:rPr>
      </w:pPr>
    </w:p>
    <w:p w14:paraId="1F4D7B8A" w14:textId="77777777" w:rsidR="003D5093" w:rsidRPr="00277721" w:rsidRDefault="003D5093" w:rsidP="00DA7641">
      <w:pPr>
        <w:pStyle w:val="ListParagraph"/>
        <w:numPr>
          <w:ilvl w:val="1"/>
          <w:numId w:val="27"/>
        </w:numPr>
        <w:jc w:val="both"/>
        <w:rPr>
          <w:rFonts w:ascii="Arial" w:hAnsi="Arial" w:cs="Arial"/>
        </w:rPr>
      </w:pPr>
      <w:r w:rsidRPr="00277721">
        <w:rPr>
          <w:rFonts w:ascii="Arial" w:hAnsi="Arial" w:cs="Arial"/>
        </w:rPr>
        <w:t>Abdel Rady, H.A.W. and Ahmed, N.K., 2024. The Role of Digital Marketing in Enhancing the Mental Image of Diving Trips on the Red Sea Coast. </w:t>
      </w:r>
      <w:r w:rsidRPr="00277721">
        <w:rPr>
          <w:rFonts w:ascii="Arial" w:hAnsi="Arial" w:cs="Arial"/>
          <w:i/>
          <w:iCs/>
        </w:rPr>
        <w:t>Minia Journal of Tourism and Hospitality Research MJTHR</w:t>
      </w:r>
      <w:r w:rsidRPr="00277721">
        <w:rPr>
          <w:rFonts w:ascii="Arial" w:hAnsi="Arial" w:cs="Arial"/>
        </w:rPr>
        <w:t>, </w:t>
      </w:r>
      <w:r w:rsidRPr="00277721">
        <w:rPr>
          <w:rFonts w:ascii="Arial" w:hAnsi="Arial" w:cs="Arial"/>
          <w:i/>
          <w:iCs/>
        </w:rPr>
        <w:t>18</w:t>
      </w:r>
      <w:r w:rsidRPr="00277721">
        <w:rPr>
          <w:rFonts w:ascii="Arial" w:hAnsi="Arial" w:cs="Arial"/>
        </w:rPr>
        <w:t xml:space="preserve">(1), pp.134-157. Available at: </w:t>
      </w:r>
      <w:hyperlink r:id="rId5" w:history="1">
        <w:r w:rsidRPr="00277721">
          <w:rPr>
            <w:rStyle w:val="Hyperlink"/>
            <w:rFonts w:ascii="Arial" w:hAnsi="Arial" w:cs="Arial"/>
            <w:color w:val="auto"/>
          </w:rPr>
          <w:t>https://journals.ekb.eg/article_366921.html</w:t>
        </w:r>
      </w:hyperlink>
      <w:r w:rsidRPr="00277721">
        <w:rPr>
          <w:rFonts w:ascii="Arial" w:hAnsi="Arial" w:cs="Arial"/>
        </w:rPr>
        <w:t xml:space="preserve"> Accessed: 7</w:t>
      </w:r>
      <w:r w:rsidRPr="00277721">
        <w:rPr>
          <w:rFonts w:ascii="Arial" w:hAnsi="Arial" w:cs="Arial"/>
          <w:vertAlign w:val="superscript"/>
        </w:rPr>
        <w:t>th</w:t>
      </w:r>
      <w:r w:rsidRPr="00277721">
        <w:rPr>
          <w:rFonts w:ascii="Arial" w:hAnsi="Arial" w:cs="Arial"/>
        </w:rPr>
        <w:t xml:space="preserve"> February 2025</w:t>
      </w:r>
    </w:p>
    <w:p w14:paraId="2C6E2E23" w14:textId="77777777" w:rsidR="003D5093" w:rsidRPr="00277721" w:rsidRDefault="003D5093" w:rsidP="00DA7641">
      <w:pPr>
        <w:pStyle w:val="ListParagraph"/>
        <w:numPr>
          <w:ilvl w:val="1"/>
          <w:numId w:val="27"/>
        </w:numPr>
        <w:jc w:val="both"/>
        <w:rPr>
          <w:rFonts w:ascii="Arial" w:hAnsi="Arial" w:cs="Arial"/>
        </w:rPr>
      </w:pPr>
      <w:r w:rsidRPr="00277721">
        <w:rPr>
          <w:rFonts w:ascii="Arial" w:hAnsi="Arial" w:cs="Arial"/>
        </w:rPr>
        <w:t xml:space="preserve">Abraham Accords (2020) US Department of State Available at </w:t>
      </w:r>
      <w:hyperlink r:id="rId6" w:history="1">
        <w:r w:rsidRPr="00277721">
          <w:rPr>
            <w:rStyle w:val="Hyperlink"/>
            <w:rFonts w:ascii="Arial" w:hAnsi="Arial" w:cs="Arial"/>
            <w:color w:val="auto"/>
          </w:rPr>
          <w:t>https://www.state.gov/the-abraham-accords</w:t>
        </w:r>
      </w:hyperlink>
      <w:r w:rsidRPr="00277721">
        <w:rPr>
          <w:rFonts w:ascii="Arial" w:hAnsi="Arial" w:cs="Arial"/>
        </w:rPr>
        <w:t xml:space="preserve"> Accessed: 7</w:t>
      </w:r>
      <w:r w:rsidRPr="00277721">
        <w:rPr>
          <w:rFonts w:ascii="Arial" w:hAnsi="Arial" w:cs="Arial"/>
          <w:vertAlign w:val="superscript"/>
        </w:rPr>
        <w:t>th</w:t>
      </w:r>
      <w:r w:rsidRPr="00277721">
        <w:rPr>
          <w:rFonts w:ascii="Arial" w:hAnsi="Arial" w:cs="Arial"/>
        </w:rPr>
        <w:t xml:space="preserve"> February 2025</w:t>
      </w:r>
    </w:p>
    <w:p w14:paraId="714CB969" w14:textId="77777777" w:rsidR="003D5093" w:rsidRPr="00277721" w:rsidRDefault="003D5093" w:rsidP="00DA7641">
      <w:pPr>
        <w:pStyle w:val="ListParagraph"/>
        <w:numPr>
          <w:ilvl w:val="1"/>
          <w:numId w:val="27"/>
        </w:numPr>
        <w:jc w:val="both"/>
        <w:rPr>
          <w:rFonts w:ascii="Arial" w:hAnsi="Arial" w:cs="Arial"/>
        </w:rPr>
      </w:pPr>
      <w:r w:rsidRPr="00277721">
        <w:rPr>
          <w:rFonts w:ascii="Arial" w:hAnsi="Arial" w:cs="Arial"/>
        </w:rPr>
        <w:t xml:space="preserve">Al-Jazeera (2024) </w:t>
      </w:r>
      <w:r w:rsidRPr="00277721">
        <w:rPr>
          <w:rFonts w:ascii="Arial" w:hAnsi="Arial" w:cs="Arial"/>
          <w:i/>
          <w:iCs/>
        </w:rPr>
        <w:t>How Israel’s war on Gaza is bleeding Egypt’s economy[blog] 24</w:t>
      </w:r>
      <w:r w:rsidRPr="00277721">
        <w:rPr>
          <w:rFonts w:ascii="Arial" w:hAnsi="Arial" w:cs="Arial"/>
          <w:i/>
          <w:iCs/>
          <w:vertAlign w:val="superscript"/>
        </w:rPr>
        <w:t>th</w:t>
      </w:r>
      <w:r w:rsidRPr="00277721">
        <w:rPr>
          <w:rFonts w:ascii="Arial" w:hAnsi="Arial" w:cs="Arial"/>
          <w:i/>
          <w:iCs/>
        </w:rPr>
        <w:t xml:space="preserve"> February. </w:t>
      </w:r>
      <w:r w:rsidRPr="00277721">
        <w:rPr>
          <w:rFonts w:ascii="Arial" w:hAnsi="Arial" w:cs="Arial"/>
        </w:rPr>
        <w:t>Available at:</w:t>
      </w:r>
      <w:r w:rsidRPr="00277721">
        <w:rPr>
          <w:rFonts w:ascii="Arial" w:hAnsi="Arial" w:cs="Arial"/>
          <w:i/>
          <w:iCs/>
        </w:rPr>
        <w:t xml:space="preserve"> </w:t>
      </w:r>
      <w:hyperlink r:id="rId7" w:history="1">
        <w:r w:rsidRPr="00277721">
          <w:rPr>
            <w:rStyle w:val="Hyperlink"/>
            <w:rFonts w:ascii="Arial" w:hAnsi="Arial" w:cs="Arial"/>
            <w:color w:val="auto"/>
          </w:rPr>
          <w:t>https://www.aljazeera.com/news/2024/2/24/how-israels-war-on-gaza-is-bleeding-egypts-economy</w:t>
        </w:r>
      </w:hyperlink>
      <w:r w:rsidRPr="00277721">
        <w:rPr>
          <w:rFonts w:ascii="Arial" w:hAnsi="Arial" w:cs="Arial"/>
        </w:rPr>
        <w:t>.  Accessed: 7</w:t>
      </w:r>
      <w:r w:rsidRPr="00277721">
        <w:rPr>
          <w:rFonts w:ascii="Arial" w:hAnsi="Arial" w:cs="Arial"/>
          <w:vertAlign w:val="superscript"/>
        </w:rPr>
        <w:t>th</w:t>
      </w:r>
      <w:r w:rsidRPr="00277721">
        <w:rPr>
          <w:rFonts w:ascii="Arial" w:hAnsi="Arial" w:cs="Arial"/>
        </w:rPr>
        <w:t xml:space="preserve"> February 2025</w:t>
      </w:r>
    </w:p>
    <w:p w14:paraId="10ADB14B" w14:textId="61DB77A8" w:rsidR="008E6B49" w:rsidRPr="00277721" w:rsidRDefault="008E6B49" w:rsidP="00DA7641">
      <w:pPr>
        <w:pStyle w:val="ListParagraph"/>
        <w:numPr>
          <w:ilvl w:val="1"/>
          <w:numId w:val="27"/>
        </w:numPr>
        <w:jc w:val="both"/>
        <w:rPr>
          <w:rFonts w:ascii="Arial" w:hAnsi="Arial" w:cs="Arial"/>
        </w:rPr>
      </w:pPr>
      <w:r w:rsidRPr="00277721">
        <w:rPr>
          <w:rFonts w:ascii="Arial" w:hAnsi="Arial" w:cs="Arial"/>
        </w:rPr>
        <w:t>Bianchi, Raoul V. (2020a) "Covid-19 and the radical transformation of tourism." </w:t>
      </w:r>
      <w:r w:rsidRPr="00277721">
        <w:rPr>
          <w:rFonts w:ascii="Arial" w:hAnsi="Arial" w:cs="Arial"/>
          <w:i/>
          <w:iCs/>
        </w:rPr>
        <w:t>ATLAS Tourism and Leisure Review</w:t>
      </w:r>
      <w:r w:rsidRPr="00277721">
        <w:rPr>
          <w:rFonts w:ascii="Arial" w:hAnsi="Arial" w:cs="Arial"/>
        </w:rPr>
        <w:t> 2 (2020): 1-8.</w:t>
      </w:r>
    </w:p>
    <w:p w14:paraId="34AD8352" w14:textId="77777777" w:rsidR="00CE697A" w:rsidRPr="00277721" w:rsidRDefault="003D5093" w:rsidP="00DA7641">
      <w:pPr>
        <w:pStyle w:val="ListParagraph"/>
        <w:numPr>
          <w:ilvl w:val="1"/>
          <w:numId w:val="27"/>
        </w:numPr>
        <w:jc w:val="both"/>
        <w:rPr>
          <w:rFonts w:ascii="Arial" w:hAnsi="Arial" w:cs="Arial"/>
        </w:rPr>
      </w:pPr>
      <w:r w:rsidRPr="00277721">
        <w:rPr>
          <w:rFonts w:ascii="Arial" w:hAnsi="Arial" w:cs="Arial"/>
        </w:rPr>
        <w:t>Bianchi, Raoul V. (2020b) "Covid-19 and the radical transformation of tourism." </w:t>
      </w:r>
      <w:r w:rsidRPr="00277721">
        <w:rPr>
          <w:rFonts w:ascii="Arial" w:hAnsi="Arial" w:cs="Arial"/>
          <w:i/>
          <w:iCs/>
        </w:rPr>
        <w:t>ATLAS Tourism and Leisure Review</w:t>
      </w:r>
      <w:r w:rsidRPr="00277721">
        <w:rPr>
          <w:rFonts w:ascii="Arial" w:hAnsi="Arial" w:cs="Arial"/>
        </w:rPr>
        <w:t> 2 (2020): 1-8.</w:t>
      </w:r>
      <w:r w:rsidR="00CE697A" w:rsidRPr="00277721">
        <w:rPr>
          <w:rFonts w:ascii="Arial" w:hAnsi="Arial" w:cs="Arial"/>
        </w:rPr>
        <w:t xml:space="preserve"> </w:t>
      </w:r>
    </w:p>
    <w:p w14:paraId="454A1036" w14:textId="31409DFA" w:rsidR="00CE697A" w:rsidRPr="00277721" w:rsidRDefault="00CE697A" w:rsidP="00DA7641">
      <w:pPr>
        <w:pStyle w:val="ListParagraph"/>
        <w:numPr>
          <w:ilvl w:val="1"/>
          <w:numId w:val="27"/>
        </w:numPr>
        <w:jc w:val="both"/>
        <w:rPr>
          <w:rFonts w:ascii="Arial" w:hAnsi="Arial" w:cs="Arial"/>
        </w:rPr>
      </w:pPr>
      <w:r w:rsidRPr="00277721">
        <w:rPr>
          <w:rFonts w:ascii="Arial" w:hAnsi="Arial" w:cs="Arial"/>
        </w:rPr>
        <w:t>France 24.com (2023) Regional tourism a casualty in Israel-Hamas conflict</w:t>
      </w:r>
      <w:r w:rsidR="00365964" w:rsidRPr="00277721">
        <w:rPr>
          <w:rFonts w:ascii="Arial" w:hAnsi="Arial" w:cs="Arial"/>
        </w:rPr>
        <w:t xml:space="preserve">. Available at: </w:t>
      </w:r>
      <w:hyperlink r:id="rId8" w:history="1">
        <w:r w:rsidR="002A3407" w:rsidRPr="00277721">
          <w:rPr>
            <w:rStyle w:val="Hyperlink"/>
            <w:rFonts w:ascii="Arial" w:hAnsi="Arial" w:cs="Arial"/>
            <w:color w:val="auto"/>
          </w:rPr>
          <w:t>https://www.france24.com/en/live-news/20231201-regional-tourism-a-casualty-in-israel-hamas-conflict</w:t>
        </w:r>
      </w:hyperlink>
      <w:r w:rsidR="002A3407" w:rsidRPr="00277721">
        <w:rPr>
          <w:rFonts w:ascii="Arial" w:hAnsi="Arial" w:cs="Arial"/>
        </w:rPr>
        <w:t xml:space="preserve"> Accessed: 7th February 2025</w:t>
      </w:r>
    </w:p>
    <w:p w14:paraId="04E74DEB" w14:textId="77777777" w:rsidR="00532C8A" w:rsidRPr="00277721" w:rsidRDefault="00532C8A" w:rsidP="00DA7641">
      <w:pPr>
        <w:pStyle w:val="ListParagraph"/>
        <w:numPr>
          <w:ilvl w:val="1"/>
          <w:numId w:val="27"/>
        </w:numPr>
        <w:jc w:val="both"/>
        <w:rPr>
          <w:rFonts w:ascii="Arial" w:hAnsi="Arial" w:cs="Arial"/>
        </w:rPr>
      </w:pPr>
      <w:r w:rsidRPr="00277721">
        <w:rPr>
          <w:rFonts w:ascii="Arial" w:hAnsi="Arial" w:cs="Arial"/>
        </w:rPr>
        <w:t xml:space="preserve">Gössling, S., Scott, D., &amp; Hall, C. M. (2021). </w:t>
      </w:r>
      <w:r w:rsidRPr="00277721">
        <w:rPr>
          <w:rFonts w:ascii="Arial" w:hAnsi="Arial" w:cs="Arial"/>
          <w:i/>
          <w:iCs/>
        </w:rPr>
        <w:t>Pandemics, Tourism and Global Change: A Rapid Assessment of COVID-19.</w:t>
      </w:r>
      <w:r w:rsidRPr="00277721">
        <w:rPr>
          <w:rFonts w:ascii="Arial" w:hAnsi="Arial" w:cs="Arial"/>
        </w:rPr>
        <w:t xml:space="preserve"> Journal of Sustainable Tourism, 29, 1-20.  Available at: </w:t>
      </w:r>
      <w:hyperlink r:id="rId9" w:history="1">
        <w:r w:rsidRPr="00277721">
          <w:rPr>
            <w:rStyle w:val="Hyperlink"/>
            <w:rFonts w:ascii="Arial" w:hAnsi="Arial" w:cs="Arial"/>
            <w:color w:val="auto"/>
          </w:rPr>
          <w:t>https://doi.org/10.1080/09669582.2020.1758708</w:t>
        </w:r>
      </w:hyperlink>
      <w:r w:rsidRPr="00277721">
        <w:rPr>
          <w:rFonts w:ascii="Arial" w:hAnsi="Arial" w:cs="Arial"/>
        </w:rPr>
        <w:t xml:space="preserve"> Accessed: 6</w:t>
      </w:r>
      <w:r w:rsidRPr="00277721">
        <w:rPr>
          <w:rFonts w:ascii="Arial" w:hAnsi="Arial" w:cs="Arial"/>
          <w:vertAlign w:val="superscript"/>
        </w:rPr>
        <w:t>th</w:t>
      </w:r>
      <w:r w:rsidRPr="00277721">
        <w:rPr>
          <w:rFonts w:ascii="Arial" w:hAnsi="Arial" w:cs="Arial"/>
        </w:rPr>
        <w:t xml:space="preserve"> February 2025</w:t>
      </w:r>
    </w:p>
    <w:p w14:paraId="7D92A743" w14:textId="5C768146" w:rsidR="009E1E8F" w:rsidRPr="00277721" w:rsidRDefault="00532C8A" w:rsidP="00DA7641">
      <w:pPr>
        <w:pStyle w:val="ListParagraph"/>
        <w:numPr>
          <w:ilvl w:val="1"/>
          <w:numId w:val="27"/>
        </w:numPr>
        <w:jc w:val="both"/>
        <w:rPr>
          <w:rFonts w:ascii="Arial" w:hAnsi="Arial" w:cs="Arial"/>
        </w:rPr>
      </w:pPr>
      <w:r w:rsidRPr="00277721">
        <w:rPr>
          <w:rFonts w:ascii="Arial" w:hAnsi="Arial" w:cs="Arial"/>
        </w:rPr>
        <w:t>Hall, Duval and Timothy (2004</w:t>
      </w:r>
      <w:r w:rsidR="009E1E8F" w:rsidRPr="00277721">
        <w:rPr>
          <w:rFonts w:ascii="Arial" w:hAnsi="Arial" w:cs="Arial"/>
        </w:rPr>
        <w:t>a</w:t>
      </w:r>
      <w:r w:rsidRPr="00277721">
        <w:rPr>
          <w:rFonts w:ascii="Arial" w:hAnsi="Arial" w:cs="Arial"/>
        </w:rPr>
        <w:t xml:space="preserve">) </w:t>
      </w:r>
      <w:r w:rsidRPr="00277721">
        <w:rPr>
          <w:rFonts w:ascii="Arial" w:hAnsi="Arial" w:cs="Arial"/>
          <w:i/>
          <w:iCs/>
        </w:rPr>
        <w:t>Safety and Security in Tourism: Relationships, Management and Marketing</w:t>
      </w:r>
      <w:r w:rsidRPr="00277721">
        <w:rPr>
          <w:rFonts w:ascii="Arial" w:hAnsi="Arial" w:cs="Arial"/>
        </w:rPr>
        <w:t>. Haworth Press, New York. 349pp, ISBN 0-7890-1916-7 (Hbk) 0-7890-1917-</w:t>
      </w:r>
      <w:r w:rsidR="00AA6594" w:rsidRPr="00277721">
        <w:rPr>
          <w:rFonts w:ascii="Arial" w:hAnsi="Arial" w:cs="Arial"/>
        </w:rPr>
        <w:t xml:space="preserve"> </w:t>
      </w:r>
    </w:p>
    <w:p w14:paraId="2DB5E25E" w14:textId="77777777" w:rsidR="007D5BF2" w:rsidRPr="00277721" w:rsidRDefault="00AA6594" w:rsidP="00DA7641">
      <w:pPr>
        <w:pStyle w:val="ListParagraph"/>
        <w:numPr>
          <w:ilvl w:val="1"/>
          <w:numId w:val="27"/>
        </w:numPr>
        <w:jc w:val="both"/>
        <w:rPr>
          <w:rFonts w:ascii="Arial" w:hAnsi="Arial" w:cs="Arial"/>
        </w:rPr>
      </w:pPr>
      <w:r w:rsidRPr="00277721">
        <w:rPr>
          <w:rFonts w:ascii="Arial" w:hAnsi="Arial" w:cs="Arial"/>
        </w:rPr>
        <w:t>Hall, Duval and Timothy (2004</w:t>
      </w:r>
      <w:r w:rsidR="009E1E8F" w:rsidRPr="00277721">
        <w:rPr>
          <w:rFonts w:ascii="Arial" w:hAnsi="Arial" w:cs="Arial"/>
        </w:rPr>
        <w:t>b</w:t>
      </w:r>
      <w:r w:rsidRPr="00277721">
        <w:rPr>
          <w:rFonts w:ascii="Arial" w:hAnsi="Arial" w:cs="Arial"/>
        </w:rPr>
        <w:t xml:space="preserve">) </w:t>
      </w:r>
      <w:r w:rsidRPr="00277721">
        <w:rPr>
          <w:rFonts w:ascii="Arial" w:hAnsi="Arial" w:cs="Arial"/>
          <w:i/>
          <w:iCs/>
        </w:rPr>
        <w:t>Safety and Security in Tourism: Relationships, Management and Marketing</w:t>
      </w:r>
      <w:r w:rsidRPr="00277721">
        <w:rPr>
          <w:rFonts w:ascii="Arial" w:hAnsi="Arial" w:cs="Arial"/>
        </w:rPr>
        <w:t>. Haworth Press, New York. 349pp, ISBN 0-7890-1916-7 (Hbk) 0-7890-1917-</w:t>
      </w:r>
      <w:r w:rsidR="007D5BF2" w:rsidRPr="00277721">
        <w:rPr>
          <w:rFonts w:ascii="Arial" w:hAnsi="Arial" w:cs="Arial"/>
        </w:rPr>
        <w:t xml:space="preserve"> </w:t>
      </w:r>
    </w:p>
    <w:p w14:paraId="5864A413" w14:textId="067410D1" w:rsidR="007D5BF2" w:rsidRPr="00277721" w:rsidRDefault="007D5BF2" w:rsidP="00DA7641">
      <w:pPr>
        <w:pStyle w:val="ListParagraph"/>
        <w:numPr>
          <w:ilvl w:val="1"/>
          <w:numId w:val="27"/>
        </w:numPr>
        <w:jc w:val="both"/>
        <w:rPr>
          <w:rFonts w:ascii="Arial" w:hAnsi="Arial" w:cs="Arial"/>
        </w:rPr>
      </w:pPr>
      <w:r w:rsidRPr="00277721">
        <w:rPr>
          <w:rFonts w:ascii="Arial" w:hAnsi="Arial" w:cs="Arial"/>
        </w:rPr>
        <w:t>Heger, Martin Philipp &amp; Neumayer, Eric, 2022. "</w:t>
      </w:r>
      <w:hyperlink r:id="rId10" w:history="1">
        <w:r w:rsidRPr="00277721">
          <w:rPr>
            <w:rStyle w:val="Hyperlink"/>
            <w:rFonts w:ascii="Arial" w:hAnsi="Arial" w:cs="Arial"/>
            <w:color w:val="auto"/>
          </w:rPr>
          <w:t>Economic legacy effects of armed conflict: insights from the Civil War in Aceh, Indonesia</w:t>
        </w:r>
      </w:hyperlink>
      <w:r w:rsidRPr="00277721">
        <w:rPr>
          <w:rFonts w:ascii="Arial" w:hAnsi="Arial" w:cs="Arial"/>
        </w:rPr>
        <w:t>," </w:t>
      </w:r>
      <w:hyperlink r:id="rId11" w:history="1">
        <w:r w:rsidRPr="00277721">
          <w:rPr>
            <w:rStyle w:val="Hyperlink"/>
            <w:rFonts w:ascii="Arial" w:hAnsi="Arial" w:cs="Arial"/>
            <w:color w:val="auto"/>
          </w:rPr>
          <w:t>LSE Research Online Documents on Economics</w:t>
        </w:r>
      </w:hyperlink>
      <w:r w:rsidRPr="00277721">
        <w:rPr>
          <w:rFonts w:ascii="Arial" w:hAnsi="Arial" w:cs="Arial"/>
        </w:rPr>
        <w:t> 108236, London School of Economics and Political Science.</w:t>
      </w:r>
    </w:p>
    <w:p w14:paraId="27F75DBF" w14:textId="77777777" w:rsidR="007D5BF2" w:rsidRPr="00277721" w:rsidRDefault="007D5BF2" w:rsidP="00DA7641">
      <w:pPr>
        <w:pStyle w:val="ListParagraph"/>
        <w:numPr>
          <w:ilvl w:val="1"/>
          <w:numId w:val="27"/>
        </w:numPr>
        <w:jc w:val="both"/>
        <w:rPr>
          <w:rFonts w:ascii="Arial" w:hAnsi="Arial" w:cs="Arial"/>
        </w:rPr>
      </w:pPr>
      <w:r w:rsidRPr="00277721">
        <w:rPr>
          <w:rFonts w:ascii="Arial" w:hAnsi="Arial" w:cs="Arial"/>
        </w:rPr>
        <w:lastRenderedPageBreak/>
        <w:t>Isaac, R.K., Çakmak, E. and Butler, R., 2019a. </w:t>
      </w:r>
      <w:r w:rsidRPr="00277721">
        <w:rPr>
          <w:rFonts w:ascii="Arial" w:hAnsi="Arial" w:cs="Arial"/>
          <w:i/>
          <w:iCs/>
        </w:rPr>
        <w:t>Tourism and hospitality in conflict-ridden destinations</w:t>
      </w:r>
      <w:r w:rsidRPr="00277721">
        <w:rPr>
          <w:rFonts w:ascii="Arial" w:hAnsi="Arial" w:cs="Arial"/>
        </w:rPr>
        <w:t>. London: Routledge</w:t>
      </w:r>
    </w:p>
    <w:p w14:paraId="57D430FE" w14:textId="77777777" w:rsidR="007D5BF2" w:rsidRPr="00277721" w:rsidRDefault="007D5BF2" w:rsidP="00DA7641">
      <w:pPr>
        <w:pStyle w:val="ListParagraph"/>
        <w:numPr>
          <w:ilvl w:val="1"/>
          <w:numId w:val="27"/>
        </w:numPr>
        <w:jc w:val="both"/>
        <w:rPr>
          <w:rFonts w:ascii="Arial" w:hAnsi="Arial" w:cs="Arial"/>
        </w:rPr>
      </w:pPr>
      <w:r w:rsidRPr="00277721">
        <w:rPr>
          <w:rFonts w:ascii="Arial" w:hAnsi="Arial" w:cs="Arial"/>
        </w:rPr>
        <w:t>Isaac, R.K., Çakmak, E. and Butler, R., 2019b. </w:t>
      </w:r>
      <w:r w:rsidRPr="00277721">
        <w:rPr>
          <w:rFonts w:ascii="Arial" w:hAnsi="Arial" w:cs="Arial"/>
          <w:i/>
          <w:iCs/>
        </w:rPr>
        <w:t>Tourism and hospitality in conflict-ridden destinations</w:t>
      </w:r>
      <w:r w:rsidRPr="00277721">
        <w:rPr>
          <w:rFonts w:ascii="Arial" w:hAnsi="Arial" w:cs="Arial"/>
        </w:rPr>
        <w:t>. London: Routledge</w:t>
      </w:r>
    </w:p>
    <w:p w14:paraId="1A210E91" w14:textId="77777777" w:rsidR="00B97C47" w:rsidRPr="00277721" w:rsidRDefault="00B97C47" w:rsidP="00DA7641">
      <w:pPr>
        <w:pStyle w:val="ListParagraph"/>
        <w:numPr>
          <w:ilvl w:val="1"/>
          <w:numId w:val="27"/>
        </w:numPr>
        <w:jc w:val="both"/>
        <w:rPr>
          <w:rFonts w:ascii="Arial" w:hAnsi="Arial" w:cs="Arial"/>
        </w:rPr>
      </w:pPr>
      <w:r w:rsidRPr="00277721">
        <w:rPr>
          <w:rFonts w:ascii="Arial" w:hAnsi="Arial" w:cs="Arial"/>
        </w:rPr>
        <w:t>Kamel, N.A. and Elshiwy, R., 2022. Virtual Reality and Virtual Diving Technologies: Innovative Tools to Promote Maritime and Underwater Cultural Heritage in the Red Sea, Egypt. </w:t>
      </w:r>
      <w:r w:rsidRPr="00277721">
        <w:rPr>
          <w:rFonts w:ascii="Arial" w:hAnsi="Arial" w:cs="Arial"/>
          <w:i/>
          <w:iCs/>
        </w:rPr>
        <w:t>Journal of Tourism, Hotels and Heritage</w:t>
      </w:r>
      <w:r w:rsidRPr="00277721">
        <w:rPr>
          <w:rFonts w:ascii="Arial" w:hAnsi="Arial" w:cs="Arial"/>
        </w:rPr>
        <w:t>, </w:t>
      </w:r>
      <w:r w:rsidRPr="00277721">
        <w:rPr>
          <w:rFonts w:ascii="Arial" w:hAnsi="Arial" w:cs="Arial"/>
          <w:i/>
          <w:iCs/>
        </w:rPr>
        <w:t>5</w:t>
      </w:r>
      <w:r w:rsidRPr="00277721">
        <w:rPr>
          <w:rFonts w:ascii="Arial" w:hAnsi="Arial" w:cs="Arial"/>
        </w:rPr>
        <w:t xml:space="preserve">(3), pp.18-46. Available at: </w:t>
      </w:r>
      <w:hyperlink r:id="rId12" w:history="1">
        <w:r w:rsidRPr="00277721">
          <w:rPr>
            <w:rStyle w:val="Hyperlink"/>
            <w:rFonts w:ascii="Arial" w:hAnsi="Arial" w:cs="Arial"/>
            <w:color w:val="auto"/>
          </w:rPr>
          <w:t>https://journals.ekb.eg/article_275146.html</w:t>
        </w:r>
      </w:hyperlink>
      <w:r w:rsidRPr="00277721">
        <w:rPr>
          <w:rFonts w:ascii="Arial" w:hAnsi="Arial" w:cs="Arial"/>
        </w:rPr>
        <w:t xml:space="preserve"> Accessed: 7</w:t>
      </w:r>
      <w:r w:rsidRPr="00277721">
        <w:rPr>
          <w:rFonts w:ascii="Arial" w:hAnsi="Arial" w:cs="Arial"/>
          <w:vertAlign w:val="superscript"/>
        </w:rPr>
        <w:t>th</w:t>
      </w:r>
      <w:r w:rsidRPr="00277721">
        <w:rPr>
          <w:rFonts w:ascii="Arial" w:hAnsi="Arial" w:cs="Arial"/>
        </w:rPr>
        <w:t xml:space="preserve"> February 2025</w:t>
      </w:r>
    </w:p>
    <w:p w14:paraId="35C8A2DF" w14:textId="15EA8095" w:rsidR="00AA6594" w:rsidRPr="00277721" w:rsidRDefault="00D46A24" w:rsidP="00DA7641">
      <w:pPr>
        <w:pStyle w:val="ListParagraph"/>
        <w:numPr>
          <w:ilvl w:val="1"/>
          <w:numId w:val="27"/>
        </w:numPr>
        <w:jc w:val="both"/>
        <w:rPr>
          <w:rFonts w:ascii="Arial" w:hAnsi="Arial" w:cs="Arial"/>
        </w:rPr>
      </w:pPr>
      <w:r w:rsidRPr="00277721">
        <w:rPr>
          <w:rFonts w:ascii="Arial" w:hAnsi="Arial" w:cs="Arial"/>
        </w:rPr>
        <w:t>Notteboom, T., Haralambides, H. &amp; Cullinane, K. (2024) Maritime Economics &amp; Logistics Logist </w:t>
      </w:r>
      <w:r w:rsidRPr="00277721">
        <w:rPr>
          <w:rFonts w:ascii="Arial" w:hAnsi="Arial" w:cs="Arial"/>
          <w:b/>
          <w:bCs/>
        </w:rPr>
        <w:t>26</w:t>
      </w:r>
      <w:r w:rsidRPr="00277721">
        <w:rPr>
          <w:rFonts w:ascii="Arial" w:hAnsi="Arial" w:cs="Arial"/>
        </w:rPr>
        <w:t xml:space="preserve">, 1–20.  </w:t>
      </w:r>
      <w:r w:rsidRPr="00277721">
        <w:rPr>
          <w:rFonts w:ascii="Arial" w:hAnsi="Arial" w:cs="Arial"/>
          <w:i/>
          <w:iCs/>
        </w:rPr>
        <w:t>The Red Sea Crisis: ramifications for vessel operations, shipping networks, and maritime supply chains.</w:t>
      </w:r>
      <w:r w:rsidRPr="00277721">
        <w:rPr>
          <w:rFonts w:ascii="Arial" w:hAnsi="Arial" w:cs="Arial"/>
        </w:rPr>
        <w:t> Available at:  https://link.springer.com/article/10.1057/s41278-024-00287-z https://doi.org/10.1057/s41278-024-00287-zJO  Accessed: 6</w:t>
      </w:r>
      <w:r w:rsidRPr="00277721">
        <w:rPr>
          <w:rFonts w:ascii="Arial" w:hAnsi="Arial" w:cs="Arial"/>
          <w:vertAlign w:val="superscript"/>
        </w:rPr>
        <w:t>th</w:t>
      </w:r>
      <w:r w:rsidRPr="00277721">
        <w:rPr>
          <w:rFonts w:ascii="Arial" w:hAnsi="Arial" w:cs="Arial"/>
        </w:rPr>
        <w:t xml:space="preserve"> February 2025</w:t>
      </w:r>
    </w:p>
    <w:p w14:paraId="7111D1FE" w14:textId="77777777" w:rsidR="00B97C47" w:rsidRPr="00277721" w:rsidRDefault="00B97C47" w:rsidP="00DA7641">
      <w:pPr>
        <w:pStyle w:val="ListParagraph"/>
        <w:numPr>
          <w:ilvl w:val="1"/>
          <w:numId w:val="27"/>
        </w:numPr>
        <w:jc w:val="both"/>
        <w:rPr>
          <w:rFonts w:ascii="Arial" w:hAnsi="Arial" w:cs="Arial"/>
        </w:rPr>
      </w:pPr>
      <w:r w:rsidRPr="00277721">
        <w:rPr>
          <w:rFonts w:ascii="Arial" w:hAnsi="Arial" w:cs="Arial"/>
        </w:rPr>
        <w:t>Owoche, A.G., Aidonojie, P.A., Mukhlis, M.M., Maskun, M., Tajuddin, M.S. and Yeyeng, A.T. (2024) The Crisis in Red Sea Region: Legal and Socio-Economic Impact on International Commerce. In </w:t>
      </w:r>
      <w:r w:rsidRPr="00277721">
        <w:rPr>
          <w:rFonts w:ascii="Arial" w:hAnsi="Arial" w:cs="Arial"/>
          <w:i/>
          <w:iCs/>
        </w:rPr>
        <w:t>Al-Risalah: Forum Kajian Hukum dan Sosial Kemasyarakatan</w:t>
      </w:r>
      <w:r w:rsidRPr="00277721">
        <w:rPr>
          <w:rFonts w:ascii="Arial" w:hAnsi="Arial" w:cs="Arial"/>
        </w:rPr>
        <w:t> (Vol. 24, No. 2, pp. 17-35).</w:t>
      </w:r>
    </w:p>
    <w:p w14:paraId="3797A75C" w14:textId="0C29AAE3" w:rsidR="00B97C47" w:rsidRPr="00277721" w:rsidRDefault="00B97C47" w:rsidP="00DA7641">
      <w:pPr>
        <w:pStyle w:val="ListParagraph"/>
        <w:numPr>
          <w:ilvl w:val="1"/>
          <w:numId w:val="27"/>
        </w:numPr>
        <w:jc w:val="both"/>
        <w:rPr>
          <w:rFonts w:ascii="Arial" w:hAnsi="Arial" w:cs="Arial"/>
        </w:rPr>
      </w:pPr>
      <w:r w:rsidRPr="00277721">
        <w:rPr>
          <w:rFonts w:ascii="Arial" w:hAnsi="Arial" w:cs="Arial"/>
        </w:rPr>
        <w:t xml:space="preserve">Portman, M (2007a) </w:t>
      </w:r>
      <w:r w:rsidRPr="00277721">
        <w:rPr>
          <w:rFonts w:ascii="Arial" w:hAnsi="Arial" w:cs="Arial"/>
          <w:i/>
          <w:iCs/>
        </w:rPr>
        <w:t>Zoning design for cross-border marine protected areas: The Red Sea Marine Peace Park case study.</w:t>
      </w:r>
      <w:r w:rsidRPr="00277721">
        <w:rPr>
          <w:rFonts w:ascii="Arial" w:hAnsi="Arial" w:cs="Arial"/>
        </w:rPr>
        <w:t xml:space="preserve"> Ocean &amp; Coastal Management, Volume 50, Issue 7, Pages 499-522</w:t>
      </w:r>
    </w:p>
    <w:p w14:paraId="2ECA8EAF" w14:textId="77777777" w:rsidR="009F3F23" w:rsidRPr="00277721" w:rsidRDefault="00B97C47" w:rsidP="00DA7641">
      <w:pPr>
        <w:pStyle w:val="ListParagraph"/>
        <w:numPr>
          <w:ilvl w:val="1"/>
          <w:numId w:val="27"/>
        </w:numPr>
        <w:ind w:left="1080"/>
        <w:jc w:val="both"/>
        <w:rPr>
          <w:rFonts w:ascii="Arial" w:hAnsi="Arial" w:cs="Arial"/>
        </w:rPr>
      </w:pPr>
      <w:r w:rsidRPr="00277721">
        <w:rPr>
          <w:rFonts w:ascii="Arial" w:hAnsi="Arial" w:cs="Arial"/>
        </w:rPr>
        <w:t xml:space="preserve">Portman, M (2007b) </w:t>
      </w:r>
      <w:r w:rsidRPr="00277721">
        <w:rPr>
          <w:rFonts w:ascii="Arial" w:hAnsi="Arial" w:cs="Arial"/>
          <w:i/>
          <w:iCs/>
        </w:rPr>
        <w:t>Zoning design for cross-border marine protected areas: The Red Sea Marine Peace Park case study.</w:t>
      </w:r>
      <w:r w:rsidRPr="00277721">
        <w:rPr>
          <w:rFonts w:ascii="Arial" w:hAnsi="Arial" w:cs="Arial"/>
        </w:rPr>
        <w:t xml:space="preserve"> Ocean &amp; Coastal Management, Volume 50, Issue 7, Pages 499-522</w:t>
      </w:r>
      <w:r w:rsidR="009F3F23" w:rsidRPr="00277721">
        <w:rPr>
          <w:rFonts w:ascii="Arial" w:hAnsi="Arial" w:cs="Arial"/>
        </w:rPr>
        <w:t xml:space="preserve"> </w:t>
      </w:r>
    </w:p>
    <w:p w14:paraId="22E628B5" w14:textId="2605CA42" w:rsidR="00EE7A26" w:rsidRPr="00277721" w:rsidRDefault="00444F98" w:rsidP="00DA7641">
      <w:pPr>
        <w:ind w:left="993"/>
        <w:jc w:val="both"/>
        <w:rPr>
          <w:rFonts w:ascii="Arial" w:hAnsi="Arial" w:cs="Arial"/>
        </w:rPr>
      </w:pPr>
      <w:r w:rsidRPr="00277721">
        <w:rPr>
          <w:rFonts w:ascii="Arial" w:hAnsi="Arial" w:cs="Arial"/>
        </w:rPr>
        <w:t xml:space="preserve">18. </w:t>
      </w:r>
      <w:r w:rsidR="009F3F23" w:rsidRPr="00277721">
        <w:rPr>
          <w:rFonts w:ascii="Arial" w:hAnsi="Arial" w:cs="Arial"/>
        </w:rPr>
        <w:t xml:space="preserve">Radisson Hotels (2025a) </w:t>
      </w:r>
      <w:r w:rsidR="009F3F23" w:rsidRPr="00277721">
        <w:rPr>
          <w:rFonts w:ascii="Arial" w:hAnsi="Arial" w:cs="Arial"/>
          <w:i/>
          <w:iCs/>
        </w:rPr>
        <w:t xml:space="preserve">10 Things you need to know about the remarkable Red Sea. </w:t>
      </w:r>
      <w:r w:rsidR="009F3F23" w:rsidRPr="00277721">
        <w:rPr>
          <w:rFonts w:ascii="Arial" w:hAnsi="Arial" w:cs="Arial"/>
        </w:rPr>
        <w:t xml:space="preserve"> Available at </w:t>
      </w:r>
      <w:hyperlink r:id="rId13" w:history="1">
        <w:r w:rsidR="009F3F23" w:rsidRPr="00277721">
          <w:rPr>
            <w:rStyle w:val="Hyperlink"/>
            <w:rFonts w:ascii="Arial" w:hAnsi="Arial" w:cs="Arial"/>
            <w:color w:val="auto"/>
          </w:rPr>
          <w:t>https://www.radissonhotels.com/en-us/blog/destination/10-things-you-need-to-know-about-the-remarkable-red-seaus/blog/destination/10-things-you-need-to-know-about-the-remarkable-red-sea</w:t>
        </w:r>
      </w:hyperlink>
      <w:r w:rsidR="009F3F23" w:rsidRPr="00277721">
        <w:rPr>
          <w:rFonts w:ascii="Arial" w:hAnsi="Arial" w:cs="Arial"/>
        </w:rPr>
        <w:t>. Accessed: 6</w:t>
      </w:r>
      <w:r w:rsidR="009F3F23" w:rsidRPr="00277721">
        <w:rPr>
          <w:rFonts w:ascii="Arial" w:hAnsi="Arial" w:cs="Arial"/>
          <w:vertAlign w:val="superscript"/>
        </w:rPr>
        <w:t>th</w:t>
      </w:r>
      <w:r w:rsidR="009F3F23" w:rsidRPr="00277721">
        <w:rPr>
          <w:rFonts w:ascii="Arial" w:hAnsi="Arial" w:cs="Arial"/>
        </w:rPr>
        <w:t xml:space="preserve"> February 2025</w:t>
      </w:r>
      <w:r w:rsidR="00EE7A26" w:rsidRPr="00277721">
        <w:rPr>
          <w:rFonts w:ascii="Arial" w:hAnsi="Arial" w:cs="Arial"/>
        </w:rPr>
        <w:t xml:space="preserve"> </w:t>
      </w:r>
    </w:p>
    <w:p w14:paraId="5CD9291A" w14:textId="2720AD36" w:rsidR="00EE7A26" w:rsidRPr="00277721" w:rsidRDefault="00444F98" w:rsidP="00DA7641">
      <w:pPr>
        <w:ind w:left="993"/>
        <w:jc w:val="both"/>
        <w:rPr>
          <w:rFonts w:ascii="Arial" w:hAnsi="Arial" w:cs="Arial"/>
        </w:rPr>
      </w:pPr>
      <w:r w:rsidRPr="00277721">
        <w:rPr>
          <w:rFonts w:ascii="Arial" w:hAnsi="Arial" w:cs="Arial"/>
        </w:rPr>
        <w:t xml:space="preserve">19. </w:t>
      </w:r>
      <w:r w:rsidR="00EE7A26" w:rsidRPr="00277721">
        <w:rPr>
          <w:rFonts w:ascii="Arial" w:hAnsi="Arial" w:cs="Arial"/>
        </w:rPr>
        <w:t xml:space="preserve">Radisson Hotels (2025b) </w:t>
      </w:r>
      <w:r w:rsidR="00EE7A26" w:rsidRPr="00277721">
        <w:rPr>
          <w:rFonts w:ascii="Arial" w:hAnsi="Arial" w:cs="Arial"/>
          <w:i/>
          <w:iCs/>
        </w:rPr>
        <w:t>10 Things you need to know about the remarkable Red Sea.</w:t>
      </w:r>
      <w:r w:rsidR="00EE7A26" w:rsidRPr="00277721">
        <w:rPr>
          <w:rFonts w:ascii="Arial" w:hAnsi="Arial" w:cs="Arial"/>
        </w:rPr>
        <w:t xml:space="preserve"> Available at </w:t>
      </w:r>
      <w:hyperlink r:id="rId14" w:history="1">
        <w:r w:rsidR="00EE7A26" w:rsidRPr="00277721">
          <w:rPr>
            <w:rStyle w:val="Hyperlink"/>
            <w:rFonts w:ascii="Arial" w:hAnsi="Arial" w:cs="Arial"/>
            <w:color w:val="auto"/>
          </w:rPr>
          <w:t>https://www.radissonhotels.com/en-us/blog/destination/10-things-you-need-to-know-about-the-remarkable-red-seaus/blog/destination/10-things-you-need-to-know-about-the-remarkable-red-sea</w:t>
        </w:r>
      </w:hyperlink>
      <w:r w:rsidR="00EE7A26" w:rsidRPr="00277721">
        <w:rPr>
          <w:rFonts w:ascii="Arial" w:hAnsi="Arial" w:cs="Arial"/>
        </w:rPr>
        <w:t>. Accessed: 6</w:t>
      </w:r>
      <w:r w:rsidR="00EE7A26" w:rsidRPr="00277721">
        <w:rPr>
          <w:rFonts w:ascii="Arial" w:hAnsi="Arial" w:cs="Arial"/>
          <w:vertAlign w:val="superscript"/>
        </w:rPr>
        <w:t>th</w:t>
      </w:r>
      <w:r w:rsidR="00EE7A26" w:rsidRPr="00277721">
        <w:rPr>
          <w:rFonts w:ascii="Arial" w:hAnsi="Arial" w:cs="Arial"/>
        </w:rPr>
        <w:t xml:space="preserve"> February 2025</w:t>
      </w:r>
    </w:p>
    <w:p w14:paraId="68F02071" w14:textId="77777777" w:rsidR="00FC2928" w:rsidRPr="00277721" w:rsidRDefault="007F74FB" w:rsidP="00DA7641">
      <w:pPr>
        <w:ind w:left="993"/>
        <w:jc w:val="both"/>
        <w:rPr>
          <w:rFonts w:ascii="Arial" w:hAnsi="Arial" w:cs="Arial"/>
        </w:rPr>
      </w:pPr>
      <w:r w:rsidRPr="00277721">
        <w:rPr>
          <w:rFonts w:ascii="Arial" w:hAnsi="Arial" w:cs="Arial"/>
        </w:rPr>
        <w:t xml:space="preserve">20. </w:t>
      </w:r>
      <w:r w:rsidR="00444F98" w:rsidRPr="00277721">
        <w:rPr>
          <w:rFonts w:ascii="Arial" w:hAnsi="Arial" w:cs="Arial"/>
        </w:rPr>
        <w:t>Ribe, A.V., (2023a). </w:t>
      </w:r>
      <w:r w:rsidR="00444F98" w:rsidRPr="00277721">
        <w:rPr>
          <w:rFonts w:ascii="Arial" w:hAnsi="Arial" w:cs="Arial"/>
          <w:i/>
          <w:iCs/>
        </w:rPr>
        <w:t>Securing the Seas: A Comparative Analysis of Emirati and Saudi Foreign Policies in the Red Sea</w:t>
      </w:r>
      <w:r w:rsidR="00444F98" w:rsidRPr="00277721">
        <w:rPr>
          <w:rFonts w:ascii="Arial" w:hAnsi="Arial" w:cs="Arial"/>
        </w:rPr>
        <w:t> (Master's thesis, Georgetown University).</w:t>
      </w:r>
      <w:r w:rsidR="00FC2928" w:rsidRPr="00277721">
        <w:rPr>
          <w:rFonts w:ascii="Arial" w:hAnsi="Arial" w:cs="Arial"/>
        </w:rPr>
        <w:t xml:space="preserve"> </w:t>
      </w:r>
    </w:p>
    <w:p w14:paraId="739F8603" w14:textId="7E74D87A" w:rsidR="003C3BD5" w:rsidRPr="00277721" w:rsidRDefault="003C3BD5" w:rsidP="00DA7641">
      <w:pPr>
        <w:ind w:left="993"/>
        <w:jc w:val="both"/>
        <w:rPr>
          <w:rFonts w:ascii="Arial" w:hAnsi="Arial" w:cs="Arial"/>
        </w:rPr>
      </w:pPr>
      <w:r w:rsidRPr="00277721">
        <w:rPr>
          <w:rFonts w:ascii="Arial" w:hAnsi="Arial" w:cs="Arial"/>
        </w:rPr>
        <w:lastRenderedPageBreak/>
        <w:t>21. Ribe, A.V., (2023b). </w:t>
      </w:r>
      <w:r w:rsidRPr="00277721">
        <w:rPr>
          <w:rFonts w:ascii="Arial" w:hAnsi="Arial" w:cs="Arial"/>
          <w:i/>
          <w:iCs/>
        </w:rPr>
        <w:t>Securing the Seas: A Comparative Analysis of Emirati and Saudi Foreign Policies in the Red Sea</w:t>
      </w:r>
      <w:r w:rsidRPr="00277721">
        <w:rPr>
          <w:rFonts w:ascii="Arial" w:hAnsi="Arial" w:cs="Arial"/>
        </w:rPr>
        <w:t> (Master's thesis, Georgetown University</w:t>
      </w:r>
    </w:p>
    <w:p w14:paraId="1F9C8A6F" w14:textId="4D587DF7" w:rsidR="00FC2928" w:rsidRPr="00277721" w:rsidRDefault="00167D1B" w:rsidP="00DA7641">
      <w:pPr>
        <w:ind w:left="993"/>
        <w:jc w:val="both"/>
        <w:rPr>
          <w:rFonts w:ascii="Arial" w:hAnsi="Arial" w:cs="Arial"/>
        </w:rPr>
      </w:pPr>
      <w:r w:rsidRPr="00277721">
        <w:rPr>
          <w:rFonts w:ascii="Arial" w:hAnsi="Arial" w:cs="Arial"/>
        </w:rPr>
        <w:t>2</w:t>
      </w:r>
      <w:r w:rsidR="003C3BD5" w:rsidRPr="00277721">
        <w:rPr>
          <w:rFonts w:ascii="Arial" w:hAnsi="Arial" w:cs="Arial"/>
        </w:rPr>
        <w:t>2</w:t>
      </w:r>
      <w:r w:rsidRPr="00277721">
        <w:rPr>
          <w:rFonts w:ascii="Arial" w:hAnsi="Arial" w:cs="Arial"/>
        </w:rPr>
        <w:t xml:space="preserve">. </w:t>
      </w:r>
      <w:r w:rsidR="00FC2928" w:rsidRPr="00277721">
        <w:rPr>
          <w:rFonts w:ascii="Arial" w:hAnsi="Arial" w:cs="Arial"/>
        </w:rPr>
        <w:t>Rodriguez-Diaz, E., Alcaide, J.I. and Garcia-Llave, R., 2024. Challenges and Security Risks in the Red Sea: Impact of Houthi Attacks on Maritime Traffic. </w:t>
      </w:r>
      <w:r w:rsidR="00FC2928" w:rsidRPr="00277721">
        <w:rPr>
          <w:rFonts w:ascii="Arial" w:hAnsi="Arial" w:cs="Arial"/>
          <w:i/>
          <w:iCs/>
        </w:rPr>
        <w:t>Journal of Marine Science and Engineering</w:t>
      </w:r>
      <w:r w:rsidR="00FC2928" w:rsidRPr="00277721">
        <w:rPr>
          <w:rFonts w:ascii="Arial" w:hAnsi="Arial" w:cs="Arial"/>
        </w:rPr>
        <w:t>, </w:t>
      </w:r>
      <w:r w:rsidR="00FC2928" w:rsidRPr="00277721">
        <w:rPr>
          <w:rFonts w:ascii="Arial" w:hAnsi="Arial" w:cs="Arial"/>
          <w:i/>
          <w:iCs/>
        </w:rPr>
        <w:t>12</w:t>
      </w:r>
      <w:r w:rsidR="00FC2928" w:rsidRPr="00277721">
        <w:rPr>
          <w:rFonts w:ascii="Arial" w:hAnsi="Arial" w:cs="Arial"/>
        </w:rPr>
        <w:t xml:space="preserve">(11), p.1900. Available at: </w:t>
      </w:r>
      <w:hyperlink r:id="rId15" w:history="1">
        <w:r w:rsidR="00FC2928" w:rsidRPr="00277721">
          <w:rPr>
            <w:rStyle w:val="Hyperlink"/>
            <w:rFonts w:ascii="Arial" w:hAnsi="Arial" w:cs="Arial"/>
            <w:color w:val="auto"/>
          </w:rPr>
          <w:t>https://www.mdpi.com/2077-1312/12/11/1900</w:t>
        </w:r>
      </w:hyperlink>
      <w:r w:rsidR="00FC2928" w:rsidRPr="00277721">
        <w:rPr>
          <w:rFonts w:ascii="Arial" w:hAnsi="Arial" w:cs="Arial"/>
        </w:rPr>
        <w:t xml:space="preserve"> Accessed: 7</w:t>
      </w:r>
      <w:r w:rsidR="00FC2928" w:rsidRPr="00277721">
        <w:rPr>
          <w:rFonts w:ascii="Arial" w:hAnsi="Arial" w:cs="Arial"/>
          <w:vertAlign w:val="superscript"/>
        </w:rPr>
        <w:t>th</w:t>
      </w:r>
      <w:r w:rsidR="00FC2928" w:rsidRPr="00277721">
        <w:rPr>
          <w:rFonts w:ascii="Arial" w:hAnsi="Arial" w:cs="Arial"/>
        </w:rPr>
        <w:t xml:space="preserve"> February 2025</w:t>
      </w:r>
    </w:p>
    <w:p w14:paraId="4F03609B" w14:textId="527EDF75" w:rsidR="00BC547C" w:rsidRPr="00277721" w:rsidRDefault="003C3BD5" w:rsidP="00DA7641">
      <w:pPr>
        <w:ind w:left="993"/>
        <w:jc w:val="both"/>
        <w:rPr>
          <w:rFonts w:ascii="Arial" w:hAnsi="Arial" w:cs="Arial"/>
        </w:rPr>
      </w:pPr>
      <w:r w:rsidRPr="00277721">
        <w:rPr>
          <w:rFonts w:ascii="Arial" w:hAnsi="Arial" w:cs="Arial"/>
        </w:rPr>
        <w:t>23.</w:t>
      </w:r>
      <w:r w:rsidR="00BC547C" w:rsidRPr="00277721">
        <w:rPr>
          <w:rFonts w:ascii="Arial" w:hAnsi="Arial" w:cs="Arial"/>
        </w:rPr>
        <w:t xml:space="preserve"> Romaniv, O. and Yarmolyk, D., 2021. The Red Sea as Tourist Destination. </w:t>
      </w:r>
      <w:r w:rsidR="00BC547C" w:rsidRPr="00277721">
        <w:rPr>
          <w:rFonts w:ascii="Arial" w:hAnsi="Arial" w:cs="Arial"/>
          <w:i/>
          <w:iCs/>
        </w:rPr>
        <w:t>Publishing House “Baltija Publishing”</w:t>
      </w:r>
    </w:p>
    <w:p w14:paraId="6E428C45" w14:textId="32D0366B" w:rsidR="00BC547C" w:rsidRPr="00277721" w:rsidRDefault="003C3BD5" w:rsidP="00DA7641">
      <w:pPr>
        <w:ind w:left="993"/>
        <w:jc w:val="both"/>
        <w:rPr>
          <w:rFonts w:ascii="Arial" w:hAnsi="Arial" w:cs="Arial"/>
        </w:rPr>
      </w:pPr>
      <w:r w:rsidRPr="00277721">
        <w:rPr>
          <w:rFonts w:ascii="Arial" w:hAnsi="Arial" w:cs="Arial"/>
        </w:rPr>
        <w:t xml:space="preserve">24. Seyfi, S &amp; Hall, M (2024 ) </w:t>
      </w:r>
      <w:r w:rsidRPr="00277721">
        <w:rPr>
          <w:rFonts w:ascii="Arial" w:hAnsi="Arial" w:cs="Arial"/>
          <w:i/>
          <w:iCs/>
        </w:rPr>
        <w:t>International Relations and geo-political approaches to tourism</w:t>
      </w:r>
      <w:r w:rsidRPr="00277721">
        <w:rPr>
          <w:rFonts w:ascii="Arial" w:hAnsi="Arial" w:cs="Arial"/>
        </w:rPr>
        <w:t xml:space="preserve">. Available at: </w:t>
      </w:r>
      <w:hyperlink r:id="rId16" w:history="1">
        <w:r w:rsidRPr="00277721">
          <w:rPr>
            <w:rStyle w:val="Hyperlink"/>
            <w:rFonts w:ascii="Arial" w:hAnsi="Arial" w:cs="Arial"/>
            <w:color w:val="auto"/>
          </w:rPr>
          <w:t>https://onlinelibrary.wiley.com/doi/abs/10.1002/9781119753797.ch6</w:t>
        </w:r>
      </w:hyperlink>
      <w:r w:rsidRPr="00277721">
        <w:rPr>
          <w:rFonts w:ascii="Arial" w:hAnsi="Arial" w:cs="Arial"/>
        </w:rPr>
        <w:t xml:space="preserve"> Accessed: 31</w:t>
      </w:r>
      <w:r w:rsidRPr="00277721">
        <w:rPr>
          <w:rFonts w:ascii="Arial" w:hAnsi="Arial" w:cs="Arial"/>
          <w:vertAlign w:val="superscript"/>
        </w:rPr>
        <w:t>st</w:t>
      </w:r>
      <w:r w:rsidRPr="00277721">
        <w:rPr>
          <w:rFonts w:ascii="Arial" w:hAnsi="Arial" w:cs="Arial"/>
        </w:rPr>
        <w:t xml:space="preserve"> Jan, 2025</w:t>
      </w:r>
    </w:p>
    <w:p w14:paraId="27DE887E" w14:textId="22A4F928" w:rsidR="00167D1B" w:rsidRPr="00277721" w:rsidRDefault="003C3BD5" w:rsidP="00DA7641">
      <w:pPr>
        <w:ind w:left="993"/>
        <w:jc w:val="both"/>
        <w:rPr>
          <w:rFonts w:ascii="Arial" w:hAnsi="Arial" w:cs="Arial"/>
        </w:rPr>
      </w:pPr>
      <w:r w:rsidRPr="00277721">
        <w:rPr>
          <w:rFonts w:ascii="Arial" w:hAnsi="Arial" w:cs="Arial"/>
        </w:rPr>
        <w:t xml:space="preserve">25. Seyfi, S; Nunkoo, R; and Juwaheer, T, D. (2024) </w:t>
      </w:r>
      <w:r w:rsidRPr="00277721">
        <w:rPr>
          <w:rFonts w:ascii="Arial" w:hAnsi="Arial" w:cs="Arial"/>
          <w:i/>
          <w:iCs/>
        </w:rPr>
        <w:t xml:space="preserve">Rethinking research on social impacts of Tourism </w:t>
      </w:r>
      <w:r w:rsidRPr="00277721">
        <w:rPr>
          <w:rFonts w:ascii="Arial" w:hAnsi="Arial" w:cs="Arial"/>
        </w:rPr>
        <w:t xml:space="preserve">The Social Impacts of Tourism. Monograph </w:t>
      </w:r>
      <w:hyperlink r:id="rId17" w:tgtFrame="_blank" w:history="1">
        <w:r w:rsidRPr="00277721">
          <w:rPr>
            <w:rStyle w:val="Hyperlink"/>
            <w:rFonts w:ascii="Arial" w:hAnsi="Arial" w:cs="Arial"/>
            <w:color w:val="auto"/>
          </w:rPr>
          <w:t>https://doi.org/10.4337/9781789908305</w:t>
        </w:r>
      </w:hyperlink>
    </w:p>
    <w:p w14:paraId="0DA835EE" w14:textId="01AB1AD8" w:rsidR="00444F98" w:rsidRPr="00277721" w:rsidRDefault="003C3BD5" w:rsidP="00DA7641">
      <w:pPr>
        <w:ind w:left="993"/>
        <w:jc w:val="both"/>
        <w:rPr>
          <w:rFonts w:ascii="Arial" w:hAnsi="Arial" w:cs="Arial"/>
        </w:rPr>
      </w:pPr>
      <w:r w:rsidRPr="00277721">
        <w:rPr>
          <w:rFonts w:ascii="Arial" w:hAnsi="Arial" w:cs="Arial"/>
        </w:rPr>
        <w:t>26. Shay, S., 2017. </w:t>
      </w:r>
      <w:r w:rsidRPr="00277721">
        <w:rPr>
          <w:rFonts w:ascii="Arial" w:hAnsi="Arial" w:cs="Arial"/>
          <w:i/>
          <w:iCs/>
        </w:rPr>
        <w:t>The Red Sea Terror Triangle: Sudan, Somalia, Yemen, and Islamic Terror</w:t>
      </w:r>
      <w:r w:rsidRPr="00277721">
        <w:rPr>
          <w:rFonts w:ascii="Arial" w:hAnsi="Arial" w:cs="Arial"/>
        </w:rPr>
        <w:t>. Routledge</w:t>
      </w:r>
    </w:p>
    <w:p w14:paraId="34797252" w14:textId="347157A3" w:rsidR="003C3BD5" w:rsidRPr="00277721" w:rsidRDefault="003C3BD5" w:rsidP="00DA7641">
      <w:pPr>
        <w:ind w:left="993"/>
        <w:jc w:val="both"/>
        <w:rPr>
          <w:rFonts w:ascii="Arial" w:hAnsi="Arial" w:cs="Arial"/>
        </w:rPr>
      </w:pPr>
      <w:r w:rsidRPr="00277721">
        <w:rPr>
          <w:rFonts w:ascii="Arial" w:hAnsi="Arial" w:cs="Arial"/>
        </w:rPr>
        <w:t>27. Touni, R., 2020. The application of robots, artificial intelligence, and service automation in the Egyptian tourism and hospitality sector (Possibilities, Obstacles, Pros, and Cons). </w:t>
      </w:r>
      <w:r w:rsidRPr="00277721">
        <w:rPr>
          <w:rFonts w:ascii="Arial" w:hAnsi="Arial" w:cs="Arial"/>
          <w:i/>
          <w:iCs/>
        </w:rPr>
        <w:t>Journal of Association of Arab Universities for Tourism and Hospitality</w:t>
      </w:r>
      <w:r w:rsidRPr="00277721">
        <w:rPr>
          <w:rFonts w:ascii="Arial" w:hAnsi="Arial" w:cs="Arial"/>
        </w:rPr>
        <w:t>, </w:t>
      </w:r>
      <w:r w:rsidRPr="00277721">
        <w:rPr>
          <w:rFonts w:ascii="Arial" w:hAnsi="Arial" w:cs="Arial"/>
          <w:i/>
          <w:iCs/>
        </w:rPr>
        <w:t>19</w:t>
      </w:r>
      <w:r w:rsidRPr="00277721">
        <w:rPr>
          <w:rFonts w:ascii="Arial" w:hAnsi="Arial" w:cs="Arial"/>
        </w:rPr>
        <w:t xml:space="preserve">(3), pp.269-290. Available at: </w:t>
      </w:r>
      <w:hyperlink r:id="rId18" w:history="1">
        <w:r w:rsidRPr="00277721">
          <w:rPr>
            <w:rStyle w:val="Hyperlink"/>
            <w:rFonts w:ascii="Arial" w:hAnsi="Arial" w:cs="Arial"/>
            <w:color w:val="auto"/>
          </w:rPr>
          <w:t>https://journals.ekb.eg/article_151670.html</w:t>
        </w:r>
      </w:hyperlink>
      <w:r w:rsidRPr="00277721">
        <w:rPr>
          <w:rFonts w:ascii="Arial" w:hAnsi="Arial" w:cs="Arial"/>
        </w:rPr>
        <w:t xml:space="preserve"> Accessed: 7</w:t>
      </w:r>
      <w:r w:rsidRPr="00277721">
        <w:rPr>
          <w:rFonts w:ascii="Arial" w:hAnsi="Arial" w:cs="Arial"/>
          <w:vertAlign w:val="superscript"/>
        </w:rPr>
        <w:t>th</w:t>
      </w:r>
      <w:r w:rsidRPr="00277721">
        <w:rPr>
          <w:rFonts w:ascii="Arial" w:hAnsi="Arial" w:cs="Arial"/>
        </w:rPr>
        <w:t xml:space="preserve"> February 2025</w:t>
      </w:r>
    </w:p>
    <w:p w14:paraId="3F45DF10" w14:textId="47CD1D2B" w:rsidR="00B97C47" w:rsidRPr="00277721" w:rsidRDefault="00B97C47" w:rsidP="00DA7641">
      <w:pPr>
        <w:ind w:left="993"/>
        <w:jc w:val="both"/>
        <w:rPr>
          <w:rFonts w:ascii="Arial" w:hAnsi="Arial" w:cs="Arial"/>
        </w:rPr>
      </w:pPr>
    </w:p>
    <w:p w14:paraId="691098FD" w14:textId="6D1D18EE" w:rsidR="00532C8A" w:rsidRPr="00277721" w:rsidRDefault="00532C8A" w:rsidP="00DA7641">
      <w:pPr>
        <w:ind w:left="993"/>
        <w:jc w:val="both"/>
        <w:rPr>
          <w:rFonts w:ascii="Arial" w:hAnsi="Arial" w:cs="Arial"/>
        </w:rPr>
      </w:pPr>
    </w:p>
    <w:p w14:paraId="297F155F" w14:textId="34790074" w:rsidR="0070216D" w:rsidRPr="00277721" w:rsidRDefault="00112065" w:rsidP="007F74FB">
      <w:pPr>
        <w:ind w:left="774"/>
        <w:rPr>
          <w:rFonts w:ascii="Arial" w:hAnsi="Arial" w:cs="Arial"/>
        </w:rPr>
      </w:pPr>
      <w:r w:rsidRPr="00277721">
        <w:rPr>
          <w:rFonts w:ascii="Arial" w:hAnsi="Arial" w:cs="Arial"/>
        </w:rPr>
        <w:t xml:space="preserve">  </w:t>
      </w:r>
    </w:p>
    <w:p w14:paraId="1B3DF2FB" w14:textId="2C921D80" w:rsidR="003D5093" w:rsidRPr="00277721" w:rsidRDefault="003D5093" w:rsidP="007F74FB">
      <w:pPr>
        <w:ind w:left="993"/>
        <w:rPr>
          <w:rFonts w:ascii="Arial" w:hAnsi="Arial" w:cs="Arial"/>
        </w:rPr>
      </w:pPr>
    </w:p>
    <w:p w14:paraId="221D65C3" w14:textId="29BE53EB" w:rsidR="00DE0DE4" w:rsidRPr="00277721" w:rsidRDefault="00DE0DE4" w:rsidP="007F74FB">
      <w:pPr>
        <w:ind w:left="720"/>
        <w:rPr>
          <w:rFonts w:ascii="Arial" w:hAnsi="Arial" w:cs="Arial"/>
        </w:rPr>
      </w:pPr>
    </w:p>
    <w:p w14:paraId="6E7A5C78" w14:textId="77777777" w:rsidR="00215B56" w:rsidRPr="00277721" w:rsidRDefault="00215B56" w:rsidP="007F74FB">
      <w:pPr>
        <w:ind w:left="993"/>
        <w:rPr>
          <w:rFonts w:ascii="Arial" w:hAnsi="Arial" w:cs="Arial"/>
        </w:rPr>
      </w:pPr>
    </w:p>
    <w:p w14:paraId="70F88B11" w14:textId="150B2F1F" w:rsidR="00133042" w:rsidRPr="00277721" w:rsidRDefault="00133042" w:rsidP="007F74FB">
      <w:pPr>
        <w:ind w:left="720"/>
        <w:rPr>
          <w:rFonts w:ascii="Arial" w:hAnsi="Arial" w:cs="Arial"/>
        </w:rPr>
      </w:pPr>
    </w:p>
    <w:p w14:paraId="40B183D8" w14:textId="77777777" w:rsidR="006722D9" w:rsidRPr="00277721" w:rsidRDefault="006722D9" w:rsidP="007F74FB"/>
    <w:sectPr w:rsidR="006722D9" w:rsidRPr="00277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744F8"/>
    <w:multiLevelType w:val="multilevel"/>
    <w:tmpl w:val="320E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B68FC"/>
    <w:multiLevelType w:val="multilevel"/>
    <w:tmpl w:val="A866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413357"/>
    <w:multiLevelType w:val="multilevel"/>
    <w:tmpl w:val="A288D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C2012"/>
    <w:multiLevelType w:val="multilevel"/>
    <w:tmpl w:val="F6CA2D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BF3130"/>
    <w:multiLevelType w:val="multilevel"/>
    <w:tmpl w:val="774AC7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0200B4"/>
    <w:multiLevelType w:val="multilevel"/>
    <w:tmpl w:val="4430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892E95"/>
    <w:multiLevelType w:val="multilevel"/>
    <w:tmpl w:val="A176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78609B"/>
    <w:multiLevelType w:val="multilevel"/>
    <w:tmpl w:val="EB1C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AF37F0"/>
    <w:multiLevelType w:val="multilevel"/>
    <w:tmpl w:val="6FC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1F4B9A"/>
    <w:multiLevelType w:val="multilevel"/>
    <w:tmpl w:val="551437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CD6178"/>
    <w:multiLevelType w:val="multilevel"/>
    <w:tmpl w:val="00FAB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7D1CC0"/>
    <w:multiLevelType w:val="multilevel"/>
    <w:tmpl w:val="6FCA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396C21"/>
    <w:multiLevelType w:val="multilevel"/>
    <w:tmpl w:val="E3641C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AC66EA"/>
    <w:multiLevelType w:val="multilevel"/>
    <w:tmpl w:val="F2207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A41148"/>
    <w:multiLevelType w:val="multilevel"/>
    <w:tmpl w:val="51C2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D96E29"/>
    <w:multiLevelType w:val="multilevel"/>
    <w:tmpl w:val="CA2A65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D96FE5"/>
    <w:multiLevelType w:val="multilevel"/>
    <w:tmpl w:val="C28AD66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17" w15:restartNumberingAfterBreak="0">
    <w:nsid w:val="40610716"/>
    <w:multiLevelType w:val="hybridMultilevel"/>
    <w:tmpl w:val="9634E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4B1EB4"/>
    <w:multiLevelType w:val="multilevel"/>
    <w:tmpl w:val="0854DD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start w:val="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EA7546"/>
    <w:multiLevelType w:val="multilevel"/>
    <w:tmpl w:val="89701C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D10887"/>
    <w:multiLevelType w:val="multilevel"/>
    <w:tmpl w:val="C69E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0C5BCA"/>
    <w:multiLevelType w:val="multilevel"/>
    <w:tmpl w:val="5832DEB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2" w15:restartNumberingAfterBreak="0">
    <w:nsid w:val="4BEA1412"/>
    <w:multiLevelType w:val="multilevel"/>
    <w:tmpl w:val="CD4C7F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45300C"/>
    <w:multiLevelType w:val="multilevel"/>
    <w:tmpl w:val="DDC45F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006B69"/>
    <w:multiLevelType w:val="multilevel"/>
    <w:tmpl w:val="DCBE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D40567"/>
    <w:multiLevelType w:val="multilevel"/>
    <w:tmpl w:val="DC66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FE2908"/>
    <w:multiLevelType w:val="multilevel"/>
    <w:tmpl w:val="B8A07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B47E80"/>
    <w:multiLevelType w:val="multilevel"/>
    <w:tmpl w:val="6B1CB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4360DB"/>
    <w:multiLevelType w:val="multilevel"/>
    <w:tmpl w:val="667890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9523FA"/>
    <w:multiLevelType w:val="multilevel"/>
    <w:tmpl w:val="CD4C7F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060DA4"/>
    <w:multiLevelType w:val="multilevel"/>
    <w:tmpl w:val="FE3E1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0C6133"/>
    <w:multiLevelType w:val="multilevel"/>
    <w:tmpl w:val="3CAA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7A1C3F"/>
    <w:multiLevelType w:val="multilevel"/>
    <w:tmpl w:val="B4F0DE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0049D3"/>
    <w:multiLevelType w:val="multilevel"/>
    <w:tmpl w:val="D320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067061"/>
    <w:multiLevelType w:val="multilevel"/>
    <w:tmpl w:val="2A60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9566F4"/>
    <w:multiLevelType w:val="multilevel"/>
    <w:tmpl w:val="B664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E83C7C"/>
    <w:multiLevelType w:val="multilevel"/>
    <w:tmpl w:val="41DC0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893A66"/>
    <w:multiLevelType w:val="multilevel"/>
    <w:tmpl w:val="3DAE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964F64"/>
    <w:multiLevelType w:val="multilevel"/>
    <w:tmpl w:val="D486D7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484EB5"/>
    <w:multiLevelType w:val="multilevel"/>
    <w:tmpl w:val="0854DD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637" w:hanging="360"/>
      </w:pPr>
      <w:rPr>
        <w:rFonts w:hint="default"/>
      </w:rPr>
    </w:lvl>
    <w:lvl w:ilvl="2">
      <w:start w:val="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9660A8"/>
    <w:multiLevelType w:val="multilevel"/>
    <w:tmpl w:val="CD4C7F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8832287">
    <w:abstractNumId w:val="26"/>
  </w:num>
  <w:num w:numId="2" w16cid:durableId="863324510">
    <w:abstractNumId w:val="31"/>
  </w:num>
  <w:num w:numId="3" w16cid:durableId="501430051">
    <w:abstractNumId w:val="25"/>
  </w:num>
  <w:num w:numId="4" w16cid:durableId="1324629761">
    <w:abstractNumId w:val="33"/>
  </w:num>
  <w:num w:numId="5" w16cid:durableId="147676613">
    <w:abstractNumId w:val="19"/>
  </w:num>
  <w:num w:numId="6" w16cid:durableId="1578244532">
    <w:abstractNumId w:val="7"/>
  </w:num>
  <w:num w:numId="7" w16cid:durableId="2001303022">
    <w:abstractNumId w:val="23"/>
  </w:num>
  <w:num w:numId="8" w16cid:durableId="960569459">
    <w:abstractNumId w:val="35"/>
  </w:num>
  <w:num w:numId="9" w16cid:durableId="1581210801">
    <w:abstractNumId w:val="4"/>
  </w:num>
  <w:num w:numId="10" w16cid:durableId="1582787468">
    <w:abstractNumId w:val="24"/>
  </w:num>
  <w:num w:numId="11" w16cid:durableId="530413944">
    <w:abstractNumId w:val="10"/>
  </w:num>
  <w:num w:numId="12" w16cid:durableId="220018622">
    <w:abstractNumId w:val="21"/>
  </w:num>
  <w:num w:numId="13" w16cid:durableId="821119175">
    <w:abstractNumId w:val="9"/>
  </w:num>
  <w:num w:numId="14" w16cid:durableId="547108780">
    <w:abstractNumId w:val="16"/>
  </w:num>
  <w:num w:numId="15" w16cid:durableId="1678144884">
    <w:abstractNumId w:val="38"/>
  </w:num>
  <w:num w:numId="16" w16cid:durableId="1564102983">
    <w:abstractNumId w:val="8"/>
  </w:num>
  <w:num w:numId="17" w16cid:durableId="797526565">
    <w:abstractNumId w:val="36"/>
  </w:num>
  <w:num w:numId="18" w16cid:durableId="403376627">
    <w:abstractNumId w:val="11"/>
  </w:num>
  <w:num w:numId="19" w16cid:durableId="565267454">
    <w:abstractNumId w:val="32"/>
  </w:num>
  <w:num w:numId="20" w16cid:durableId="1913737709">
    <w:abstractNumId w:val="6"/>
  </w:num>
  <w:num w:numId="21" w16cid:durableId="1145899104">
    <w:abstractNumId w:val="12"/>
  </w:num>
  <w:num w:numId="22" w16cid:durableId="560092986">
    <w:abstractNumId w:val="0"/>
  </w:num>
  <w:num w:numId="23" w16cid:durableId="1304387488">
    <w:abstractNumId w:val="3"/>
  </w:num>
  <w:num w:numId="24" w16cid:durableId="433864512">
    <w:abstractNumId w:val="20"/>
  </w:num>
  <w:num w:numId="25" w16cid:durableId="596790842">
    <w:abstractNumId w:val="13"/>
  </w:num>
  <w:num w:numId="26" w16cid:durableId="1263881660">
    <w:abstractNumId w:val="14"/>
  </w:num>
  <w:num w:numId="27" w16cid:durableId="1817839060">
    <w:abstractNumId w:val="39"/>
  </w:num>
  <w:num w:numId="28" w16cid:durableId="1015808303">
    <w:abstractNumId w:val="15"/>
  </w:num>
  <w:num w:numId="29" w16cid:durableId="1017274261">
    <w:abstractNumId w:val="5"/>
  </w:num>
  <w:num w:numId="30" w16cid:durableId="745107635">
    <w:abstractNumId w:val="17"/>
  </w:num>
  <w:num w:numId="31" w16cid:durableId="1498839622">
    <w:abstractNumId w:val="29"/>
  </w:num>
  <w:num w:numId="32" w16cid:durableId="717244682">
    <w:abstractNumId w:val="34"/>
  </w:num>
  <w:num w:numId="33" w16cid:durableId="1617835809">
    <w:abstractNumId w:val="40"/>
  </w:num>
  <w:num w:numId="34" w16cid:durableId="1989937270">
    <w:abstractNumId w:val="28"/>
  </w:num>
  <w:num w:numId="35" w16cid:durableId="568538969">
    <w:abstractNumId w:val="22"/>
  </w:num>
  <w:num w:numId="36" w16cid:durableId="2094740472">
    <w:abstractNumId w:val="30"/>
  </w:num>
  <w:num w:numId="37" w16cid:durableId="1779832886">
    <w:abstractNumId w:val="27"/>
  </w:num>
  <w:num w:numId="38" w16cid:durableId="1817531128">
    <w:abstractNumId w:val="2"/>
  </w:num>
  <w:num w:numId="39" w16cid:durableId="111828889">
    <w:abstractNumId w:val="37"/>
  </w:num>
  <w:num w:numId="40" w16cid:durableId="1291086944">
    <w:abstractNumId w:val="1"/>
  </w:num>
  <w:num w:numId="41" w16cid:durableId="847656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C6"/>
    <w:rsid w:val="00000FC3"/>
    <w:rsid w:val="00016CEA"/>
    <w:rsid w:val="00020556"/>
    <w:rsid w:val="00042A6C"/>
    <w:rsid w:val="00054EAE"/>
    <w:rsid w:val="00055DB3"/>
    <w:rsid w:val="000564E0"/>
    <w:rsid w:val="00072A69"/>
    <w:rsid w:val="00077F30"/>
    <w:rsid w:val="00084A38"/>
    <w:rsid w:val="00084D02"/>
    <w:rsid w:val="00094013"/>
    <w:rsid w:val="000A24DE"/>
    <w:rsid w:val="000A364B"/>
    <w:rsid w:val="000C67FE"/>
    <w:rsid w:val="000E3C3D"/>
    <w:rsid w:val="000F0B68"/>
    <w:rsid w:val="000F1726"/>
    <w:rsid w:val="00103D48"/>
    <w:rsid w:val="00105A35"/>
    <w:rsid w:val="00105B65"/>
    <w:rsid w:val="001071C1"/>
    <w:rsid w:val="00107814"/>
    <w:rsid w:val="00107B3B"/>
    <w:rsid w:val="00112065"/>
    <w:rsid w:val="00120E94"/>
    <w:rsid w:val="00121113"/>
    <w:rsid w:val="00130CC7"/>
    <w:rsid w:val="00133042"/>
    <w:rsid w:val="001354C0"/>
    <w:rsid w:val="00142256"/>
    <w:rsid w:val="001519A7"/>
    <w:rsid w:val="00155465"/>
    <w:rsid w:val="00167D1B"/>
    <w:rsid w:val="001705F1"/>
    <w:rsid w:val="001707F2"/>
    <w:rsid w:val="00172A4B"/>
    <w:rsid w:val="0017679C"/>
    <w:rsid w:val="001906B2"/>
    <w:rsid w:val="00191F28"/>
    <w:rsid w:val="00197080"/>
    <w:rsid w:val="001A35BC"/>
    <w:rsid w:val="001A6A05"/>
    <w:rsid w:val="001B1B9F"/>
    <w:rsid w:val="001C440B"/>
    <w:rsid w:val="001C4D2D"/>
    <w:rsid w:val="001C511F"/>
    <w:rsid w:val="001D0FD2"/>
    <w:rsid w:val="001E41FA"/>
    <w:rsid w:val="001F5255"/>
    <w:rsid w:val="00201F0E"/>
    <w:rsid w:val="00205F9A"/>
    <w:rsid w:val="00207EDA"/>
    <w:rsid w:val="002132C2"/>
    <w:rsid w:val="00215B56"/>
    <w:rsid w:val="00225F2C"/>
    <w:rsid w:val="00227B8A"/>
    <w:rsid w:val="00235DE7"/>
    <w:rsid w:val="00245347"/>
    <w:rsid w:val="00250914"/>
    <w:rsid w:val="00251A2A"/>
    <w:rsid w:val="00255955"/>
    <w:rsid w:val="002627EB"/>
    <w:rsid w:val="002632F0"/>
    <w:rsid w:val="002724F6"/>
    <w:rsid w:val="00277721"/>
    <w:rsid w:val="0028571C"/>
    <w:rsid w:val="00294C26"/>
    <w:rsid w:val="002A2BDB"/>
    <w:rsid w:val="002A3407"/>
    <w:rsid w:val="002A469A"/>
    <w:rsid w:val="002B18E9"/>
    <w:rsid w:val="002C616F"/>
    <w:rsid w:val="002C7145"/>
    <w:rsid w:val="002D6E53"/>
    <w:rsid w:val="002E5AA9"/>
    <w:rsid w:val="002F5A48"/>
    <w:rsid w:val="00301F6C"/>
    <w:rsid w:val="00311A48"/>
    <w:rsid w:val="00314438"/>
    <w:rsid w:val="00321ED5"/>
    <w:rsid w:val="003254E2"/>
    <w:rsid w:val="003255CB"/>
    <w:rsid w:val="00336890"/>
    <w:rsid w:val="00336CA1"/>
    <w:rsid w:val="003602B3"/>
    <w:rsid w:val="00360996"/>
    <w:rsid w:val="00365964"/>
    <w:rsid w:val="00370D7C"/>
    <w:rsid w:val="0038094C"/>
    <w:rsid w:val="00380E49"/>
    <w:rsid w:val="003856C9"/>
    <w:rsid w:val="00386F73"/>
    <w:rsid w:val="003912F8"/>
    <w:rsid w:val="003B016B"/>
    <w:rsid w:val="003B76E4"/>
    <w:rsid w:val="003C3BD5"/>
    <w:rsid w:val="003C5040"/>
    <w:rsid w:val="003D2E6F"/>
    <w:rsid w:val="003D5093"/>
    <w:rsid w:val="003D7E0D"/>
    <w:rsid w:val="003E45E9"/>
    <w:rsid w:val="003E5309"/>
    <w:rsid w:val="00401CCE"/>
    <w:rsid w:val="00412CE2"/>
    <w:rsid w:val="004247BE"/>
    <w:rsid w:val="0043532C"/>
    <w:rsid w:val="00444F98"/>
    <w:rsid w:val="00466C6F"/>
    <w:rsid w:val="00481CA5"/>
    <w:rsid w:val="0048320F"/>
    <w:rsid w:val="0048729F"/>
    <w:rsid w:val="004908BD"/>
    <w:rsid w:val="004A1E6D"/>
    <w:rsid w:val="004A461E"/>
    <w:rsid w:val="004A5CBB"/>
    <w:rsid w:val="004B0A0C"/>
    <w:rsid w:val="004B1FAC"/>
    <w:rsid w:val="004C6FF4"/>
    <w:rsid w:val="005222EC"/>
    <w:rsid w:val="00524195"/>
    <w:rsid w:val="00532C8A"/>
    <w:rsid w:val="00532F12"/>
    <w:rsid w:val="0054023C"/>
    <w:rsid w:val="00540F75"/>
    <w:rsid w:val="00543AC0"/>
    <w:rsid w:val="005534C0"/>
    <w:rsid w:val="00555F1E"/>
    <w:rsid w:val="005576FB"/>
    <w:rsid w:val="005610B6"/>
    <w:rsid w:val="00570CE1"/>
    <w:rsid w:val="005733C0"/>
    <w:rsid w:val="00573C18"/>
    <w:rsid w:val="005770D5"/>
    <w:rsid w:val="00584CDB"/>
    <w:rsid w:val="00587AC5"/>
    <w:rsid w:val="00595423"/>
    <w:rsid w:val="00596B79"/>
    <w:rsid w:val="005A2B4E"/>
    <w:rsid w:val="005A2C57"/>
    <w:rsid w:val="005A3E98"/>
    <w:rsid w:val="005B2106"/>
    <w:rsid w:val="005B4229"/>
    <w:rsid w:val="005B4313"/>
    <w:rsid w:val="005B5B1F"/>
    <w:rsid w:val="005C7531"/>
    <w:rsid w:val="005D7271"/>
    <w:rsid w:val="005D7D14"/>
    <w:rsid w:val="005E532C"/>
    <w:rsid w:val="005F3B4D"/>
    <w:rsid w:val="005F553C"/>
    <w:rsid w:val="00602798"/>
    <w:rsid w:val="00623991"/>
    <w:rsid w:val="006271EC"/>
    <w:rsid w:val="00630935"/>
    <w:rsid w:val="0063381F"/>
    <w:rsid w:val="00640635"/>
    <w:rsid w:val="00644CF1"/>
    <w:rsid w:val="00660A2F"/>
    <w:rsid w:val="00660B1E"/>
    <w:rsid w:val="0066331F"/>
    <w:rsid w:val="0066779D"/>
    <w:rsid w:val="006722D9"/>
    <w:rsid w:val="006767E6"/>
    <w:rsid w:val="00684577"/>
    <w:rsid w:val="0068675F"/>
    <w:rsid w:val="00693974"/>
    <w:rsid w:val="006B0FD6"/>
    <w:rsid w:val="006B477A"/>
    <w:rsid w:val="006C39E3"/>
    <w:rsid w:val="006E1567"/>
    <w:rsid w:val="006E6222"/>
    <w:rsid w:val="0070216D"/>
    <w:rsid w:val="00705E19"/>
    <w:rsid w:val="00707E2C"/>
    <w:rsid w:val="0072774E"/>
    <w:rsid w:val="0073746E"/>
    <w:rsid w:val="00737A2C"/>
    <w:rsid w:val="00741A91"/>
    <w:rsid w:val="0076146B"/>
    <w:rsid w:val="00763AA8"/>
    <w:rsid w:val="00772D1D"/>
    <w:rsid w:val="00783B76"/>
    <w:rsid w:val="0078658B"/>
    <w:rsid w:val="007A5B27"/>
    <w:rsid w:val="007A7DD9"/>
    <w:rsid w:val="007B2879"/>
    <w:rsid w:val="007B5AE3"/>
    <w:rsid w:val="007C10DB"/>
    <w:rsid w:val="007C28F8"/>
    <w:rsid w:val="007C4413"/>
    <w:rsid w:val="007D0C60"/>
    <w:rsid w:val="007D5BF2"/>
    <w:rsid w:val="007D7110"/>
    <w:rsid w:val="007D73EF"/>
    <w:rsid w:val="007D7A77"/>
    <w:rsid w:val="007E0F21"/>
    <w:rsid w:val="007E1FA7"/>
    <w:rsid w:val="007E5F31"/>
    <w:rsid w:val="007E6B10"/>
    <w:rsid w:val="007E774A"/>
    <w:rsid w:val="007F01DC"/>
    <w:rsid w:val="007F093C"/>
    <w:rsid w:val="007F74FB"/>
    <w:rsid w:val="0080387C"/>
    <w:rsid w:val="00812423"/>
    <w:rsid w:val="00815D62"/>
    <w:rsid w:val="00822132"/>
    <w:rsid w:val="008231C3"/>
    <w:rsid w:val="008245E8"/>
    <w:rsid w:val="00834158"/>
    <w:rsid w:val="008435E3"/>
    <w:rsid w:val="00851FCE"/>
    <w:rsid w:val="00852834"/>
    <w:rsid w:val="00863E6A"/>
    <w:rsid w:val="00863F18"/>
    <w:rsid w:val="00865777"/>
    <w:rsid w:val="008815C9"/>
    <w:rsid w:val="00884640"/>
    <w:rsid w:val="008868F6"/>
    <w:rsid w:val="0088712E"/>
    <w:rsid w:val="00893B22"/>
    <w:rsid w:val="00897984"/>
    <w:rsid w:val="00897DD2"/>
    <w:rsid w:val="008A4ED1"/>
    <w:rsid w:val="008A50A6"/>
    <w:rsid w:val="008B2319"/>
    <w:rsid w:val="008C0D70"/>
    <w:rsid w:val="008C5653"/>
    <w:rsid w:val="008D22B9"/>
    <w:rsid w:val="008D4EBE"/>
    <w:rsid w:val="008E31BB"/>
    <w:rsid w:val="008E57C6"/>
    <w:rsid w:val="008E6B49"/>
    <w:rsid w:val="00903FFC"/>
    <w:rsid w:val="009070C8"/>
    <w:rsid w:val="00914A02"/>
    <w:rsid w:val="009200BB"/>
    <w:rsid w:val="00920C8C"/>
    <w:rsid w:val="00922015"/>
    <w:rsid w:val="00930F24"/>
    <w:rsid w:val="00941594"/>
    <w:rsid w:val="00953932"/>
    <w:rsid w:val="009560FD"/>
    <w:rsid w:val="00964A3E"/>
    <w:rsid w:val="00964D4A"/>
    <w:rsid w:val="00971FBF"/>
    <w:rsid w:val="00972B09"/>
    <w:rsid w:val="009746FE"/>
    <w:rsid w:val="0097485C"/>
    <w:rsid w:val="00976561"/>
    <w:rsid w:val="00986941"/>
    <w:rsid w:val="0099077B"/>
    <w:rsid w:val="009924F0"/>
    <w:rsid w:val="009A1E04"/>
    <w:rsid w:val="009A48B1"/>
    <w:rsid w:val="009B778F"/>
    <w:rsid w:val="009D0F32"/>
    <w:rsid w:val="009D1EFD"/>
    <w:rsid w:val="009D359B"/>
    <w:rsid w:val="009D45E6"/>
    <w:rsid w:val="009E002F"/>
    <w:rsid w:val="009E06B0"/>
    <w:rsid w:val="009E1E8F"/>
    <w:rsid w:val="009E33AA"/>
    <w:rsid w:val="009E4295"/>
    <w:rsid w:val="009F3707"/>
    <w:rsid w:val="009F3F23"/>
    <w:rsid w:val="009F5B22"/>
    <w:rsid w:val="00A002D0"/>
    <w:rsid w:val="00A04727"/>
    <w:rsid w:val="00A114DC"/>
    <w:rsid w:val="00A20D58"/>
    <w:rsid w:val="00A312F5"/>
    <w:rsid w:val="00A40466"/>
    <w:rsid w:val="00A47B51"/>
    <w:rsid w:val="00A50371"/>
    <w:rsid w:val="00A606D3"/>
    <w:rsid w:val="00A61D93"/>
    <w:rsid w:val="00A674E0"/>
    <w:rsid w:val="00A80E06"/>
    <w:rsid w:val="00A95A51"/>
    <w:rsid w:val="00AA072E"/>
    <w:rsid w:val="00AA2B22"/>
    <w:rsid w:val="00AA2EB7"/>
    <w:rsid w:val="00AA6594"/>
    <w:rsid w:val="00AA7860"/>
    <w:rsid w:val="00AB1FAB"/>
    <w:rsid w:val="00AB3FE9"/>
    <w:rsid w:val="00AB5CA7"/>
    <w:rsid w:val="00AD7DE0"/>
    <w:rsid w:val="00AE65C4"/>
    <w:rsid w:val="00AF79F4"/>
    <w:rsid w:val="00B04476"/>
    <w:rsid w:val="00B049BB"/>
    <w:rsid w:val="00B05264"/>
    <w:rsid w:val="00B06AB9"/>
    <w:rsid w:val="00B15BBF"/>
    <w:rsid w:val="00B20731"/>
    <w:rsid w:val="00B21B97"/>
    <w:rsid w:val="00B229B8"/>
    <w:rsid w:val="00B25B7D"/>
    <w:rsid w:val="00B30AA0"/>
    <w:rsid w:val="00B3277B"/>
    <w:rsid w:val="00B36DD7"/>
    <w:rsid w:val="00B5205D"/>
    <w:rsid w:val="00B55B3E"/>
    <w:rsid w:val="00B628C5"/>
    <w:rsid w:val="00B768C1"/>
    <w:rsid w:val="00B820FF"/>
    <w:rsid w:val="00B864E7"/>
    <w:rsid w:val="00B97C47"/>
    <w:rsid w:val="00BA192B"/>
    <w:rsid w:val="00BA274C"/>
    <w:rsid w:val="00BA5CD4"/>
    <w:rsid w:val="00BB374D"/>
    <w:rsid w:val="00BB633B"/>
    <w:rsid w:val="00BB7953"/>
    <w:rsid w:val="00BC3AC0"/>
    <w:rsid w:val="00BC547C"/>
    <w:rsid w:val="00BD0651"/>
    <w:rsid w:val="00BD4C3B"/>
    <w:rsid w:val="00BF1676"/>
    <w:rsid w:val="00BF2464"/>
    <w:rsid w:val="00C041E4"/>
    <w:rsid w:val="00C065AA"/>
    <w:rsid w:val="00C10633"/>
    <w:rsid w:val="00C13A82"/>
    <w:rsid w:val="00C16256"/>
    <w:rsid w:val="00C458B6"/>
    <w:rsid w:val="00C53D97"/>
    <w:rsid w:val="00C64AD2"/>
    <w:rsid w:val="00C71CFF"/>
    <w:rsid w:val="00C7339E"/>
    <w:rsid w:val="00C85046"/>
    <w:rsid w:val="00C91158"/>
    <w:rsid w:val="00C93B59"/>
    <w:rsid w:val="00CA777A"/>
    <w:rsid w:val="00CA7CC6"/>
    <w:rsid w:val="00CB5C64"/>
    <w:rsid w:val="00CB7A9C"/>
    <w:rsid w:val="00CC1C41"/>
    <w:rsid w:val="00CC1EF8"/>
    <w:rsid w:val="00CC352D"/>
    <w:rsid w:val="00CC60B7"/>
    <w:rsid w:val="00CC6982"/>
    <w:rsid w:val="00CD183A"/>
    <w:rsid w:val="00CD190D"/>
    <w:rsid w:val="00CE235B"/>
    <w:rsid w:val="00CE273B"/>
    <w:rsid w:val="00CE4156"/>
    <w:rsid w:val="00CE697A"/>
    <w:rsid w:val="00CF0FC1"/>
    <w:rsid w:val="00D058CB"/>
    <w:rsid w:val="00D21B38"/>
    <w:rsid w:val="00D27317"/>
    <w:rsid w:val="00D416B6"/>
    <w:rsid w:val="00D46A24"/>
    <w:rsid w:val="00D57F8F"/>
    <w:rsid w:val="00D642C8"/>
    <w:rsid w:val="00D65F8A"/>
    <w:rsid w:val="00D6722C"/>
    <w:rsid w:val="00D81E53"/>
    <w:rsid w:val="00D90154"/>
    <w:rsid w:val="00D93C42"/>
    <w:rsid w:val="00D97AC0"/>
    <w:rsid w:val="00DA7641"/>
    <w:rsid w:val="00DB4BA9"/>
    <w:rsid w:val="00DE0DE4"/>
    <w:rsid w:val="00E00177"/>
    <w:rsid w:val="00E01E6A"/>
    <w:rsid w:val="00E1664B"/>
    <w:rsid w:val="00E175A7"/>
    <w:rsid w:val="00E231FE"/>
    <w:rsid w:val="00E41CC7"/>
    <w:rsid w:val="00E4672C"/>
    <w:rsid w:val="00E47089"/>
    <w:rsid w:val="00E47BAF"/>
    <w:rsid w:val="00E5676F"/>
    <w:rsid w:val="00E60A48"/>
    <w:rsid w:val="00E67A92"/>
    <w:rsid w:val="00E75408"/>
    <w:rsid w:val="00E76CD6"/>
    <w:rsid w:val="00E8680D"/>
    <w:rsid w:val="00E9524C"/>
    <w:rsid w:val="00E9545F"/>
    <w:rsid w:val="00EA5206"/>
    <w:rsid w:val="00EB1D71"/>
    <w:rsid w:val="00EB201F"/>
    <w:rsid w:val="00EB7A2C"/>
    <w:rsid w:val="00EC599E"/>
    <w:rsid w:val="00EC5AF4"/>
    <w:rsid w:val="00ED1F01"/>
    <w:rsid w:val="00EE0497"/>
    <w:rsid w:val="00EE7A26"/>
    <w:rsid w:val="00EF04E8"/>
    <w:rsid w:val="00EF6D31"/>
    <w:rsid w:val="00F2579D"/>
    <w:rsid w:val="00F306A4"/>
    <w:rsid w:val="00F35611"/>
    <w:rsid w:val="00F37ADF"/>
    <w:rsid w:val="00F4428A"/>
    <w:rsid w:val="00F4569A"/>
    <w:rsid w:val="00F560D3"/>
    <w:rsid w:val="00F650EA"/>
    <w:rsid w:val="00F7267D"/>
    <w:rsid w:val="00F7371E"/>
    <w:rsid w:val="00F848BC"/>
    <w:rsid w:val="00F8779B"/>
    <w:rsid w:val="00F91B9F"/>
    <w:rsid w:val="00F9505C"/>
    <w:rsid w:val="00FA4C5E"/>
    <w:rsid w:val="00FB1878"/>
    <w:rsid w:val="00FB6F9C"/>
    <w:rsid w:val="00FC05E6"/>
    <w:rsid w:val="00FC2928"/>
    <w:rsid w:val="00FC6534"/>
    <w:rsid w:val="00FC6D39"/>
    <w:rsid w:val="00FD1D45"/>
    <w:rsid w:val="00FD36C4"/>
    <w:rsid w:val="00FD3B3E"/>
    <w:rsid w:val="00FD4202"/>
    <w:rsid w:val="00FE3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708A7"/>
  <w15:chartTrackingRefBased/>
  <w15:docId w15:val="{204E0278-6C66-408A-8E4D-8DAAC037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57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5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5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5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5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57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57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57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57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E5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5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5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5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5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5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5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57C6"/>
    <w:rPr>
      <w:rFonts w:eastAsiaTheme="majorEastAsia" w:cstheme="majorBidi"/>
      <w:color w:val="272727" w:themeColor="text1" w:themeTint="D8"/>
    </w:rPr>
  </w:style>
  <w:style w:type="paragraph" w:styleId="Title">
    <w:name w:val="Title"/>
    <w:basedOn w:val="Normal"/>
    <w:next w:val="Normal"/>
    <w:link w:val="TitleChar"/>
    <w:uiPriority w:val="10"/>
    <w:qFormat/>
    <w:rsid w:val="008E57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5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57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5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57C6"/>
    <w:pPr>
      <w:spacing w:before="160"/>
      <w:jc w:val="center"/>
    </w:pPr>
    <w:rPr>
      <w:i/>
      <w:iCs/>
      <w:color w:val="404040" w:themeColor="text1" w:themeTint="BF"/>
    </w:rPr>
  </w:style>
  <w:style w:type="character" w:customStyle="1" w:styleId="QuoteChar">
    <w:name w:val="Quote Char"/>
    <w:basedOn w:val="DefaultParagraphFont"/>
    <w:link w:val="Quote"/>
    <w:uiPriority w:val="29"/>
    <w:rsid w:val="008E57C6"/>
    <w:rPr>
      <w:i/>
      <w:iCs/>
      <w:color w:val="404040" w:themeColor="text1" w:themeTint="BF"/>
    </w:rPr>
  </w:style>
  <w:style w:type="paragraph" w:styleId="ListParagraph">
    <w:name w:val="List Paragraph"/>
    <w:basedOn w:val="Normal"/>
    <w:uiPriority w:val="34"/>
    <w:qFormat/>
    <w:rsid w:val="008E57C6"/>
    <w:pPr>
      <w:ind w:left="720"/>
      <w:contextualSpacing/>
    </w:pPr>
  </w:style>
  <w:style w:type="character" w:styleId="IntenseEmphasis">
    <w:name w:val="Intense Emphasis"/>
    <w:basedOn w:val="DefaultParagraphFont"/>
    <w:uiPriority w:val="21"/>
    <w:qFormat/>
    <w:rsid w:val="008E57C6"/>
    <w:rPr>
      <w:i/>
      <w:iCs/>
      <w:color w:val="0F4761" w:themeColor="accent1" w:themeShade="BF"/>
    </w:rPr>
  </w:style>
  <w:style w:type="paragraph" w:styleId="IntenseQuote">
    <w:name w:val="Intense Quote"/>
    <w:basedOn w:val="Normal"/>
    <w:next w:val="Normal"/>
    <w:link w:val="IntenseQuoteChar"/>
    <w:uiPriority w:val="30"/>
    <w:qFormat/>
    <w:rsid w:val="008E5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57C6"/>
    <w:rPr>
      <w:i/>
      <w:iCs/>
      <w:color w:val="0F4761" w:themeColor="accent1" w:themeShade="BF"/>
    </w:rPr>
  </w:style>
  <w:style w:type="character" w:styleId="IntenseReference">
    <w:name w:val="Intense Reference"/>
    <w:basedOn w:val="DefaultParagraphFont"/>
    <w:uiPriority w:val="32"/>
    <w:qFormat/>
    <w:rsid w:val="008E57C6"/>
    <w:rPr>
      <w:b/>
      <w:bCs/>
      <w:smallCaps/>
      <w:color w:val="0F4761" w:themeColor="accent1" w:themeShade="BF"/>
      <w:spacing w:val="5"/>
    </w:rPr>
  </w:style>
  <w:style w:type="character" w:customStyle="1" w:styleId="accordion-tabbedtab-mobile">
    <w:name w:val="accordion-tabbed__tab-mobile"/>
    <w:basedOn w:val="DefaultParagraphFont"/>
    <w:rsid w:val="00CC60B7"/>
  </w:style>
  <w:style w:type="character" w:styleId="Hyperlink">
    <w:name w:val="Hyperlink"/>
    <w:basedOn w:val="DefaultParagraphFont"/>
    <w:uiPriority w:val="99"/>
    <w:unhideWhenUsed/>
    <w:rsid w:val="00CC60B7"/>
    <w:rPr>
      <w:color w:val="0000FF"/>
      <w:u w:val="single"/>
    </w:rPr>
  </w:style>
  <w:style w:type="character" w:customStyle="1" w:styleId="comma-separator">
    <w:name w:val="comma-separator"/>
    <w:basedOn w:val="DefaultParagraphFont"/>
    <w:rsid w:val="00CC60B7"/>
  </w:style>
  <w:style w:type="character" w:customStyle="1" w:styleId="epub-state">
    <w:name w:val="epub-state"/>
    <w:basedOn w:val="DefaultParagraphFont"/>
    <w:rsid w:val="00CC60B7"/>
  </w:style>
  <w:style w:type="character" w:customStyle="1" w:styleId="epub-date">
    <w:name w:val="epub-date"/>
    <w:basedOn w:val="DefaultParagraphFont"/>
    <w:rsid w:val="00CC60B7"/>
  </w:style>
  <w:style w:type="character" w:styleId="UnresolvedMention">
    <w:name w:val="Unresolved Mention"/>
    <w:basedOn w:val="DefaultParagraphFont"/>
    <w:uiPriority w:val="99"/>
    <w:semiHidden/>
    <w:unhideWhenUsed/>
    <w:rsid w:val="00A80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4959">
      <w:bodyDiv w:val="1"/>
      <w:marLeft w:val="0"/>
      <w:marRight w:val="0"/>
      <w:marTop w:val="0"/>
      <w:marBottom w:val="0"/>
      <w:divBdr>
        <w:top w:val="none" w:sz="0" w:space="0" w:color="auto"/>
        <w:left w:val="none" w:sz="0" w:space="0" w:color="auto"/>
        <w:bottom w:val="none" w:sz="0" w:space="0" w:color="auto"/>
        <w:right w:val="none" w:sz="0" w:space="0" w:color="auto"/>
      </w:divBdr>
    </w:div>
    <w:div w:id="207229133">
      <w:bodyDiv w:val="1"/>
      <w:marLeft w:val="0"/>
      <w:marRight w:val="0"/>
      <w:marTop w:val="0"/>
      <w:marBottom w:val="0"/>
      <w:divBdr>
        <w:top w:val="none" w:sz="0" w:space="0" w:color="auto"/>
        <w:left w:val="none" w:sz="0" w:space="0" w:color="auto"/>
        <w:bottom w:val="none" w:sz="0" w:space="0" w:color="auto"/>
        <w:right w:val="none" w:sz="0" w:space="0" w:color="auto"/>
      </w:divBdr>
      <w:divsChild>
        <w:div w:id="648678411">
          <w:marLeft w:val="0"/>
          <w:marRight w:val="0"/>
          <w:marTop w:val="0"/>
          <w:marBottom w:val="0"/>
          <w:divBdr>
            <w:top w:val="single" w:sz="2" w:space="0" w:color="auto"/>
            <w:left w:val="single" w:sz="2" w:space="0" w:color="auto"/>
            <w:bottom w:val="single" w:sz="2" w:space="0" w:color="auto"/>
            <w:right w:val="single" w:sz="2" w:space="0" w:color="auto"/>
          </w:divBdr>
          <w:divsChild>
            <w:div w:id="1713118137">
              <w:marLeft w:val="0"/>
              <w:marRight w:val="0"/>
              <w:marTop w:val="0"/>
              <w:marBottom w:val="0"/>
              <w:divBdr>
                <w:top w:val="single" w:sz="2" w:space="0" w:color="auto"/>
                <w:left w:val="single" w:sz="2" w:space="0" w:color="auto"/>
                <w:bottom w:val="single" w:sz="2" w:space="0" w:color="auto"/>
                <w:right w:val="single" w:sz="2" w:space="0" w:color="auto"/>
              </w:divBdr>
              <w:divsChild>
                <w:div w:id="114723741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346561801">
      <w:bodyDiv w:val="1"/>
      <w:marLeft w:val="0"/>
      <w:marRight w:val="0"/>
      <w:marTop w:val="0"/>
      <w:marBottom w:val="0"/>
      <w:divBdr>
        <w:top w:val="none" w:sz="0" w:space="0" w:color="auto"/>
        <w:left w:val="none" w:sz="0" w:space="0" w:color="auto"/>
        <w:bottom w:val="none" w:sz="0" w:space="0" w:color="auto"/>
        <w:right w:val="none" w:sz="0" w:space="0" w:color="auto"/>
      </w:divBdr>
      <w:divsChild>
        <w:div w:id="85469318">
          <w:marLeft w:val="0"/>
          <w:marRight w:val="0"/>
          <w:marTop w:val="0"/>
          <w:marBottom w:val="0"/>
          <w:divBdr>
            <w:top w:val="none" w:sz="0" w:space="0" w:color="auto"/>
            <w:left w:val="none" w:sz="0" w:space="0" w:color="auto"/>
            <w:bottom w:val="none" w:sz="0" w:space="0" w:color="auto"/>
            <w:right w:val="none" w:sz="0" w:space="0" w:color="auto"/>
          </w:divBdr>
        </w:div>
        <w:div w:id="634063706">
          <w:marLeft w:val="0"/>
          <w:marRight w:val="0"/>
          <w:marTop w:val="0"/>
          <w:marBottom w:val="0"/>
          <w:divBdr>
            <w:top w:val="none" w:sz="0" w:space="0" w:color="auto"/>
            <w:left w:val="none" w:sz="0" w:space="0" w:color="auto"/>
            <w:bottom w:val="none" w:sz="0" w:space="0" w:color="auto"/>
            <w:right w:val="none" w:sz="0" w:space="0" w:color="auto"/>
          </w:divBdr>
        </w:div>
        <w:div w:id="223029138">
          <w:marLeft w:val="0"/>
          <w:marRight w:val="0"/>
          <w:marTop w:val="0"/>
          <w:marBottom w:val="0"/>
          <w:divBdr>
            <w:top w:val="none" w:sz="0" w:space="0" w:color="auto"/>
            <w:left w:val="none" w:sz="0" w:space="0" w:color="auto"/>
            <w:bottom w:val="none" w:sz="0" w:space="0" w:color="auto"/>
            <w:right w:val="none" w:sz="0" w:space="0" w:color="auto"/>
          </w:divBdr>
        </w:div>
      </w:divsChild>
    </w:div>
    <w:div w:id="357852097">
      <w:bodyDiv w:val="1"/>
      <w:marLeft w:val="0"/>
      <w:marRight w:val="0"/>
      <w:marTop w:val="0"/>
      <w:marBottom w:val="0"/>
      <w:divBdr>
        <w:top w:val="none" w:sz="0" w:space="0" w:color="auto"/>
        <w:left w:val="none" w:sz="0" w:space="0" w:color="auto"/>
        <w:bottom w:val="none" w:sz="0" w:space="0" w:color="auto"/>
        <w:right w:val="none" w:sz="0" w:space="0" w:color="auto"/>
      </w:divBdr>
    </w:div>
    <w:div w:id="471484050">
      <w:bodyDiv w:val="1"/>
      <w:marLeft w:val="0"/>
      <w:marRight w:val="0"/>
      <w:marTop w:val="0"/>
      <w:marBottom w:val="0"/>
      <w:divBdr>
        <w:top w:val="none" w:sz="0" w:space="0" w:color="auto"/>
        <w:left w:val="none" w:sz="0" w:space="0" w:color="auto"/>
        <w:bottom w:val="none" w:sz="0" w:space="0" w:color="auto"/>
        <w:right w:val="none" w:sz="0" w:space="0" w:color="auto"/>
      </w:divBdr>
    </w:div>
    <w:div w:id="528109255">
      <w:bodyDiv w:val="1"/>
      <w:marLeft w:val="0"/>
      <w:marRight w:val="0"/>
      <w:marTop w:val="0"/>
      <w:marBottom w:val="0"/>
      <w:divBdr>
        <w:top w:val="none" w:sz="0" w:space="0" w:color="auto"/>
        <w:left w:val="none" w:sz="0" w:space="0" w:color="auto"/>
        <w:bottom w:val="none" w:sz="0" w:space="0" w:color="auto"/>
        <w:right w:val="none" w:sz="0" w:space="0" w:color="auto"/>
      </w:divBdr>
    </w:div>
    <w:div w:id="812721955">
      <w:bodyDiv w:val="1"/>
      <w:marLeft w:val="0"/>
      <w:marRight w:val="0"/>
      <w:marTop w:val="0"/>
      <w:marBottom w:val="0"/>
      <w:divBdr>
        <w:top w:val="none" w:sz="0" w:space="0" w:color="auto"/>
        <w:left w:val="none" w:sz="0" w:space="0" w:color="auto"/>
        <w:bottom w:val="none" w:sz="0" w:space="0" w:color="auto"/>
        <w:right w:val="none" w:sz="0" w:space="0" w:color="auto"/>
      </w:divBdr>
    </w:div>
    <w:div w:id="857693409">
      <w:bodyDiv w:val="1"/>
      <w:marLeft w:val="0"/>
      <w:marRight w:val="0"/>
      <w:marTop w:val="0"/>
      <w:marBottom w:val="0"/>
      <w:divBdr>
        <w:top w:val="none" w:sz="0" w:space="0" w:color="auto"/>
        <w:left w:val="none" w:sz="0" w:space="0" w:color="auto"/>
        <w:bottom w:val="none" w:sz="0" w:space="0" w:color="auto"/>
        <w:right w:val="none" w:sz="0" w:space="0" w:color="auto"/>
      </w:divBdr>
      <w:divsChild>
        <w:div w:id="1391031602">
          <w:marLeft w:val="0"/>
          <w:marRight w:val="0"/>
          <w:marTop w:val="0"/>
          <w:marBottom w:val="0"/>
          <w:divBdr>
            <w:top w:val="single" w:sz="2" w:space="0" w:color="auto"/>
            <w:left w:val="single" w:sz="2" w:space="0" w:color="auto"/>
            <w:bottom w:val="single" w:sz="2" w:space="0" w:color="auto"/>
            <w:right w:val="single" w:sz="2" w:space="0" w:color="auto"/>
          </w:divBdr>
          <w:divsChild>
            <w:div w:id="1786189184">
              <w:marLeft w:val="0"/>
              <w:marRight w:val="0"/>
              <w:marTop w:val="0"/>
              <w:marBottom w:val="0"/>
              <w:divBdr>
                <w:top w:val="single" w:sz="2" w:space="0" w:color="auto"/>
                <w:left w:val="single" w:sz="2" w:space="0" w:color="auto"/>
                <w:bottom w:val="single" w:sz="2" w:space="0" w:color="auto"/>
                <w:right w:val="single" w:sz="2" w:space="0" w:color="auto"/>
              </w:divBdr>
              <w:divsChild>
                <w:div w:id="104957485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85814001">
      <w:bodyDiv w:val="1"/>
      <w:marLeft w:val="0"/>
      <w:marRight w:val="0"/>
      <w:marTop w:val="0"/>
      <w:marBottom w:val="0"/>
      <w:divBdr>
        <w:top w:val="none" w:sz="0" w:space="0" w:color="auto"/>
        <w:left w:val="none" w:sz="0" w:space="0" w:color="auto"/>
        <w:bottom w:val="none" w:sz="0" w:space="0" w:color="auto"/>
        <w:right w:val="none" w:sz="0" w:space="0" w:color="auto"/>
      </w:divBdr>
    </w:div>
    <w:div w:id="1035085481">
      <w:bodyDiv w:val="1"/>
      <w:marLeft w:val="0"/>
      <w:marRight w:val="0"/>
      <w:marTop w:val="0"/>
      <w:marBottom w:val="0"/>
      <w:divBdr>
        <w:top w:val="none" w:sz="0" w:space="0" w:color="auto"/>
        <w:left w:val="none" w:sz="0" w:space="0" w:color="auto"/>
        <w:bottom w:val="none" w:sz="0" w:space="0" w:color="auto"/>
        <w:right w:val="none" w:sz="0" w:space="0" w:color="auto"/>
      </w:divBdr>
    </w:div>
    <w:div w:id="1260140982">
      <w:bodyDiv w:val="1"/>
      <w:marLeft w:val="0"/>
      <w:marRight w:val="0"/>
      <w:marTop w:val="0"/>
      <w:marBottom w:val="0"/>
      <w:divBdr>
        <w:top w:val="none" w:sz="0" w:space="0" w:color="auto"/>
        <w:left w:val="none" w:sz="0" w:space="0" w:color="auto"/>
        <w:bottom w:val="none" w:sz="0" w:space="0" w:color="auto"/>
        <w:right w:val="none" w:sz="0" w:space="0" w:color="auto"/>
      </w:divBdr>
    </w:div>
    <w:div w:id="1260328782">
      <w:bodyDiv w:val="1"/>
      <w:marLeft w:val="0"/>
      <w:marRight w:val="0"/>
      <w:marTop w:val="0"/>
      <w:marBottom w:val="0"/>
      <w:divBdr>
        <w:top w:val="none" w:sz="0" w:space="0" w:color="auto"/>
        <w:left w:val="none" w:sz="0" w:space="0" w:color="auto"/>
        <w:bottom w:val="none" w:sz="0" w:space="0" w:color="auto"/>
        <w:right w:val="none" w:sz="0" w:space="0" w:color="auto"/>
      </w:divBdr>
    </w:div>
    <w:div w:id="1422988613">
      <w:bodyDiv w:val="1"/>
      <w:marLeft w:val="0"/>
      <w:marRight w:val="0"/>
      <w:marTop w:val="0"/>
      <w:marBottom w:val="0"/>
      <w:divBdr>
        <w:top w:val="none" w:sz="0" w:space="0" w:color="auto"/>
        <w:left w:val="none" w:sz="0" w:space="0" w:color="auto"/>
        <w:bottom w:val="none" w:sz="0" w:space="0" w:color="auto"/>
        <w:right w:val="none" w:sz="0" w:space="0" w:color="auto"/>
      </w:divBdr>
      <w:divsChild>
        <w:div w:id="191696160">
          <w:marLeft w:val="0"/>
          <w:marRight w:val="0"/>
          <w:marTop w:val="0"/>
          <w:marBottom w:val="0"/>
          <w:divBdr>
            <w:top w:val="none" w:sz="0" w:space="0" w:color="auto"/>
            <w:left w:val="none" w:sz="0" w:space="0" w:color="auto"/>
            <w:bottom w:val="none" w:sz="0" w:space="0" w:color="auto"/>
            <w:right w:val="none" w:sz="0" w:space="0" w:color="auto"/>
          </w:divBdr>
          <w:divsChild>
            <w:div w:id="1023241037">
              <w:marLeft w:val="0"/>
              <w:marRight w:val="0"/>
              <w:marTop w:val="0"/>
              <w:marBottom w:val="0"/>
              <w:divBdr>
                <w:top w:val="none" w:sz="0" w:space="0" w:color="auto"/>
                <w:left w:val="none" w:sz="0" w:space="0" w:color="auto"/>
                <w:bottom w:val="none" w:sz="0" w:space="0" w:color="auto"/>
                <w:right w:val="none" w:sz="0" w:space="0" w:color="auto"/>
              </w:divBdr>
              <w:divsChild>
                <w:div w:id="146624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10595">
          <w:marLeft w:val="0"/>
          <w:marRight w:val="0"/>
          <w:marTop w:val="0"/>
          <w:marBottom w:val="0"/>
          <w:divBdr>
            <w:top w:val="none" w:sz="0" w:space="0" w:color="auto"/>
            <w:left w:val="none" w:sz="0" w:space="0" w:color="auto"/>
            <w:bottom w:val="none" w:sz="0" w:space="0" w:color="auto"/>
            <w:right w:val="none" w:sz="0" w:space="0" w:color="auto"/>
          </w:divBdr>
          <w:divsChild>
            <w:div w:id="998922527">
              <w:marLeft w:val="0"/>
              <w:marRight w:val="0"/>
              <w:marTop w:val="0"/>
              <w:marBottom w:val="0"/>
              <w:divBdr>
                <w:top w:val="none" w:sz="0" w:space="0" w:color="auto"/>
                <w:left w:val="none" w:sz="0" w:space="0" w:color="auto"/>
                <w:bottom w:val="none" w:sz="0" w:space="0" w:color="auto"/>
                <w:right w:val="none" w:sz="0" w:space="0" w:color="auto"/>
              </w:divBdr>
              <w:divsChild>
                <w:div w:id="22630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39773">
          <w:marLeft w:val="0"/>
          <w:marRight w:val="0"/>
          <w:marTop w:val="0"/>
          <w:marBottom w:val="0"/>
          <w:divBdr>
            <w:top w:val="none" w:sz="0" w:space="0" w:color="auto"/>
            <w:left w:val="none" w:sz="0" w:space="0" w:color="auto"/>
            <w:bottom w:val="none" w:sz="0" w:space="0" w:color="auto"/>
            <w:right w:val="none" w:sz="0" w:space="0" w:color="auto"/>
          </w:divBdr>
          <w:divsChild>
            <w:div w:id="993529624">
              <w:marLeft w:val="0"/>
              <w:marRight w:val="0"/>
              <w:marTop w:val="0"/>
              <w:marBottom w:val="0"/>
              <w:divBdr>
                <w:top w:val="none" w:sz="0" w:space="0" w:color="auto"/>
                <w:left w:val="none" w:sz="0" w:space="0" w:color="auto"/>
                <w:bottom w:val="none" w:sz="0" w:space="0" w:color="auto"/>
                <w:right w:val="none" w:sz="0" w:space="0" w:color="auto"/>
              </w:divBdr>
            </w:div>
            <w:div w:id="47810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37317">
      <w:bodyDiv w:val="1"/>
      <w:marLeft w:val="0"/>
      <w:marRight w:val="0"/>
      <w:marTop w:val="0"/>
      <w:marBottom w:val="0"/>
      <w:divBdr>
        <w:top w:val="none" w:sz="0" w:space="0" w:color="auto"/>
        <w:left w:val="none" w:sz="0" w:space="0" w:color="auto"/>
        <w:bottom w:val="none" w:sz="0" w:space="0" w:color="auto"/>
        <w:right w:val="none" w:sz="0" w:space="0" w:color="auto"/>
      </w:divBdr>
    </w:div>
    <w:div w:id="1606380069">
      <w:bodyDiv w:val="1"/>
      <w:marLeft w:val="0"/>
      <w:marRight w:val="0"/>
      <w:marTop w:val="0"/>
      <w:marBottom w:val="0"/>
      <w:divBdr>
        <w:top w:val="none" w:sz="0" w:space="0" w:color="auto"/>
        <w:left w:val="none" w:sz="0" w:space="0" w:color="auto"/>
        <w:bottom w:val="none" w:sz="0" w:space="0" w:color="auto"/>
        <w:right w:val="none" w:sz="0" w:space="0" w:color="auto"/>
      </w:divBdr>
    </w:div>
    <w:div w:id="1841116445">
      <w:bodyDiv w:val="1"/>
      <w:marLeft w:val="0"/>
      <w:marRight w:val="0"/>
      <w:marTop w:val="0"/>
      <w:marBottom w:val="0"/>
      <w:divBdr>
        <w:top w:val="none" w:sz="0" w:space="0" w:color="auto"/>
        <w:left w:val="none" w:sz="0" w:space="0" w:color="auto"/>
        <w:bottom w:val="none" w:sz="0" w:space="0" w:color="auto"/>
        <w:right w:val="none" w:sz="0" w:space="0" w:color="auto"/>
      </w:divBdr>
    </w:div>
    <w:div w:id="1876234096">
      <w:bodyDiv w:val="1"/>
      <w:marLeft w:val="0"/>
      <w:marRight w:val="0"/>
      <w:marTop w:val="0"/>
      <w:marBottom w:val="0"/>
      <w:divBdr>
        <w:top w:val="none" w:sz="0" w:space="0" w:color="auto"/>
        <w:left w:val="none" w:sz="0" w:space="0" w:color="auto"/>
        <w:bottom w:val="none" w:sz="0" w:space="0" w:color="auto"/>
        <w:right w:val="none" w:sz="0" w:space="0" w:color="auto"/>
      </w:divBdr>
    </w:div>
    <w:div w:id="1987973948">
      <w:bodyDiv w:val="1"/>
      <w:marLeft w:val="0"/>
      <w:marRight w:val="0"/>
      <w:marTop w:val="0"/>
      <w:marBottom w:val="0"/>
      <w:divBdr>
        <w:top w:val="none" w:sz="0" w:space="0" w:color="auto"/>
        <w:left w:val="none" w:sz="0" w:space="0" w:color="auto"/>
        <w:bottom w:val="none" w:sz="0" w:space="0" w:color="auto"/>
        <w:right w:val="none" w:sz="0" w:space="0" w:color="auto"/>
      </w:divBdr>
    </w:div>
    <w:div w:id="2061980332">
      <w:bodyDiv w:val="1"/>
      <w:marLeft w:val="0"/>
      <w:marRight w:val="0"/>
      <w:marTop w:val="0"/>
      <w:marBottom w:val="0"/>
      <w:divBdr>
        <w:top w:val="none" w:sz="0" w:space="0" w:color="auto"/>
        <w:left w:val="none" w:sz="0" w:space="0" w:color="auto"/>
        <w:bottom w:val="none" w:sz="0" w:space="0" w:color="auto"/>
        <w:right w:val="none" w:sz="0" w:space="0" w:color="auto"/>
      </w:divBdr>
    </w:div>
    <w:div w:id="209061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ance24.com/en/live-news/20231201-regional-tourism-a-casualty-in-israel-hamas-conflict" TargetMode="External"/><Relationship Id="rId13" Type="http://schemas.openxmlformats.org/officeDocument/2006/relationships/hyperlink" Target="https://www.radissonhotels.com/en-us/blog/destination/10-things-you-need-to-know-about-the-remarkable-red-seaus/blog/destination/10-things-you-need-to-know-about-the-remarkable-red-sea" TargetMode="External"/><Relationship Id="rId18" Type="http://schemas.openxmlformats.org/officeDocument/2006/relationships/hyperlink" Target="https://journals.ekb.eg/article_151670.html" TargetMode="External"/><Relationship Id="rId3" Type="http://schemas.openxmlformats.org/officeDocument/2006/relationships/settings" Target="settings.xml"/><Relationship Id="rId7" Type="http://schemas.openxmlformats.org/officeDocument/2006/relationships/hyperlink" Target="https://www.aljazeera.com/news/2024/2/24/how-israels-war-on-gaza-is-bleeding-egypts-economy" TargetMode="External"/><Relationship Id="rId12" Type="http://schemas.openxmlformats.org/officeDocument/2006/relationships/hyperlink" Target="https://journals.ekb.eg/article_275146.html" TargetMode="External"/><Relationship Id="rId17" Type="http://schemas.openxmlformats.org/officeDocument/2006/relationships/hyperlink" Target="https://doi.org/10.4337/9781789908305" TargetMode="External"/><Relationship Id="rId2" Type="http://schemas.openxmlformats.org/officeDocument/2006/relationships/styles" Target="styles.xml"/><Relationship Id="rId16" Type="http://schemas.openxmlformats.org/officeDocument/2006/relationships/hyperlink" Target="https://onlinelibrary.wiley.com/doi/abs/10.1002/9781119753797.ch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tate.gov/the-abraham-accords" TargetMode="External"/><Relationship Id="rId11" Type="http://schemas.openxmlformats.org/officeDocument/2006/relationships/hyperlink" Target="https://ideas.repec.org/s/ehl/lserod.html" TargetMode="External"/><Relationship Id="rId5" Type="http://schemas.openxmlformats.org/officeDocument/2006/relationships/hyperlink" Target="https://journals.ekb.eg/article_366921.html" TargetMode="External"/><Relationship Id="rId15" Type="http://schemas.openxmlformats.org/officeDocument/2006/relationships/hyperlink" Target="https://www.mdpi.com/2077-1312/12/11/1900" TargetMode="External"/><Relationship Id="rId10" Type="http://schemas.openxmlformats.org/officeDocument/2006/relationships/hyperlink" Target="https://ideas.repec.org/p/ehl/lserod/108236.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80/09669582.2020.1758708" TargetMode="External"/><Relationship Id="rId14" Type="http://schemas.openxmlformats.org/officeDocument/2006/relationships/hyperlink" Target="https://www.radissonhotels.com/en-us/blog/destination/10-things-you-need-to-know-about-the-remarkable-red-seaus/blog/destination/10-things-you-need-to-know-about-the-remarkable-red-se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4150</Words>
  <Characters>23656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Festus Tumi</dc:creator>
  <cp:keywords/>
  <dc:description/>
  <cp:lastModifiedBy>Festus Tumi</cp:lastModifiedBy>
  <cp:revision>8</cp:revision>
  <dcterms:created xsi:type="dcterms:W3CDTF">2025-02-07T12:40:00Z</dcterms:created>
  <dcterms:modified xsi:type="dcterms:W3CDTF">2025-02-07T15:30:00Z</dcterms:modified>
</cp:coreProperties>
</file>