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C0BA98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11C36">
              <w:rPr>
                <w:rFonts w:ascii="Times New Roman" w:hAnsi="Times New Roman" w:cs="Times New Roman"/>
                <w:b/>
                <w:color w:val="auto"/>
                <w:sz w:val="48"/>
              </w:rPr>
              <w:t xml:space="preserve">Kerry </w:t>
            </w:r>
            <w:proofErr w:type="spellStart"/>
            <w:r w:rsidR="00011C36">
              <w:rPr>
                <w:rFonts w:ascii="Times New Roman" w:hAnsi="Times New Roman" w:cs="Times New Roman"/>
                <w:b/>
                <w:color w:val="auto"/>
                <w:sz w:val="48"/>
              </w:rPr>
              <w:t>vaughan</w:t>
            </w:r>
            <w:proofErr w:type="spellEnd"/>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2CD5D4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11C36">
              <w:rPr>
                <w:rFonts w:ascii="Times New Roman" w:hAnsi="Times New Roman" w:cs="Times New Roman"/>
                <w:b/>
                <w:color w:val="auto"/>
                <w:sz w:val="48"/>
              </w:rPr>
              <w:t>2518219@student.uwtsd.ac.uk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E821418" w14:textId="7285A87F" w:rsidR="00011C36" w:rsidRPr="005D3F07" w:rsidRDefault="00011C3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2518219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1D3E7765" w14:textId="77777777" w:rsidR="00011C36" w:rsidRDefault="00011C36" w:rsidP="00FF7EBB">
            <w:pPr>
              <w:jc w:val="both"/>
              <w:rPr>
                <w:i/>
                <w:sz w:val="24"/>
                <w:szCs w:val="24"/>
              </w:rPr>
            </w:pPr>
          </w:p>
          <w:p w14:paraId="1D42431A"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 xml:space="preserve">This case study critically reflects on my involvement in a complex pre-birth assessment undertaken within Children's Services. The case concerned an unborn child whose mother had a diagnosed learning disability and whose father had </w:t>
            </w:r>
            <w:proofErr w:type="gramStart"/>
            <w:r w:rsidRPr="00663902">
              <w:rPr>
                <w:rFonts w:ascii="Segoe UI" w:hAnsi="Segoe UI" w:cs="Segoe UI"/>
                <w:sz w:val="21"/>
                <w:szCs w:val="21"/>
              </w:rPr>
              <w:t>Attention Deficit Hyperactivity Disorder</w:t>
            </w:r>
            <w:proofErr w:type="gramEnd"/>
            <w:r w:rsidRPr="00663902">
              <w:rPr>
                <w:rFonts w:ascii="Segoe UI" w:hAnsi="Segoe UI" w:cs="Segoe UI"/>
                <w:sz w:val="21"/>
                <w:szCs w:val="21"/>
              </w:rPr>
              <w:t xml:space="preserve"> (ADHD) and mild learning needs. Concerns relating to domestic abuse, parental substance misuse, parental vulnerability, limited engagement with professionals and historical trauma resulted in child protection intervention, legal planning and the baby's placement with maternal grandparents under Regulation 26 of the Care Planning, Placement and Case Review (Wales) Regulations 2015 (Welsh Government, 2015b).</w:t>
            </w:r>
          </w:p>
          <w:p w14:paraId="1214ECED"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This reflection is informed by Gibbs' Reflective Cycle (Gibbs, 1988) and examines the application of Welsh safeguarding legislation, human rights principles, professional judgement and social work theory within a complex pre-birth assessment.</w:t>
            </w:r>
          </w:p>
          <w:p w14:paraId="47D20794" w14:textId="77777777" w:rsidR="00011C36" w:rsidRPr="00663902" w:rsidRDefault="00011C36" w:rsidP="00011C36">
            <w:pPr>
              <w:spacing w:line="300" w:lineRule="atLeast"/>
              <w:rPr>
                <w:rFonts w:ascii="Segoe UI" w:hAnsi="Segoe UI" w:cs="Segoe UI"/>
                <w:sz w:val="21"/>
                <w:szCs w:val="21"/>
              </w:rPr>
            </w:pPr>
            <w:r w:rsidRPr="00663902">
              <w:rPr>
                <w:rFonts w:ascii="Segoe UI" w:hAnsi="Segoe UI" w:cs="Segoe UI"/>
                <w:sz w:val="21"/>
                <w:szCs w:val="21"/>
              </w:rPr>
              <w:t>My practice was informed by the Social Services and Well-being (Wales) Act 2014 and the Well-being of Future Generations (Wales) Act 2015, which emphasise participation, prevention, well-being, partnership working and strengths-based practice (Welsh Government, 2014; Welsh Government, 2015a).</w:t>
            </w:r>
            <w:r w:rsidRPr="00565B49">
              <w:rPr>
                <w:rFonts w:ascii="Segoe UI" w:hAnsi="Segoe UI" w:cs="Segoe UI"/>
                <w:sz w:val="21"/>
                <w:szCs w:val="21"/>
              </w:rPr>
              <w:t xml:space="preserve"> These principles build upon the longstanding child welfare principles established within the Children Act 1989, particularly the requirement that the child's welfare remains the paramount consideration in decisions affecting their upbringing (UK Government, 1989)</w:t>
            </w:r>
            <w:r>
              <w:rPr>
                <w:rFonts w:ascii="Segoe UI" w:hAnsi="Segoe UI" w:cs="Segoe UI"/>
                <w:sz w:val="21"/>
                <w:szCs w:val="21"/>
              </w:rPr>
              <w:t xml:space="preserve">. My </w:t>
            </w:r>
            <w:r w:rsidRPr="00663902">
              <w:rPr>
                <w:rFonts w:ascii="Segoe UI" w:hAnsi="Segoe UI" w:cs="Segoe UI"/>
                <w:sz w:val="21"/>
                <w:szCs w:val="21"/>
              </w:rPr>
              <w:t xml:space="preserve"> Practice was further guided by Working Together to Safeguard People and the Wales Safeguarding Procedures, which require agencies to work collaboratively to protect children from abuse, neglect and harm (Welsh Government, 2022; Wales Safeguarding Procedures Project Board, 2019).</w:t>
            </w:r>
          </w:p>
          <w:p w14:paraId="5F799D8B"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lastRenderedPageBreak/>
              <w:t>Although my practice was governed by Welsh legislation, decision-making was also influenced by wider UK and international frameworks. Article 8 of the European Convention on Human Rights (ECHR), incorporated into UK law through the Human Rights Act 1998 (UK Government, 1998), provides a right to respect for private and family life. Throughout the assessment and subsequent interventions, I was required to balance the parents' right to family life against the Local Authority's duty to safeguard the unborn child. This case highlighted how Welsh social work practice operates within a devolved legislative framework while remaining informed by UK-wide human rights legislation and international conventions.</w:t>
            </w:r>
          </w:p>
          <w:p w14:paraId="579DC319"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case was additionally informed by the United Nations Convention on the Rights of the Child (UNCRC), which establishes that the child's best interests should be a primary consideration in all decisions affecting them (United Nations, 1989). Given that the unborn child was unable to express their own views, professionals were required to advocate for their welfare, developmental needs and future well-being. The United Nations Convention on the Rights of Persons with Disabilities (UNCRPD) was also relevant because of the mother's learning disability and the father's additional learning needs (United Nations, 2006). The Convention reinforced the importance of participation, accessibility and non-discrimination, requiring reasonable adjustments and advocacy support throughout the assessment process.</w:t>
            </w:r>
          </w:p>
          <w:p w14:paraId="5A527B9C" w14:textId="77777777" w:rsidR="00011C36" w:rsidRPr="00565B49" w:rsidRDefault="00011C36" w:rsidP="00011C36">
            <w:pPr>
              <w:spacing w:line="300" w:lineRule="atLeast"/>
              <w:rPr>
                <w:rFonts w:ascii="Segoe UI" w:hAnsi="Segoe UI" w:cs="Segoe UI"/>
                <w:sz w:val="21"/>
                <w:szCs w:val="21"/>
              </w:rPr>
            </w:pPr>
            <w:r w:rsidRPr="00663902">
              <w:rPr>
                <w:rFonts w:ascii="Segoe UI" w:hAnsi="Segoe UI" w:cs="Segoe UI"/>
                <w:sz w:val="21"/>
                <w:szCs w:val="21"/>
              </w:rPr>
              <w:t>Reflecting upon these frameworks strengthened my appreciation that safeguarding practice in Wales does not operate in isolation but is informed by Welsh legislation, UK law and international commitments to human rights, social justice and child welfare.</w:t>
            </w:r>
            <w:r>
              <w:rPr>
                <w:rFonts w:ascii="Segoe UI" w:hAnsi="Segoe UI" w:cs="Segoe UI"/>
                <w:sz w:val="21"/>
                <w:szCs w:val="21"/>
              </w:rPr>
              <w:t xml:space="preserve"> </w:t>
            </w:r>
            <w:r w:rsidRPr="00565B49">
              <w:rPr>
                <w:rFonts w:ascii="Segoe UI" w:hAnsi="Segoe UI" w:cs="Segoe UI"/>
                <w:sz w:val="21"/>
                <w:szCs w:val="21"/>
              </w:rPr>
              <w:t>Whilst both Wales and Australia adopt child-centred safeguarding frameworks informed by the United Nations Convention on the Rights of the Child (UNCRC), Australia places greater emphasis on statutory mandatory reporting requirements across professional groups, whereas Welsh safeguarding practice places stronger emphasis on partnership working, well-being and strengths-based intervention within a devolved legislative framework.</w:t>
            </w:r>
          </w:p>
          <w:p w14:paraId="295CEE3C"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Pr>
                <w:rFonts w:ascii="Segoe UI" w:hAnsi="Segoe UI" w:cs="Segoe UI"/>
                <w:sz w:val="21"/>
                <w:szCs w:val="21"/>
              </w:rPr>
              <w:t xml:space="preserve"> </w:t>
            </w:r>
            <w:r w:rsidRPr="00663902">
              <w:rPr>
                <w:rFonts w:ascii="Segoe UI" w:hAnsi="Segoe UI" w:cs="Segoe UI"/>
                <w:sz w:val="21"/>
                <w:szCs w:val="21"/>
              </w:rPr>
              <w:t xml:space="preserve"> Furthermore, reflecting on the application of Article 8 highlighted the complexity of human rights decision-making within child protection practice. Whilst the parents possessed a legitimate right to family life, the unborn child also had rights to protection, safety and well-being. This required careful consideration of proportionality and necessity. The eventual decision to pursue a family-based placement under Regulation 26 represented an attempt to minimise state intrusion whilst ensuring the child's immediate safety. This experience strengthened my understanding that human rights and safeguarding should not be viewed as competing principles. Instead, effective social work practice requires practitioners to balance rights, responsibilities and risks whilst ensuring that interventions remain proportionate and evidence based. The decision-making process therefore involved not only assessing risk but also evaluating whether proposed interventions represented the least restrictive option capable of safeguarding the child whilst respecting family life (UK Government, 1998).</w:t>
            </w:r>
          </w:p>
          <w:p w14:paraId="6D2C301D"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assessment commenced during pregnancy following concerns raised by professionals regarding domestic abuse, parental substance misuse and parental vulnerability. My role was to undertake a holistic assessment of parenting capacity, identify risks and strengths and consider the potential impact upon the unborn child.</w:t>
            </w:r>
          </w:p>
          <w:p w14:paraId="533EAAD7"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 xml:space="preserve">In line with the SSWBA, I sought to maximise participation and ensure both parents had opportunities to contribute to the assessment. Information was adapted to reflect the mother's learning disability and the father's ADHD and mild learning needs. Additional support was offered to assist understanding of </w:t>
            </w:r>
            <w:r w:rsidRPr="00663902">
              <w:rPr>
                <w:rFonts w:ascii="Segoe UI" w:hAnsi="Segoe UI" w:cs="Segoe UI"/>
                <w:sz w:val="21"/>
                <w:szCs w:val="21"/>
              </w:rPr>
              <w:lastRenderedPageBreak/>
              <w:t>concerns, professional processes and potential outcomes. Advocacy referrals were also completed to promote meaningful participation. The presence of learning disabilities and additional learning needs required me to remain mindful of anti-oppressive and rights-based practice principles. Reflecting on the assessment challenged any unconscious assumptions linking disability with parenting capacity. Both the UNCRPD and social work values emphasise that disability should never be viewed as a predictor of poor parenting. Consequently, I sought to distinguish between needs arising from disability and concerns arising from safeguarding risks. This strengthened my understanding of the importance of accessible communication, reasonable adjustments and equitable participation within safeguarding assessments. The experience reinforced that parenting assessments must focus upon the impact of identified risks on children rather than assumptions relating to disability or diagnosis.</w:t>
            </w:r>
          </w:p>
          <w:p w14:paraId="262CDFEF"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Research indicates that parents with learning disabilities frequently experience discrimination within child protection systems and may be judged according to their diagnosis rather than their actual parenting capacity (McGaw and Newman, 2005). Reflecting on this case encouraged me to critically examine my own assumptions and ensure that assessment focused on the child's lived experience, available support and observed risks rather than disability alone. This reinforced the importance of anti-oppressive practice and highlighted the need to distinguish between disability-related support needs and safeguarding concerns.</w:t>
            </w:r>
          </w:p>
          <w:p w14:paraId="2297A7E5"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Despite these efforts, engagement remained inconsistent throughout the assessment period. Initially, I experienced uncertainty regarding whether sufficient information would be available to complete a robust and balanced assessment. Through reflection and supervision, I recognised that disengagement should not automatically be interpreted as resistance but may reflect anxiety, previous experiences with professionals, learning needs or unresolved trauma.</w:t>
            </w:r>
          </w:p>
          <w:p w14:paraId="2F10CE64"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My approach was additionally informed by relationship-based practice, which emphasises the importance of empathy, trust, communication and purposeful professional relationships (Ruch, Turney and Ward, 2018). Throughout the assessment, I sought to establish respectful and transparent relationships with both parents. Reflection reinforced that relationship-based practice requires a balance of support and challenge whilst maintaining a clear focus on safeguarding responsibilities and the child's welfare (Ruch, Turney and Ward, 2018).</w:t>
            </w:r>
          </w:p>
          <w:p w14:paraId="32CA8FC5"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most significant challenge within this assessment was analysing the cumulative effect of multiple safeguarding concerns. Domestic abuse, parental substance misuse, learning needs, trauma and poor engagement were all present. Whilst each concern was significant individually, my role required consideration of how these factors interacted to influence parenting capacity and future child welfare.</w:t>
            </w:r>
          </w:p>
          <w:p w14:paraId="1FFA504F"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Domestic abuse featured prominently throughout the assessment and raised concerns regarding emotional well-being, relationship stability and future caregiving capacity. Alongside this, concerns existed regarding maternal drug misuse and suspected alcohol misuse, together with the father's alcohol misuse. These concerns increased the risk of inconsistent care, impaired judgement and reduced ability to prioritise the needs of a vulnerable infant.</w:t>
            </w:r>
          </w:p>
          <w:p w14:paraId="19AB798A" w14:textId="09108EBE" w:rsidR="00035BED" w:rsidRPr="00035BED" w:rsidRDefault="00011C36" w:rsidP="0069238C">
            <w:pPr>
              <w:spacing w:before="100" w:beforeAutospacing="1" w:after="100" w:afterAutospacing="1" w:line="300" w:lineRule="atLeast"/>
              <w:rPr>
                <w:rFonts w:ascii="Segoe UI" w:hAnsi="Segoe UI" w:cs="Segoe UI"/>
                <w:color w:val="auto"/>
                <w:sz w:val="21"/>
                <w:szCs w:val="21"/>
              </w:rPr>
            </w:pPr>
            <w:r w:rsidRPr="00663902">
              <w:rPr>
                <w:rFonts w:ascii="Segoe UI" w:hAnsi="Segoe UI" w:cs="Segoe UI"/>
                <w:sz w:val="21"/>
                <w:szCs w:val="21"/>
              </w:rPr>
              <w:t xml:space="preserve">My assessment was informed by </w:t>
            </w:r>
            <w:r w:rsidR="00035BED" w:rsidRPr="00035BED">
              <w:rPr>
                <w:rFonts w:ascii="Segoe UI" w:hAnsi="Segoe UI" w:cs="Segoe UI"/>
                <w:color w:val="auto"/>
                <w:sz w:val="21"/>
                <w:szCs w:val="21"/>
              </w:rPr>
              <w:t xml:space="preserve">Research examining pre-birth safeguarding identifies alcohol misuse, drug misuse and parental vulnerability as significant factors associated with increased risk to unborn </w:t>
            </w:r>
            <w:r w:rsidR="00035BED" w:rsidRPr="00035BED">
              <w:rPr>
                <w:rFonts w:ascii="Segoe UI" w:hAnsi="Segoe UI" w:cs="Segoe UI"/>
                <w:color w:val="auto"/>
                <w:sz w:val="21"/>
                <w:szCs w:val="21"/>
              </w:rPr>
              <w:lastRenderedPageBreak/>
              <w:t>children and highlights the complexity of professional decision-making in such cases (Mc Elhinney, Taylor and Sinclair, 2021).</w:t>
            </w:r>
          </w:p>
          <w:p w14:paraId="341A7398"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Through supervision and critical reflection, I developed a greater understanding of cumulative harm and how multiple adversities increase the likelihood of poor outcomes for children. Research examining Serious Case Reviews has consistently demonstrated that significant harm rarely results from a single incident. Rather, it commonly arises from the interaction of multiple parental, environmental and social factors that accumulate over time. Brandon et al. (2020) identified the complex and cumulative nature of neglect and highlighted how domestic abuse, parental substance misuse, poor mental health, poverty and family instability often coexist, creating escalating risks for children. These findings reinforced the importance of adopting a holistic assessment approach rather than assessing each concern in isolation (Brandon et al., 2020).</w:t>
            </w:r>
          </w:p>
          <w:p w14:paraId="75D151F3"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Brandon et al. (2020) argue that practitioners can become desensitised to chronic and persistent concerns when these are presented over extended periods, potentially leading to a gradual normalisation of risk. Reflecting on this case reinforced the importance of maintaining professional curiosity and continually reassessing the cumulative impact of parental behaviours rather than viewing concerns as isolated incidents. This challenged me to consider how professional optimism may inadvertently minimise risk and highlighted the necessity of evidence-informed analysis within safeguarding assessments.</w:t>
            </w:r>
          </w:p>
          <w:p w14:paraId="7A41DF45"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A further complexity within the assessment was the uncertainty inherent in pre-birth work. Unlike assessments involving children already experiencing care, pre-birth assessments require practitioners to analyse future risk rather than observe established parenting practice. This created an ethical and professional challenge because decisions had to be based upon the likely impact of parental behaviours, lifestyle factors and vulnerabilities on an unborn child. Research suggests that professional decision-making in pre-birth safeguarding is particularly complex because practitioners must evaluate a range of interacting risk factors while managing uncertainty regarding future parenting capacity and family functioning. Common indicators identified within the literature include domestic abuse, substance misuse, parental learning needs, mental health difficulties and previous safeguarding concerns, many of which were present within this case (McElhinney, Taylor and Sinclair, 2019).</w:t>
            </w:r>
          </w:p>
          <w:p w14:paraId="4C1F4DFB"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Reflecting on this uncertainty strengthened my appreciation of the responsibility placed upon social workers to balance evidence, professional judgement and precautionary safeguarding principles. Whilst future parenting behaviour can never be predicted with complete certainty, the interaction of domestic abuse, substance misuse, parental vulnerability and limited engagement indicated a significant likelihood of future harm if effective intervention was not undertaken. Consequently, my analysis focused on patterns, probability and potential impact rather than individual incidents viewed in isolation.</w:t>
            </w:r>
          </w:p>
          <w:p w14:paraId="67FF7005"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Bronfenbrenner's Ecological Systems Theory (Bronfenbrenner, 1979) informed my assessment by enabling me to consider the broader systems affecting parenting capacity. This included family relationships, support networks, professional involvement, housing, health services and wider environmental influences. The theory highlighted that parental behaviour should be understood within the wider social, familial and environmental context in which the family lived.</w:t>
            </w:r>
          </w:p>
          <w:p w14:paraId="4D7967DA"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lastRenderedPageBreak/>
              <w:t>While Ecological Systems Theory supported my understanding of the broader social and environmental context influencing parenting capacity, Attachment Theory enabled a more detailed analysis of the child's emotional and developmental needs.</w:t>
            </w:r>
          </w:p>
          <w:p w14:paraId="4591EF96"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Attachment Theory (Bowlby, 1969) further strengthened my analysis. The theory emphasises the importance of consistent, emotionally responsive caregiving in promoting secure attachment and healthy child development. Attachment Theory encouraged consideration of both immediate risk and longer-term emotional development (Bowlby, 1969).</w:t>
            </w:r>
          </w:p>
          <w:p w14:paraId="0AA11BB9"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 xml:space="preserve">Reflecting on the application of Attachment Theory also encouraged consideration of the child's future lived experience. Whilst assessments often focus upon immediate safety, Attachment Theory highlights the longer-term significance of consistent caregiving, emotional </w:t>
            </w:r>
            <w:proofErr w:type="spellStart"/>
            <w:r w:rsidRPr="00663902">
              <w:rPr>
                <w:rFonts w:ascii="Segoe UI" w:hAnsi="Segoe UI" w:cs="Segoe UI"/>
                <w:sz w:val="21"/>
                <w:szCs w:val="21"/>
              </w:rPr>
              <w:t>attunement</w:t>
            </w:r>
            <w:proofErr w:type="spellEnd"/>
            <w:r w:rsidRPr="00663902">
              <w:rPr>
                <w:rFonts w:ascii="Segoe UI" w:hAnsi="Segoe UI" w:cs="Segoe UI"/>
                <w:sz w:val="21"/>
                <w:szCs w:val="21"/>
              </w:rPr>
              <w:t xml:space="preserve"> and relational stability in promoting resilience and healthy development. This reinforced the need to consider developmental outcomes alongside immediate safeguarding concerns.</w:t>
            </w:r>
          </w:p>
          <w:p w14:paraId="61B12D98"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Domestic abuse, substance misuse and instability within the parental relationship raised concerns regarding the parents' ability to provide the reliable and emotionally attuned caregiving required by a newborn baby. Reflecting on this aspect of the case enhanced my understanding that safeguarding involves more than protecting children from physical harm. It also requires consideration of emotional security, relationships and developmental outcomes.</w:t>
            </w:r>
          </w:p>
          <w:p w14:paraId="652F128F"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Attachment Theory additionally assisted me in identifying protective factors. Whilst concerns existed regarding parental capacity, the maternal grandparents demonstrated the potential to provide nurturing, stable and responsive care. This became a significant factor in later care planning decisions and supported consideration of family-based alternatives to more intrusive interventions.</w:t>
            </w:r>
          </w:p>
          <w:p w14:paraId="59E7D8D5"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mother's disclosure of unwanted sexualised behaviour by a trusted adult during childhood further increased the complexity of the assessment. Adopting a trauma-informed approach (Harris and Fallot, 2001) enabled me to consider the possible impact of historical abuse on emotional well-being, relationships and parenting capacity. Whilst understanding trauma was important, reflection reinforced the need to maintain a clear focus on the unborn child's welfare and safety.</w:t>
            </w:r>
          </w:p>
          <w:p w14:paraId="2E7637E6"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This also highlighted a broader tension within safeguarding practice. Whilst trauma-informed approaches encourage practitioners to understand the impact of adversity on parental functioning, social workers must avoid allowing empathy for parental experiences to obscure assessment of risk to children. Reflection reinforced that understanding parental trauma should enhance, rather than replace, critical analysis of parenting capacity and child welfare.</w:t>
            </w:r>
          </w:p>
          <w:p w14:paraId="084B4834"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concerns identified in this case reflected wider safeguarding trends within Wales. Child protection data indicate that neglect and emotional harm remain among the most common reasons for children becoming subject to child protection procedures. This reinforced the importance of understanding how multiple adversities interact rather than focusing solely on isolated incidents (Welsh Government, 2025).</w:t>
            </w:r>
          </w:p>
          <w:p w14:paraId="4B1D979B" w14:textId="77777777" w:rsidR="00011C36" w:rsidRPr="00565B49" w:rsidRDefault="00011C36" w:rsidP="00011C36">
            <w:pPr>
              <w:spacing w:line="300" w:lineRule="atLeast"/>
              <w:rPr>
                <w:rFonts w:ascii="Segoe UI" w:hAnsi="Segoe UI" w:cs="Segoe UI"/>
                <w:sz w:val="21"/>
                <w:szCs w:val="21"/>
              </w:rPr>
            </w:pPr>
            <w:r w:rsidRPr="00663902">
              <w:rPr>
                <w:rFonts w:ascii="Segoe UI" w:hAnsi="Segoe UI" w:cs="Segoe UI"/>
                <w:sz w:val="21"/>
                <w:szCs w:val="21"/>
              </w:rPr>
              <w:t xml:space="preserve">Reflecting on the identified risks also encouraged consideration of wider structural inequalities. Whilst the assessment focused appropriately upon parental behaviours and parenting capacity, Ecological Systems </w:t>
            </w:r>
            <w:r w:rsidRPr="00663902">
              <w:rPr>
                <w:rFonts w:ascii="Segoe UI" w:hAnsi="Segoe UI" w:cs="Segoe UI"/>
                <w:sz w:val="21"/>
                <w:szCs w:val="21"/>
              </w:rPr>
              <w:lastRenderedPageBreak/>
              <w:t>Theory highlighted that individual difficulties frequently exist alongside broader social factors such as poverty, social exclusion, limited access to services and health inequalities (Bronfenbrenner, 1979). Although these factors did not remove parental responsibility, they provided important context for understanding family vulnerability and reinforced the need for practitioners to balance individual accountability with recognition of wider social influences</w:t>
            </w:r>
            <w:r w:rsidRPr="00663902">
              <w:rPr>
                <w:rFonts w:ascii="Segoe UI" w:hAnsi="Segoe UI" w:cs="Segoe UI"/>
                <w:b/>
                <w:bCs/>
                <w:sz w:val="21"/>
                <w:szCs w:val="21"/>
              </w:rPr>
              <w:t>.</w:t>
            </w:r>
            <w:r>
              <w:rPr>
                <w:rFonts w:ascii="Segoe UI" w:hAnsi="Segoe UI" w:cs="Segoe UI"/>
                <w:b/>
                <w:bCs/>
                <w:sz w:val="21"/>
                <w:szCs w:val="21"/>
              </w:rPr>
              <w:t xml:space="preserve">  </w:t>
            </w:r>
            <w:r w:rsidRPr="00565B49">
              <w:rPr>
                <w:rFonts w:ascii="Segoe UI" w:hAnsi="Segoe UI" w:cs="Segoe UI"/>
                <w:sz w:val="21"/>
                <w:szCs w:val="21"/>
              </w:rPr>
              <w:t>This was particularly relevant within the community in which the family lived, where levels of unemployment and economic inactivity reflected wider socioeconomic challenges experienced across some communities in Wales. Local labour market data for the area indicated an unemployment rate of approximately 3.3% and economic inactivity of 22.3%, highlighting the importance of considering how wider social and economic factors may influence family functioning, stress, vulnerability and engagement with services. Whilst these factors do not diminish parental responsibility, they provide important context for understanding the environmental and structural influences affecting families involved in safeguarding assessments.</w:t>
            </w:r>
          </w:p>
          <w:p w14:paraId="494DEF4C"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A central principle of Welsh social work practice is the identification and promotion of strengths (</w:t>
            </w:r>
            <w:proofErr w:type="spellStart"/>
            <w:r w:rsidRPr="00663902">
              <w:rPr>
                <w:rFonts w:ascii="Segoe UI" w:hAnsi="Segoe UI" w:cs="Segoe UI"/>
                <w:sz w:val="21"/>
                <w:szCs w:val="21"/>
              </w:rPr>
              <w:t>Saleebey</w:t>
            </w:r>
            <w:proofErr w:type="spellEnd"/>
            <w:r w:rsidRPr="00663902">
              <w:rPr>
                <w:rFonts w:ascii="Segoe UI" w:hAnsi="Segoe UI" w:cs="Segoe UI"/>
                <w:sz w:val="21"/>
                <w:szCs w:val="21"/>
              </w:rPr>
              <w:t>, 2013). Throughout the assessment, I sought to identify protective factors and support networks rather than focusing exclusively upon deficits.</w:t>
            </w:r>
          </w:p>
          <w:p w14:paraId="4DE21638"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Both parents demonstrated a commitment to caring for their child, and there was evidence of support from the maternal family network. Whilst recognising these strengths was important, they could not negate the significance of domestic abuse, substance misuse and concerns regarding parenting capacity.</w:t>
            </w:r>
          </w:p>
          <w:p w14:paraId="757B337D"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Whilst strengths-based practice promotes empowerment, participation and self-determination, its application within safeguarding contexts is not without tension. Reflecting on this case highlighted the potential for professional optimism to influence risk assessment when practitioners become overly focused on parental strengths or intentions for change. In this situation, parental motivation and family support represented important protective factors; however, these strengths could not be considered in isolation from the cumulative risks associated with domestic abuse, substance misuse and parental vulnerability. This reinforced my understanding that strengths-based practice should not minimise risk but should instead support a more balanced and nuanced assessment. Effective safeguarding requires practitioners to hold both strengths and concerns in mind simultaneously, avoiding simplistic representations of families as either resilient or high risk.</w:t>
            </w:r>
          </w:p>
          <w:p w14:paraId="127337C0"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A Family Group Conference (FGC) was convened to explore support available within the wider maternal family. This reflected the principles of co-production and strengths-based practice by recognising family members as potential contributors to safeguarding planning. The FGC provided an opportunity for extended family members to identify how they could support the maternal grandparents and contribute to arrangements for the child.</w:t>
            </w:r>
          </w:p>
          <w:p w14:paraId="692E859B"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FGC demonstrated the value of family-led decision-making and reinforced the importance of identifying family resources early within safeguarding assessments.</w:t>
            </w:r>
          </w:p>
          <w:p w14:paraId="38C888BD"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As concerns escalated, a multi-agency strategy discussion was convened. Information was gathered from health professionals, midwifery services, substance misuse services, police and other partner agencies. This emphasised the importance of collaborative working and demonstrated that effective safeguarding relies upon coordinated information sharing and collective analysis.</w:t>
            </w:r>
          </w:p>
          <w:p w14:paraId="0032970D"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lastRenderedPageBreak/>
              <w:t xml:space="preserve">Reflecting on the strategy discussion enhanced my appreciation of information sharing, professional challenge and collective accountability. Whilst differing professional perspectives occasionally created uncertainty regarding the level of risk and the most appropriate intervention, these differences ultimately strengthened analysis and reduced the likelihood of decision-making being influenced by a single professional narrative. This experience challenged my previous assumption that effective multi-agency working is characterised by consensus. Instead, I recognised that constructive disagreement </w:t>
            </w:r>
            <w:proofErr w:type="gramStart"/>
            <w:r w:rsidRPr="00663902">
              <w:rPr>
                <w:rFonts w:ascii="Segoe UI" w:hAnsi="Segoe UI" w:cs="Segoe UI"/>
                <w:sz w:val="21"/>
                <w:szCs w:val="21"/>
              </w:rPr>
              <w:t>can</w:t>
            </w:r>
            <w:proofErr w:type="gramEnd"/>
            <w:r w:rsidRPr="00663902">
              <w:rPr>
                <w:rFonts w:ascii="Segoe UI" w:hAnsi="Segoe UI" w:cs="Segoe UI"/>
                <w:sz w:val="21"/>
                <w:szCs w:val="21"/>
              </w:rPr>
              <w:t xml:space="preserve"> improve safeguarding analysis by encouraging critical reflection, scrutiny of assumptions and greater consideration of alternative interpretations of risk.</w:t>
            </w:r>
          </w:p>
          <w:p w14:paraId="2FD97FC7"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Reflection also encouraged consideration of the organisational context in which safeguarding decisions are made. Professionals were required to undertake assessment and decision-making within statutory timescales whilst managing competing demands and complex family circumstances. Although safeguarding procedures provide an important framework for decision-making, they cannot remove the uncertainty inherent within practice. This reinforced my understanding that effective safeguarding relies not only upon professional skill but also upon organisational cultures that support supervision, reflective practice and professional challenge.</w:t>
            </w:r>
          </w:p>
          <w:p w14:paraId="4607B5A8"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Following the strategy discussion, legal advice was sought and the case progressed to a Legal Planning Meeting. Concerns regarding domestic abuse, substance misuse, parental vulnerability and poor engagement were considered against statutory thresholds. Through reflection, I questioned whether additional opportunities for support should have been explored before escalating intervention. However, discussion within supervision, legal planning and multi-agency forums reinforced that the level of cumulative risk required formal safeguarding action.</w:t>
            </w:r>
          </w:p>
          <w:p w14:paraId="30D0D762"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An Initial Child Protection Conference was convened in respect of the unborn child. Following professional discussion, it was agreed that the unborn baby's name should be placed on the Child Protection Register at birth under the categories of neglect and emotional harm. A Core Group was subsequently established to coordinate intervention and monitor progress. The decision reflected the principle of early intervention and was informed by the evidence presented regarding the child's risk of neglect and emotional harm (Wales Safeguarding Procedures Project Board, 2019).</w:t>
            </w:r>
          </w:p>
          <w:p w14:paraId="56E38CE9"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As part of the process, I completed the Social Work Evidence Template (SWET). This required presentation of evidence in a concise, analytical and legally defensible manner. Reflecting on this experience strengthened my understanding of the distinction between information gathering and analysis. It highlighted that effective assessments are defined not by the quantity of information collected, but by the quality of professional analysis applied to that information.</w:t>
            </w:r>
          </w:p>
          <w:p w14:paraId="72A1BD54"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Professional judgement was central throughout this case. There were parental strengths, evidence of family support and positive intentions towards the child. Equally, there were significant safeguarding concerns. This required balancing competing perspectives, uncertainty and ethical dilemmas.</w:t>
            </w:r>
          </w:p>
          <w:p w14:paraId="41E934EE"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 xml:space="preserve">Munro (2011) argues that professional judgement involves more than procedural compliance and requires practitioners to analyse uncertainty, ambiguity and complexity. Reflecting on this case reinforced that safeguarding decisions cannot be reduced to statutory thresholds alone. Professional judgement required </w:t>
            </w:r>
            <w:r w:rsidRPr="00663902">
              <w:rPr>
                <w:rFonts w:ascii="Segoe UI" w:hAnsi="Segoe UI" w:cs="Segoe UI"/>
                <w:sz w:val="21"/>
                <w:szCs w:val="21"/>
              </w:rPr>
              <w:lastRenderedPageBreak/>
              <w:t>the integration of research, legislation, supervision, professional values and assessment evidence. This highlighted the importance of reflective decision-making when working with families whose circumstances do not fit neatly within procedural frameworks.</w:t>
            </w:r>
          </w:p>
          <w:p w14:paraId="2AA05A37"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experience strengthened my confidence in exercising professional judgement whilst also highlighting its limitations. Reflecting on the case reinforced that safeguarding assessments are rarely characterised by certainty and that professional judgement is influenced by interpretation, values, organisational context and available evidence. This increased my awareness of the potential for bias, assumption and professional optimism to shape decision-making. As a result, I developed a greater appreciation of supervision, professional challenge and reflective practice as safeguards against flawed reasoning and premature conclusions.</w:t>
            </w:r>
          </w:p>
          <w:p w14:paraId="64B1BBF5"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Prior to birth, planning focused on identifying the least intrusive intervention capable of safeguarding the child. A viability assessment identified the maternal grandparents as a protective resource and Police National Computer checks were completed to assist decision-making.</w:t>
            </w:r>
          </w:p>
          <w:p w14:paraId="118486E4"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Following birth, the baby was placed with the maternal grandparents under Regulation 26 of the Care Planning, Placement and Case Review (Wales) Regulations 2015. This provision allows for the temporary approval of a connected person as a foster carer in urgent circumstances pending further assessment (Welsh Government, 2015b).</w:t>
            </w:r>
          </w:p>
          <w:p w14:paraId="243786FC"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Reflecting upon this decision highlighted the inherent tension between safeguarding responsibilities and the parents' right to family life. Whilst removal from parental care represented a significant intervention, the cumulative evidence indicated that alternative arrangements were required to safeguard the child. Critical reflection encouraged me to consider whether additional support or monitoring could have sufficiently reduced risk. However, when balanced against the child's immediate need for safety and stability, I concluded that placement with the maternal grandparents represented the least restrictive and most proportionate intervention available. This experience strengthened my understanding that proportionality requires consideration not only of parental rights but also of the potential consequences of delayed protective action.</w:t>
            </w:r>
          </w:p>
          <w:p w14:paraId="01424732"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placement was also consistent with wider Welsh practice. Welsh Government statistics demonstrate the continuing significance of kinship care, with many looked after children living with relatives and friends (Welsh Government, 2026).</w:t>
            </w:r>
          </w:p>
          <w:p w14:paraId="66B1EDE0"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Following placement, the child became a Looked After Child under Part 6 of the SSWBA. This required ongoing care planning, statutory oversight and review. Welsh Government data indicate that 7,072 children were looked after by local authorities in Wales on 31 March 2025, highlighting the importance of effective care planning (Welsh Government, 2026).</w:t>
            </w:r>
          </w:p>
          <w:p w14:paraId="52FFAABA"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I also facilitated the initial family time session. Whilst positive interactions were observed, reflection helped me move beyond surface-level observations and consider longer-term parenting capability. Although warmth and affection were evident, concerns remained regarding consistency, emotional regulation and the ability to meet the child's ongoing developmental needs.</w:t>
            </w:r>
          </w:p>
          <w:p w14:paraId="35458CA5"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lastRenderedPageBreak/>
              <w:t>Referrals were made to specialist services to address parental trauma, emotional well-being, substance misuse and wider vulnerabilities. This reinforced my understanding that safeguarding should focus not only upon risk management but also upon opportunities for support and change.</w:t>
            </w:r>
          </w:p>
          <w:p w14:paraId="48315F12"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This case represented a significant learning experience and enhanced several aspects of my professional capability.</w:t>
            </w:r>
          </w:p>
          <w:p w14:paraId="29191A2B"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most significant learning from this case related to recognising and evidencing cumulative harm within assessment. The experience enhanced my ability to move beyond describing individual concerns and instead analyse how multiple adversities interact to affect children's outcomes and increase safeguarding risk.</w:t>
            </w:r>
          </w:p>
          <w:p w14:paraId="430DBB4A"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This case challenged assumptions regarding parental engagement. Prior to the assessment, I often viewed engagement as a reliable indicator of motivation and readiness for change. Through reflection, I recognised that attendance at meetings and apparent cooperation do not necessarily translate into meaningful behavioural change or improved parenting capacity. Equally, periods of disengagement may reflect anxiety, trauma, fear of professional intervention or communication difficulties rather than an absence of concern for a child. This learning encouraged a more analytical approach to engagement and reinforced the importance of assessing observable change alongside participation.</w:t>
            </w:r>
          </w:p>
          <w:p w14:paraId="00D6CD4B"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case also deepened my understanding of Attachment Theory (Bowlby, 1969) as an analytical framework for assessing parenting capacity and future child outcomes. This strengthened my ability to consider emotional well-being and developmental needs alongside immediate safeguarding concerns when evaluating both risk and protective factors.</w:t>
            </w:r>
          </w:p>
          <w:p w14:paraId="4B8E6DB1"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Legal literacy represented another significant area of development. Participation in legal planning, child protection procedures and completion of the SWET enhanced my confidence in applying legislation, understanding thresholds and presenting evidence within formal forums. The case also reinforced the values contained within the Social Care Wales Code of Professional Practice, particularly the responsibilities to promote the rights and well-being of individuals, establish trust and confidence, be accountable for the quality of practice and continually develop professional knowledge and skills (Social Care Wales, 2017). Reflecting on the intervention enabled me to recognise how these values influenced decision-making throughout the safeguarding process and strengthened my commitment to reflective practice.</w:t>
            </w:r>
          </w:p>
          <w:p w14:paraId="32130907"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Future practice will focus on evidencing cumulative harm more effectively, developing attachment-informed and trauma-informed assessments, and identifying family resources earlier through strengths-based approaches. I will continue to engage critically with Welsh safeguarding research and policy to ensure that practice remains evidence-informed and legally defensible.</w:t>
            </w:r>
          </w:p>
          <w:p w14:paraId="1F4E1BCD"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 xml:space="preserve">This case demonstrated the complexity of pre-birth safeguarding practice within Wales and required the integration of legislation, theory, evidence and professional judgement. Through application of Welsh safeguarding legislation, human rights principles and social work theory, I contributed to a child-centred </w:t>
            </w:r>
            <w:r w:rsidRPr="00663902">
              <w:rPr>
                <w:rFonts w:ascii="Segoe UI" w:hAnsi="Segoe UI" w:cs="Segoe UI"/>
                <w:sz w:val="21"/>
                <w:szCs w:val="21"/>
              </w:rPr>
              <w:lastRenderedPageBreak/>
              <w:t>and legally defensible intervention (Welsh Government, 2014; Welsh Government, 2015a; UK Government, 1998; United Nations, 1989).</w:t>
            </w:r>
          </w:p>
          <w:p w14:paraId="128D3B2D" w14:textId="77777777" w:rsidR="00011C36" w:rsidRPr="00663902" w:rsidRDefault="00011C36" w:rsidP="00011C36">
            <w:pPr>
              <w:spacing w:before="100" w:beforeAutospacing="1" w:after="100" w:afterAutospacing="1" w:line="300" w:lineRule="atLeast"/>
              <w:rPr>
                <w:rFonts w:ascii="Segoe UI" w:hAnsi="Segoe UI" w:cs="Segoe UI"/>
                <w:sz w:val="21"/>
                <w:szCs w:val="21"/>
              </w:rPr>
            </w:pPr>
            <w:r w:rsidRPr="00663902">
              <w:rPr>
                <w:rFonts w:ascii="Segoe UI" w:hAnsi="Segoe UI" w:cs="Segoe UI"/>
                <w:sz w:val="21"/>
                <w:szCs w:val="21"/>
              </w:rPr>
              <w:t>The experience strengthened my understanding of cumulative harm, attachment-informed assessment, family network approaches, legal literacy and collaborative safeguarding practice. Most importantly, it increased my confidence in making proportionate, evidence-informed decisions within complex safeguarding situations and has significantly influenced my future practice as a social worker in Wales.</w:t>
            </w:r>
          </w:p>
          <w:p w14:paraId="7510B6D0" w14:textId="77777777" w:rsidR="00011C36" w:rsidRDefault="00011C36" w:rsidP="00FF7EBB">
            <w:pPr>
              <w:jc w:val="both"/>
              <w:rPr>
                <w:i/>
                <w:sz w:val="24"/>
                <w:szCs w:val="24"/>
              </w:rPr>
            </w:pPr>
          </w:p>
          <w:p w14:paraId="701D8D4D" w14:textId="125ADE1B" w:rsidR="00D3203C" w:rsidRDefault="0089697E" w:rsidP="00FF7EBB">
            <w:pPr>
              <w:jc w:val="both"/>
              <w:rPr>
                <w:i/>
                <w:sz w:val="24"/>
                <w:szCs w:val="24"/>
              </w:rPr>
            </w:pPr>
            <w:r>
              <w:rPr>
                <w:i/>
                <w:sz w:val="24"/>
                <w:szCs w:val="24"/>
              </w:rPr>
              <w:t>Word Count 400</w:t>
            </w:r>
            <w:r w:rsidR="00F05A9E">
              <w:rPr>
                <w:i/>
                <w:sz w:val="24"/>
                <w:szCs w:val="24"/>
              </w:rPr>
              <w:t>7</w:t>
            </w: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55146" w14:textId="77777777" w:rsidR="00490596" w:rsidRDefault="00490596">
      <w:r>
        <w:separator/>
      </w:r>
    </w:p>
  </w:endnote>
  <w:endnote w:type="continuationSeparator" w:id="0">
    <w:p w14:paraId="231AAA81" w14:textId="77777777" w:rsidR="00490596" w:rsidRDefault="00490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01DD4" w14:textId="77777777" w:rsidR="00490596" w:rsidRDefault="00490596">
      <w:r>
        <w:separator/>
      </w:r>
    </w:p>
  </w:footnote>
  <w:footnote w:type="continuationSeparator" w:id="0">
    <w:p w14:paraId="40A26CEC" w14:textId="77777777" w:rsidR="00490596" w:rsidRDefault="004905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C36"/>
    <w:rsid w:val="00012B16"/>
    <w:rsid w:val="00020EEC"/>
    <w:rsid w:val="0002440E"/>
    <w:rsid w:val="0002759A"/>
    <w:rsid w:val="00027B1F"/>
    <w:rsid w:val="0003088B"/>
    <w:rsid w:val="000325D9"/>
    <w:rsid w:val="00035BED"/>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AC8"/>
    <w:rsid w:val="001E2EB6"/>
    <w:rsid w:val="001F4552"/>
    <w:rsid w:val="001F7F8D"/>
    <w:rsid w:val="002019EB"/>
    <w:rsid w:val="00204B58"/>
    <w:rsid w:val="00205051"/>
    <w:rsid w:val="00211F65"/>
    <w:rsid w:val="0021240F"/>
    <w:rsid w:val="00214047"/>
    <w:rsid w:val="00216563"/>
    <w:rsid w:val="0021792F"/>
    <w:rsid w:val="00220D06"/>
    <w:rsid w:val="00223F23"/>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559E"/>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0596"/>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238C"/>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0DF4"/>
    <w:rsid w:val="008859E8"/>
    <w:rsid w:val="0088737B"/>
    <w:rsid w:val="00891078"/>
    <w:rsid w:val="00892716"/>
    <w:rsid w:val="00893067"/>
    <w:rsid w:val="008933DE"/>
    <w:rsid w:val="00895FCE"/>
    <w:rsid w:val="0089697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1CE"/>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5A9E"/>
    <w:rsid w:val="00F06573"/>
    <w:rsid w:val="00F10A08"/>
    <w:rsid w:val="00F14F37"/>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4806</Words>
  <Characters>27400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Kerry Vaughan</cp:lastModifiedBy>
  <cp:revision>2</cp:revision>
  <cp:lastPrinted>2020-02-11T19:20:00Z</cp:lastPrinted>
  <dcterms:created xsi:type="dcterms:W3CDTF">2026-10-07T07:32:00Z</dcterms:created>
  <dcterms:modified xsi:type="dcterms:W3CDTF">2026-10-07T07:32:00Z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