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7D8A5" w14:textId="77777777" w:rsidR="006D334D" w:rsidRPr="00BD596B" w:rsidRDefault="006D334D" w:rsidP="006D334D">
      <w:pPr>
        <w:spacing w:after="0" w:line="240" w:lineRule="auto"/>
        <w:jc w:val="center"/>
        <w:rPr>
          <w:b/>
          <w:sz w:val="32"/>
          <w:szCs w:val="32"/>
        </w:rPr>
      </w:pPr>
      <w:r w:rsidRPr="00BD596B">
        <w:rPr>
          <w:b/>
          <w:sz w:val="32"/>
          <w:szCs w:val="32"/>
        </w:rPr>
        <w:t>University of Wales Trinity Saint David</w:t>
      </w:r>
    </w:p>
    <w:p w14:paraId="19CF3837" w14:textId="77777777" w:rsidR="006D334D" w:rsidRPr="00BD596B" w:rsidRDefault="006D334D" w:rsidP="006D334D">
      <w:pPr>
        <w:spacing w:after="0" w:line="240" w:lineRule="auto"/>
        <w:jc w:val="center"/>
        <w:rPr>
          <w:sz w:val="24"/>
          <w:szCs w:val="24"/>
        </w:rPr>
      </w:pPr>
    </w:p>
    <w:p w14:paraId="3DAC5CA3" w14:textId="77777777" w:rsidR="006D334D" w:rsidRPr="00BD596B" w:rsidRDefault="006D334D" w:rsidP="006D334D">
      <w:pPr>
        <w:spacing w:after="0" w:line="240" w:lineRule="auto"/>
        <w:jc w:val="center"/>
        <w:rPr>
          <w:i/>
          <w:iCs/>
          <w:sz w:val="24"/>
          <w:szCs w:val="24"/>
        </w:rPr>
      </w:pPr>
      <w:r>
        <w:rPr>
          <w:i/>
          <w:iCs/>
          <w:sz w:val="24"/>
          <w:szCs w:val="24"/>
        </w:rPr>
        <w:t>Ordnance, Munitions and Explosives</w:t>
      </w:r>
    </w:p>
    <w:p w14:paraId="186ABE12" w14:textId="77777777" w:rsidR="006D334D" w:rsidRPr="00BD596B" w:rsidRDefault="006D334D" w:rsidP="006D334D">
      <w:pPr>
        <w:spacing w:after="0" w:line="240" w:lineRule="auto"/>
        <w:jc w:val="center"/>
        <w:rPr>
          <w:sz w:val="24"/>
          <w:szCs w:val="24"/>
        </w:rPr>
      </w:pPr>
    </w:p>
    <w:p w14:paraId="520A7EBF" w14:textId="77777777" w:rsidR="006D334D" w:rsidRPr="00BD596B" w:rsidRDefault="006D334D" w:rsidP="006D334D">
      <w:pPr>
        <w:spacing w:after="0" w:line="240" w:lineRule="auto"/>
        <w:jc w:val="center"/>
        <w:rPr>
          <w:sz w:val="24"/>
          <w:szCs w:val="24"/>
        </w:rPr>
      </w:pPr>
      <w:r w:rsidRPr="00BD596B">
        <w:rPr>
          <w:noProof/>
          <w:sz w:val="24"/>
          <w:szCs w:val="24"/>
        </w:rPr>
        <w:drawing>
          <wp:inline distT="0" distB="0" distL="0" distR="0" wp14:anchorId="12844E5C" wp14:editId="78BEEDB8">
            <wp:extent cx="2097405" cy="694690"/>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77AD46CA" w14:textId="77777777" w:rsidR="006D334D" w:rsidRPr="00BD596B" w:rsidRDefault="006D334D" w:rsidP="006D334D">
      <w:pPr>
        <w:spacing w:after="0" w:line="240" w:lineRule="auto"/>
        <w:jc w:val="center"/>
        <w:rPr>
          <w:sz w:val="24"/>
          <w:szCs w:val="24"/>
        </w:rPr>
      </w:pPr>
    </w:p>
    <w:p w14:paraId="4D81B8AE" w14:textId="77777777" w:rsidR="006D334D" w:rsidRPr="00BD596B" w:rsidRDefault="006D334D" w:rsidP="006D334D">
      <w:pPr>
        <w:spacing w:after="0" w:line="240" w:lineRule="auto"/>
        <w:jc w:val="center"/>
        <w:rPr>
          <w:sz w:val="24"/>
          <w:szCs w:val="24"/>
        </w:rPr>
      </w:pPr>
    </w:p>
    <w:p w14:paraId="0496CA73" w14:textId="77777777" w:rsidR="006D334D" w:rsidRPr="00BD596B" w:rsidRDefault="006D334D" w:rsidP="006D334D">
      <w:pPr>
        <w:spacing w:after="0" w:line="240" w:lineRule="auto"/>
        <w:jc w:val="center"/>
        <w:rPr>
          <w:sz w:val="24"/>
          <w:szCs w:val="24"/>
        </w:rPr>
      </w:pPr>
    </w:p>
    <w:p w14:paraId="27E14C16" w14:textId="77777777" w:rsidR="006D334D" w:rsidRPr="00BD596B" w:rsidRDefault="006D334D" w:rsidP="006D334D">
      <w:pPr>
        <w:spacing w:after="0" w:line="240" w:lineRule="auto"/>
        <w:jc w:val="center"/>
        <w:rPr>
          <w:sz w:val="24"/>
          <w:szCs w:val="24"/>
        </w:rPr>
      </w:pPr>
    </w:p>
    <w:p w14:paraId="0930A536" w14:textId="77777777" w:rsidR="006D334D" w:rsidRPr="00BD596B" w:rsidRDefault="006D334D" w:rsidP="006D334D">
      <w:pPr>
        <w:spacing w:after="0" w:line="240" w:lineRule="auto"/>
        <w:jc w:val="center"/>
        <w:rPr>
          <w:sz w:val="24"/>
          <w:szCs w:val="24"/>
        </w:rPr>
      </w:pPr>
    </w:p>
    <w:p w14:paraId="2A3ECB74" w14:textId="77777777" w:rsidR="006D334D" w:rsidRPr="00BD596B" w:rsidRDefault="006D334D" w:rsidP="006D334D">
      <w:pPr>
        <w:spacing w:after="0" w:line="240" w:lineRule="auto"/>
        <w:rPr>
          <w:sz w:val="24"/>
          <w:szCs w:val="24"/>
        </w:rPr>
      </w:pPr>
    </w:p>
    <w:p w14:paraId="460FFBE1" w14:textId="77777777" w:rsidR="006D334D" w:rsidRPr="00BD596B" w:rsidRDefault="006D334D" w:rsidP="006D334D">
      <w:pPr>
        <w:spacing w:after="0" w:line="240" w:lineRule="auto"/>
        <w:rPr>
          <w:sz w:val="24"/>
          <w:szCs w:val="24"/>
        </w:rPr>
      </w:pPr>
    </w:p>
    <w:p w14:paraId="6E3EBF4D" w14:textId="77777777" w:rsidR="006D334D" w:rsidRPr="00BD596B" w:rsidRDefault="006D334D" w:rsidP="006D334D">
      <w:pPr>
        <w:spacing w:after="0" w:line="240" w:lineRule="auto"/>
        <w:rPr>
          <w:sz w:val="24"/>
          <w:szCs w:val="24"/>
        </w:rPr>
      </w:pPr>
    </w:p>
    <w:p w14:paraId="783DE1A2" w14:textId="77777777" w:rsidR="006D334D" w:rsidRPr="00BD596B" w:rsidRDefault="006D334D" w:rsidP="006D334D">
      <w:pPr>
        <w:spacing w:after="0" w:line="240" w:lineRule="auto"/>
        <w:jc w:val="center"/>
        <w:rPr>
          <w:sz w:val="24"/>
          <w:szCs w:val="24"/>
        </w:rPr>
      </w:pPr>
    </w:p>
    <w:p w14:paraId="7905FD02" w14:textId="77777777" w:rsidR="006D334D" w:rsidRPr="00BD596B" w:rsidRDefault="006D334D" w:rsidP="006D334D">
      <w:pPr>
        <w:spacing w:after="0" w:line="240" w:lineRule="auto"/>
        <w:jc w:val="center"/>
        <w:rPr>
          <w:sz w:val="24"/>
          <w:szCs w:val="24"/>
        </w:rPr>
      </w:pPr>
    </w:p>
    <w:p w14:paraId="75C82AFD" w14:textId="77777777" w:rsidR="006D334D" w:rsidRPr="00BD596B" w:rsidRDefault="006D334D" w:rsidP="006D334D">
      <w:pPr>
        <w:spacing w:after="0" w:line="240" w:lineRule="auto"/>
        <w:jc w:val="center"/>
        <w:rPr>
          <w:sz w:val="24"/>
          <w:szCs w:val="24"/>
        </w:rPr>
      </w:pPr>
    </w:p>
    <w:p w14:paraId="1B261018" w14:textId="77777777" w:rsidR="006D334D" w:rsidRPr="00BD596B" w:rsidRDefault="006D334D" w:rsidP="006D334D">
      <w:pPr>
        <w:spacing w:after="0" w:line="240" w:lineRule="auto"/>
        <w:jc w:val="center"/>
        <w:rPr>
          <w:sz w:val="24"/>
          <w:szCs w:val="24"/>
        </w:rPr>
      </w:pPr>
    </w:p>
    <w:p w14:paraId="1E4416A7" w14:textId="77777777" w:rsidR="006D334D" w:rsidRPr="00BD596B" w:rsidRDefault="006D334D" w:rsidP="006D334D">
      <w:pPr>
        <w:spacing w:after="0" w:line="240" w:lineRule="auto"/>
        <w:jc w:val="center"/>
        <w:rPr>
          <w:sz w:val="24"/>
          <w:szCs w:val="24"/>
        </w:rPr>
      </w:pPr>
    </w:p>
    <w:p w14:paraId="3525C568" w14:textId="5B6EDEFC" w:rsidR="006D334D" w:rsidRPr="00BD596B" w:rsidRDefault="00030950" w:rsidP="006D334D">
      <w:pPr>
        <w:spacing w:after="0" w:line="240" w:lineRule="auto"/>
        <w:jc w:val="center"/>
        <w:rPr>
          <w:b/>
          <w:i/>
          <w:iCs/>
          <w:sz w:val="36"/>
          <w:szCs w:val="36"/>
        </w:rPr>
      </w:pPr>
      <w:r>
        <w:rPr>
          <w:b/>
          <w:i/>
          <w:iCs/>
          <w:sz w:val="36"/>
          <w:szCs w:val="36"/>
        </w:rPr>
        <w:t>Design Portfolio</w:t>
      </w:r>
    </w:p>
    <w:p w14:paraId="0512FE3A" w14:textId="3818F32F" w:rsidR="006D334D" w:rsidRPr="00BD596B" w:rsidRDefault="00030950" w:rsidP="006D334D">
      <w:pPr>
        <w:spacing w:after="0" w:line="240" w:lineRule="auto"/>
        <w:jc w:val="center"/>
        <w:rPr>
          <w:bCs/>
          <w:i/>
          <w:iCs/>
          <w:sz w:val="28"/>
          <w:szCs w:val="28"/>
        </w:rPr>
      </w:pPr>
      <w:r>
        <w:rPr>
          <w:bCs/>
          <w:i/>
          <w:iCs/>
          <w:sz w:val="28"/>
          <w:szCs w:val="28"/>
        </w:rPr>
        <w:t>Systems Engineering</w:t>
      </w:r>
      <w:r w:rsidR="006D334D">
        <w:rPr>
          <w:bCs/>
          <w:i/>
          <w:iCs/>
          <w:sz w:val="28"/>
          <w:szCs w:val="28"/>
        </w:rPr>
        <w:t xml:space="preserve"> (ACDA502</w:t>
      </w:r>
      <w:r>
        <w:rPr>
          <w:bCs/>
          <w:i/>
          <w:iCs/>
          <w:sz w:val="28"/>
          <w:szCs w:val="28"/>
        </w:rPr>
        <w:t>1</w:t>
      </w:r>
      <w:r w:rsidR="006D334D">
        <w:rPr>
          <w:bCs/>
          <w:i/>
          <w:iCs/>
          <w:sz w:val="28"/>
          <w:szCs w:val="28"/>
        </w:rPr>
        <w:t>)</w:t>
      </w:r>
      <w:r w:rsidR="006D334D" w:rsidRPr="00BD596B">
        <w:rPr>
          <w:bCs/>
          <w:i/>
          <w:iCs/>
          <w:sz w:val="28"/>
          <w:szCs w:val="28"/>
        </w:rPr>
        <w:t xml:space="preserve"> </w:t>
      </w:r>
    </w:p>
    <w:p w14:paraId="44AFA992" w14:textId="77777777" w:rsidR="006D334D" w:rsidRPr="00BD596B" w:rsidRDefault="006D334D" w:rsidP="006D334D">
      <w:pPr>
        <w:spacing w:after="0" w:line="240" w:lineRule="auto"/>
        <w:jc w:val="center"/>
        <w:rPr>
          <w:sz w:val="36"/>
          <w:szCs w:val="36"/>
        </w:rPr>
      </w:pPr>
    </w:p>
    <w:p w14:paraId="22093037" w14:textId="77777777" w:rsidR="006D334D" w:rsidRPr="00BD596B" w:rsidRDefault="006D334D" w:rsidP="006D334D">
      <w:pPr>
        <w:spacing w:after="0" w:line="240" w:lineRule="auto"/>
        <w:jc w:val="center"/>
        <w:rPr>
          <w:sz w:val="36"/>
          <w:szCs w:val="36"/>
        </w:rPr>
      </w:pPr>
    </w:p>
    <w:p w14:paraId="558B7037" w14:textId="77777777" w:rsidR="006D334D" w:rsidRPr="00BD596B" w:rsidRDefault="006D334D" w:rsidP="006D334D">
      <w:pPr>
        <w:spacing w:after="0" w:line="240" w:lineRule="auto"/>
        <w:jc w:val="center"/>
        <w:rPr>
          <w:sz w:val="36"/>
          <w:szCs w:val="36"/>
        </w:rPr>
      </w:pPr>
    </w:p>
    <w:p w14:paraId="615CDDB2" w14:textId="77777777" w:rsidR="006D334D" w:rsidRPr="00BD596B" w:rsidRDefault="006D334D" w:rsidP="006D334D">
      <w:pPr>
        <w:spacing w:after="0" w:line="240" w:lineRule="auto"/>
        <w:jc w:val="center"/>
        <w:rPr>
          <w:sz w:val="36"/>
          <w:szCs w:val="36"/>
        </w:rPr>
      </w:pPr>
    </w:p>
    <w:p w14:paraId="42B1EF33" w14:textId="77777777" w:rsidR="006D334D" w:rsidRPr="00BD596B" w:rsidRDefault="006D334D" w:rsidP="006D334D">
      <w:pPr>
        <w:spacing w:after="0" w:line="240" w:lineRule="auto"/>
        <w:jc w:val="center"/>
        <w:rPr>
          <w:sz w:val="36"/>
          <w:szCs w:val="36"/>
        </w:rPr>
      </w:pPr>
    </w:p>
    <w:p w14:paraId="3F3242D5" w14:textId="77777777" w:rsidR="006D334D" w:rsidRDefault="006D334D" w:rsidP="006D334D">
      <w:pPr>
        <w:spacing w:after="0" w:line="240" w:lineRule="auto"/>
        <w:rPr>
          <w:sz w:val="36"/>
          <w:szCs w:val="36"/>
        </w:rPr>
      </w:pPr>
    </w:p>
    <w:p w14:paraId="063AADEA" w14:textId="77777777" w:rsidR="006D334D" w:rsidRDefault="006D334D" w:rsidP="006D334D">
      <w:pPr>
        <w:spacing w:after="0" w:line="240" w:lineRule="auto"/>
        <w:rPr>
          <w:sz w:val="36"/>
          <w:szCs w:val="36"/>
        </w:rPr>
      </w:pPr>
    </w:p>
    <w:p w14:paraId="142E96E5" w14:textId="77777777" w:rsidR="006D334D" w:rsidRPr="00BD596B" w:rsidRDefault="006D334D" w:rsidP="006D334D">
      <w:pPr>
        <w:spacing w:after="0" w:line="240" w:lineRule="auto"/>
        <w:rPr>
          <w:sz w:val="36"/>
          <w:szCs w:val="36"/>
        </w:rPr>
      </w:pPr>
    </w:p>
    <w:p w14:paraId="5A5F7B19" w14:textId="77777777" w:rsidR="006D334D" w:rsidRDefault="006D334D" w:rsidP="006D334D">
      <w:pPr>
        <w:spacing w:after="0" w:line="240" w:lineRule="auto"/>
        <w:jc w:val="center"/>
        <w:rPr>
          <w:sz w:val="36"/>
          <w:szCs w:val="36"/>
        </w:rPr>
      </w:pPr>
    </w:p>
    <w:p w14:paraId="1C0258DB" w14:textId="77777777" w:rsidR="006D334D" w:rsidRDefault="006D334D" w:rsidP="006D334D">
      <w:pPr>
        <w:spacing w:after="0" w:line="240" w:lineRule="auto"/>
        <w:rPr>
          <w:sz w:val="36"/>
          <w:szCs w:val="36"/>
        </w:rPr>
      </w:pPr>
    </w:p>
    <w:p w14:paraId="21179D2E" w14:textId="77777777" w:rsidR="006D334D" w:rsidRPr="00BD596B" w:rsidRDefault="006D334D" w:rsidP="006D334D">
      <w:pPr>
        <w:spacing w:after="0" w:line="240" w:lineRule="auto"/>
        <w:jc w:val="center"/>
        <w:rPr>
          <w:sz w:val="36"/>
          <w:szCs w:val="36"/>
        </w:rPr>
      </w:pPr>
    </w:p>
    <w:p w14:paraId="21F5BC76" w14:textId="77777777" w:rsidR="006D334D" w:rsidRDefault="006D334D" w:rsidP="006D334D">
      <w:pPr>
        <w:spacing w:after="0" w:line="240" w:lineRule="auto"/>
        <w:jc w:val="center"/>
        <w:rPr>
          <w:sz w:val="36"/>
          <w:szCs w:val="36"/>
        </w:rPr>
      </w:pPr>
      <w:r>
        <w:rPr>
          <w:i/>
          <w:iCs/>
          <w:sz w:val="24"/>
          <w:szCs w:val="24"/>
        </w:rPr>
        <w:t>Ewan Simpson</w:t>
      </w:r>
      <w:r w:rsidRPr="00BD596B">
        <w:rPr>
          <w:sz w:val="36"/>
          <w:szCs w:val="36"/>
        </w:rPr>
        <w:t xml:space="preserve"> </w:t>
      </w:r>
    </w:p>
    <w:p w14:paraId="6B4BD108" w14:textId="77777777" w:rsidR="006D334D" w:rsidRPr="00BD596B" w:rsidRDefault="006D334D" w:rsidP="006D334D">
      <w:pPr>
        <w:spacing w:after="0" w:line="240" w:lineRule="auto"/>
        <w:jc w:val="center"/>
        <w:rPr>
          <w:sz w:val="36"/>
          <w:szCs w:val="36"/>
        </w:rPr>
      </w:pPr>
    </w:p>
    <w:p w14:paraId="569F1BC3" w14:textId="77777777" w:rsidR="006D334D" w:rsidRPr="00BD596B" w:rsidRDefault="006D334D" w:rsidP="006D334D">
      <w:pPr>
        <w:spacing w:after="0" w:line="240" w:lineRule="auto"/>
        <w:jc w:val="center"/>
        <w:rPr>
          <w:i/>
          <w:iCs/>
          <w:sz w:val="24"/>
          <w:szCs w:val="24"/>
        </w:rPr>
      </w:pPr>
      <w:r>
        <w:rPr>
          <w:i/>
          <w:iCs/>
          <w:sz w:val="24"/>
          <w:szCs w:val="24"/>
        </w:rPr>
        <w:t>2115523</w:t>
      </w:r>
    </w:p>
    <w:p w14:paraId="30F8EB6C" w14:textId="77777777" w:rsidR="006D334D" w:rsidRDefault="006D334D" w:rsidP="006D334D">
      <w:pPr>
        <w:spacing w:after="0" w:line="240" w:lineRule="auto"/>
        <w:jc w:val="center"/>
        <w:rPr>
          <w:i/>
          <w:iCs/>
          <w:sz w:val="24"/>
          <w:szCs w:val="24"/>
        </w:rPr>
      </w:pPr>
      <w:r>
        <w:rPr>
          <w:i/>
          <w:iCs/>
          <w:sz w:val="24"/>
          <w:szCs w:val="24"/>
        </w:rPr>
        <w:t>May 2024</w:t>
      </w:r>
    </w:p>
    <w:p w14:paraId="586C5112" w14:textId="77777777" w:rsidR="006D334D" w:rsidRPr="00BD596B" w:rsidRDefault="006D334D" w:rsidP="006D334D">
      <w:pPr>
        <w:spacing w:after="0" w:line="240" w:lineRule="auto"/>
        <w:jc w:val="center"/>
        <w:rPr>
          <w:i/>
          <w:iCs/>
          <w:sz w:val="24"/>
          <w:szCs w:val="24"/>
        </w:rPr>
      </w:pPr>
    </w:p>
    <w:p w14:paraId="4E6EFA47" w14:textId="77777777" w:rsidR="006D334D" w:rsidRDefault="006D334D" w:rsidP="006D334D">
      <w:pPr>
        <w:spacing w:after="0" w:line="240" w:lineRule="auto"/>
        <w:jc w:val="center"/>
        <w:rPr>
          <w:i/>
          <w:iCs/>
          <w:sz w:val="24"/>
          <w:szCs w:val="24"/>
        </w:rPr>
      </w:pPr>
      <w:r>
        <w:rPr>
          <w:sz w:val="24"/>
          <w:szCs w:val="24"/>
        </w:rPr>
        <w:t xml:space="preserve">Lecturer: </w:t>
      </w:r>
      <w:r>
        <w:rPr>
          <w:i/>
          <w:iCs/>
          <w:sz w:val="24"/>
          <w:szCs w:val="24"/>
        </w:rPr>
        <w:t>Dave Holley</w:t>
      </w:r>
    </w:p>
    <w:p w14:paraId="272319FF" w14:textId="63F277E5" w:rsidR="00030950" w:rsidRDefault="00097D4E">
      <w:pPr>
        <w:rPr>
          <w:sz w:val="32"/>
          <w:szCs w:val="32"/>
        </w:rPr>
      </w:pPr>
      <w:r>
        <w:rPr>
          <w:sz w:val="32"/>
          <w:szCs w:val="32"/>
        </w:rPr>
        <w:lastRenderedPageBreak/>
        <w:t>Contents:</w:t>
      </w:r>
    </w:p>
    <w:p w14:paraId="40AD487E" w14:textId="6DE20589" w:rsidR="00097D4E" w:rsidRDefault="00097D4E" w:rsidP="00097D4E">
      <w:pPr>
        <w:pStyle w:val="ListParagraph"/>
        <w:numPr>
          <w:ilvl w:val="0"/>
          <w:numId w:val="1"/>
        </w:numPr>
        <w:rPr>
          <w:sz w:val="32"/>
          <w:szCs w:val="32"/>
        </w:rPr>
      </w:pPr>
      <w:r>
        <w:rPr>
          <w:sz w:val="32"/>
          <w:szCs w:val="32"/>
        </w:rPr>
        <w:t>Abstract (3)</w:t>
      </w:r>
    </w:p>
    <w:p w14:paraId="4D1016F8" w14:textId="09B0977F" w:rsidR="00097D4E" w:rsidRDefault="00097D4E" w:rsidP="00097D4E">
      <w:pPr>
        <w:pStyle w:val="ListParagraph"/>
        <w:numPr>
          <w:ilvl w:val="0"/>
          <w:numId w:val="1"/>
        </w:numPr>
        <w:rPr>
          <w:sz w:val="32"/>
          <w:szCs w:val="32"/>
        </w:rPr>
      </w:pPr>
      <w:r>
        <w:rPr>
          <w:sz w:val="32"/>
          <w:szCs w:val="32"/>
        </w:rPr>
        <w:t>Introduction (3)</w:t>
      </w:r>
    </w:p>
    <w:p w14:paraId="4F35BAB7" w14:textId="1CC9D6F5" w:rsidR="00097D4E" w:rsidRDefault="00097D4E" w:rsidP="00097D4E">
      <w:pPr>
        <w:pStyle w:val="ListParagraph"/>
        <w:numPr>
          <w:ilvl w:val="0"/>
          <w:numId w:val="1"/>
        </w:numPr>
        <w:rPr>
          <w:sz w:val="32"/>
          <w:szCs w:val="32"/>
        </w:rPr>
      </w:pPr>
      <w:r>
        <w:rPr>
          <w:sz w:val="32"/>
          <w:szCs w:val="32"/>
        </w:rPr>
        <w:t>Design Process (4)</w:t>
      </w:r>
    </w:p>
    <w:p w14:paraId="187F7148" w14:textId="580587F4" w:rsidR="00097D4E" w:rsidRDefault="00097D4E" w:rsidP="00097D4E">
      <w:pPr>
        <w:pStyle w:val="ListParagraph"/>
        <w:numPr>
          <w:ilvl w:val="0"/>
          <w:numId w:val="1"/>
        </w:numPr>
        <w:rPr>
          <w:sz w:val="32"/>
          <w:szCs w:val="32"/>
        </w:rPr>
      </w:pPr>
      <w:r>
        <w:rPr>
          <w:sz w:val="32"/>
          <w:szCs w:val="32"/>
        </w:rPr>
        <w:t>Summary and Conclusion (</w:t>
      </w:r>
      <w:r w:rsidR="00B44507">
        <w:rPr>
          <w:sz w:val="32"/>
          <w:szCs w:val="32"/>
        </w:rPr>
        <w:t>7)</w:t>
      </w:r>
    </w:p>
    <w:p w14:paraId="3D51F007" w14:textId="05C1A3AD" w:rsidR="00B44507" w:rsidRDefault="00B44507" w:rsidP="00097D4E">
      <w:pPr>
        <w:pStyle w:val="ListParagraph"/>
        <w:numPr>
          <w:ilvl w:val="0"/>
          <w:numId w:val="1"/>
        </w:numPr>
        <w:rPr>
          <w:sz w:val="32"/>
          <w:szCs w:val="32"/>
        </w:rPr>
      </w:pPr>
      <w:r>
        <w:rPr>
          <w:sz w:val="32"/>
          <w:szCs w:val="32"/>
        </w:rPr>
        <w:t>References (7)</w:t>
      </w:r>
    </w:p>
    <w:p w14:paraId="4CFEE8C7" w14:textId="77777777" w:rsidR="00B44507" w:rsidRDefault="00B44507" w:rsidP="00B44507">
      <w:pPr>
        <w:rPr>
          <w:sz w:val="32"/>
          <w:szCs w:val="32"/>
        </w:rPr>
      </w:pPr>
    </w:p>
    <w:p w14:paraId="6F463AD0" w14:textId="77777777" w:rsidR="00B44507" w:rsidRDefault="00B44507" w:rsidP="00B44507">
      <w:pPr>
        <w:rPr>
          <w:sz w:val="32"/>
          <w:szCs w:val="32"/>
        </w:rPr>
      </w:pPr>
    </w:p>
    <w:p w14:paraId="0348B414" w14:textId="77777777" w:rsidR="00B44507" w:rsidRDefault="00B44507" w:rsidP="00B44507">
      <w:pPr>
        <w:rPr>
          <w:sz w:val="32"/>
          <w:szCs w:val="32"/>
        </w:rPr>
      </w:pPr>
    </w:p>
    <w:p w14:paraId="5084913C" w14:textId="77777777" w:rsidR="00B44507" w:rsidRDefault="00B44507" w:rsidP="00B44507">
      <w:pPr>
        <w:rPr>
          <w:sz w:val="32"/>
          <w:szCs w:val="32"/>
        </w:rPr>
      </w:pPr>
    </w:p>
    <w:p w14:paraId="7446E839" w14:textId="77777777" w:rsidR="00B44507" w:rsidRDefault="00B44507" w:rsidP="00B44507">
      <w:pPr>
        <w:rPr>
          <w:sz w:val="32"/>
          <w:szCs w:val="32"/>
        </w:rPr>
      </w:pPr>
    </w:p>
    <w:p w14:paraId="5FCC7953" w14:textId="77777777" w:rsidR="00B44507" w:rsidRDefault="00B44507" w:rsidP="00B44507">
      <w:pPr>
        <w:rPr>
          <w:sz w:val="32"/>
          <w:szCs w:val="32"/>
        </w:rPr>
      </w:pPr>
    </w:p>
    <w:p w14:paraId="2C935459" w14:textId="77777777" w:rsidR="00B44507" w:rsidRDefault="00B44507" w:rsidP="00B44507">
      <w:pPr>
        <w:rPr>
          <w:sz w:val="32"/>
          <w:szCs w:val="32"/>
        </w:rPr>
      </w:pPr>
    </w:p>
    <w:p w14:paraId="4262E777" w14:textId="77777777" w:rsidR="00B44507" w:rsidRDefault="00B44507" w:rsidP="00B44507">
      <w:pPr>
        <w:rPr>
          <w:sz w:val="32"/>
          <w:szCs w:val="32"/>
        </w:rPr>
      </w:pPr>
    </w:p>
    <w:p w14:paraId="006A15D4" w14:textId="77777777" w:rsidR="00B44507" w:rsidRDefault="00B44507" w:rsidP="00B44507">
      <w:pPr>
        <w:rPr>
          <w:sz w:val="32"/>
          <w:szCs w:val="32"/>
        </w:rPr>
      </w:pPr>
    </w:p>
    <w:p w14:paraId="61F73E8F" w14:textId="77777777" w:rsidR="00B44507" w:rsidRDefault="00B44507" w:rsidP="00B44507">
      <w:pPr>
        <w:rPr>
          <w:sz w:val="32"/>
          <w:szCs w:val="32"/>
        </w:rPr>
      </w:pPr>
    </w:p>
    <w:p w14:paraId="46D5BD92" w14:textId="77777777" w:rsidR="00B44507" w:rsidRDefault="00B44507" w:rsidP="00B44507">
      <w:pPr>
        <w:rPr>
          <w:sz w:val="32"/>
          <w:szCs w:val="32"/>
        </w:rPr>
      </w:pPr>
    </w:p>
    <w:p w14:paraId="0CB9B54B" w14:textId="77777777" w:rsidR="00B44507" w:rsidRDefault="00B44507" w:rsidP="00B44507">
      <w:pPr>
        <w:rPr>
          <w:sz w:val="32"/>
          <w:szCs w:val="32"/>
        </w:rPr>
      </w:pPr>
    </w:p>
    <w:p w14:paraId="227AE86F" w14:textId="77777777" w:rsidR="00B44507" w:rsidRDefault="00B44507" w:rsidP="00B44507">
      <w:pPr>
        <w:rPr>
          <w:sz w:val="32"/>
          <w:szCs w:val="32"/>
        </w:rPr>
      </w:pPr>
    </w:p>
    <w:p w14:paraId="3B782243" w14:textId="77777777" w:rsidR="00B44507" w:rsidRDefault="00B44507" w:rsidP="00B44507">
      <w:pPr>
        <w:rPr>
          <w:sz w:val="32"/>
          <w:szCs w:val="32"/>
        </w:rPr>
      </w:pPr>
    </w:p>
    <w:p w14:paraId="151CE541" w14:textId="77777777" w:rsidR="00B44507" w:rsidRDefault="00B44507" w:rsidP="00B44507">
      <w:pPr>
        <w:rPr>
          <w:sz w:val="32"/>
          <w:szCs w:val="32"/>
        </w:rPr>
      </w:pPr>
    </w:p>
    <w:p w14:paraId="0A5C626E" w14:textId="77777777" w:rsidR="00B44507" w:rsidRDefault="00B44507" w:rsidP="00B44507">
      <w:pPr>
        <w:rPr>
          <w:sz w:val="32"/>
          <w:szCs w:val="32"/>
        </w:rPr>
      </w:pPr>
    </w:p>
    <w:p w14:paraId="3C83B728" w14:textId="77777777" w:rsidR="00B44507" w:rsidRDefault="00B44507" w:rsidP="00B44507">
      <w:pPr>
        <w:rPr>
          <w:sz w:val="32"/>
          <w:szCs w:val="32"/>
        </w:rPr>
      </w:pPr>
    </w:p>
    <w:p w14:paraId="1BDE0990" w14:textId="77777777" w:rsidR="00B44507" w:rsidRDefault="00B44507" w:rsidP="00B44507">
      <w:pPr>
        <w:rPr>
          <w:sz w:val="32"/>
          <w:szCs w:val="32"/>
        </w:rPr>
      </w:pPr>
    </w:p>
    <w:p w14:paraId="48AB2F2A" w14:textId="77777777" w:rsidR="00B44507" w:rsidRPr="00B44507" w:rsidRDefault="00B44507" w:rsidP="00B44507">
      <w:pPr>
        <w:rPr>
          <w:sz w:val="32"/>
          <w:szCs w:val="32"/>
        </w:rPr>
      </w:pPr>
    </w:p>
    <w:p w14:paraId="0D2E85BB" w14:textId="30361DD4" w:rsidR="001A0ED4" w:rsidRPr="001A0ED4" w:rsidRDefault="001A0ED4">
      <w:pPr>
        <w:rPr>
          <w:sz w:val="28"/>
          <w:szCs w:val="28"/>
        </w:rPr>
      </w:pPr>
      <w:r>
        <w:rPr>
          <w:sz w:val="28"/>
          <w:szCs w:val="28"/>
        </w:rPr>
        <w:lastRenderedPageBreak/>
        <w:t>Abstract:</w:t>
      </w:r>
    </w:p>
    <w:p w14:paraId="052C9653" w14:textId="414C3A9E" w:rsidR="004A3C90" w:rsidRDefault="00FE7328">
      <w:pPr>
        <w:rPr>
          <w:sz w:val="24"/>
          <w:szCs w:val="24"/>
        </w:rPr>
      </w:pPr>
      <w:r>
        <w:rPr>
          <w:sz w:val="24"/>
          <w:szCs w:val="24"/>
        </w:rPr>
        <w:t>Explosive Depth Hardening (EDH) is a process used to strengthen the surface of a material, usually metal</w:t>
      </w:r>
      <w:sdt>
        <w:sdtPr>
          <w:rPr>
            <w:sz w:val="24"/>
            <w:szCs w:val="24"/>
          </w:rPr>
          <w:id w:val="1229654926"/>
          <w:citation/>
        </w:sdtPr>
        <w:sdtEndPr/>
        <w:sdtContent>
          <w:r w:rsidR="004D239D">
            <w:rPr>
              <w:sz w:val="24"/>
              <w:szCs w:val="24"/>
            </w:rPr>
            <w:fldChar w:fldCharType="begin"/>
          </w:r>
          <w:r w:rsidR="004D239D">
            <w:rPr>
              <w:sz w:val="24"/>
              <w:szCs w:val="24"/>
            </w:rPr>
            <w:instrText xml:space="preserve"> CITATION Lon21 \l 2057 </w:instrText>
          </w:r>
          <w:r w:rsidR="004D239D">
            <w:rPr>
              <w:sz w:val="24"/>
              <w:szCs w:val="24"/>
            </w:rPr>
            <w:fldChar w:fldCharType="separate"/>
          </w:r>
          <w:r w:rsidR="004D239D">
            <w:rPr>
              <w:noProof/>
              <w:sz w:val="24"/>
              <w:szCs w:val="24"/>
            </w:rPr>
            <w:t xml:space="preserve"> </w:t>
          </w:r>
          <w:r w:rsidR="004D239D" w:rsidRPr="004D239D">
            <w:rPr>
              <w:noProof/>
              <w:sz w:val="24"/>
              <w:szCs w:val="24"/>
            </w:rPr>
            <w:t>[1]</w:t>
          </w:r>
          <w:r w:rsidR="004D239D">
            <w:rPr>
              <w:sz w:val="24"/>
              <w:szCs w:val="24"/>
            </w:rPr>
            <w:fldChar w:fldCharType="end"/>
          </w:r>
        </w:sdtContent>
      </w:sdt>
      <w:r>
        <w:rPr>
          <w:sz w:val="24"/>
          <w:szCs w:val="24"/>
        </w:rPr>
        <w:t xml:space="preserve">. It involves applying sheet explosive to the surface and then detonating it. The explosion causes the top layer of the material to compress and then harden, resulting in increased strength and resistance. In this report, the process of EDH on railway crossings will be assessed using the QFD process. Railway crossings experience high impact forces from the train wheels passing over them at a high velocity. EDH is used to harden the nose and wing rails of the crossing, reducing </w:t>
      </w:r>
      <w:r w:rsidR="001A0ED4">
        <w:rPr>
          <w:sz w:val="24"/>
          <w:szCs w:val="24"/>
        </w:rPr>
        <w:t>deformation,</w:t>
      </w:r>
      <w:r>
        <w:rPr>
          <w:sz w:val="24"/>
          <w:szCs w:val="24"/>
        </w:rPr>
        <w:t xml:space="preserve"> and ensuring the crossings have a longer service life.</w:t>
      </w:r>
    </w:p>
    <w:p w14:paraId="0BF9C74A" w14:textId="5A81E203" w:rsidR="001A0ED4" w:rsidRDefault="001A0ED4">
      <w:pPr>
        <w:rPr>
          <w:sz w:val="24"/>
          <w:szCs w:val="24"/>
        </w:rPr>
      </w:pPr>
      <w:r>
        <w:rPr>
          <w:sz w:val="24"/>
          <w:szCs w:val="24"/>
        </w:rPr>
        <w:t>Quality Function Deployment (QFD) is a process used to take customer requirements and turn them into detailed engineering specifications. They involve looking at aspects such as functional requirements, functional importance, function means analysis, etc. in order to determine the best way of designing and manufacturing a product in order to maximise the customer satisfaction. This process was used to analyse specific parts of EDH in order to see the best way of completing the test.</w:t>
      </w:r>
    </w:p>
    <w:p w14:paraId="7E7FB7D2" w14:textId="17A11325" w:rsidR="001A0ED4" w:rsidRDefault="001A0ED4">
      <w:pPr>
        <w:rPr>
          <w:sz w:val="28"/>
          <w:szCs w:val="28"/>
        </w:rPr>
      </w:pPr>
      <w:r>
        <w:rPr>
          <w:sz w:val="28"/>
          <w:szCs w:val="28"/>
        </w:rPr>
        <w:t>Introduction:</w:t>
      </w:r>
    </w:p>
    <w:p w14:paraId="15249666" w14:textId="2BA99A4B" w:rsidR="00926A2C" w:rsidRDefault="00F936F4">
      <w:pPr>
        <w:rPr>
          <w:sz w:val="24"/>
          <w:szCs w:val="24"/>
        </w:rPr>
      </w:pPr>
      <w:r>
        <w:rPr>
          <w:sz w:val="24"/>
          <w:szCs w:val="24"/>
        </w:rPr>
        <w:t>Explosive</w:t>
      </w:r>
      <w:r w:rsidR="00560928">
        <w:rPr>
          <w:sz w:val="24"/>
          <w:szCs w:val="24"/>
        </w:rPr>
        <w:t xml:space="preserve"> Depth Hardening is used to significantly increase the hardness of the running surface, improving the resistance, and extending the crossings lifespan. By performing EDH on railway crossings, it helps maintain the shape and integrity of the crossings, and extends the </w:t>
      </w:r>
      <w:r w:rsidR="00221B24">
        <w:rPr>
          <w:sz w:val="24"/>
          <w:szCs w:val="24"/>
        </w:rPr>
        <w:t>service life</w:t>
      </w:r>
      <w:r w:rsidR="00560928">
        <w:rPr>
          <w:sz w:val="24"/>
          <w:szCs w:val="24"/>
        </w:rPr>
        <w:t xml:space="preserve"> of the crossings, meaning they are replaced less frequently, saving money. </w:t>
      </w:r>
      <w:r w:rsidR="0036115C">
        <w:rPr>
          <w:sz w:val="24"/>
          <w:szCs w:val="24"/>
        </w:rPr>
        <w:t xml:space="preserve">It is the process of applying sheet explosives to the running surface of a railway crossing and detonating it. </w:t>
      </w:r>
      <w:r w:rsidR="00B16C95">
        <w:rPr>
          <w:sz w:val="24"/>
          <w:szCs w:val="24"/>
        </w:rPr>
        <w:t xml:space="preserve">The process is repeated twice in order to achieve the required hardness of 321BHN of the top 15mm of the running surface. The running surface refers to the part of the crossing which faces impact from the train wheels. This is the only area of the crossing that has explosives applied to it. </w:t>
      </w:r>
      <w:r w:rsidR="001E435C">
        <w:rPr>
          <w:sz w:val="24"/>
          <w:szCs w:val="24"/>
        </w:rPr>
        <w:t xml:space="preserve">By performing EDH, the </w:t>
      </w:r>
      <w:r w:rsidR="00221B24">
        <w:rPr>
          <w:sz w:val="24"/>
          <w:szCs w:val="24"/>
        </w:rPr>
        <w:t xml:space="preserve">service life of the railway crossings </w:t>
      </w:r>
      <w:r w:rsidR="00FA4BAA">
        <w:rPr>
          <w:sz w:val="24"/>
          <w:szCs w:val="24"/>
        </w:rPr>
        <w:t>is</w:t>
      </w:r>
      <w:r w:rsidR="00221B24">
        <w:rPr>
          <w:sz w:val="24"/>
          <w:szCs w:val="24"/>
        </w:rPr>
        <w:t xml:space="preserve"> extended from approximately 5 years to 10 years.</w:t>
      </w:r>
      <w:r w:rsidR="00926A2C">
        <w:rPr>
          <w:sz w:val="24"/>
          <w:szCs w:val="24"/>
        </w:rPr>
        <w:t xml:space="preserve"> </w:t>
      </w:r>
      <w:r w:rsidR="00FA4BAA">
        <w:rPr>
          <w:sz w:val="24"/>
          <w:szCs w:val="24"/>
        </w:rPr>
        <w:t xml:space="preserve">The current </w:t>
      </w:r>
      <w:r w:rsidR="00132889">
        <w:rPr>
          <w:sz w:val="24"/>
          <w:szCs w:val="24"/>
        </w:rPr>
        <w:t xml:space="preserve">EDH process starts with preparing the charge, cutting the sheet explosives </w:t>
      </w:r>
      <w:r w:rsidR="00815349">
        <w:rPr>
          <w:sz w:val="24"/>
          <w:szCs w:val="24"/>
        </w:rPr>
        <w:t>with specific templates for the individual crossing. Thi</w:t>
      </w:r>
      <w:r w:rsidR="0086667D">
        <w:rPr>
          <w:sz w:val="24"/>
          <w:szCs w:val="24"/>
        </w:rPr>
        <w:t>s is done with a ceramic blade in order to prevent sparks, which could i</w:t>
      </w:r>
      <w:r w:rsidR="00740953">
        <w:rPr>
          <w:sz w:val="24"/>
          <w:szCs w:val="24"/>
        </w:rPr>
        <w:t>gnite the explosive. Currently, the sheet explosive used is Semtex 10-SE.</w:t>
      </w:r>
      <w:r w:rsidR="00090D67">
        <w:rPr>
          <w:sz w:val="24"/>
          <w:szCs w:val="24"/>
        </w:rPr>
        <w:t xml:space="preserve"> Semtex 10-SE i</w:t>
      </w:r>
      <w:r w:rsidR="007A00A1">
        <w:rPr>
          <w:sz w:val="24"/>
          <w:szCs w:val="24"/>
        </w:rPr>
        <w:t xml:space="preserve">s a plastic, sheet explosive that is used for blasting work; primarily </w:t>
      </w:r>
      <w:r w:rsidR="002837FD">
        <w:rPr>
          <w:sz w:val="24"/>
          <w:szCs w:val="24"/>
        </w:rPr>
        <w:t>hardening metallic materials</w:t>
      </w:r>
      <w:sdt>
        <w:sdtPr>
          <w:rPr>
            <w:sz w:val="24"/>
            <w:szCs w:val="24"/>
          </w:rPr>
          <w:id w:val="-650986213"/>
          <w:citation/>
        </w:sdtPr>
        <w:sdtEndPr/>
        <w:sdtContent>
          <w:r w:rsidR="00C22B98">
            <w:rPr>
              <w:sz w:val="24"/>
              <w:szCs w:val="24"/>
            </w:rPr>
            <w:fldChar w:fldCharType="begin"/>
          </w:r>
          <w:r w:rsidR="00C22B98">
            <w:rPr>
              <w:sz w:val="24"/>
              <w:szCs w:val="24"/>
            </w:rPr>
            <w:instrText xml:space="preserve"> CITATION Exp \l 2057 </w:instrText>
          </w:r>
          <w:r w:rsidR="00C22B98">
            <w:rPr>
              <w:sz w:val="24"/>
              <w:szCs w:val="24"/>
            </w:rPr>
            <w:fldChar w:fldCharType="separate"/>
          </w:r>
          <w:r w:rsidR="00C22B98">
            <w:rPr>
              <w:noProof/>
              <w:sz w:val="24"/>
              <w:szCs w:val="24"/>
            </w:rPr>
            <w:t xml:space="preserve"> </w:t>
          </w:r>
          <w:r w:rsidR="00C22B98" w:rsidRPr="00C22B98">
            <w:rPr>
              <w:noProof/>
              <w:sz w:val="24"/>
              <w:szCs w:val="24"/>
            </w:rPr>
            <w:t>[2]</w:t>
          </w:r>
          <w:r w:rsidR="00C22B98">
            <w:rPr>
              <w:sz w:val="24"/>
              <w:szCs w:val="24"/>
            </w:rPr>
            <w:fldChar w:fldCharType="end"/>
          </w:r>
        </w:sdtContent>
      </w:sdt>
      <w:r w:rsidR="002837FD">
        <w:rPr>
          <w:sz w:val="24"/>
          <w:szCs w:val="24"/>
        </w:rPr>
        <w:t xml:space="preserve">. </w:t>
      </w:r>
      <w:r w:rsidR="00146E84">
        <w:rPr>
          <w:sz w:val="24"/>
          <w:szCs w:val="24"/>
        </w:rPr>
        <w:t>It has an operating temperature between -10</w:t>
      </w:r>
      <w:r w:rsidR="00146E84">
        <w:rPr>
          <w:sz w:val="24"/>
          <w:szCs w:val="24"/>
          <w:vertAlign w:val="superscript"/>
        </w:rPr>
        <w:t>o</w:t>
      </w:r>
      <w:r w:rsidR="00146E84">
        <w:rPr>
          <w:sz w:val="24"/>
          <w:szCs w:val="24"/>
        </w:rPr>
        <w:t>C and 40</w:t>
      </w:r>
      <w:r w:rsidR="00146E84">
        <w:rPr>
          <w:sz w:val="24"/>
          <w:szCs w:val="24"/>
          <w:vertAlign w:val="superscript"/>
        </w:rPr>
        <w:t>o</w:t>
      </w:r>
      <w:r w:rsidR="00146E84">
        <w:rPr>
          <w:sz w:val="24"/>
          <w:szCs w:val="24"/>
        </w:rPr>
        <w:t>C</w:t>
      </w:r>
      <w:r w:rsidR="00135164">
        <w:rPr>
          <w:sz w:val="24"/>
          <w:szCs w:val="24"/>
        </w:rPr>
        <w:t xml:space="preserve"> and can be stored for up to 24 months before used.</w:t>
      </w:r>
      <w:r w:rsidR="002851C1">
        <w:rPr>
          <w:sz w:val="24"/>
          <w:szCs w:val="24"/>
        </w:rPr>
        <w:t xml:space="preserve"> Semtex 10-SE is </w:t>
      </w:r>
      <w:r w:rsidR="00140B22">
        <w:rPr>
          <w:sz w:val="24"/>
          <w:szCs w:val="24"/>
        </w:rPr>
        <w:t>m</w:t>
      </w:r>
      <w:r w:rsidR="00D8783D">
        <w:rPr>
          <w:sz w:val="24"/>
          <w:szCs w:val="24"/>
        </w:rPr>
        <w:t xml:space="preserve">ade up of pentrite (PETN), plastic binder and a marking agent. </w:t>
      </w:r>
      <w:r w:rsidR="00880C33">
        <w:rPr>
          <w:sz w:val="24"/>
          <w:szCs w:val="24"/>
        </w:rPr>
        <w:t xml:space="preserve">PETN is commonly used in military and industrial explosive due to its high detonation velocity. The plastic binder is what allows the </w:t>
      </w:r>
      <w:r w:rsidR="00590475">
        <w:rPr>
          <w:sz w:val="24"/>
          <w:szCs w:val="24"/>
        </w:rPr>
        <w:t>Semtex to be easy to shape and mold</w:t>
      </w:r>
      <w:sdt>
        <w:sdtPr>
          <w:rPr>
            <w:sz w:val="24"/>
            <w:szCs w:val="24"/>
          </w:rPr>
          <w:id w:val="-439766970"/>
          <w:citation/>
        </w:sdtPr>
        <w:sdtEndPr/>
        <w:sdtContent>
          <w:r w:rsidR="00C633EF">
            <w:rPr>
              <w:sz w:val="24"/>
              <w:szCs w:val="24"/>
            </w:rPr>
            <w:fldChar w:fldCharType="begin"/>
          </w:r>
          <w:r w:rsidR="00C633EF">
            <w:rPr>
              <w:sz w:val="24"/>
              <w:szCs w:val="24"/>
            </w:rPr>
            <w:instrText xml:space="preserve"> CITATION PET24 \l 2057 </w:instrText>
          </w:r>
          <w:r w:rsidR="00C633EF">
            <w:rPr>
              <w:sz w:val="24"/>
              <w:szCs w:val="24"/>
            </w:rPr>
            <w:fldChar w:fldCharType="separate"/>
          </w:r>
          <w:r w:rsidR="00C633EF">
            <w:rPr>
              <w:noProof/>
              <w:sz w:val="24"/>
              <w:szCs w:val="24"/>
            </w:rPr>
            <w:t xml:space="preserve"> </w:t>
          </w:r>
          <w:r w:rsidR="00C633EF" w:rsidRPr="00C633EF">
            <w:rPr>
              <w:noProof/>
              <w:sz w:val="24"/>
              <w:szCs w:val="24"/>
            </w:rPr>
            <w:t>[3]</w:t>
          </w:r>
          <w:r w:rsidR="00C633EF">
            <w:rPr>
              <w:sz w:val="24"/>
              <w:szCs w:val="24"/>
            </w:rPr>
            <w:fldChar w:fldCharType="end"/>
          </w:r>
        </w:sdtContent>
      </w:sdt>
      <w:r w:rsidR="00590475">
        <w:rPr>
          <w:sz w:val="24"/>
          <w:szCs w:val="24"/>
        </w:rPr>
        <w:t>.</w:t>
      </w:r>
    </w:p>
    <w:p w14:paraId="5D37B05C" w14:textId="79253ED9" w:rsidR="001846FE" w:rsidRDefault="00C64307">
      <w:pPr>
        <w:rPr>
          <w:sz w:val="24"/>
          <w:szCs w:val="24"/>
        </w:rPr>
      </w:pPr>
      <w:r>
        <w:rPr>
          <w:sz w:val="24"/>
          <w:szCs w:val="24"/>
        </w:rPr>
        <w:t>The Quality Function Deployment</w:t>
      </w:r>
      <w:r w:rsidR="008E1870">
        <w:rPr>
          <w:sz w:val="24"/>
          <w:szCs w:val="24"/>
        </w:rPr>
        <w:t xml:space="preserve"> (QFD) design process is a method used in order</w:t>
      </w:r>
      <w:r w:rsidR="0095784A">
        <w:rPr>
          <w:sz w:val="24"/>
          <w:szCs w:val="24"/>
        </w:rPr>
        <w:t xml:space="preserve"> to prioritise the customer requirements and ensure these are met through the design and manufacturing of a system. It looks at requirements, the importance of them and makes sure that the system </w:t>
      </w:r>
      <w:r w:rsidR="00B10A3C">
        <w:rPr>
          <w:sz w:val="24"/>
          <w:szCs w:val="24"/>
        </w:rPr>
        <w:t xml:space="preserve">meets these requirements with detailed engineering specifications. </w:t>
      </w:r>
      <w:r w:rsidR="00B5710A">
        <w:rPr>
          <w:sz w:val="24"/>
          <w:szCs w:val="24"/>
        </w:rPr>
        <w:t xml:space="preserve">It looks at noise factors, and how these can be controlled in order to ensure the system still performs </w:t>
      </w:r>
      <w:r w:rsidR="00A143F6">
        <w:rPr>
          <w:sz w:val="24"/>
          <w:szCs w:val="24"/>
        </w:rPr>
        <w:t xml:space="preserve">as required, using control factors. It is used to make sure that time and money is </w:t>
      </w:r>
      <w:r w:rsidR="00A143F6">
        <w:rPr>
          <w:sz w:val="24"/>
          <w:szCs w:val="24"/>
        </w:rPr>
        <w:lastRenderedPageBreak/>
        <w:t>saved, by getting it right in the design</w:t>
      </w:r>
      <w:r w:rsidR="007C100A">
        <w:rPr>
          <w:sz w:val="24"/>
          <w:szCs w:val="24"/>
        </w:rPr>
        <w:t xml:space="preserve">, as opposed to trying many prototypes and finding flaws then. By using the QFD design process, </w:t>
      </w:r>
      <w:r w:rsidR="009C1D3D">
        <w:rPr>
          <w:sz w:val="24"/>
          <w:szCs w:val="24"/>
        </w:rPr>
        <w:t xml:space="preserve">the issues are identified earlier and when it comes to manufacturing the system, </w:t>
      </w:r>
      <w:r w:rsidR="00C3662B">
        <w:rPr>
          <w:sz w:val="24"/>
          <w:szCs w:val="24"/>
        </w:rPr>
        <w:t>the design team know what they are making will work.</w:t>
      </w:r>
    </w:p>
    <w:p w14:paraId="0FC88AEF" w14:textId="7F13D052" w:rsidR="00195C0C" w:rsidRDefault="00195C0C">
      <w:pPr>
        <w:rPr>
          <w:sz w:val="28"/>
          <w:szCs w:val="28"/>
        </w:rPr>
      </w:pPr>
      <w:r>
        <w:rPr>
          <w:sz w:val="28"/>
          <w:szCs w:val="28"/>
        </w:rPr>
        <w:t>Design Process</w:t>
      </w:r>
    </w:p>
    <w:p w14:paraId="48711863" w14:textId="07A63F71" w:rsidR="00195C0C" w:rsidRDefault="00195C0C">
      <w:pPr>
        <w:rPr>
          <w:sz w:val="24"/>
          <w:szCs w:val="24"/>
        </w:rPr>
      </w:pPr>
      <w:r>
        <w:rPr>
          <w:sz w:val="24"/>
          <w:szCs w:val="24"/>
        </w:rPr>
        <w:t xml:space="preserve">Having identified the </w:t>
      </w:r>
      <w:r w:rsidR="002F0BDD">
        <w:rPr>
          <w:sz w:val="24"/>
          <w:szCs w:val="24"/>
        </w:rPr>
        <w:t>functional</w:t>
      </w:r>
      <w:r>
        <w:rPr>
          <w:sz w:val="24"/>
          <w:szCs w:val="24"/>
        </w:rPr>
        <w:t xml:space="preserve"> requirements, and then calculating which requirements were the most important, the most important requirements were shown to be the charge only functioning when operationally required, and the charge having consistent performance.</w:t>
      </w:r>
      <w:r w:rsidR="00CF2F59">
        <w:rPr>
          <w:sz w:val="24"/>
          <w:szCs w:val="24"/>
        </w:rPr>
        <w:t xml:space="preserve"> The charge only functioning when operationally required was a requirement of the shotfirer, to ensure safety. The charge having consistent performance is a requirement of the customer. This is so that the railway crossing gets the required hardness of 321BHN across the whole running surface, as well as there being no pitting or jetting on the crossing. The </w:t>
      </w:r>
      <w:r w:rsidR="002F0BDD">
        <w:rPr>
          <w:sz w:val="24"/>
          <w:szCs w:val="24"/>
        </w:rPr>
        <w:t>functional requirements are important as they are the products features that designers must implement in order to enable users to achieve their goals. They define the basic behaviours of a system under specific conditions. These address specifically what the system should do in terms of features and functionalities. These functional requirements can then be put into QFD 1 in order to identify the most important features of the system. QFD 1 compares the functional requirements against the individual components of the system to see which need the most attention. QFD 1 showed that the most important feature was the initiation of the charge, which was then highlighted in the QFD 1 functional importance graph.</w:t>
      </w:r>
    </w:p>
    <w:p w14:paraId="1A267BC7" w14:textId="49EA5B77" w:rsidR="002F0BDD" w:rsidRDefault="006129F8">
      <w:pPr>
        <w:rPr>
          <w:sz w:val="24"/>
          <w:szCs w:val="24"/>
        </w:rPr>
      </w:pPr>
      <w:r>
        <w:rPr>
          <w:noProof/>
        </w:rPr>
        <w:drawing>
          <wp:anchor distT="0" distB="0" distL="114300" distR="114300" simplePos="0" relativeHeight="251658240" behindDoc="0" locked="0" layoutInCell="1" allowOverlap="1" wp14:anchorId="77095F97" wp14:editId="3EC3CDF4">
            <wp:simplePos x="0" y="0"/>
            <wp:positionH relativeFrom="margin">
              <wp:align>right</wp:align>
            </wp:positionH>
            <wp:positionV relativeFrom="paragraph">
              <wp:posOffset>1437005</wp:posOffset>
            </wp:positionV>
            <wp:extent cx="5731510" cy="254000"/>
            <wp:effectExtent l="0" t="0" r="2540" b="0"/>
            <wp:wrapTopAndBottom/>
            <wp:docPr id="444537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537392"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54000"/>
                    </a:xfrm>
                    <a:prstGeom prst="rect">
                      <a:avLst/>
                    </a:prstGeom>
                  </pic:spPr>
                </pic:pic>
              </a:graphicData>
            </a:graphic>
          </wp:anchor>
        </w:drawing>
      </w:r>
      <w:r w:rsidR="00520E33">
        <w:rPr>
          <w:sz w:val="24"/>
          <w:szCs w:val="24"/>
        </w:rPr>
        <w:t xml:space="preserve">The next step was to do a function means analysis (FMA). The function means analysis allows the designer to explore all options for the design of the system. It helps designers identify potential design options by considering the functions a system must perform and the various means of achieving those functions. It provides a systematic way to explore different design options. FMA ensures that all relevant functions and means are considered, leading to a more thorough exploration of design possibilities. </w:t>
      </w:r>
      <w:r w:rsidR="007C23BD">
        <w:rPr>
          <w:sz w:val="24"/>
          <w:szCs w:val="24"/>
        </w:rPr>
        <w:t xml:space="preserve">Looking at the FMA, the options </w:t>
      </w:r>
      <w:r w:rsidR="008533B2">
        <w:rPr>
          <w:sz w:val="24"/>
          <w:szCs w:val="24"/>
        </w:rPr>
        <w:t>considered are shown below.</w:t>
      </w:r>
    </w:p>
    <w:p w14:paraId="74220C1E" w14:textId="62780AB6" w:rsidR="002F0BDD" w:rsidRDefault="00C463A4">
      <w:pPr>
        <w:rPr>
          <w:sz w:val="24"/>
          <w:szCs w:val="24"/>
        </w:rPr>
      </w:pPr>
      <w:r>
        <w:rPr>
          <w:sz w:val="24"/>
          <w:szCs w:val="24"/>
        </w:rPr>
        <w:t xml:space="preserve">Looking at the options shown above, </w:t>
      </w:r>
      <w:r w:rsidR="00467C95">
        <w:rPr>
          <w:sz w:val="24"/>
          <w:szCs w:val="24"/>
        </w:rPr>
        <w:t xml:space="preserve">some of the more interesting options include the </w:t>
      </w:r>
      <w:r w:rsidR="00595F33">
        <w:rPr>
          <w:sz w:val="24"/>
          <w:szCs w:val="24"/>
        </w:rPr>
        <w:t>laser-driven techniques</w:t>
      </w:r>
      <w:r w:rsidR="00B00CB2">
        <w:rPr>
          <w:sz w:val="24"/>
          <w:szCs w:val="24"/>
        </w:rPr>
        <w:t xml:space="preserve">. </w:t>
      </w:r>
      <w:r w:rsidR="00245477">
        <w:rPr>
          <w:sz w:val="24"/>
          <w:szCs w:val="24"/>
        </w:rPr>
        <w:t xml:space="preserve">This is an innovative way of initiating explosives, </w:t>
      </w:r>
      <w:r w:rsidR="009B6C4E">
        <w:rPr>
          <w:sz w:val="24"/>
          <w:szCs w:val="24"/>
        </w:rPr>
        <w:t>pyrotechnics,</w:t>
      </w:r>
      <w:r w:rsidR="00245477">
        <w:rPr>
          <w:sz w:val="24"/>
          <w:szCs w:val="24"/>
        </w:rPr>
        <w:t xml:space="preserve"> and propellants</w:t>
      </w:r>
      <w:sdt>
        <w:sdtPr>
          <w:rPr>
            <w:sz w:val="24"/>
            <w:szCs w:val="24"/>
          </w:rPr>
          <w:id w:val="-545056098"/>
          <w:citation/>
        </w:sdtPr>
        <w:sdtEndPr/>
        <w:sdtContent>
          <w:r w:rsidR="00554F71">
            <w:rPr>
              <w:sz w:val="24"/>
              <w:szCs w:val="24"/>
            </w:rPr>
            <w:fldChar w:fldCharType="begin"/>
          </w:r>
          <w:r w:rsidR="00554F71">
            <w:rPr>
              <w:sz w:val="24"/>
              <w:szCs w:val="24"/>
            </w:rPr>
            <w:instrText xml:space="preserve"> CITATION Leo \l 2057 </w:instrText>
          </w:r>
          <w:r w:rsidR="00554F71">
            <w:rPr>
              <w:sz w:val="24"/>
              <w:szCs w:val="24"/>
            </w:rPr>
            <w:fldChar w:fldCharType="separate"/>
          </w:r>
          <w:r w:rsidR="00554F71">
            <w:rPr>
              <w:noProof/>
              <w:sz w:val="24"/>
              <w:szCs w:val="24"/>
            </w:rPr>
            <w:t xml:space="preserve"> </w:t>
          </w:r>
          <w:r w:rsidR="00554F71" w:rsidRPr="00554F71">
            <w:rPr>
              <w:noProof/>
              <w:sz w:val="24"/>
              <w:szCs w:val="24"/>
            </w:rPr>
            <w:t>[4]</w:t>
          </w:r>
          <w:r w:rsidR="00554F71">
            <w:rPr>
              <w:sz w:val="24"/>
              <w:szCs w:val="24"/>
            </w:rPr>
            <w:fldChar w:fldCharType="end"/>
          </w:r>
        </w:sdtContent>
      </w:sdt>
      <w:r w:rsidR="00245477">
        <w:rPr>
          <w:sz w:val="24"/>
          <w:szCs w:val="24"/>
        </w:rPr>
        <w:t xml:space="preserve">. </w:t>
      </w:r>
      <w:r w:rsidR="00C76B60">
        <w:rPr>
          <w:sz w:val="24"/>
          <w:szCs w:val="24"/>
        </w:rPr>
        <w:t>One method of this</w:t>
      </w:r>
      <w:r w:rsidR="00EE7345">
        <w:rPr>
          <w:sz w:val="24"/>
          <w:szCs w:val="24"/>
        </w:rPr>
        <w:t xml:space="preserve"> is where</w:t>
      </w:r>
      <w:r w:rsidR="009B6C4E">
        <w:rPr>
          <w:sz w:val="24"/>
          <w:szCs w:val="24"/>
        </w:rPr>
        <w:t xml:space="preserve"> the laser beam</w:t>
      </w:r>
      <w:r w:rsidR="00EE7345">
        <w:rPr>
          <w:sz w:val="24"/>
          <w:szCs w:val="24"/>
        </w:rPr>
        <w:t xml:space="preserve"> </w:t>
      </w:r>
      <w:r w:rsidR="00AA3E0E">
        <w:rPr>
          <w:sz w:val="24"/>
          <w:szCs w:val="24"/>
        </w:rPr>
        <w:t>“</w:t>
      </w:r>
      <w:r w:rsidR="00EE7345" w:rsidRPr="00EE7345">
        <w:rPr>
          <w:sz w:val="24"/>
          <w:szCs w:val="24"/>
        </w:rPr>
        <w:t>directly interacts with the explosive material. The laser energy initiates a self-sustaining combustion process within the HE, leading to explosive combustion or detonation</w:t>
      </w:r>
      <w:r w:rsidR="00AA3E0E">
        <w:rPr>
          <w:sz w:val="24"/>
          <w:szCs w:val="24"/>
        </w:rPr>
        <w:t>”</w:t>
      </w:r>
      <w:sdt>
        <w:sdtPr>
          <w:rPr>
            <w:sz w:val="24"/>
            <w:szCs w:val="24"/>
          </w:rPr>
          <w:id w:val="-449786018"/>
          <w:citation/>
        </w:sdtPr>
        <w:sdtEndPr/>
        <w:sdtContent>
          <w:r w:rsidR="00B041CB">
            <w:rPr>
              <w:sz w:val="24"/>
              <w:szCs w:val="24"/>
            </w:rPr>
            <w:fldChar w:fldCharType="begin"/>
          </w:r>
          <w:r w:rsidR="00B041CB">
            <w:rPr>
              <w:sz w:val="24"/>
              <w:szCs w:val="24"/>
            </w:rPr>
            <w:instrText xml:space="preserve"> CITATION Yur19 \l 2057 </w:instrText>
          </w:r>
          <w:r w:rsidR="00B041CB">
            <w:rPr>
              <w:sz w:val="24"/>
              <w:szCs w:val="24"/>
            </w:rPr>
            <w:fldChar w:fldCharType="separate"/>
          </w:r>
          <w:r w:rsidR="00B041CB">
            <w:rPr>
              <w:noProof/>
              <w:sz w:val="24"/>
              <w:szCs w:val="24"/>
            </w:rPr>
            <w:t xml:space="preserve"> </w:t>
          </w:r>
          <w:r w:rsidR="00B041CB" w:rsidRPr="00B041CB">
            <w:rPr>
              <w:noProof/>
              <w:sz w:val="24"/>
              <w:szCs w:val="24"/>
            </w:rPr>
            <w:t>[5]</w:t>
          </w:r>
          <w:r w:rsidR="00B041CB">
            <w:rPr>
              <w:sz w:val="24"/>
              <w:szCs w:val="24"/>
            </w:rPr>
            <w:fldChar w:fldCharType="end"/>
          </w:r>
        </w:sdtContent>
      </w:sdt>
      <w:r w:rsidR="00AA3E0E">
        <w:rPr>
          <w:sz w:val="24"/>
          <w:szCs w:val="24"/>
        </w:rPr>
        <w:t xml:space="preserve">. </w:t>
      </w:r>
      <w:r w:rsidR="001E2D7A" w:rsidRPr="001E2D7A">
        <w:rPr>
          <w:sz w:val="24"/>
          <w:szCs w:val="24"/>
        </w:rPr>
        <w:t>Another method involves rapidly heating a thin film in contact with the HE. The intense laser pulse causes rapid energy deposition, leading to ignition</w:t>
      </w:r>
      <w:r w:rsidR="001E2D7A">
        <w:rPr>
          <w:sz w:val="24"/>
          <w:szCs w:val="24"/>
        </w:rPr>
        <w:t xml:space="preserve">. </w:t>
      </w:r>
      <w:r w:rsidR="001A7443">
        <w:rPr>
          <w:sz w:val="24"/>
          <w:szCs w:val="24"/>
        </w:rPr>
        <w:t xml:space="preserve">One other technique is the flyer plate. </w:t>
      </w:r>
      <w:r w:rsidR="001A7443" w:rsidRPr="001A7443">
        <w:rPr>
          <w:sz w:val="24"/>
          <w:szCs w:val="24"/>
        </w:rPr>
        <w:t xml:space="preserve">A thin metal foil (often </w:t>
      </w:r>
      <w:r w:rsidR="008D3AE5" w:rsidRPr="001A7443">
        <w:rPr>
          <w:sz w:val="24"/>
          <w:szCs w:val="24"/>
        </w:rPr>
        <w:t>aluminium</w:t>
      </w:r>
      <w:r w:rsidR="001A7443" w:rsidRPr="001A7443">
        <w:rPr>
          <w:sz w:val="24"/>
          <w:szCs w:val="24"/>
        </w:rPr>
        <w:t>) is ablated by the laser, producing a high-velocity flyer plate. This flyer plate impacts the HE, initiating detonation. The advantage here is that the laser-driven flyer plate can be precisely controlled</w:t>
      </w:r>
      <w:r w:rsidR="008D3AE5">
        <w:rPr>
          <w:sz w:val="24"/>
          <w:szCs w:val="24"/>
        </w:rPr>
        <w:t>.</w:t>
      </w:r>
      <w:r w:rsidR="00490E14" w:rsidRPr="00490E14">
        <w:t xml:space="preserve"> </w:t>
      </w:r>
      <w:r w:rsidR="00490E14">
        <w:rPr>
          <w:sz w:val="24"/>
          <w:szCs w:val="24"/>
        </w:rPr>
        <w:t>The advantage of using laser-driven techniques is that l</w:t>
      </w:r>
      <w:r w:rsidR="00490E14" w:rsidRPr="00490E14">
        <w:rPr>
          <w:sz w:val="24"/>
          <w:szCs w:val="24"/>
        </w:rPr>
        <w:t>aser initiation is immune to stray electromagnetic fields, electrostatic discharge, and stray electrical energy</w:t>
      </w:r>
      <w:r w:rsidR="00926415">
        <w:rPr>
          <w:sz w:val="24"/>
          <w:szCs w:val="24"/>
        </w:rPr>
        <w:t xml:space="preserve">, meaning it is less likely to detonate prematurely or accidentally. There </w:t>
      </w:r>
      <w:r w:rsidR="002F5CCD">
        <w:rPr>
          <w:sz w:val="24"/>
          <w:szCs w:val="24"/>
        </w:rPr>
        <w:t>are</w:t>
      </w:r>
      <w:r w:rsidR="00926415">
        <w:rPr>
          <w:sz w:val="24"/>
          <w:szCs w:val="24"/>
        </w:rPr>
        <w:t xml:space="preserve"> also no primary explosives involved</w:t>
      </w:r>
      <w:r w:rsidR="00841263">
        <w:rPr>
          <w:sz w:val="24"/>
          <w:szCs w:val="24"/>
        </w:rPr>
        <w:t xml:space="preserve">, making the system much safer. </w:t>
      </w:r>
      <w:r w:rsidR="002F5CCD">
        <w:rPr>
          <w:sz w:val="24"/>
          <w:szCs w:val="24"/>
        </w:rPr>
        <w:t>Laser</w:t>
      </w:r>
      <w:r w:rsidR="001F5EC8">
        <w:rPr>
          <w:sz w:val="24"/>
          <w:szCs w:val="24"/>
        </w:rPr>
        <w:t>-driven techniques</w:t>
      </w:r>
      <w:r w:rsidR="002F5CCD">
        <w:rPr>
          <w:sz w:val="24"/>
          <w:szCs w:val="24"/>
        </w:rPr>
        <w:t xml:space="preserve"> allow for safer</w:t>
      </w:r>
      <w:r w:rsidR="001F5EC8">
        <w:rPr>
          <w:sz w:val="24"/>
          <w:szCs w:val="24"/>
        </w:rPr>
        <w:t xml:space="preserve"> and more precise initiation of energetic materials.</w:t>
      </w:r>
      <w:r w:rsidR="00E44697">
        <w:rPr>
          <w:sz w:val="24"/>
          <w:szCs w:val="24"/>
        </w:rPr>
        <w:t xml:space="preserve"> By using laser-driven </w:t>
      </w:r>
      <w:r w:rsidR="00E44697">
        <w:rPr>
          <w:sz w:val="24"/>
          <w:szCs w:val="24"/>
        </w:rPr>
        <w:lastRenderedPageBreak/>
        <w:t>techniques in order to initiate the high explosives, you also eliminate the risk of frag off the detonator causing any pitting onto the railway crossing.</w:t>
      </w:r>
    </w:p>
    <w:p w14:paraId="2D6030BE" w14:textId="2A9CA2D0" w:rsidR="00375D39" w:rsidRDefault="000300F3">
      <w:pPr>
        <w:rPr>
          <w:sz w:val="24"/>
          <w:szCs w:val="24"/>
        </w:rPr>
      </w:pPr>
      <w:r>
        <w:rPr>
          <w:sz w:val="24"/>
          <w:szCs w:val="24"/>
        </w:rPr>
        <w:t xml:space="preserve">The electric-bridgewire detonator (EBW) is another </w:t>
      </w:r>
      <w:r w:rsidR="0096551D">
        <w:rPr>
          <w:sz w:val="24"/>
          <w:szCs w:val="24"/>
        </w:rPr>
        <w:t>safe option. EBW require 4kV in order to initiate them</w:t>
      </w:r>
      <w:r w:rsidR="006A5581">
        <w:rPr>
          <w:sz w:val="24"/>
          <w:szCs w:val="24"/>
        </w:rPr>
        <w:t>, making them much safer than standard electric detonators. They have a high energy output and are very reliable</w:t>
      </w:r>
      <w:sdt>
        <w:sdtPr>
          <w:rPr>
            <w:sz w:val="24"/>
            <w:szCs w:val="24"/>
          </w:rPr>
          <w:id w:val="-1590226511"/>
          <w:citation/>
        </w:sdtPr>
        <w:sdtEndPr/>
        <w:sdtContent>
          <w:r w:rsidR="0010276F">
            <w:rPr>
              <w:sz w:val="24"/>
              <w:szCs w:val="24"/>
            </w:rPr>
            <w:fldChar w:fldCharType="begin"/>
          </w:r>
          <w:r w:rsidR="0010276F">
            <w:rPr>
              <w:sz w:val="24"/>
              <w:szCs w:val="24"/>
            </w:rPr>
            <w:instrText xml:space="preserve"> CITATION Exp24 \l 2057 </w:instrText>
          </w:r>
          <w:r w:rsidR="0010276F">
            <w:rPr>
              <w:sz w:val="24"/>
              <w:szCs w:val="24"/>
            </w:rPr>
            <w:fldChar w:fldCharType="separate"/>
          </w:r>
          <w:r w:rsidR="0010276F">
            <w:rPr>
              <w:noProof/>
              <w:sz w:val="24"/>
              <w:szCs w:val="24"/>
            </w:rPr>
            <w:t xml:space="preserve"> </w:t>
          </w:r>
          <w:r w:rsidR="0010276F" w:rsidRPr="0010276F">
            <w:rPr>
              <w:noProof/>
              <w:sz w:val="24"/>
              <w:szCs w:val="24"/>
            </w:rPr>
            <w:t>[6]</w:t>
          </w:r>
          <w:r w:rsidR="0010276F">
            <w:rPr>
              <w:sz w:val="24"/>
              <w:szCs w:val="24"/>
            </w:rPr>
            <w:fldChar w:fldCharType="end"/>
          </w:r>
        </w:sdtContent>
      </w:sdt>
      <w:r w:rsidR="006A5581">
        <w:rPr>
          <w:sz w:val="24"/>
          <w:szCs w:val="24"/>
        </w:rPr>
        <w:t>.</w:t>
      </w:r>
      <w:r w:rsidR="000A7DA2">
        <w:rPr>
          <w:sz w:val="24"/>
          <w:szCs w:val="24"/>
        </w:rPr>
        <w:t xml:space="preserve"> They are a good option and are often used for big explosive charges, where </w:t>
      </w:r>
      <w:r w:rsidR="006A1995">
        <w:rPr>
          <w:sz w:val="24"/>
          <w:szCs w:val="24"/>
        </w:rPr>
        <w:t>safety is a high priority. They are highly unlikely to detonate accidentally, as they require such a high voltage and the firing system is incredibly safe, requiring two keys to set it off; one to arm and one to fire.</w:t>
      </w:r>
      <w:r w:rsidR="00844472">
        <w:rPr>
          <w:sz w:val="24"/>
          <w:szCs w:val="24"/>
        </w:rPr>
        <w:t xml:space="preserve"> However</w:t>
      </w:r>
      <w:r w:rsidR="00D22CEF">
        <w:rPr>
          <w:sz w:val="24"/>
          <w:szCs w:val="24"/>
        </w:rPr>
        <w:t>, due to them requiring such a high voltage to initiate them, it makes them very costly</w:t>
      </w:r>
      <w:sdt>
        <w:sdtPr>
          <w:rPr>
            <w:sz w:val="24"/>
            <w:szCs w:val="24"/>
          </w:rPr>
          <w:id w:val="254788646"/>
          <w:citation/>
        </w:sdtPr>
        <w:sdtEndPr/>
        <w:sdtContent>
          <w:r w:rsidR="00B0198A">
            <w:rPr>
              <w:sz w:val="24"/>
              <w:szCs w:val="24"/>
            </w:rPr>
            <w:fldChar w:fldCharType="begin"/>
          </w:r>
          <w:r w:rsidR="00B0198A">
            <w:rPr>
              <w:sz w:val="24"/>
              <w:szCs w:val="24"/>
            </w:rPr>
            <w:instrText xml:space="preserve"> CITATION EBW24 \l 2057 </w:instrText>
          </w:r>
          <w:r w:rsidR="00B0198A">
            <w:rPr>
              <w:sz w:val="24"/>
              <w:szCs w:val="24"/>
            </w:rPr>
            <w:fldChar w:fldCharType="separate"/>
          </w:r>
          <w:r w:rsidR="00B0198A">
            <w:rPr>
              <w:noProof/>
              <w:sz w:val="24"/>
              <w:szCs w:val="24"/>
            </w:rPr>
            <w:t xml:space="preserve"> </w:t>
          </w:r>
          <w:r w:rsidR="00B0198A" w:rsidRPr="00B0198A">
            <w:rPr>
              <w:noProof/>
              <w:sz w:val="24"/>
              <w:szCs w:val="24"/>
            </w:rPr>
            <w:t>[7]</w:t>
          </w:r>
          <w:r w:rsidR="00B0198A">
            <w:rPr>
              <w:sz w:val="24"/>
              <w:szCs w:val="24"/>
            </w:rPr>
            <w:fldChar w:fldCharType="end"/>
          </w:r>
        </w:sdtContent>
      </w:sdt>
      <w:r w:rsidR="00D22CEF">
        <w:rPr>
          <w:sz w:val="24"/>
          <w:szCs w:val="24"/>
        </w:rPr>
        <w:t xml:space="preserve">. The firing system required to </w:t>
      </w:r>
      <w:r w:rsidR="002C6DEF">
        <w:rPr>
          <w:sz w:val="24"/>
          <w:szCs w:val="24"/>
        </w:rPr>
        <w:t xml:space="preserve">generate enough voltage to initiate them costs approximately £25,000. The detonators themselves are also £98 each. This is </w:t>
      </w:r>
      <w:r w:rsidR="00803123">
        <w:rPr>
          <w:sz w:val="24"/>
          <w:szCs w:val="24"/>
        </w:rPr>
        <w:t>very costly compared to a non-electric detonator, which are approximately £4.40 each. The firing system is also much cheaper</w:t>
      </w:r>
      <w:r w:rsidR="00AD1212">
        <w:rPr>
          <w:sz w:val="24"/>
          <w:szCs w:val="24"/>
        </w:rPr>
        <w:t>.</w:t>
      </w:r>
      <w:r w:rsidR="00D9078C">
        <w:rPr>
          <w:sz w:val="24"/>
          <w:szCs w:val="24"/>
        </w:rPr>
        <w:t xml:space="preserve"> Nonel detonators were also considered for the </w:t>
      </w:r>
      <w:r w:rsidR="000747AD">
        <w:rPr>
          <w:sz w:val="24"/>
          <w:szCs w:val="24"/>
        </w:rPr>
        <w:t>method of initiation.</w:t>
      </w:r>
      <w:r w:rsidR="001071C8">
        <w:rPr>
          <w:sz w:val="24"/>
          <w:szCs w:val="24"/>
        </w:rPr>
        <w:t xml:space="preserve"> They are </w:t>
      </w:r>
      <w:r w:rsidR="008F3E77">
        <w:rPr>
          <w:sz w:val="24"/>
          <w:szCs w:val="24"/>
        </w:rPr>
        <w:t>safe and difficult to accidentally detonate and are very r</w:t>
      </w:r>
      <w:r w:rsidR="00A14FE3">
        <w:rPr>
          <w:sz w:val="24"/>
          <w:szCs w:val="24"/>
        </w:rPr>
        <w:t>eliable.</w:t>
      </w:r>
    </w:p>
    <w:p w14:paraId="0B58D7BE" w14:textId="07C39E94" w:rsidR="00375D39" w:rsidRDefault="00375D39">
      <w:pPr>
        <w:rPr>
          <w:sz w:val="24"/>
          <w:szCs w:val="24"/>
        </w:rPr>
      </w:pPr>
      <w:r>
        <w:rPr>
          <w:sz w:val="24"/>
          <w:szCs w:val="24"/>
        </w:rPr>
        <w:t>The decision was made to go with an electric detonator</w:t>
      </w:r>
      <w:r w:rsidR="002D730F">
        <w:rPr>
          <w:sz w:val="24"/>
          <w:szCs w:val="24"/>
        </w:rPr>
        <w:t>. Other options had good arguments towards them, such as the EBW and laser-driven techniques as they offered good safety</w:t>
      </w:r>
      <w:r w:rsidR="00D8038A">
        <w:rPr>
          <w:sz w:val="24"/>
          <w:szCs w:val="24"/>
        </w:rPr>
        <w:t>, however they were too expensive for the EDH. The nonel detonator was also a good option, due to its safety</w:t>
      </w:r>
      <w:r w:rsidR="00804211">
        <w:rPr>
          <w:sz w:val="24"/>
          <w:szCs w:val="24"/>
        </w:rPr>
        <w:t xml:space="preserve"> and reliability. However, the nonel detonator wasn’t chosen due to EDH being repeated tests and the nonel detonator requiring shock tube </w:t>
      </w:r>
      <w:r w:rsidR="00E755AB">
        <w:rPr>
          <w:sz w:val="24"/>
          <w:szCs w:val="24"/>
        </w:rPr>
        <w:t>being run out for every shot. This would be too time consuming and wouldn’t be as efficient as the electric detonator</w:t>
      </w:r>
      <w:r w:rsidR="00285BBB">
        <w:rPr>
          <w:sz w:val="24"/>
          <w:szCs w:val="24"/>
        </w:rPr>
        <w:t>, as this requires an electric two-core cable which can remain in place at all times. This is also more cost-efficient as you only have to purchase the cable once, and it can be used hundreds of times without needing replaced.</w:t>
      </w:r>
      <w:r w:rsidR="00254B79">
        <w:rPr>
          <w:sz w:val="24"/>
          <w:szCs w:val="24"/>
        </w:rPr>
        <w:t xml:space="preserve"> Electric detonators are also much cheaper than EBW detona</w:t>
      </w:r>
      <w:r w:rsidR="00C965C5">
        <w:rPr>
          <w:sz w:val="24"/>
          <w:szCs w:val="24"/>
        </w:rPr>
        <w:t>tors, and despite being less safe, they are still very safe and unlikely to detonate prematurely</w:t>
      </w:r>
      <w:sdt>
        <w:sdtPr>
          <w:rPr>
            <w:sz w:val="24"/>
            <w:szCs w:val="24"/>
          </w:rPr>
          <w:id w:val="-1504115090"/>
          <w:citation/>
        </w:sdtPr>
        <w:sdtEndPr/>
        <w:sdtContent>
          <w:r w:rsidR="00882299">
            <w:rPr>
              <w:sz w:val="24"/>
              <w:szCs w:val="24"/>
            </w:rPr>
            <w:fldChar w:fldCharType="begin"/>
          </w:r>
          <w:r w:rsidR="00882299">
            <w:rPr>
              <w:sz w:val="24"/>
              <w:szCs w:val="24"/>
            </w:rPr>
            <w:instrText xml:space="preserve"> CITATION Ele24 \l 2057 </w:instrText>
          </w:r>
          <w:r w:rsidR="00882299">
            <w:rPr>
              <w:sz w:val="24"/>
              <w:szCs w:val="24"/>
            </w:rPr>
            <w:fldChar w:fldCharType="separate"/>
          </w:r>
          <w:r w:rsidR="00882299">
            <w:rPr>
              <w:noProof/>
              <w:sz w:val="24"/>
              <w:szCs w:val="24"/>
            </w:rPr>
            <w:t xml:space="preserve"> </w:t>
          </w:r>
          <w:r w:rsidR="00882299" w:rsidRPr="00882299">
            <w:rPr>
              <w:noProof/>
              <w:sz w:val="24"/>
              <w:szCs w:val="24"/>
            </w:rPr>
            <w:t>[8]</w:t>
          </w:r>
          <w:r w:rsidR="00882299">
            <w:rPr>
              <w:sz w:val="24"/>
              <w:szCs w:val="24"/>
            </w:rPr>
            <w:fldChar w:fldCharType="end"/>
          </w:r>
        </w:sdtContent>
      </w:sdt>
      <w:r w:rsidR="00C965C5">
        <w:rPr>
          <w:sz w:val="24"/>
          <w:szCs w:val="24"/>
        </w:rPr>
        <w:t>. They have a high energy output and will initiate the Semtex 10-SE with no issues. They are easy to work with</w:t>
      </w:r>
      <w:r w:rsidR="001F1300">
        <w:rPr>
          <w:sz w:val="24"/>
          <w:szCs w:val="24"/>
        </w:rPr>
        <w:t xml:space="preserve"> as well making them a good option for commercial use, as some operators might not have as much training.</w:t>
      </w:r>
    </w:p>
    <w:p w14:paraId="4C3D2AE9" w14:textId="5317AF8C" w:rsidR="00D9078C" w:rsidRDefault="00CB4DA3">
      <w:pPr>
        <w:rPr>
          <w:sz w:val="24"/>
          <w:szCs w:val="24"/>
        </w:rPr>
      </w:pPr>
      <w:r>
        <w:rPr>
          <w:sz w:val="24"/>
          <w:szCs w:val="24"/>
        </w:rPr>
        <w:t xml:space="preserve">The next step was to </w:t>
      </w:r>
      <w:r w:rsidR="00E46730">
        <w:rPr>
          <w:sz w:val="24"/>
          <w:szCs w:val="24"/>
        </w:rPr>
        <w:t xml:space="preserve">complete QFD 2 and then move on to the P-Diagram and What-Why Diagrams. </w:t>
      </w:r>
      <w:r w:rsidR="00FD1BC8">
        <w:rPr>
          <w:sz w:val="24"/>
          <w:szCs w:val="24"/>
        </w:rPr>
        <w:t xml:space="preserve">A P-Diagram is a tool used to </w:t>
      </w:r>
      <w:r w:rsidR="00235766">
        <w:rPr>
          <w:sz w:val="24"/>
          <w:szCs w:val="24"/>
        </w:rPr>
        <w:t>help</w:t>
      </w:r>
      <w:r w:rsidR="00FD1BC8">
        <w:rPr>
          <w:sz w:val="24"/>
          <w:szCs w:val="24"/>
        </w:rPr>
        <w:t xml:space="preserve"> understand how a </w:t>
      </w:r>
      <w:r w:rsidR="00235766">
        <w:rPr>
          <w:sz w:val="24"/>
          <w:szCs w:val="24"/>
        </w:rPr>
        <w:t>specific function is used in a system</w:t>
      </w:r>
      <w:r w:rsidR="00542283">
        <w:rPr>
          <w:sz w:val="24"/>
          <w:szCs w:val="24"/>
        </w:rPr>
        <w:t xml:space="preserve">. It shows the input and output while also looking at some of the things that could go wrong or get in the way. These are the noise factors and control factors. </w:t>
      </w:r>
      <w:r w:rsidR="00244F32">
        <w:rPr>
          <w:sz w:val="24"/>
          <w:szCs w:val="24"/>
        </w:rPr>
        <w:t xml:space="preserve">By using a P-Diagram, </w:t>
      </w:r>
      <w:r w:rsidR="001B18E1">
        <w:rPr>
          <w:sz w:val="24"/>
          <w:szCs w:val="24"/>
        </w:rPr>
        <w:t xml:space="preserve">it helps the designers identify which parameters or factors are going to influence the </w:t>
      </w:r>
      <w:r w:rsidR="00D0456C">
        <w:rPr>
          <w:sz w:val="24"/>
          <w:szCs w:val="24"/>
        </w:rPr>
        <w:t xml:space="preserve">design of the system. </w:t>
      </w:r>
      <w:r w:rsidR="00902F6C">
        <w:rPr>
          <w:sz w:val="24"/>
          <w:szCs w:val="24"/>
        </w:rPr>
        <w:t xml:space="preserve">It also allows the design team to select the control factors used in order to counteract the </w:t>
      </w:r>
      <w:r w:rsidR="001B41E4">
        <w:rPr>
          <w:sz w:val="24"/>
          <w:szCs w:val="24"/>
        </w:rPr>
        <w:t xml:space="preserve">noise factors and ensure the system still works as it should. </w:t>
      </w:r>
      <w:r w:rsidR="00FE1F60">
        <w:rPr>
          <w:sz w:val="24"/>
          <w:szCs w:val="24"/>
        </w:rPr>
        <w:t>By properly utilising the P-Diagram, the reliability of a system can be increased a lot</w:t>
      </w:r>
      <w:r w:rsidR="0099101E">
        <w:rPr>
          <w:sz w:val="24"/>
          <w:szCs w:val="24"/>
        </w:rPr>
        <w:t xml:space="preserve">. </w:t>
      </w:r>
      <w:r w:rsidR="00B06A9E">
        <w:rPr>
          <w:sz w:val="24"/>
          <w:szCs w:val="24"/>
        </w:rPr>
        <w:t>The</w:t>
      </w:r>
      <w:r w:rsidR="009F25B1">
        <w:rPr>
          <w:sz w:val="24"/>
          <w:szCs w:val="24"/>
        </w:rPr>
        <w:t xml:space="preserve"> first part is the input. With us using an electric detonator, this would be </w:t>
      </w:r>
      <w:r w:rsidR="0060308C">
        <w:rPr>
          <w:sz w:val="24"/>
          <w:szCs w:val="24"/>
        </w:rPr>
        <w:t xml:space="preserve">an electric current that is input. </w:t>
      </w:r>
      <w:r w:rsidR="0099101E">
        <w:rPr>
          <w:sz w:val="24"/>
          <w:szCs w:val="24"/>
        </w:rPr>
        <w:t xml:space="preserve">This has some noise factors such as </w:t>
      </w:r>
      <w:r w:rsidR="00687E00">
        <w:rPr>
          <w:sz w:val="24"/>
          <w:szCs w:val="24"/>
        </w:rPr>
        <w:t>a faulty connection</w:t>
      </w:r>
      <w:r w:rsidR="00837AE4">
        <w:rPr>
          <w:sz w:val="24"/>
          <w:szCs w:val="24"/>
        </w:rPr>
        <w:t xml:space="preserve">. This could be caused by the firing system used or the electric cable. To ensure the detonator gets enough voltage, the control factors include </w:t>
      </w:r>
      <w:r w:rsidR="00261E96">
        <w:rPr>
          <w:sz w:val="24"/>
          <w:szCs w:val="24"/>
        </w:rPr>
        <w:t xml:space="preserve">using a shrike that provides sufficient </w:t>
      </w:r>
      <w:r w:rsidR="00724F06">
        <w:rPr>
          <w:sz w:val="24"/>
          <w:szCs w:val="24"/>
        </w:rPr>
        <w:t>voltage and</w:t>
      </w:r>
      <w:r w:rsidR="00261E96">
        <w:rPr>
          <w:sz w:val="24"/>
          <w:szCs w:val="24"/>
        </w:rPr>
        <w:t xml:space="preserve"> checking the cable regularly for any </w:t>
      </w:r>
      <w:r w:rsidR="00AD013D">
        <w:rPr>
          <w:sz w:val="24"/>
          <w:szCs w:val="24"/>
        </w:rPr>
        <w:t xml:space="preserve">damage to the cable. </w:t>
      </w:r>
      <w:r w:rsidR="009C180E">
        <w:rPr>
          <w:sz w:val="24"/>
          <w:szCs w:val="24"/>
        </w:rPr>
        <w:t xml:space="preserve">The noise factors are split into </w:t>
      </w:r>
      <w:r w:rsidR="007E5888">
        <w:rPr>
          <w:sz w:val="24"/>
          <w:szCs w:val="24"/>
        </w:rPr>
        <w:t xml:space="preserve">external, unit-to-unit, and deterioration. </w:t>
      </w:r>
    </w:p>
    <w:p w14:paraId="4A6F64C3" w14:textId="790BF610" w:rsidR="00F41CB1" w:rsidRDefault="00F41CB1">
      <w:pPr>
        <w:rPr>
          <w:sz w:val="24"/>
          <w:szCs w:val="24"/>
        </w:rPr>
      </w:pPr>
      <w:r>
        <w:rPr>
          <w:sz w:val="24"/>
          <w:szCs w:val="24"/>
        </w:rPr>
        <w:lastRenderedPageBreak/>
        <w:t xml:space="preserve">External noise factors </w:t>
      </w:r>
      <w:r w:rsidR="00252B9E">
        <w:rPr>
          <w:sz w:val="24"/>
          <w:szCs w:val="24"/>
        </w:rPr>
        <w:t>come from outside the system and a</w:t>
      </w:r>
      <w:r w:rsidR="00126D1A">
        <w:rPr>
          <w:sz w:val="24"/>
          <w:szCs w:val="24"/>
        </w:rPr>
        <w:t xml:space="preserve">ffect the performance of the system. </w:t>
      </w:r>
      <w:r w:rsidR="004B61F3">
        <w:rPr>
          <w:sz w:val="24"/>
          <w:szCs w:val="24"/>
        </w:rPr>
        <w:t xml:space="preserve">These included factors such as temperature being too hot. If it is too hot, </w:t>
      </w:r>
      <w:r w:rsidR="00796BBB">
        <w:rPr>
          <w:sz w:val="24"/>
          <w:szCs w:val="24"/>
        </w:rPr>
        <w:t xml:space="preserve">then the detonator won’t function. </w:t>
      </w:r>
      <w:r w:rsidR="00A72E65">
        <w:rPr>
          <w:sz w:val="24"/>
          <w:szCs w:val="24"/>
        </w:rPr>
        <w:t xml:space="preserve">Electric detonators tend to have an operating temperature </w:t>
      </w:r>
      <w:r w:rsidR="0048034A">
        <w:rPr>
          <w:sz w:val="24"/>
          <w:szCs w:val="24"/>
        </w:rPr>
        <w:t>of up to 50</w:t>
      </w:r>
      <w:r w:rsidR="0048034A">
        <w:rPr>
          <w:sz w:val="24"/>
          <w:szCs w:val="24"/>
          <w:vertAlign w:val="superscript"/>
        </w:rPr>
        <w:t>o</w:t>
      </w:r>
      <w:r w:rsidR="0048034A">
        <w:rPr>
          <w:sz w:val="24"/>
          <w:szCs w:val="24"/>
        </w:rPr>
        <w:t>C. It is highly unlikely to reach 50</w:t>
      </w:r>
      <w:r w:rsidR="0048034A">
        <w:rPr>
          <w:sz w:val="24"/>
          <w:szCs w:val="24"/>
          <w:vertAlign w:val="superscript"/>
        </w:rPr>
        <w:t>o</w:t>
      </w:r>
      <w:r w:rsidR="0048034A">
        <w:rPr>
          <w:sz w:val="24"/>
          <w:szCs w:val="24"/>
        </w:rPr>
        <w:t xml:space="preserve">C </w:t>
      </w:r>
      <w:r w:rsidR="009D09CD">
        <w:rPr>
          <w:sz w:val="24"/>
          <w:szCs w:val="24"/>
        </w:rPr>
        <w:t>in this country but could happen in other countries such as USA. Even if the outside temperature doesn’t reach 50 degrees,</w:t>
      </w:r>
      <w:r w:rsidR="00323433">
        <w:rPr>
          <w:sz w:val="24"/>
          <w:szCs w:val="24"/>
        </w:rPr>
        <w:t xml:space="preserve"> the detonator still may not function if the storage temperature had reached above that. </w:t>
      </w:r>
      <w:r w:rsidR="006065A8">
        <w:rPr>
          <w:sz w:val="24"/>
          <w:szCs w:val="24"/>
        </w:rPr>
        <w:t xml:space="preserve">As well as this, </w:t>
      </w:r>
      <w:r w:rsidR="00526AC6">
        <w:rPr>
          <w:sz w:val="24"/>
          <w:szCs w:val="24"/>
        </w:rPr>
        <w:t>if the temperature gets too cold the detonator will not work</w:t>
      </w:r>
      <w:r w:rsidR="00E311FF">
        <w:rPr>
          <w:sz w:val="24"/>
          <w:szCs w:val="24"/>
        </w:rPr>
        <w:t>. This is more likely in the UK as some detonators will only operate above -10</w:t>
      </w:r>
      <w:r w:rsidR="00E311FF">
        <w:rPr>
          <w:sz w:val="24"/>
          <w:szCs w:val="24"/>
          <w:vertAlign w:val="superscript"/>
        </w:rPr>
        <w:t>o</w:t>
      </w:r>
      <w:r w:rsidR="00E311FF">
        <w:rPr>
          <w:sz w:val="24"/>
          <w:szCs w:val="24"/>
        </w:rPr>
        <w:t xml:space="preserve">C. </w:t>
      </w:r>
      <w:r w:rsidR="009E0C30">
        <w:rPr>
          <w:sz w:val="24"/>
          <w:szCs w:val="24"/>
        </w:rPr>
        <w:t xml:space="preserve">It is rare that this will happen often, but it could happen on a few occasions when it gets really cold. </w:t>
      </w:r>
      <w:r w:rsidR="00A55682">
        <w:rPr>
          <w:sz w:val="24"/>
          <w:szCs w:val="24"/>
        </w:rPr>
        <w:t xml:space="preserve">Other external noise factors include </w:t>
      </w:r>
      <w:r w:rsidR="00D11D06">
        <w:rPr>
          <w:sz w:val="24"/>
          <w:szCs w:val="24"/>
        </w:rPr>
        <w:t xml:space="preserve">lightning striking. Lightning has the potential to set off the explosives if it happened to strike </w:t>
      </w:r>
      <w:r w:rsidR="00435339">
        <w:rPr>
          <w:sz w:val="24"/>
          <w:szCs w:val="24"/>
        </w:rPr>
        <w:t xml:space="preserve">it. The way of counteracting this with control factors is only to not perform EDH when there is a chance of lightning. </w:t>
      </w:r>
      <w:r w:rsidR="00DE421F">
        <w:rPr>
          <w:sz w:val="24"/>
          <w:szCs w:val="24"/>
        </w:rPr>
        <w:t>Unfortunately,</w:t>
      </w:r>
      <w:r w:rsidR="005F288E">
        <w:rPr>
          <w:sz w:val="24"/>
          <w:szCs w:val="24"/>
        </w:rPr>
        <w:t xml:space="preserve"> that is the only way of really controlling it, because there aren’t any control measures </w:t>
      </w:r>
      <w:r w:rsidR="000F5E02">
        <w:rPr>
          <w:sz w:val="24"/>
          <w:szCs w:val="24"/>
        </w:rPr>
        <w:t xml:space="preserve">that can change the weather. </w:t>
      </w:r>
      <w:r w:rsidR="00DE421F">
        <w:rPr>
          <w:sz w:val="24"/>
          <w:szCs w:val="24"/>
        </w:rPr>
        <w:t xml:space="preserve">Wet weather is another </w:t>
      </w:r>
      <w:r w:rsidR="00653479">
        <w:rPr>
          <w:sz w:val="24"/>
          <w:szCs w:val="24"/>
        </w:rPr>
        <w:t>external noise factor. Rain won’t prevent EDH, as it can be done inside a tunnel</w:t>
      </w:r>
      <w:r w:rsidR="00605924">
        <w:rPr>
          <w:sz w:val="24"/>
          <w:szCs w:val="24"/>
        </w:rPr>
        <w:t xml:space="preserve">, however, in terms of the initiation </w:t>
      </w:r>
      <w:r w:rsidR="008B049D">
        <w:rPr>
          <w:sz w:val="24"/>
          <w:szCs w:val="24"/>
        </w:rPr>
        <w:t xml:space="preserve">of the Semtex 10-SE; it can be affected. If there is too much moisture </w:t>
      </w:r>
      <w:r w:rsidR="00D101DD">
        <w:rPr>
          <w:sz w:val="24"/>
          <w:szCs w:val="24"/>
        </w:rPr>
        <w:t>between the detonator and the Semtex, then it may not initiate. This can be controlled by getting rid of the moisture on the area where the det</w:t>
      </w:r>
      <w:r w:rsidR="00261BE5">
        <w:rPr>
          <w:sz w:val="24"/>
          <w:szCs w:val="24"/>
        </w:rPr>
        <w:t xml:space="preserve">onator is placed. </w:t>
      </w:r>
    </w:p>
    <w:p w14:paraId="49B8767E" w14:textId="45AEB0E5" w:rsidR="00446C42" w:rsidRDefault="00E83AAC">
      <w:pPr>
        <w:rPr>
          <w:sz w:val="24"/>
          <w:szCs w:val="24"/>
        </w:rPr>
      </w:pPr>
      <w:r>
        <w:rPr>
          <w:sz w:val="24"/>
          <w:szCs w:val="24"/>
        </w:rPr>
        <w:t>Unit-to-unit noise factors are factors that arise from the variability</w:t>
      </w:r>
      <w:r w:rsidR="00446C42">
        <w:rPr>
          <w:sz w:val="24"/>
          <w:szCs w:val="24"/>
        </w:rPr>
        <w:t xml:space="preserve"> between individual items </w:t>
      </w:r>
      <w:r w:rsidR="00412233">
        <w:rPr>
          <w:sz w:val="24"/>
          <w:szCs w:val="24"/>
        </w:rPr>
        <w:t xml:space="preserve">produced by the manufacturing of the system. One example of this is the explosive variation. Recently, Davydets that </w:t>
      </w:r>
      <w:r w:rsidR="00F4264B">
        <w:rPr>
          <w:sz w:val="24"/>
          <w:szCs w:val="24"/>
        </w:rPr>
        <w:t xml:space="preserve">are commonly used for EDH have changed their detonators by removing lead from them. </w:t>
      </w:r>
      <w:r w:rsidR="00622B3E">
        <w:rPr>
          <w:sz w:val="24"/>
          <w:szCs w:val="24"/>
        </w:rPr>
        <w:t xml:space="preserve">This has caused the explosive power to </w:t>
      </w:r>
      <w:r w:rsidR="00562271">
        <w:rPr>
          <w:sz w:val="24"/>
          <w:szCs w:val="24"/>
        </w:rPr>
        <w:t>change,</w:t>
      </w:r>
      <w:r w:rsidR="00622B3E">
        <w:rPr>
          <w:sz w:val="24"/>
          <w:szCs w:val="24"/>
        </w:rPr>
        <w:t xml:space="preserve"> and the output is less. This caused </w:t>
      </w:r>
      <w:r w:rsidR="00562271">
        <w:rPr>
          <w:sz w:val="24"/>
          <w:szCs w:val="24"/>
        </w:rPr>
        <w:t xml:space="preserve">misfires more regularly and this had to be controlled. This was </w:t>
      </w:r>
      <w:r w:rsidR="00A738F8">
        <w:rPr>
          <w:sz w:val="24"/>
          <w:szCs w:val="24"/>
        </w:rPr>
        <w:t xml:space="preserve">sorted by providing a “booster” in order to initiate the </w:t>
      </w:r>
      <w:r w:rsidR="003800C8">
        <w:rPr>
          <w:sz w:val="24"/>
          <w:szCs w:val="24"/>
        </w:rPr>
        <w:t xml:space="preserve">main charge. This is to ensure there is enough </w:t>
      </w:r>
      <w:r w:rsidR="00257865">
        <w:rPr>
          <w:sz w:val="24"/>
          <w:szCs w:val="24"/>
        </w:rPr>
        <w:t>energy output to initiate the 1mm Semtex</w:t>
      </w:r>
      <w:r w:rsidR="00185AE0">
        <w:rPr>
          <w:sz w:val="24"/>
          <w:szCs w:val="24"/>
        </w:rPr>
        <w:t xml:space="preserve">. </w:t>
      </w:r>
      <w:r w:rsidR="00C01738">
        <w:rPr>
          <w:sz w:val="24"/>
          <w:szCs w:val="24"/>
        </w:rPr>
        <w:t>Another noise factor is the size of the detonators</w:t>
      </w:r>
      <w:r w:rsidR="005577FE">
        <w:rPr>
          <w:sz w:val="24"/>
          <w:szCs w:val="24"/>
        </w:rPr>
        <w:t>. This won’t really affect performance; however, it will affect the handling. The size of the Davydets have also increased recently</w:t>
      </w:r>
      <w:r w:rsidR="003169BF">
        <w:rPr>
          <w:sz w:val="24"/>
          <w:szCs w:val="24"/>
        </w:rPr>
        <w:t xml:space="preserve">. This hasn’t affected performance, although it has made it more difficult for setting up. There </w:t>
      </w:r>
      <w:r w:rsidR="009340DA">
        <w:rPr>
          <w:sz w:val="24"/>
          <w:szCs w:val="24"/>
        </w:rPr>
        <w:t>aren’t</w:t>
      </w:r>
      <w:r w:rsidR="003169BF">
        <w:rPr>
          <w:sz w:val="24"/>
          <w:szCs w:val="24"/>
        </w:rPr>
        <w:t xml:space="preserve"> really any control factors to counteract this</w:t>
      </w:r>
      <w:r w:rsidR="009340DA">
        <w:rPr>
          <w:sz w:val="24"/>
          <w:szCs w:val="24"/>
        </w:rPr>
        <w:t>, as it can’t be changed.</w:t>
      </w:r>
      <w:r w:rsidR="001C6928">
        <w:rPr>
          <w:sz w:val="24"/>
          <w:szCs w:val="24"/>
        </w:rPr>
        <w:t xml:space="preserve"> Another unit-to-unit noise factor is the change of the shrike. If the shrike that is used to </w:t>
      </w:r>
      <w:r w:rsidR="001656FC">
        <w:rPr>
          <w:sz w:val="24"/>
          <w:szCs w:val="24"/>
        </w:rPr>
        <w:t xml:space="preserve">initiate </w:t>
      </w:r>
    </w:p>
    <w:p w14:paraId="26DFFDF2" w14:textId="48D47DF5" w:rsidR="009340DA" w:rsidRDefault="002303FF">
      <w:pPr>
        <w:rPr>
          <w:sz w:val="24"/>
          <w:szCs w:val="24"/>
        </w:rPr>
      </w:pPr>
      <w:r>
        <w:rPr>
          <w:sz w:val="24"/>
          <w:szCs w:val="24"/>
        </w:rPr>
        <w:t xml:space="preserve">Deterioration noise factors are factors related to the degradation of a product. This is caused by </w:t>
      </w:r>
      <w:r w:rsidR="000D36E4">
        <w:rPr>
          <w:sz w:val="24"/>
          <w:szCs w:val="24"/>
        </w:rPr>
        <w:t>aging, wear and tear, and exposure to environmental conditions</w:t>
      </w:r>
      <w:r w:rsidR="00C61F25">
        <w:rPr>
          <w:sz w:val="24"/>
          <w:szCs w:val="24"/>
        </w:rPr>
        <w:t xml:space="preserve"> over time. One example of the deterioration noise factors that were identified, is the </w:t>
      </w:r>
      <w:r w:rsidR="00847EB3">
        <w:rPr>
          <w:sz w:val="24"/>
          <w:szCs w:val="24"/>
        </w:rPr>
        <w:t xml:space="preserve">static electricity from the </w:t>
      </w:r>
      <w:r w:rsidR="0086734F">
        <w:rPr>
          <w:sz w:val="24"/>
          <w:szCs w:val="24"/>
        </w:rPr>
        <w:t xml:space="preserve">handler. This is controlled by wearing antistatic clothing when handling explosives. </w:t>
      </w:r>
      <w:r w:rsidR="00C569DB">
        <w:rPr>
          <w:sz w:val="24"/>
          <w:szCs w:val="24"/>
        </w:rPr>
        <w:t xml:space="preserve">Another factor is </w:t>
      </w:r>
      <w:r w:rsidR="00BD0F45">
        <w:rPr>
          <w:sz w:val="24"/>
          <w:szCs w:val="24"/>
        </w:rPr>
        <w:t>aging. Electric detonators should really be used within a year</w:t>
      </w:r>
      <w:r w:rsidR="006A4134">
        <w:rPr>
          <w:sz w:val="24"/>
          <w:szCs w:val="24"/>
        </w:rPr>
        <w:t xml:space="preserve">. If not, the performance can be affected and they may not work, or the energy output may be reduced and not enough to initiate the main charge. </w:t>
      </w:r>
      <w:r w:rsidR="003A7937">
        <w:rPr>
          <w:sz w:val="24"/>
          <w:szCs w:val="24"/>
        </w:rPr>
        <w:t>This is controlled by using the detonators before their expiry date, which is likely to happen anyway</w:t>
      </w:r>
      <w:r w:rsidR="001272D7">
        <w:rPr>
          <w:sz w:val="24"/>
          <w:szCs w:val="24"/>
        </w:rPr>
        <w:t xml:space="preserve"> due to the volume of railway crossings that are EDH. </w:t>
      </w:r>
      <w:r w:rsidR="00D8740A">
        <w:rPr>
          <w:sz w:val="24"/>
          <w:szCs w:val="24"/>
        </w:rPr>
        <w:t xml:space="preserve">The conditions in which the detonators are stored can also have an affect on the performance. If the detonators are not stored properly then they may not work when </w:t>
      </w:r>
      <w:r w:rsidR="00AE7C43">
        <w:rPr>
          <w:sz w:val="24"/>
          <w:szCs w:val="24"/>
        </w:rPr>
        <w:t xml:space="preserve">required. This is controlled by maintaining the storage </w:t>
      </w:r>
      <w:r w:rsidR="004B3143">
        <w:rPr>
          <w:sz w:val="24"/>
          <w:szCs w:val="24"/>
        </w:rPr>
        <w:t>facility</w:t>
      </w:r>
      <w:r w:rsidR="00026F8D">
        <w:rPr>
          <w:sz w:val="24"/>
          <w:szCs w:val="24"/>
        </w:rPr>
        <w:t xml:space="preserve">, regularly doing checks. This includes ensuring the </w:t>
      </w:r>
      <w:r w:rsidR="008644A7">
        <w:rPr>
          <w:sz w:val="24"/>
          <w:szCs w:val="24"/>
        </w:rPr>
        <w:t xml:space="preserve">storage facility is secure, without leaks and has sufficient ventilation. </w:t>
      </w:r>
    </w:p>
    <w:p w14:paraId="2DF9E873" w14:textId="77777777" w:rsidR="00C3662B" w:rsidRDefault="00C3662B">
      <w:pPr>
        <w:rPr>
          <w:sz w:val="28"/>
          <w:szCs w:val="28"/>
        </w:rPr>
      </w:pPr>
    </w:p>
    <w:p w14:paraId="5D5CCF72" w14:textId="0C0EC721" w:rsidR="007C4CED" w:rsidRDefault="007C4CED">
      <w:pPr>
        <w:rPr>
          <w:sz w:val="28"/>
          <w:szCs w:val="28"/>
        </w:rPr>
      </w:pPr>
      <w:r>
        <w:rPr>
          <w:sz w:val="28"/>
          <w:szCs w:val="28"/>
        </w:rPr>
        <w:lastRenderedPageBreak/>
        <w:t>Summary and Conclusion</w:t>
      </w:r>
    </w:p>
    <w:p w14:paraId="45F54275" w14:textId="1B063441" w:rsidR="007C4CED" w:rsidRDefault="007C4CED">
      <w:pPr>
        <w:rPr>
          <w:sz w:val="24"/>
          <w:szCs w:val="24"/>
        </w:rPr>
      </w:pPr>
      <w:r>
        <w:rPr>
          <w:sz w:val="24"/>
          <w:szCs w:val="24"/>
        </w:rPr>
        <w:t xml:space="preserve">In summary, the QFD design process </w:t>
      </w:r>
      <w:r w:rsidR="006B366C">
        <w:rPr>
          <w:sz w:val="24"/>
          <w:szCs w:val="24"/>
        </w:rPr>
        <w:t xml:space="preserve">helped analyse the design of the EDH system as a whole, and then specifically the initiation process </w:t>
      </w:r>
      <w:r w:rsidR="00C975A2">
        <w:rPr>
          <w:sz w:val="24"/>
          <w:szCs w:val="24"/>
        </w:rPr>
        <w:t>of the EDH. By using design tools such as the requirements</w:t>
      </w:r>
      <w:r w:rsidR="00AE6054">
        <w:rPr>
          <w:sz w:val="24"/>
          <w:szCs w:val="24"/>
        </w:rPr>
        <w:t xml:space="preserve"> set and the pairwise comparison of the requirements, it was easy to identify the most important requirements </w:t>
      </w:r>
      <w:r w:rsidR="00A70756">
        <w:rPr>
          <w:sz w:val="24"/>
          <w:szCs w:val="24"/>
        </w:rPr>
        <w:t xml:space="preserve">to ensure the system meets the </w:t>
      </w:r>
      <w:r w:rsidR="00FA49B2">
        <w:rPr>
          <w:sz w:val="24"/>
          <w:szCs w:val="24"/>
        </w:rPr>
        <w:t xml:space="preserve">customer’s and shotfirer’s needs. </w:t>
      </w:r>
      <w:r w:rsidR="00CE113D">
        <w:rPr>
          <w:sz w:val="24"/>
          <w:szCs w:val="24"/>
        </w:rPr>
        <w:t>These were then input into the QFD 1 in order to see the most important parts of the system. This was then identified to be the initiation of the main charge</w:t>
      </w:r>
      <w:r w:rsidR="001013CF">
        <w:rPr>
          <w:sz w:val="24"/>
          <w:szCs w:val="24"/>
        </w:rPr>
        <w:t xml:space="preserve"> from the feature importance chart</w:t>
      </w:r>
      <w:r w:rsidR="00CE113D">
        <w:rPr>
          <w:sz w:val="24"/>
          <w:szCs w:val="24"/>
        </w:rPr>
        <w:t xml:space="preserve">. </w:t>
      </w:r>
      <w:r w:rsidR="00164E57">
        <w:rPr>
          <w:sz w:val="24"/>
          <w:szCs w:val="24"/>
        </w:rPr>
        <w:t>After doing this, the function means analysis helped look at the different options available for the initiation</w:t>
      </w:r>
      <w:r w:rsidR="009348C9">
        <w:rPr>
          <w:sz w:val="24"/>
          <w:szCs w:val="24"/>
        </w:rPr>
        <w:t xml:space="preserve">. The FMA helped the design team explore some of the more sensible options, as well as some of the more creative options, such as the laser-driven techniques. </w:t>
      </w:r>
      <w:r w:rsidR="00193292">
        <w:rPr>
          <w:sz w:val="24"/>
          <w:szCs w:val="24"/>
        </w:rPr>
        <w:t xml:space="preserve">The electric detonator was then chosen as the most practical method, </w:t>
      </w:r>
      <w:r w:rsidR="00EC1F09">
        <w:rPr>
          <w:sz w:val="24"/>
          <w:szCs w:val="24"/>
        </w:rPr>
        <w:t xml:space="preserve">and the individual parts of this were put into QFD 2 and then </w:t>
      </w:r>
      <w:r w:rsidR="00F1496B">
        <w:rPr>
          <w:sz w:val="24"/>
          <w:szCs w:val="24"/>
        </w:rPr>
        <w:t xml:space="preserve">a P-Diagram was made. The P-Diagram helped the design team look at the input and desired output of the subsystem, while considering the </w:t>
      </w:r>
      <w:r w:rsidR="009D4907">
        <w:rPr>
          <w:sz w:val="24"/>
          <w:szCs w:val="24"/>
        </w:rPr>
        <w:t xml:space="preserve">various noise factors that would impact. This was in order to identify the control factors necessary </w:t>
      </w:r>
      <w:r w:rsidR="004E67FB">
        <w:rPr>
          <w:sz w:val="24"/>
          <w:szCs w:val="24"/>
        </w:rPr>
        <w:t xml:space="preserve">to ensure that the noise factors wouldn’t </w:t>
      </w:r>
      <w:r w:rsidR="0071744C">
        <w:rPr>
          <w:sz w:val="24"/>
          <w:szCs w:val="24"/>
        </w:rPr>
        <w:t xml:space="preserve">impact the desired output of the electric detonator. </w:t>
      </w:r>
    </w:p>
    <w:sdt>
      <w:sdtPr>
        <w:rPr>
          <w:rFonts w:asciiTheme="minorHAnsi" w:eastAsiaTheme="minorHAnsi" w:hAnsiTheme="minorHAnsi" w:cstheme="minorBidi"/>
          <w:color w:val="auto"/>
          <w:kern w:val="2"/>
          <w:sz w:val="22"/>
          <w:szCs w:val="22"/>
          <w:lang w:val="en-GB"/>
          <w14:ligatures w14:val="standardContextual"/>
        </w:rPr>
        <w:id w:val="-1387250074"/>
        <w:docPartObj>
          <w:docPartGallery w:val="Bibliographies"/>
          <w:docPartUnique/>
        </w:docPartObj>
      </w:sdtPr>
      <w:sdtEndPr/>
      <w:sdtContent>
        <w:p w14:paraId="448D89BA" w14:textId="6A082CB9" w:rsidR="005A27C3" w:rsidRDefault="005A27C3">
          <w:pPr>
            <w:pStyle w:val="Heading1"/>
          </w:pPr>
          <w:r>
            <w:t>References</w:t>
          </w:r>
        </w:p>
        <w:sdt>
          <w:sdtPr>
            <w:id w:val="-573587230"/>
            <w:bibliography/>
          </w:sdtPr>
          <w:sdtEndPr/>
          <w:sdtContent>
            <w:p w14:paraId="7597F686" w14:textId="77777777" w:rsidR="005A27C3" w:rsidRDefault="005A27C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3"/>
                <w:gridCol w:w="8713"/>
              </w:tblGrid>
              <w:tr w:rsidR="005A27C3" w14:paraId="464AE860" w14:textId="77777777">
                <w:trPr>
                  <w:divId w:val="643238517"/>
                  <w:tblCellSpacing w:w="15" w:type="dxa"/>
                </w:trPr>
                <w:tc>
                  <w:tcPr>
                    <w:tcW w:w="50" w:type="pct"/>
                    <w:hideMark/>
                  </w:tcPr>
                  <w:p w14:paraId="39AEE856" w14:textId="087B19C3" w:rsidR="005A27C3" w:rsidRDefault="005A27C3">
                    <w:pPr>
                      <w:pStyle w:val="Bibliography"/>
                      <w:rPr>
                        <w:noProof/>
                        <w:kern w:val="0"/>
                        <w:sz w:val="24"/>
                        <w:szCs w:val="24"/>
                        <w:lang w:val="en-US"/>
                        <w14:ligatures w14:val="none"/>
                      </w:rPr>
                    </w:pPr>
                    <w:r>
                      <w:rPr>
                        <w:noProof/>
                        <w:lang w:val="en-US"/>
                      </w:rPr>
                      <w:t xml:space="preserve">[1] </w:t>
                    </w:r>
                  </w:p>
                </w:tc>
                <w:tc>
                  <w:tcPr>
                    <w:tcW w:w="0" w:type="auto"/>
                    <w:hideMark/>
                  </w:tcPr>
                  <w:p w14:paraId="0613F281" w14:textId="77777777" w:rsidR="005A27C3" w:rsidRDefault="005A27C3">
                    <w:pPr>
                      <w:pStyle w:val="Bibliography"/>
                      <w:rPr>
                        <w:noProof/>
                        <w:lang w:val="en-US"/>
                      </w:rPr>
                    </w:pPr>
                    <w:r>
                      <w:rPr>
                        <w:noProof/>
                        <w:lang w:val="en-US"/>
                      </w:rPr>
                      <w:t xml:space="preserve">"Longer-Life Crossings," </w:t>
                    </w:r>
                    <w:r>
                      <w:rPr>
                        <w:i/>
                        <w:iCs/>
                        <w:noProof/>
                        <w:lang w:val="en-US"/>
                      </w:rPr>
                      <w:t xml:space="preserve">Rail Engineer, </w:t>
                    </w:r>
                    <w:r>
                      <w:rPr>
                        <w:noProof/>
                        <w:lang w:val="en-US"/>
                      </w:rPr>
                      <w:t xml:space="preserve">2021. </w:t>
                    </w:r>
                  </w:p>
                </w:tc>
              </w:tr>
              <w:tr w:rsidR="005A27C3" w14:paraId="5E074454" w14:textId="77777777">
                <w:trPr>
                  <w:divId w:val="643238517"/>
                  <w:tblCellSpacing w:w="15" w:type="dxa"/>
                </w:trPr>
                <w:tc>
                  <w:tcPr>
                    <w:tcW w:w="50" w:type="pct"/>
                    <w:hideMark/>
                  </w:tcPr>
                  <w:p w14:paraId="42C1767A" w14:textId="77777777" w:rsidR="005A27C3" w:rsidRDefault="005A27C3">
                    <w:pPr>
                      <w:pStyle w:val="Bibliography"/>
                      <w:rPr>
                        <w:noProof/>
                        <w:lang w:val="en-US"/>
                      </w:rPr>
                    </w:pPr>
                    <w:r>
                      <w:rPr>
                        <w:noProof/>
                        <w:lang w:val="en-US"/>
                      </w:rPr>
                      <w:t xml:space="preserve">[2] </w:t>
                    </w:r>
                  </w:p>
                </w:tc>
                <w:tc>
                  <w:tcPr>
                    <w:tcW w:w="0" w:type="auto"/>
                    <w:hideMark/>
                  </w:tcPr>
                  <w:p w14:paraId="12EB0ABA" w14:textId="77777777" w:rsidR="005A27C3" w:rsidRDefault="005A27C3">
                    <w:pPr>
                      <w:pStyle w:val="Bibliography"/>
                      <w:rPr>
                        <w:noProof/>
                        <w:lang w:val="en-US"/>
                      </w:rPr>
                    </w:pPr>
                    <w:r>
                      <w:rPr>
                        <w:noProof/>
                        <w:lang w:val="en-US"/>
                      </w:rPr>
                      <w:t>Explosia, "Semtex 10-SE explosive for special use".</w:t>
                    </w:r>
                  </w:p>
                </w:tc>
              </w:tr>
              <w:tr w:rsidR="005A27C3" w14:paraId="37768E33" w14:textId="77777777">
                <w:trPr>
                  <w:divId w:val="643238517"/>
                  <w:tblCellSpacing w:w="15" w:type="dxa"/>
                </w:trPr>
                <w:tc>
                  <w:tcPr>
                    <w:tcW w:w="50" w:type="pct"/>
                    <w:hideMark/>
                  </w:tcPr>
                  <w:p w14:paraId="57D544A6" w14:textId="77777777" w:rsidR="005A27C3" w:rsidRDefault="005A27C3">
                    <w:pPr>
                      <w:pStyle w:val="Bibliography"/>
                      <w:rPr>
                        <w:noProof/>
                        <w:lang w:val="en-US"/>
                      </w:rPr>
                    </w:pPr>
                    <w:r>
                      <w:rPr>
                        <w:noProof/>
                        <w:lang w:val="en-US"/>
                      </w:rPr>
                      <w:t xml:space="preserve">[3] </w:t>
                    </w:r>
                  </w:p>
                </w:tc>
                <w:tc>
                  <w:tcPr>
                    <w:tcW w:w="0" w:type="auto"/>
                    <w:hideMark/>
                  </w:tcPr>
                  <w:p w14:paraId="2BB770FE" w14:textId="77777777" w:rsidR="005A27C3" w:rsidRDefault="005A27C3">
                    <w:pPr>
                      <w:pStyle w:val="Bibliography"/>
                      <w:rPr>
                        <w:noProof/>
                        <w:lang w:val="en-US"/>
                      </w:rPr>
                    </w:pPr>
                    <w:r>
                      <w:rPr>
                        <w:noProof/>
                        <w:lang w:val="en-US"/>
                      </w:rPr>
                      <w:t>"PETN," Britannica, [Online]. Available: https://www.britannica.com/science/PETN. [Accessed 15 April 2024].</w:t>
                    </w:r>
                  </w:p>
                </w:tc>
              </w:tr>
              <w:tr w:rsidR="005A27C3" w14:paraId="696615ED" w14:textId="77777777">
                <w:trPr>
                  <w:divId w:val="643238517"/>
                  <w:tblCellSpacing w:w="15" w:type="dxa"/>
                </w:trPr>
                <w:tc>
                  <w:tcPr>
                    <w:tcW w:w="50" w:type="pct"/>
                    <w:hideMark/>
                  </w:tcPr>
                  <w:p w14:paraId="5A3A10C5" w14:textId="77777777" w:rsidR="005A27C3" w:rsidRDefault="005A27C3">
                    <w:pPr>
                      <w:pStyle w:val="Bibliography"/>
                      <w:rPr>
                        <w:noProof/>
                        <w:lang w:val="en-US"/>
                      </w:rPr>
                    </w:pPr>
                    <w:r>
                      <w:rPr>
                        <w:noProof/>
                        <w:lang w:val="en-US"/>
                      </w:rPr>
                      <w:t xml:space="preserve">[4] </w:t>
                    </w:r>
                  </w:p>
                </w:tc>
                <w:tc>
                  <w:tcPr>
                    <w:tcW w:w="0" w:type="auto"/>
                    <w:hideMark/>
                  </w:tcPr>
                  <w:p w14:paraId="00A23208" w14:textId="77777777" w:rsidR="005A27C3" w:rsidRDefault="005A27C3">
                    <w:pPr>
                      <w:pStyle w:val="Bibliography"/>
                      <w:rPr>
                        <w:noProof/>
                        <w:lang w:val="en-US"/>
                      </w:rPr>
                    </w:pPr>
                    <w:r>
                      <w:rPr>
                        <w:noProof/>
                        <w:lang w:val="en-US"/>
                      </w:rPr>
                      <w:t>T. N. J. W. Leo de Yong, "Laser Ignition of Explosives, Pyrotechnics and Propellants: A review".</w:t>
                    </w:r>
                  </w:p>
                </w:tc>
              </w:tr>
              <w:tr w:rsidR="005A27C3" w14:paraId="308518BC" w14:textId="77777777">
                <w:trPr>
                  <w:divId w:val="643238517"/>
                  <w:tblCellSpacing w:w="15" w:type="dxa"/>
                </w:trPr>
                <w:tc>
                  <w:tcPr>
                    <w:tcW w:w="50" w:type="pct"/>
                    <w:hideMark/>
                  </w:tcPr>
                  <w:p w14:paraId="0C6407B5" w14:textId="77777777" w:rsidR="005A27C3" w:rsidRDefault="005A27C3">
                    <w:pPr>
                      <w:pStyle w:val="Bibliography"/>
                      <w:rPr>
                        <w:noProof/>
                        <w:lang w:val="en-US"/>
                      </w:rPr>
                    </w:pPr>
                    <w:r>
                      <w:rPr>
                        <w:noProof/>
                        <w:lang w:val="en-US"/>
                      </w:rPr>
                      <w:t xml:space="preserve">[5] </w:t>
                    </w:r>
                  </w:p>
                </w:tc>
                <w:tc>
                  <w:tcPr>
                    <w:tcW w:w="0" w:type="auto"/>
                    <w:hideMark/>
                  </w:tcPr>
                  <w:p w14:paraId="74886B30" w14:textId="77777777" w:rsidR="005A27C3" w:rsidRDefault="005A27C3">
                    <w:pPr>
                      <w:pStyle w:val="Bibliography"/>
                      <w:rPr>
                        <w:noProof/>
                        <w:lang w:val="en-US"/>
                      </w:rPr>
                    </w:pPr>
                    <w:r>
                      <w:rPr>
                        <w:noProof/>
                        <w:lang w:val="en-US"/>
                      </w:rPr>
                      <w:t xml:space="preserve">e. a. Yuriy Tverjanovich, "Interaction of Laser Radiation with Explosives, Applications and Perspectives," </w:t>
                    </w:r>
                    <w:r>
                      <w:rPr>
                        <w:i/>
                        <w:iCs/>
                        <w:noProof/>
                        <w:lang w:val="en-US"/>
                      </w:rPr>
                      <w:t xml:space="preserve">Springer Link, </w:t>
                    </w:r>
                    <w:r>
                      <w:rPr>
                        <w:noProof/>
                        <w:lang w:val="en-US"/>
                      </w:rPr>
                      <w:t xml:space="preserve">pp. 493-511, 2019. </w:t>
                    </w:r>
                  </w:p>
                </w:tc>
              </w:tr>
              <w:tr w:rsidR="005A27C3" w14:paraId="776AEEBD" w14:textId="77777777">
                <w:trPr>
                  <w:divId w:val="643238517"/>
                  <w:tblCellSpacing w:w="15" w:type="dxa"/>
                </w:trPr>
                <w:tc>
                  <w:tcPr>
                    <w:tcW w:w="50" w:type="pct"/>
                    <w:hideMark/>
                  </w:tcPr>
                  <w:p w14:paraId="7D12A75B" w14:textId="77777777" w:rsidR="005A27C3" w:rsidRDefault="005A27C3">
                    <w:pPr>
                      <w:pStyle w:val="Bibliography"/>
                      <w:rPr>
                        <w:noProof/>
                        <w:lang w:val="en-US"/>
                      </w:rPr>
                    </w:pPr>
                    <w:r>
                      <w:rPr>
                        <w:noProof/>
                        <w:lang w:val="en-US"/>
                      </w:rPr>
                      <w:t xml:space="preserve">[6] </w:t>
                    </w:r>
                  </w:p>
                </w:tc>
                <w:tc>
                  <w:tcPr>
                    <w:tcW w:w="0" w:type="auto"/>
                    <w:hideMark/>
                  </w:tcPr>
                  <w:p w14:paraId="4FAB3DB3" w14:textId="77777777" w:rsidR="005A27C3" w:rsidRDefault="005A27C3">
                    <w:pPr>
                      <w:pStyle w:val="Bibliography"/>
                      <w:rPr>
                        <w:noProof/>
                        <w:lang w:val="en-US"/>
                      </w:rPr>
                    </w:pPr>
                    <w:r>
                      <w:rPr>
                        <w:noProof/>
                        <w:lang w:val="en-US"/>
                      </w:rPr>
                      <w:t>"Exploding Bridgewire Detonators," Applied Energy Technology Corp, [Online]. Available: https://aesquibs.com/products/detonators/. [Accessed 23 April 2024].</w:t>
                    </w:r>
                  </w:p>
                </w:tc>
              </w:tr>
              <w:tr w:rsidR="005A27C3" w14:paraId="17509C00" w14:textId="77777777">
                <w:trPr>
                  <w:divId w:val="643238517"/>
                  <w:tblCellSpacing w:w="15" w:type="dxa"/>
                </w:trPr>
                <w:tc>
                  <w:tcPr>
                    <w:tcW w:w="50" w:type="pct"/>
                    <w:hideMark/>
                  </w:tcPr>
                  <w:p w14:paraId="5C55CC62" w14:textId="77777777" w:rsidR="005A27C3" w:rsidRDefault="005A27C3">
                    <w:pPr>
                      <w:pStyle w:val="Bibliography"/>
                      <w:rPr>
                        <w:noProof/>
                        <w:lang w:val="en-US"/>
                      </w:rPr>
                    </w:pPr>
                    <w:r>
                      <w:rPr>
                        <w:noProof/>
                        <w:lang w:val="en-US"/>
                      </w:rPr>
                      <w:t xml:space="preserve">[7] </w:t>
                    </w:r>
                  </w:p>
                </w:tc>
                <w:tc>
                  <w:tcPr>
                    <w:tcW w:w="0" w:type="auto"/>
                    <w:hideMark/>
                  </w:tcPr>
                  <w:p w14:paraId="628EB207" w14:textId="77777777" w:rsidR="005A27C3" w:rsidRDefault="005A27C3">
                    <w:pPr>
                      <w:pStyle w:val="Bibliography"/>
                      <w:rPr>
                        <w:noProof/>
                        <w:lang w:val="en-US"/>
                      </w:rPr>
                    </w:pPr>
                    <w:r>
                      <w:rPr>
                        <w:noProof/>
                        <w:lang w:val="en-US"/>
                      </w:rPr>
                      <w:t>"EBW Detonators," Teledyne Energetics, [Online]. Available: https://www.teledynedefenseelectronics.com/energetics/products/Pages/EBW%20Detonators.aspx. [Accessed 23 April 2024].</w:t>
                    </w:r>
                  </w:p>
                </w:tc>
              </w:tr>
              <w:tr w:rsidR="005A27C3" w14:paraId="53872CF1" w14:textId="77777777">
                <w:trPr>
                  <w:divId w:val="643238517"/>
                  <w:tblCellSpacing w:w="15" w:type="dxa"/>
                </w:trPr>
                <w:tc>
                  <w:tcPr>
                    <w:tcW w:w="50" w:type="pct"/>
                    <w:hideMark/>
                  </w:tcPr>
                  <w:p w14:paraId="0A7D5D3B" w14:textId="77777777" w:rsidR="005A27C3" w:rsidRDefault="005A27C3">
                    <w:pPr>
                      <w:pStyle w:val="Bibliography"/>
                      <w:rPr>
                        <w:noProof/>
                        <w:lang w:val="en-US"/>
                      </w:rPr>
                    </w:pPr>
                    <w:r>
                      <w:rPr>
                        <w:noProof/>
                        <w:lang w:val="en-US"/>
                      </w:rPr>
                      <w:t xml:space="preserve">[8] </w:t>
                    </w:r>
                  </w:p>
                </w:tc>
                <w:tc>
                  <w:tcPr>
                    <w:tcW w:w="0" w:type="auto"/>
                    <w:hideMark/>
                  </w:tcPr>
                  <w:p w14:paraId="066E60E0" w14:textId="77777777" w:rsidR="005A27C3" w:rsidRDefault="005A27C3">
                    <w:pPr>
                      <w:pStyle w:val="Bibliography"/>
                      <w:rPr>
                        <w:noProof/>
                        <w:lang w:val="en-US"/>
                      </w:rPr>
                    </w:pPr>
                    <w:r>
                      <w:rPr>
                        <w:noProof/>
                        <w:lang w:val="en-US"/>
                      </w:rPr>
                      <w:t>"Electric Detonators," CDET Explosive Industries, [Online]. Available: https://cdetexplosives.com/electric-detonators/. [Accessed 25 April 2024].</w:t>
                    </w:r>
                  </w:p>
                </w:tc>
              </w:tr>
            </w:tbl>
            <w:p w14:paraId="03D402E7" w14:textId="77777777" w:rsidR="005A27C3" w:rsidRDefault="005A27C3">
              <w:pPr>
                <w:divId w:val="643238517"/>
                <w:rPr>
                  <w:rFonts w:eastAsia="Times New Roman"/>
                  <w:noProof/>
                </w:rPr>
              </w:pPr>
            </w:p>
            <w:p w14:paraId="3AA10D46" w14:textId="17FE2C2C" w:rsidR="001A0ED4" w:rsidRPr="005A27C3" w:rsidRDefault="005A27C3">
              <w:r>
                <w:rPr>
                  <w:b/>
                  <w:bCs/>
                  <w:noProof/>
                </w:rPr>
                <w:fldChar w:fldCharType="end"/>
              </w:r>
            </w:p>
          </w:sdtContent>
        </w:sdt>
      </w:sdtContent>
    </w:sdt>
    <w:sectPr w:rsidR="001A0ED4" w:rsidRPr="005A27C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213A1" w14:textId="77777777" w:rsidR="00BE68DC" w:rsidRDefault="00BE68DC" w:rsidP="00BE68DC">
      <w:pPr>
        <w:spacing w:after="0" w:line="240" w:lineRule="auto"/>
      </w:pPr>
      <w:r>
        <w:separator/>
      </w:r>
    </w:p>
  </w:endnote>
  <w:endnote w:type="continuationSeparator" w:id="0">
    <w:p w14:paraId="37BB65DB" w14:textId="77777777" w:rsidR="00BE68DC" w:rsidRDefault="00BE68DC" w:rsidP="00BE6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9491841"/>
      <w:docPartObj>
        <w:docPartGallery w:val="Page Numbers (Bottom of Page)"/>
        <w:docPartUnique/>
      </w:docPartObj>
    </w:sdtPr>
    <w:sdtEndPr>
      <w:rPr>
        <w:noProof/>
      </w:rPr>
    </w:sdtEndPr>
    <w:sdtContent>
      <w:p w14:paraId="32B0D867" w14:textId="569D8F79" w:rsidR="00BE68DC" w:rsidRDefault="00BE68DC">
        <w:pPr>
          <w:pStyle w:val="Footer"/>
        </w:pPr>
        <w:r>
          <w:fldChar w:fldCharType="begin"/>
        </w:r>
        <w:r>
          <w:instrText xml:space="preserve"> PAGE   \* MERGEFORMAT </w:instrText>
        </w:r>
        <w:r>
          <w:fldChar w:fldCharType="separate"/>
        </w:r>
        <w:r>
          <w:rPr>
            <w:noProof/>
          </w:rPr>
          <w:t>2</w:t>
        </w:r>
        <w:r>
          <w:rPr>
            <w:noProof/>
          </w:rPr>
          <w:fldChar w:fldCharType="end"/>
        </w:r>
      </w:p>
    </w:sdtContent>
  </w:sdt>
  <w:p w14:paraId="056C6D9E" w14:textId="77777777" w:rsidR="00BE68DC" w:rsidRDefault="00BE68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9527C" w14:textId="77777777" w:rsidR="00BE68DC" w:rsidRDefault="00BE68DC" w:rsidP="00BE68DC">
      <w:pPr>
        <w:spacing w:after="0" w:line="240" w:lineRule="auto"/>
      </w:pPr>
      <w:r>
        <w:separator/>
      </w:r>
    </w:p>
  </w:footnote>
  <w:footnote w:type="continuationSeparator" w:id="0">
    <w:p w14:paraId="43F2BE14" w14:textId="77777777" w:rsidR="00BE68DC" w:rsidRDefault="00BE68DC" w:rsidP="00BE6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031896"/>
    <w:multiLevelType w:val="hybridMultilevel"/>
    <w:tmpl w:val="CEF63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8451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Forms Core NewDocument" w:val="2024-05-01T07:20:26Z"/>
  </w:docVars>
  <w:rsids>
    <w:rsidRoot w:val="00FE7328"/>
    <w:rsid w:val="00026F8D"/>
    <w:rsid w:val="000300F3"/>
    <w:rsid w:val="00030950"/>
    <w:rsid w:val="000747AD"/>
    <w:rsid w:val="00090D67"/>
    <w:rsid w:val="00097D4E"/>
    <w:rsid w:val="000A7DA2"/>
    <w:rsid w:val="000D36E4"/>
    <w:rsid w:val="000F5E02"/>
    <w:rsid w:val="001013CF"/>
    <w:rsid w:val="0010276F"/>
    <w:rsid w:val="001071C8"/>
    <w:rsid w:val="00126D1A"/>
    <w:rsid w:val="001272D7"/>
    <w:rsid w:val="00132889"/>
    <w:rsid w:val="00135164"/>
    <w:rsid w:val="00140B22"/>
    <w:rsid w:val="00146E84"/>
    <w:rsid w:val="00164E57"/>
    <w:rsid w:val="001656FC"/>
    <w:rsid w:val="001846FE"/>
    <w:rsid w:val="00185AE0"/>
    <w:rsid w:val="00193292"/>
    <w:rsid w:val="00195C0C"/>
    <w:rsid w:val="001A0ED4"/>
    <w:rsid w:val="001A7443"/>
    <w:rsid w:val="001B18E1"/>
    <w:rsid w:val="001B41E4"/>
    <w:rsid w:val="001C6928"/>
    <w:rsid w:val="001E2D7A"/>
    <w:rsid w:val="001E435C"/>
    <w:rsid w:val="001F1300"/>
    <w:rsid w:val="001F5EC8"/>
    <w:rsid w:val="00221B24"/>
    <w:rsid w:val="002303FF"/>
    <w:rsid w:val="00235766"/>
    <w:rsid w:val="00244F32"/>
    <w:rsid w:val="00245477"/>
    <w:rsid w:val="00252B9E"/>
    <w:rsid w:val="00254B79"/>
    <w:rsid w:val="00257865"/>
    <w:rsid w:val="00261BE5"/>
    <w:rsid w:val="00261E96"/>
    <w:rsid w:val="002837FD"/>
    <w:rsid w:val="002851C1"/>
    <w:rsid w:val="00285BBB"/>
    <w:rsid w:val="002C6DEF"/>
    <w:rsid w:val="002D730F"/>
    <w:rsid w:val="002F0BDD"/>
    <w:rsid w:val="002F5CCD"/>
    <w:rsid w:val="003169BF"/>
    <w:rsid w:val="00323433"/>
    <w:rsid w:val="0036115C"/>
    <w:rsid w:val="00375D39"/>
    <w:rsid w:val="003800C8"/>
    <w:rsid w:val="003A1D30"/>
    <w:rsid w:val="003A7937"/>
    <w:rsid w:val="00412233"/>
    <w:rsid w:val="00435339"/>
    <w:rsid w:val="00446C42"/>
    <w:rsid w:val="00467C95"/>
    <w:rsid w:val="0048034A"/>
    <w:rsid w:val="00490E14"/>
    <w:rsid w:val="004A3C90"/>
    <w:rsid w:val="004B3143"/>
    <w:rsid w:val="004B61F3"/>
    <w:rsid w:val="004C19D0"/>
    <w:rsid w:val="004D239D"/>
    <w:rsid w:val="004E67FB"/>
    <w:rsid w:val="00520E33"/>
    <w:rsid w:val="00526AC6"/>
    <w:rsid w:val="00542283"/>
    <w:rsid w:val="00554F71"/>
    <w:rsid w:val="005577FE"/>
    <w:rsid w:val="00560928"/>
    <w:rsid w:val="00562271"/>
    <w:rsid w:val="00590475"/>
    <w:rsid w:val="00595F33"/>
    <w:rsid w:val="005A27C3"/>
    <w:rsid w:val="005F288E"/>
    <w:rsid w:val="0060308C"/>
    <w:rsid w:val="00605924"/>
    <w:rsid w:val="006065A8"/>
    <w:rsid w:val="00611B38"/>
    <w:rsid w:val="006129F8"/>
    <w:rsid w:val="00622B3E"/>
    <w:rsid w:val="00653479"/>
    <w:rsid w:val="00687E00"/>
    <w:rsid w:val="006A1995"/>
    <w:rsid w:val="006A4134"/>
    <w:rsid w:val="006A5581"/>
    <w:rsid w:val="006B366C"/>
    <w:rsid w:val="006D334D"/>
    <w:rsid w:val="0071744C"/>
    <w:rsid w:val="00724F06"/>
    <w:rsid w:val="00740953"/>
    <w:rsid w:val="00796BBB"/>
    <w:rsid w:val="007A00A1"/>
    <w:rsid w:val="007C100A"/>
    <w:rsid w:val="007C23BD"/>
    <w:rsid w:val="007C4CED"/>
    <w:rsid w:val="007E5888"/>
    <w:rsid w:val="00803123"/>
    <w:rsid w:val="00804211"/>
    <w:rsid w:val="00815349"/>
    <w:rsid w:val="00837AE4"/>
    <w:rsid w:val="00841263"/>
    <w:rsid w:val="00844472"/>
    <w:rsid w:val="00847EB3"/>
    <w:rsid w:val="008533B2"/>
    <w:rsid w:val="008644A7"/>
    <w:rsid w:val="0086667D"/>
    <w:rsid w:val="0086734F"/>
    <w:rsid w:val="00880C33"/>
    <w:rsid w:val="00882299"/>
    <w:rsid w:val="008B049D"/>
    <w:rsid w:val="008D3AE5"/>
    <w:rsid w:val="008E1870"/>
    <w:rsid w:val="008F3E77"/>
    <w:rsid w:val="00902F6C"/>
    <w:rsid w:val="00926415"/>
    <w:rsid w:val="00926A2C"/>
    <w:rsid w:val="009340DA"/>
    <w:rsid w:val="009348C9"/>
    <w:rsid w:val="0095784A"/>
    <w:rsid w:val="0096551D"/>
    <w:rsid w:val="0099101E"/>
    <w:rsid w:val="009B6C4E"/>
    <w:rsid w:val="009C180E"/>
    <w:rsid w:val="009C1D3D"/>
    <w:rsid w:val="009D09CD"/>
    <w:rsid w:val="009D4907"/>
    <w:rsid w:val="009E0C30"/>
    <w:rsid w:val="009F25B1"/>
    <w:rsid w:val="00A143F6"/>
    <w:rsid w:val="00A14FE3"/>
    <w:rsid w:val="00A55682"/>
    <w:rsid w:val="00A70756"/>
    <w:rsid w:val="00A72E65"/>
    <w:rsid w:val="00A738F8"/>
    <w:rsid w:val="00AA3E0E"/>
    <w:rsid w:val="00AB2620"/>
    <w:rsid w:val="00AD013D"/>
    <w:rsid w:val="00AD1212"/>
    <w:rsid w:val="00AE6054"/>
    <w:rsid w:val="00AE7C43"/>
    <w:rsid w:val="00B00CB2"/>
    <w:rsid w:val="00B0198A"/>
    <w:rsid w:val="00B041CB"/>
    <w:rsid w:val="00B06A9E"/>
    <w:rsid w:val="00B10A3C"/>
    <w:rsid w:val="00B16C95"/>
    <w:rsid w:val="00B234F5"/>
    <w:rsid w:val="00B44507"/>
    <w:rsid w:val="00B5710A"/>
    <w:rsid w:val="00B63D75"/>
    <w:rsid w:val="00BD0F45"/>
    <w:rsid w:val="00BE68DC"/>
    <w:rsid w:val="00C01738"/>
    <w:rsid w:val="00C22B98"/>
    <w:rsid w:val="00C3662B"/>
    <w:rsid w:val="00C463A4"/>
    <w:rsid w:val="00C569DB"/>
    <w:rsid w:val="00C61F25"/>
    <w:rsid w:val="00C633EF"/>
    <w:rsid w:val="00C64307"/>
    <w:rsid w:val="00C76B60"/>
    <w:rsid w:val="00C965C5"/>
    <w:rsid w:val="00C975A2"/>
    <w:rsid w:val="00CB4DA3"/>
    <w:rsid w:val="00CC2A19"/>
    <w:rsid w:val="00CE113D"/>
    <w:rsid w:val="00CF0B41"/>
    <w:rsid w:val="00CF2F59"/>
    <w:rsid w:val="00D0456C"/>
    <w:rsid w:val="00D101DD"/>
    <w:rsid w:val="00D11D06"/>
    <w:rsid w:val="00D22CEF"/>
    <w:rsid w:val="00D8038A"/>
    <w:rsid w:val="00D8740A"/>
    <w:rsid w:val="00D8783D"/>
    <w:rsid w:val="00D9078C"/>
    <w:rsid w:val="00D92C7C"/>
    <w:rsid w:val="00DA7D3B"/>
    <w:rsid w:val="00DC2A3B"/>
    <w:rsid w:val="00DE421F"/>
    <w:rsid w:val="00E311FF"/>
    <w:rsid w:val="00E44697"/>
    <w:rsid w:val="00E46730"/>
    <w:rsid w:val="00E51CFA"/>
    <w:rsid w:val="00E755AB"/>
    <w:rsid w:val="00E83AAC"/>
    <w:rsid w:val="00EC1F09"/>
    <w:rsid w:val="00EE7345"/>
    <w:rsid w:val="00F1496B"/>
    <w:rsid w:val="00F22F0C"/>
    <w:rsid w:val="00F41CB1"/>
    <w:rsid w:val="00F4264B"/>
    <w:rsid w:val="00F936F4"/>
    <w:rsid w:val="00FA49B2"/>
    <w:rsid w:val="00FA4BAA"/>
    <w:rsid w:val="00FD1BC8"/>
    <w:rsid w:val="00FE1F60"/>
    <w:rsid w:val="00FE7328"/>
    <w:rsid w:val="00FF4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6D079"/>
  <w15:chartTrackingRefBased/>
  <w15:docId w15:val="{025204DB-8028-432D-B349-176595716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7C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7D4E"/>
    <w:pPr>
      <w:ind w:left="720"/>
      <w:contextualSpacing/>
    </w:pPr>
  </w:style>
  <w:style w:type="character" w:customStyle="1" w:styleId="Heading1Char">
    <w:name w:val="Heading 1 Char"/>
    <w:basedOn w:val="DefaultParagraphFont"/>
    <w:link w:val="Heading1"/>
    <w:uiPriority w:val="9"/>
    <w:rsid w:val="005A27C3"/>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5A27C3"/>
  </w:style>
  <w:style w:type="paragraph" w:styleId="Header">
    <w:name w:val="header"/>
    <w:basedOn w:val="Normal"/>
    <w:link w:val="HeaderChar"/>
    <w:uiPriority w:val="99"/>
    <w:unhideWhenUsed/>
    <w:rsid w:val="00BE68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8DC"/>
  </w:style>
  <w:style w:type="paragraph" w:styleId="Footer">
    <w:name w:val="footer"/>
    <w:basedOn w:val="Normal"/>
    <w:link w:val="FooterChar"/>
    <w:uiPriority w:val="99"/>
    <w:unhideWhenUsed/>
    <w:rsid w:val="00BE68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893758">
      <w:bodyDiv w:val="1"/>
      <w:marLeft w:val="0"/>
      <w:marRight w:val="0"/>
      <w:marTop w:val="0"/>
      <w:marBottom w:val="0"/>
      <w:divBdr>
        <w:top w:val="none" w:sz="0" w:space="0" w:color="auto"/>
        <w:left w:val="none" w:sz="0" w:space="0" w:color="auto"/>
        <w:bottom w:val="none" w:sz="0" w:space="0" w:color="auto"/>
        <w:right w:val="none" w:sz="0" w:space="0" w:color="auto"/>
      </w:divBdr>
    </w:div>
    <w:div w:id="511843813">
      <w:bodyDiv w:val="1"/>
      <w:marLeft w:val="0"/>
      <w:marRight w:val="0"/>
      <w:marTop w:val="0"/>
      <w:marBottom w:val="0"/>
      <w:divBdr>
        <w:top w:val="none" w:sz="0" w:space="0" w:color="auto"/>
        <w:left w:val="none" w:sz="0" w:space="0" w:color="auto"/>
        <w:bottom w:val="none" w:sz="0" w:space="0" w:color="auto"/>
        <w:right w:val="none" w:sz="0" w:space="0" w:color="auto"/>
      </w:divBdr>
    </w:div>
    <w:div w:id="551310075">
      <w:bodyDiv w:val="1"/>
      <w:marLeft w:val="0"/>
      <w:marRight w:val="0"/>
      <w:marTop w:val="0"/>
      <w:marBottom w:val="0"/>
      <w:divBdr>
        <w:top w:val="none" w:sz="0" w:space="0" w:color="auto"/>
        <w:left w:val="none" w:sz="0" w:space="0" w:color="auto"/>
        <w:bottom w:val="none" w:sz="0" w:space="0" w:color="auto"/>
        <w:right w:val="none" w:sz="0" w:space="0" w:color="auto"/>
      </w:divBdr>
    </w:div>
    <w:div w:id="643238517">
      <w:bodyDiv w:val="1"/>
      <w:marLeft w:val="0"/>
      <w:marRight w:val="0"/>
      <w:marTop w:val="0"/>
      <w:marBottom w:val="0"/>
      <w:divBdr>
        <w:top w:val="none" w:sz="0" w:space="0" w:color="auto"/>
        <w:left w:val="none" w:sz="0" w:space="0" w:color="auto"/>
        <w:bottom w:val="none" w:sz="0" w:space="0" w:color="auto"/>
        <w:right w:val="none" w:sz="0" w:space="0" w:color="auto"/>
      </w:divBdr>
    </w:div>
    <w:div w:id="963803139">
      <w:bodyDiv w:val="1"/>
      <w:marLeft w:val="0"/>
      <w:marRight w:val="0"/>
      <w:marTop w:val="0"/>
      <w:marBottom w:val="0"/>
      <w:divBdr>
        <w:top w:val="none" w:sz="0" w:space="0" w:color="auto"/>
        <w:left w:val="none" w:sz="0" w:space="0" w:color="auto"/>
        <w:bottom w:val="none" w:sz="0" w:space="0" w:color="auto"/>
        <w:right w:val="none" w:sz="0" w:space="0" w:color="auto"/>
      </w:divBdr>
    </w:div>
    <w:div w:id="1299142386">
      <w:bodyDiv w:val="1"/>
      <w:marLeft w:val="0"/>
      <w:marRight w:val="0"/>
      <w:marTop w:val="0"/>
      <w:marBottom w:val="0"/>
      <w:divBdr>
        <w:top w:val="none" w:sz="0" w:space="0" w:color="auto"/>
        <w:left w:val="none" w:sz="0" w:space="0" w:color="auto"/>
        <w:bottom w:val="none" w:sz="0" w:space="0" w:color="auto"/>
        <w:right w:val="none" w:sz="0" w:space="0" w:color="auto"/>
      </w:divBdr>
    </w:div>
    <w:div w:id="1682273156">
      <w:bodyDiv w:val="1"/>
      <w:marLeft w:val="0"/>
      <w:marRight w:val="0"/>
      <w:marTop w:val="0"/>
      <w:marBottom w:val="0"/>
      <w:divBdr>
        <w:top w:val="none" w:sz="0" w:space="0" w:color="auto"/>
        <w:left w:val="none" w:sz="0" w:space="0" w:color="auto"/>
        <w:bottom w:val="none" w:sz="0" w:space="0" w:color="auto"/>
        <w:right w:val="none" w:sz="0" w:space="0" w:color="auto"/>
      </w:divBdr>
    </w:div>
    <w:div w:id="1784618850">
      <w:bodyDiv w:val="1"/>
      <w:marLeft w:val="0"/>
      <w:marRight w:val="0"/>
      <w:marTop w:val="0"/>
      <w:marBottom w:val="0"/>
      <w:divBdr>
        <w:top w:val="none" w:sz="0" w:space="0" w:color="auto"/>
        <w:left w:val="none" w:sz="0" w:space="0" w:color="auto"/>
        <w:bottom w:val="none" w:sz="0" w:space="0" w:color="auto"/>
        <w:right w:val="none" w:sz="0" w:space="0" w:color="auto"/>
      </w:divBdr>
    </w:div>
    <w:div w:id="1847132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Lon21</b:Tag>
    <b:SourceType>JournalArticle</b:SourceType>
    <b:Guid>{63E83F9A-84E9-4FB5-B0C4-56834D724B1F}</b:Guid>
    <b:Title>Longer-Life Crossings</b:Title>
    <b:Year>2021</b:Year>
    <b:JournalName>Rail Engineer</b:JournalName>
    <b:RefOrder>1</b:RefOrder>
  </b:Source>
  <b:Source>
    <b:Tag>Exp</b:Tag>
    <b:SourceType>Report</b:SourceType>
    <b:Guid>{FC65C920-89BA-482C-B212-6E1147BC41EC}</b:Guid>
    <b:Title>Semtex 10-SE explosive for special use</b:Title>
    <b:Author>
      <b:Author>
        <b:NameList>
          <b:Person>
            <b:Last>Explosia</b:Last>
          </b:Person>
        </b:NameList>
      </b:Author>
    </b:Author>
    <b:RefOrder>2</b:RefOrder>
  </b:Source>
  <b:Source>
    <b:Tag>PET24</b:Tag>
    <b:SourceType>InternetSite</b:SourceType>
    <b:Guid>{DCD47B0B-E71E-452C-97A4-5530D461BFBB}</b:Guid>
    <b:Title>PETN</b:Title>
    <b:ProductionCompany>Britannica</b:ProductionCompany>
    <b:YearAccessed>2024</b:YearAccessed>
    <b:MonthAccessed>April</b:MonthAccessed>
    <b:DayAccessed>15</b:DayAccessed>
    <b:URL>https://www.britannica.com/science/PETN</b:URL>
    <b:RefOrder>3</b:RefOrder>
  </b:Source>
  <b:Source>
    <b:Tag>Leo</b:Tag>
    <b:SourceType>Report</b:SourceType>
    <b:Guid>{7DC3A635-EC58-40C4-984B-CAE1E855D9E4}</b:Guid>
    <b:Title>Laser Ignition of Explosives, Pyrotechnics and Propellants: A review</b:Title>
    <b:Author>
      <b:Author>
        <b:NameList>
          <b:Person>
            <b:Last>Leo de Yong</b:Last>
            <b:First>Tam</b:First>
            <b:Middle>Nguyen, John Waschl</b:Middle>
          </b:Person>
        </b:NameList>
      </b:Author>
    </b:Author>
    <b:RefOrder>4</b:RefOrder>
  </b:Source>
  <b:Source>
    <b:Tag>Yur19</b:Tag>
    <b:SourceType>JournalArticle</b:SourceType>
    <b:Guid>{2CE8D2D7-8547-4CAE-84EE-3CB7BC6806D3}</b:Guid>
    <b:Title>Interaction of Laser Radiation with Explosives, Applications and Perspectives</b:Title>
    <b:Year>2019</b:Year>
    <b:Author>
      <b:Author>
        <b:NameList>
          <b:Person>
            <b:Last>Yuriy Tverjanovich</b:Last>
            <b:First>et</b:First>
            <b:Middle>al</b:Middle>
          </b:Person>
        </b:NameList>
      </b:Author>
    </b:Author>
    <b:JournalName>Springer Link</b:JournalName>
    <b:Pages>493-511</b:Pages>
    <b:RefOrder>5</b:RefOrder>
  </b:Source>
  <b:Source>
    <b:Tag>Exp24</b:Tag>
    <b:SourceType>InternetSite</b:SourceType>
    <b:Guid>{40FB5B7C-5FFE-4EF1-9018-820EEB8C3804}</b:Guid>
    <b:Title>Exploding Bridgewire Detonators</b:Title>
    <b:ProductionCompany>Applied Energy Technology Corp</b:ProductionCompany>
    <b:YearAccessed>2024</b:YearAccessed>
    <b:MonthAccessed>April</b:MonthAccessed>
    <b:DayAccessed>23</b:DayAccessed>
    <b:URL>https://aesquibs.com/products/detonators/</b:URL>
    <b:RefOrder>6</b:RefOrder>
  </b:Source>
  <b:Source>
    <b:Tag>EBW24</b:Tag>
    <b:SourceType>InternetSite</b:SourceType>
    <b:Guid>{4344FE65-6549-4977-98D7-A70C2947C38B}</b:Guid>
    <b:Title>EBW Detonators</b:Title>
    <b:ProductionCompany>Teledyne Energetics</b:ProductionCompany>
    <b:YearAccessed>2024</b:YearAccessed>
    <b:MonthAccessed>April</b:MonthAccessed>
    <b:DayAccessed>23</b:DayAccessed>
    <b:URL>https://www.teledynedefenseelectronics.com/energetics/products/Pages/EBW%20Detonators.aspx</b:URL>
    <b:RefOrder>7</b:RefOrder>
  </b:Source>
  <b:Source>
    <b:Tag>Ele24</b:Tag>
    <b:SourceType>InternetSite</b:SourceType>
    <b:Guid>{B2484220-F281-4F3E-8287-058FEF3D8572}</b:Guid>
    <b:Title>Electric Detonators</b:Title>
    <b:ProductionCompany>CDET Explosive Industries</b:ProductionCompany>
    <b:YearAccessed>2024</b:YearAccessed>
    <b:MonthAccessed>April</b:MonthAccessed>
    <b:DayAccessed>25</b:DayAccessed>
    <b:URL>https://cdetexplosives.com/electric-detonators/</b:URL>
    <b:RefOrder>8</b:RefOrder>
  </b:Source>
</b:Sources>
</file>

<file path=customXml/itemProps1.xml><?xml version="1.0" encoding="utf-8"?>
<ds:datastoreItem xmlns:ds="http://schemas.openxmlformats.org/officeDocument/2006/customXml" ds:itemID="{96A9EB37-B7DC-4F4C-9E8D-66FEAE196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2530</Words>
  <Characters>14427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Simpson, Ewan</dc:creator>
  <cp:keywords/>
  <dc:description/>
  <cp:lastModifiedBy>Simpson, Ewan</cp:lastModifiedBy>
  <cp:revision>2</cp:revision>
  <dcterms:created xsi:type="dcterms:W3CDTF">2024-05-06T12:59:00Z</dcterms:created>
  <dcterms:modified xsi:type="dcterms:W3CDTF">2024-05-06T12:59:00Z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2024-05-01T13:12:57Z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b5b01729-cf4d-4b77-941a-f77c594e97d3</vt:lpwstr>
  </property>
  <property fmtid="{D5CDD505-2E9C-101B-9397-08002B2CF9AE}" pid="8" name="MSIP_Label_48141450-2387-4aca-b41f-19cd6be9dd3c_ContentBits">
    <vt:lpwstr>0</vt:lpwstr>
  </property>
</Properties>
</file>