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896C1" w14:textId="77777777" w:rsidR="00E84C14" w:rsidRDefault="00E84C14" w:rsidP="00DE39EB">
      <w:pPr>
        <w:jc w:val="center"/>
        <w:rPr>
          <w:b/>
          <w:bCs/>
          <w:sz w:val="36"/>
          <w:szCs w:val="36"/>
        </w:rPr>
      </w:pPr>
    </w:p>
    <w:p w14:paraId="2CEC2F6E" w14:textId="77777777" w:rsidR="00E84C14" w:rsidRDefault="00E84C14" w:rsidP="00DE39EB">
      <w:pPr>
        <w:jc w:val="center"/>
        <w:rPr>
          <w:b/>
          <w:bCs/>
          <w:sz w:val="36"/>
          <w:szCs w:val="36"/>
        </w:rPr>
      </w:pPr>
    </w:p>
    <w:p w14:paraId="61B9B6E4" w14:textId="77777777" w:rsidR="0017221D" w:rsidRDefault="0017221D" w:rsidP="00DE39EB">
      <w:pPr>
        <w:jc w:val="center"/>
        <w:rPr>
          <w:b/>
          <w:bCs/>
          <w:sz w:val="36"/>
          <w:szCs w:val="36"/>
        </w:rPr>
      </w:pPr>
    </w:p>
    <w:p w14:paraId="44E03D14" w14:textId="77777777" w:rsidR="003407BD" w:rsidRDefault="003407BD" w:rsidP="00DE39EB">
      <w:pPr>
        <w:jc w:val="center"/>
        <w:rPr>
          <w:b/>
          <w:bCs/>
          <w:sz w:val="36"/>
          <w:szCs w:val="36"/>
        </w:rPr>
      </w:pPr>
    </w:p>
    <w:p w14:paraId="7001A1E1" w14:textId="77777777" w:rsidR="003407BD" w:rsidRDefault="003407BD" w:rsidP="00DE39EB">
      <w:pPr>
        <w:jc w:val="center"/>
        <w:rPr>
          <w:b/>
          <w:bCs/>
          <w:sz w:val="36"/>
          <w:szCs w:val="36"/>
        </w:rPr>
      </w:pPr>
    </w:p>
    <w:p w14:paraId="1A423AC8" w14:textId="77777777" w:rsidR="0017221D" w:rsidRDefault="0017221D" w:rsidP="00DE39EB">
      <w:pPr>
        <w:jc w:val="center"/>
        <w:rPr>
          <w:b/>
          <w:bCs/>
          <w:sz w:val="36"/>
          <w:szCs w:val="36"/>
        </w:rPr>
      </w:pPr>
    </w:p>
    <w:p w14:paraId="1BCFA362" w14:textId="5E4C3723" w:rsidR="00DE39EB" w:rsidRPr="00334CC4" w:rsidRDefault="00DE39EB" w:rsidP="00DE39EB">
      <w:pPr>
        <w:jc w:val="center"/>
        <w:rPr>
          <w:b/>
          <w:bCs/>
          <w:sz w:val="36"/>
          <w:szCs w:val="36"/>
        </w:rPr>
      </w:pPr>
      <w:r w:rsidRPr="00334CC4">
        <w:rPr>
          <w:b/>
          <w:bCs/>
          <w:sz w:val="36"/>
          <w:szCs w:val="36"/>
        </w:rPr>
        <w:t>Student Name: Fariha Batool</w:t>
      </w:r>
    </w:p>
    <w:p w14:paraId="07BB97FC" w14:textId="77777777" w:rsidR="00DE39EB" w:rsidRPr="00334CC4" w:rsidRDefault="00DE39EB" w:rsidP="00DE39EB">
      <w:pPr>
        <w:jc w:val="center"/>
        <w:rPr>
          <w:b/>
          <w:bCs/>
          <w:sz w:val="36"/>
          <w:szCs w:val="36"/>
        </w:rPr>
      </w:pPr>
    </w:p>
    <w:p w14:paraId="42C2468F" w14:textId="77777777" w:rsidR="00DE39EB" w:rsidRPr="00334CC4" w:rsidRDefault="00DE39EB" w:rsidP="00DE39EB">
      <w:pPr>
        <w:jc w:val="center"/>
        <w:rPr>
          <w:b/>
          <w:bCs/>
          <w:sz w:val="36"/>
          <w:szCs w:val="36"/>
        </w:rPr>
      </w:pPr>
      <w:r w:rsidRPr="00334CC4">
        <w:rPr>
          <w:b/>
          <w:bCs/>
          <w:sz w:val="36"/>
          <w:szCs w:val="36"/>
        </w:rPr>
        <w:t>Student Number: 2328297</w:t>
      </w:r>
    </w:p>
    <w:p w14:paraId="3219B5A4" w14:textId="77777777" w:rsidR="00DE39EB" w:rsidRPr="00334CC4" w:rsidRDefault="00DE39EB" w:rsidP="00DE39EB">
      <w:pPr>
        <w:jc w:val="center"/>
        <w:rPr>
          <w:b/>
          <w:bCs/>
          <w:sz w:val="36"/>
          <w:szCs w:val="36"/>
        </w:rPr>
      </w:pPr>
    </w:p>
    <w:p w14:paraId="1F5A1851" w14:textId="77777777" w:rsidR="00DE39EB" w:rsidRPr="00334CC4" w:rsidRDefault="00DE39EB" w:rsidP="00DE39EB">
      <w:pPr>
        <w:jc w:val="center"/>
        <w:rPr>
          <w:b/>
          <w:bCs/>
          <w:sz w:val="36"/>
          <w:szCs w:val="36"/>
        </w:rPr>
      </w:pPr>
      <w:r w:rsidRPr="00334CC4">
        <w:rPr>
          <w:b/>
          <w:bCs/>
          <w:sz w:val="36"/>
          <w:szCs w:val="36"/>
        </w:rPr>
        <w:t>BSc Health and Social Care</w:t>
      </w:r>
    </w:p>
    <w:p w14:paraId="5E6396B1" w14:textId="77777777" w:rsidR="00DE39EB" w:rsidRPr="00334CC4" w:rsidRDefault="00DE39EB" w:rsidP="00DE39EB">
      <w:pPr>
        <w:jc w:val="center"/>
        <w:rPr>
          <w:b/>
          <w:bCs/>
          <w:sz w:val="36"/>
          <w:szCs w:val="36"/>
        </w:rPr>
      </w:pPr>
    </w:p>
    <w:p w14:paraId="2D98F824" w14:textId="77777777" w:rsidR="00DE39EB" w:rsidRPr="00334CC4" w:rsidRDefault="00DE39EB" w:rsidP="00DE39EB">
      <w:pPr>
        <w:jc w:val="center"/>
        <w:rPr>
          <w:b/>
          <w:bCs/>
          <w:sz w:val="36"/>
          <w:szCs w:val="36"/>
        </w:rPr>
      </w:pPr>
      <w:r w:rsidRPr="00334CC4">
        <w:rPr>
          <w:b/>
          <w:bCs/>
          <w:sz w:val="36"/>
          <w:szCs w:val="36"/>
        </w:rPr>
        <w:t>Module: Introduction to Independent Research Skills</w:t>
      </w:r>
    </w:p>
    <w:p w14:paraId="60744FDF" w14:textId="77777777" w:rsidR="00DE39EB" w:rsidRPr="00334CC4" w:rsidRDefault="00DE39EB" w:rsidP="00DE39EB">
      <w:pPr>
        <w:jc w:val="center"/>
        <w:rPr>
          <w:b/>
          <w:bCs/>
          <w:sz w:val="36"/>
          <w:szCs w:val="36"/>
        </w:rPr>
      </w:pPr>
    </w:p>
    <w:p w14:paraId="69291333" w14:textId="77777777" w:rsidR="00DE39EB" w:rsidRPr="00334CC4" w:rsidRDefault="00DE39EB" w:rsidP="00DE39EB">
      <w:pPr>
        <w:jc w:val="center"/>
        <w:rPr>
          <w:b/>
          <w:bCs/>
          <w:sz w:val="36"/>
          <w:szCs w:val="36"/>
        </w:rPr>
      </w:pPr>
    </w:p>
    <w:p w14:paraId="67D268A9" w14:textId="77777777" w:rsidR="00DE39EB" w:rsidRPr="00334CC4" w:rsidRDefault="00DE39EB" w:rsidP="00DE39EB">
      <w:pPr>
        <w:jc w:val="center"/>
        <w:rPr>
          <w:b/>
          <w:bCs/>
          <w:sz w:val="36"/>
          <w:szCs w:val="36"/>
        </w:rPr>
      </w:pPr>
      <w:r w:rsidRPr="00334CC4">
        <w:rPr>
          <w:b/>
          <w:bCs/>
          <w:sz w:val="36"/>
          <w:szCs w:val="36"/>
        </w:rPr>
        <w:t>Module Code: BMHP5019</w:t>
      </w:r>
    </w:p>
    <w:p w14:paraId="0E061322" w14:textId="77777777" w:rsidR="00DE39EB" w:rsidRPr="00334CC4" w:rsidRDefault="00DE39EB" w:rsidP="00DE39EB">
      <w:pPr>
        <w:jc w:val="center"/>
        <w:rPr>
          <w:b/>
          <w:bCs/>
          <w:sz w:val="36"/>
          <w:szCs w:val="36"/>
        </w:rPr>
      </w:pPr>
    </w:p>
    <w:p w14:paraId="1A18BCDF" w14:textId="77777777" w:rsidR="00DE39EB" w:rsidRPr="00334CC4" w:rsidRDefault="00DE39EB" w:rsidP="00DE39EB">
      <w:pPr>
        <w:jc w:val="center"/>
        <w:rPr>
          <w:b/>
          <w:bCs/>
          <w:sz w:val="36"/>
          <w:szCs w:val="36"/>
        </w:rPr>
      </w:pPr>
      <w:r w:rsidRPr="00334CC4">
        <w:rPr>
          <w:b/>
          <w:bCs/>
          <w:sz w:val="36"/>
          <w:szCs w:val="36"/>
        </w:rPr>
        <w:t xml:space="preserve">Lecture: Rizwan Nadim </w:t>
      </w:r>
    </w:p>
    <w:p w14:paraId="42126F5C" w14:textId="77777777" w:rsidR="00DE39EB" w:rsidRPr="00334CC4" w:rsidRDefault="00DE39EB" w:rsidP="00DE39EB">
      <w:pPr>
        <w:jc w:val="center"/>
        <w:rPr>
          <w:b/>
          <w:bCs/>
          <w:sz w:val="36"/>
          <w:szCs w:val="36"/>
        </w:rPr>
      </w:pPr>
    </w:p>
    <w:p w14:paraId="5846E6AD" w14:textId="017E0138" w:rsidR="00DE39EB" w:rsidRPr="00334CC4" w:rsidRDefault="00DE39EB" w:rsidP="00DE39EB">
      <w:pPr>
        <w:jc w:val="center"/>
        <w:rPr>
          <w:b/>
          <w:bCs/>
          <w:sz w:val="36"/>
          <w:szCs w:val="36"/>
        </w:rPr>
      </w:pPr>
      <w:r w:rsidRPr="00334CC4">
        <w:rPr>
          <w:b/>
          <w:bCs/>
          <w:sz w:val="36"/>
          <w:szCs w:val="36"/>
        </w:rPr>
        <w:t xml:space="preserve">Component </w:t>
      </w:r>
      <w:r>
        <w:rPr>
          <w:b/>
          <w:bCs/>
          <w:sz w:val="36"/>
          <w:szCs w:val="36"/>
        </w:rPr>
        <w:t>2</w:t>
      </w:r>
      <w:r w:rsidRPr="00334CC4">
        <w:rPr>
          <w:b/>
          <w:bCs/>
          <w:sz w:val="36"/>
          <w:szCs w:val="36"/>
        </w:rPr>
        <w:t xml:space="preserve">: </w:t>
      </w:r>
      <w:r>
        <w:rPr>
          <w:b/>
          <w:bCs/>
          <w:sz w:val="36"/>
          <w:szCs w:val="36"/>
        </w:rPr>
        <w:t>Written Assignment (Research Report)</w:t>
      </w:r>
    </w:p>
    <w:p w14:paraId="330C54EA" w14:textId="77777777" w:rsidR="00DE39EB" w:rsidRPr="00334CC4" w:rsidRDefault="00DE39EB" w:rsidP="00DE39EB">
      <w:pPr>
        <w:rPr>
          <w:b/>
          <w:bCs/>
          <w:sz w:val="36"/>
          <w:szCs w:val="36"/>
        </w:rPr>
      </w:pPr>
    </w:p>
    <w:p w14:paraId="7B225538" w14:textId="40B52F55" w:rsidR="00DE39EB" w:rsidRPr="00B37B05" w:rsidRDefault="00DE39EB" w:rsidP="00DE39EB">
      <w:pPr>
        <w:jc w:val="center"/>
        <w:rPr>
          <w:b/>
          <w:bCs/>
          <w:sz w:val="36"/>
          <w:szCs w:val="36"/>
        </w:rPr>
      </w:pPr>
      <w:r w:rsidRPr="00334CC4">
        <w:rPr>
          <w:b/>
          <w:bCs/>
          <w:sz w:val="36"/>
          <w:szCs w:val="36"/>
        </w:rPr>
        <w:t xml:space="preserve">Submission Deadline: </w:t>
      </w:r>
      <w:r>
        <w:rPr>
          <w:b/>
          <w:bCs/>
          <w:sz w:val="36"/>
          <w:szCs w:val="36"/>
        </w:rPr>
        <w:t>29</w:t>
      </w:r>
      <w:r w:rsidRPr="00334CC4">
        <w:rPr>
          <w:b/>
          <w:bCs/>
          <w:sz w:val="36"/>
          <w:szCs w:val="36"/>
          <w:vertAlign w:val="superscript"/>
        </w:rPr>
        <w:t>th</w:t>
      </w:r>
      <w:r w:rsidRPr="00334CC4">
        <w:rPr>
          <w:b/>
          <w:bCs/>
          <w:sz w:val="36"/>
          <w:szCs w:val="36"/>
        </w:rPr>
        <w:t xml:space="preserve"> </w:t>
      </w:r>
      <w:r>
        <w:rPr>
          <w:b/>
          <w:bCs/>
          <w:sz w:val="36"/>
          <w:szCs w:val="36"/>
        </w:rPr>
        <w:t>March</w:t>
      </w:r>
      <w:r w:rsidRPr="00334CC4">
        <w:rPr>
          <w:b/>
          <w:bCs/>
          <w:sz w:val="36"/>
          <w:szCs w:val="36"/>
        </w:rPr>
        <w:t xml:space="preserve"> 2026</w:t>
      </w:r>
    </w:p>
    <w:p w14:paraId="279BBF19" w14:textId="32F03477" w:rsidR="00DF11C8" w:rsidRDefault="00DF11C8"/>
    <w:p w14:paraId="34BF8299" w14:textId="77777777" w:rsidR="00DE39EB" w:rsidRDefault="00DE39EB"/>
    <w:p w14:paraId="54DD8C13" w14:textId="77777777" w:rsidR="00DF11C8" w:rsidRDefault="00DF11C8"/>
    <w:p w14:paraId="525384C6" w14:textId="77777777" w:rsidR="00DF11C8" w:rsidRDefault="00DF11C8"/>
    <w:p w14:paraId="00E39CB2" w14:textId="77777777" w:rsidR="00E84C14" w:rsidRDefault="00E84C14">
      <w:pPr>
        <w:spacing w:after="120" w:line="360" w:lineRule="auto"/>
        <w:jc w:val="center"/>
        <w:rPr>
          <w:b/>
          <w:bCs/>
          <w:sz w:val="28"/>
          <w:szCs w:val="28"/>
        </w:rPr>
      </w:pPr>
    </w:p>
    <w:p w14:paraId="736A3CC3" w14:textId="77777777" w:rsidR="00E84C14" w:rsidRDefault="00E84C14">
      <w:pPr>
        <w:spacing w:after="120" w:line="360" w:lineRule="auto"/>
        <w:jc w:val="center"/>
        <w:rPr>
          <w:b/>
          <w:bCs/>
          <w:sz w:val="28"/>
          <w:szCs w:val="28"/>
        </w:rPr>
      </w:pPr>
    </w:p>
    <w:p w14:paraId="0EB5A6FD" w14:textId="77777777" w:rsidR="00E84C14" w:rsidRDefault="00E84C14">
      <w:pPr>
        <w:spacing w:after="120" w:line="360" w:lineRule="auto"/>
        <w:jc w:val="center"/>
        <w:rPr>
          <w:b/>
          <w:bCs/>
          <w:sz w:val="28"/>
          <w:szCs w:val="28"/>
        </w:rPr>
      </w:pPr>
    </w:p>
    <w:p w14:paraId="0560FF74" w14:textId="77777777" w:rsidR="00E84C14" w:rsidRDefault="00E84C14">
      <w:pPr>
        <w:spacing w:after="120" w:line="360" w:lineRule="auto"/>
        <w:jc w:val="center"/>
        <w:rPr>
          <w:b/>
          <w:bCs/>
          <w:sz w:val="28"/>
          <w:szCs w:val="28"/>
        </w:rPr>
      </w:pPr>
    </w:p>
    <w:p w14:paraId="052219FA" w14:textId="77777777" w:rsidR="00E84C14" w:rsidRDefault="00E84C14">
      <w:pPr>
        <w:spacing w:after="120" w:line="360" w:lineRule="auto"/>
        <w:jc w:val="center"/>
        <w:rPr>
          <w:b/>
          <w:bCs/>
          <w:sz w:val="28"/>
          <w:szCs w:val="28"/>
        </w:rPr>
      </w:pPr>
    </w:p>
    <w:p w14:paraId="48BFA42E" w14:textId="77777777" w:rsidR="00E84C14" w:rsidRDefault="00E84C14">
      <w:pPr>
        <w:spacing w:after="120" w:line="360" w:lineRule="auto"/>
        <w:jc w:val="center"/>
      </w:pPr>
    </w:p>
    <w:p w14:paraId="101D29F6" w14:textId="77777777" w:rsidR="00E84C14" w:rsidRDefault="00E84C14" w:rsidP="00E84C14">
      <w:pPr>
        <w:pageBreakBefore/>
      </w:pPr>
      <w:r>
        <w:rPr>
          <w:b/>
          <w:bCs/>
        </w:rPr>
        <w:lastRenderedPageBreak/>
        <w:t>Table of Contents</w:t>
      </w:r>
    </w:p>
    <w:p w14:paraId="27BE2008" w14:textId="77777777" w:rsidR="0049087E" w:rsidRDefault="0049087E" w:rsidP="0049087E">
      <w:pPr>
        <w:spacing w:line="360" w:lineRule="auto"/>
      </w:pPr>
    </w:p>
    <w:p w14:paraId="49DF8B92" w14:textId="3DCE2069" w:rsidR="00E84C14" w:rsidRPr="009E6153" w:rsidRDefault="00E84C14" w:rsidP="0049087E">
      <w:pPr>
        <w:spacing w:line="360" w:lineRule="auto"/>
      </w:pPr>
      <w:r w:rsidRPr="009E6153">
        <w:t>Title … ………...………………………………….................</w:t>
      </w:r>
      <w:r w:rsidR="0049087E">
        <w:t>.</w:t>
      </w:r>
      <w:r w:rsidRPr="009E6153">
        <w:t>..........................3</w:t>
      </w:r>
    </w:p>
    <w:p w14:paraId="72A3EFDB" w14:textId="716E0756" w:rsidR="0049087E" w:rsidRDefault="00123485" w:rsidP="0049087E">
      <w:pPr>
        <w:spacing w:after="120" w:line="360" w:lineRule="auto"/>
        <w:rPr>
          <w:kern w:val="3"/>
        </w:rPr>
      </w:pPr>
      <w:r w:rsidRPr="009E6153">
        <w:t>Introduction</w:t>
      </w:r>
      <w:r w:rsidRPr="009E6153">
        <w:t>………………</w:t>
      </w:r>
      <w:r w:rsidR="00E84C14" w:rsidRPr="009E6153">
        <w:t>………………………</w:t>
      </w:r>
      <w:proofErr w:type="gramStart"/>
      <w:r w:rsidR="00E84C14" w:rsidRPr="009E6153">
        <w:t>…..</w:t>
      </w:r>
      <w:proofErr w:type="gramEnd"/>
      <w:r w:rsidR="00E84C14" w:rsidRPr="009E6153">
        <w:rPr>
          <w:kern w:val="3"/>
        </w:rPr>
        <w:t>………</w:t>
      </w:r>
      <w:r w:rsidR="0049087E">
        <w:rPr>
          <w:kern w:val="3"/>
        </w:rPr>
        <w:t>.</w:t>
      </w:r>
      <w:r w:rsidR="00E84C14" w:rsidRPr="009E6153">
        <w:rPr>
          <w:kern w:val="3"/>
        </w:rPr>
        <w:t>………………</w:t>
      </w:r>
      <w:proofErr w:type="gramStart"/>
      <w:r w:rsidR="00E84C14" w:rsidRPr="009E6153">
        <w:rPr>
          <w:kern w:val="3"/>
        </w:rPr>
        <w:t>.</w:t>
      </w:r>
      <w:r w:rsidR="0049087E">
        <w:rPr>
          <w:kern w:val="3"/>
        </w:rPr>
        <w:t>.</w:t>
      </w:r>
      <w:r w:rsidR="00E84C14" w:rsidRPr="009E6153">
        <w:rPr>
          <w:kern w:val="3"/>
        </w:rPr>
        <w:t>...</w:t>
      </w:r>
      <w:proofErr w:type="gramEnd"/>
      <w:r w:rsidR="00E84C14" w:rsidRPr="009E6153">
        <w:rPr>
          <w:kern w:val="3"/>
        </w:rPr>
        <w:t>3</w:t>
      </w:r>
    </w:p>
    <w:p w14:paraId="7FF0F27C" w14:textId="7DD349F7" w:rsidR="0049087E" w:rsidRDefault="00123485" w:rsidP="0049087E">
      <w:pPr>
        <w:spacing w:after="120" w:line="360" w:lineRule="auto"/>
      </w:pPr>
      <w:r w:rsidRPr="009E6153">
        <w:t>Aim and Objectives</w:t>
      </w:r>
      <w:r w:rsidR="00E84C14" w:rsidRPr="009E6153">
        <w:rPr>
          <w:color w:val="000000"/>
        </w:rPr>
        <w:t>………</w:t>
      </w:r>
      <w:r w:rsidRPr="009E6153">
        <w:t>.</w:t>
      </w:r>
      <w:r w:rsidR="00E84C14" w:rsidRPr="009E6153">
        <w:rPr>
          <w:color w:val="000000"/>
        </w:rPr>
        <w:t>…………………………………</w:t>
      </w:r>
      <w:proofErr w:type="gramStart"/>
      <w:r w:rsidR="00E84C14" w:rsidRPr="009E6153">
        <w:rPr>
          <w:color w:val="000000"/>
        </w:rPr>
        <w:t>…</w:t>
      </w:r>
      <w:r w:rsidR="0049087E">
        <w:rPr>
          <w:color w:val="000000"/>
        </w:rPr>
        <w:t>..</w:t>
      </w:r>
      <w:proofErr w:type="gramEnd"/>
      <w:r w:rsidR="00E84C14" w:rsidRPr="009E6153">
        <w:rPr>
          <w:color w:val="000000"/>
        </w:rPr>
        <w:t>………………</w:t>
      </w:r>
      <w:r w:rsidRPr="009E6153">
        <w:t>3</w:t>
      </w:r>
    </w:p>
    <w:p w14:paraId="5916239F" w14:textId="41B24D20" w:rsidR="00E84C14" w:rsidRPr="009E6153" w:rsidRDefault="00123485" w:rsidP="0049087E">
      <w:pPr>
        <w:spacing w:after="120" w:line="360" w:lineRule="auto"/>
      </w:pPr>
      <w:r w:rsidRPr="009E6153">
        <w:t>Background</w:t>
      </w:r>
      <w:r w:rsidRPr="009E6153">
        <w:t xml:space="preserve"> …………………</w:t>
      </w:r>
      <w:r w:rsidR="00E84C14" w:rsidRPr="009E6153">
        <w:t>……………………………………</w:t>
      </w:r>
      <w:r w:rsidR="0049087E">
        <w:t>.</w:t>
      </w:r>
      <w:r w:rsidR="00E84C14" w:rsidRPr="009E6153">
        <w:t>…………</w:t>
      </w:r>
      <w:proofErr w:type="gramStart"/>
      <w:r w:rsidR="00E84C14" w:rsidRPr="009E6153">
        <w:t>…..</w:t>
      </w:r>
      <w:proofErr w:type="gramEnd"/>
      <w:r w:rsidRPr="009E6153">
        <w:t>4</w:t>
      </w:r>
    </w:p>
    <w:p w14:paraId="4161650D" w14:textId="1342EF30" w:rsidR="00E84C14" w:rsidRPr="009E6153" w:rsidRDefault="009E6153" w:rsidP="0049087E">
      <w:pPr>
        <w:spacing w:after="120" w:line="360" w:lineRule="auto"/>
        <w:jc w:val="both"/>
      </w:pPr>
      <w:r w:rsidRPr="009E6153">
        <w:t>Methods</w:t>
      </w:r>
      <w:r w:rsidRPr="009E6153">
        <w:t>…...</w:t>
      </w:r>
      <w:r w:rsidR="00E84C14" w:rsidRPr="009E6153">
        <w:t>…………………………………………………...…………………</w:t>
      </w:r>
      <w:r w:rsidRPr="009E6153">
        <w:t>5</w:t>
      </w:r>
    </w:p>
    <w:p w14:paraId="506E78D7" w14:textId="71318186" w:rsidR="00E84C14" w:rsidRPr="009E6153" w:rsidRDefault="009E6153" w:rsidP="0049087E">
      <w:pPr>
        <w:spacing w:after="120" w:line="360" w:lineRule="auto"/>
        <w:jc w:val="both"/>
      </w:pPr>
      <w:r w:rsidRPr="009E6153">
        <w:t>Results</w:t>
      </w:r>
      <w:r w:rsidRPr="009E6153">
        <w:t>…………</w:t>
      </w:r>
      <w:proofErr w:type="gramStart"/>
      <w:r w:rsidRPr="009E6153">
        <w:t>…..</w:t>
      </w:r>
      <w:proofErr w:type="gramEnd"/>
      <w:r w:rsidR="00E84C14" w:rsidRPr="009E6153">
        <w:t>…………………………………………………………</w:t>
      </w:r>
      <w:proofErr w:type="gramStart"/>
      <w:r w:rsidR="00E84C14" w:rsidRPr="009E6153">
        <w:t>…..</w:t>
      </w:r>
      <w:proofErr w:type="gramEnd"/>
      <w:r w:rsidRPr="009E6153">
        <w:t>7</w:t>
      </w:r>
    </w:p>
    <w:p w14:paraId="391EB722" w14:textId="6B532EA6" w:rsidR="00E84C14" w:rsidRPr="009E6153" w:rsidRDefault="009E6153" w:rsidP="0049087E">
      <w:pPr>
        <w:spacing w:before="80" w:after="160" w:line="360" w:lineRule="auto"/>
      </w:pPr>
      <w:r w:rsidRPr="009E6153">
        <w:t>Thematic Analysis</w:t>
      </w:r>
      <w:r w:rsidRPr="009E6153">
        <w:t>……………………………………………………</w:t>
      </w:r>
      <w:proofErr w:type="gramStart"/>
      <w:r w:rsidRPr="009E6153">
        <w:t>…</w:t>
      </w:r>
      <w:r w:rsidR="0049087E">
        <w:t>..</w:t>
      </w:r>
      <w:proofErr w:type="gramEnd"/>
      <w:r w:rsidRPr="009E6153">
        <w:t>……...8</w:t>
      </w:r>
    </w:p>
    <w:p w14:paraId="4AA570CC" w14:textId="1E32C40D" w:rsidR="009E6153" w:rsidRPr="009E6153" w:rsidRDefault="009E6153" w:rsidP="0049087E">
      <w:pPr>
        <w:spacing w:after="120" w:line="360" w:lineRule="auto"/>
        <w:jc w:val="both"/>
      </w:pPr>
      <w:r w:rsidRPr="009E6153">
        <w:t>Discussion</w:t>
      </w:r>
      <w:r w:rsidRPr="009E6153">
        <w:t>……</w:t>
      </w:r>
      <w:proofErr w:type="gramStart"/>
      <w:r w:rsidRPr="009E6153">
        <w:t>…..</w:t>
      </w:r>
      <w:proofErr w:type="gramEnd"/>
      <w:r w:rsidRPr="009E6153">
        <w:t>………………………………………………………</w:t>
      </w:r>
      <w:r w:rsidR="0049087E">
        <w:t>.</w:t>
      </w:r>
      <w:r w:rsidRPr="009E6153">
        <w:t>……...</w:t>
      </w:r>
      <w:r w:rsidRPr="009E6153">
        <w:t>9</w:t>
      </w:r>
    </w:p>
    <w:p w14:paraId="6BB02C98" w14:textId="331167F6" w:rsidR="009E6153" w:rsidRPr="009E6153" w:rsidRDefault="009E6153" w:rsidP="0049087E">
      <w:pPr>
        <w:spacing w:after="120" w:line="360" w:lineRule="auto"/>
        <w:jc w:val="both"/>
      </w:pPr>
      <w:r w:rsidRPr="009E6153">
        <w:t>Conclusion and Recommendations………………………………………</w:t>
      </w:r>
      <w:proofErr w:type="gramStart"/>
      <w:r w:rsidR="0049087E">
        <w:t>..</w:t>
      </w:r>
      <w:r w:rsidR="0049087E" w:rsidRPr="009E6153">
        <w:t>.</w:t>
      </w:r>
      <w:r w:rsidR="0049087E">
        <w:t>.</w:t>
      </w:r>
      <w:r w:rsidR="0049087E" w:rsidRPr="009E6153">
        <w:t>.</w:t>
      </w:r>
      <w:proofErr w:type="gramEnd"/>
      <w:r w:rsidRPr="009E6153">
        <w:t>12</w:t>
      </w:r>
    </w:p>
    <w:p w14:paraId="6A6463D3" w14:textId="4AE370E6" w:rsidR="00E84C14" w:rsidRPr="00B37B05" w:rsidRDefault="00E84C14" w:rsidP="0049087E">
      <w:pPr>
        <w:spacing w:line="360" w:lineRule="auto"/>
      </w:pPr>
      <w:r w:rsidRPr="00B37B05">
        <w:t>References.………………………….………………………………...…</w:t>
      </w:r>
      <w:r w:rsidR="0049087E">
        <w:t>…</w:t>
      </w:r>
      <w:r w:rsidRPr="00B37B05">
        <w:t>….</w:t>
      </w:r>
      <w:r w:rsidR="009E6153">
        <w:t>13</w:t>
      </w:r>
    </w:p>
    <w:p w14:paraId="1147CA59" w14:textId="77777777" w:rsidR="00DF11C8" w:rsidRDefault="00DF11C8"/>
    <w:p w14:paraId="0A2A65BE" w14:textId="77777777" w:rsidR="00DF11C8" w:rsidRDefault="00DF11C8"/>
    <w:p w14:paraId="2689F2F4" w14:textId="77777777" w:rsidR="00DF11C8" w:rsidRDefault="00DF11C8"/>
    <w:p w14:paraId="153A2F9E" w14:textId="77777777" w:rsidR="00DF11C8" w:rsidRDefault="00DF11C8"/>
    <w:p w14:paraId="744183FB" w14:textId="77777777" w:rsidR="00DF11C8" w:rsidRDefault="00000000">
      <w:r>
        <w:br w:type="page"/>
      </w:r>
    </w:p>
    <w:p w14:paraId="252EC4E3" w14:textId="3A79A0DC" w:rsidR="00E84C14" w:rsidRPr="00E84C14" w:rsidRDefault="00E84C14" w:rsidP="00E84C14">
      <w:pPr>
        <w:spacing w:after="120" w:line="360" w:lineRule="auto"/>
        <w:rPr>
          <w:b/>
          <w:bCs/>
        </w:rPr>
      </w:pPr>
      <w:r w:rsidRPr="00E84C14">
        <w:rPr>
          <w:b/>
          <w:bCs/>
        </w:rPr>
        <w:lastRenderedPageBreak/>
        <w:t xml:space="preserve">Title </w:t>
      </w:r>
    </w:p>
    <w:p w14:paraId="119CD042" w14:textId="77777777" w:rsidR="00E84C14" w:rsidRDefault="00E84C14" w:rsidP="00E84C14">
      <w:pPr>
        <w:spacing w:after="120" w:line="360" w:lineRule="auto"/>
      </w:pPr>
      <w:r w:rsidRPr="00E84C14">
        <w:t>A Scoping Review of Person-Centred Approaches in Dementia Care:</w:t>
      </w:r>
      <w:r w:rsidRPr="00E84C14">
        <w:t xml:space="preserve"> </w:t>
      </w:r>
      <w:r w:rsidRPr="00E84C14">
        <w:t>What Does the Existing Literature Reveal?</w:t>
      </w:r>
    </w:p>
    <w:p w14:paraId="10712E3F" w14:textId="366FD948" w:rsidR="00DF11C8" w:rsidRPr="00E84C14" w:rsidRDefault="00000000" w:rsidP="00E84C14">
      <w:pPr>
        <w:spacing w:after="120" w:line="360" w:lineRule="auto"/>
        <w:rPr>
          <w:b/>
          <w:bCs/>
        </w:rPr>
      </w:pPr>
      <w:r w:rsidRPr="00E84C14">
        <w:rPr>
          <w:b/>
          <w:bCs/>
        </w:rPr>
        <w:t>Introduction</w:t>
      </w:r>
    </w:p>
    <w:p w14:paraId="6107D651" w14:textId="0F53BCCA" w:rsidR="00DF11C8" w:rsidRDefault="00000000">
      <w:pPr>
        <w:spacing w:after="120" w:line="360" w:lineRule="auto"/>
        <w:jc w:val="both"/>
      </w:pPr>
      <w:r>
        <w:t xml:space="preserve">Dementia is an umbrella term for a range of progressive neurological syndromes that impair memory, thinking, behaviour and the ability to carry out daily activities (World Health Organization, 2021). The most common form in the UK is Alzheimer's disease, followed by vascular dementia, Lewy body dementia and frontotemporal dementia (NICE, 2018). Approximately 944,000 people in England are currently living with the condition, and this number is expected to exceed one million within the next few years </w:t>
      </w:r>
      <w:r w:rsidR="00AF4BD0">
        <w:t>(</w:t>
      </w:r>
      <w:r w:rsidR="00AF4BD0" w:rsidRPr="00AF4BD0">
        <w:t>Alzheimer's Research UK 2023</w:t>
      </w:r>
      <w:r w:rsidR="00AF4BD0">
        <w:t xml:space="preserve">). </w:t>
      </w:r>
      <w:r>
        <w:t xml:space="preserve">The burden placed on individuals, families, carers and public services is </w:t>
      </w:r>
      <w:r w:rsidR="00A12FB7">
        <w:t>huge</w:t>
      </w:r>
      <w:r>
        <w:t>, and the need for high quality, consistently delivered care has never been greater.</w:t>
      </w:r>
    </w:p>
    <w:p w14:paraId="04B5BA72" w14:textId="74A52943" w:rsidR="00DF11C8" w:rsidRDefault="00000000">
      <w:pPr>
        <w:spacing w:after="120" w:line="360" w:lineRule="auto"/>
        <w:jc w:val="both"/>
      </w:pPr>
      <w:r>
        <w:t>Person-centred care (PCC) is the approach at the heart of UK dementia policy and practice. Drawing on Kitwood's (1997) theory of personhood, it places the individual's values, identity, relationships and psychological needs above task</w:t>
      </w:r>
      <w:r w:rsidR="00A12FB7">
        <w:t xml:space="preserve"> </w:t>
      </w:r>
      <w:r>
        <w:t>focused or medically driven routines. NICE (2018) guidelines require all dementia care to be delivered in a person-centred way, while the Care Act (2014) and the Mental Capacity Act (2005) both provide a legal foundation for this in their respective spheres. In practice, however, translating PCC from policy into consistent, meaningful delivery across the range of settings where people with dementia receive care remains a significant challenge (Guan et al., 2025; Serbser-Koal et al., 2024).</w:t>
      </w:r>
    </w:p>
    <w:p w14:paraId="5C7D60F6" w14:textId="77777777" w:rsidR="00123485" w:rsidRDefault="00000000" w:rsidP="00123485">
      <w:pPr>
        <w:spacing w:after="120" w:line="360" w:lineRule="auto"/>
        <w:jc w:val="both"/>
      </w:pPr>
      <w:r>
        <w:t>This report presents the findings of a scoping review addressing the following question: What does the existing literature reveal about person-centred approaches in dementia care? Scoping reviews map evidence on a defined topic, identify recurring themes and highlight gaps for future inquiry (Arksey and O'Malley, 2005). Five peer-reviewed studies were selected and analysed using Aveyard's (2014) simplified thematic analysis.</w:t>
      </w:r>
    </w:p>
    <w:p w14:paraId="027B3C79" w14:textId="04F23F91" w:rsidR="00DF11C8" w:rsidRPr="00123485" w:rsidRDefault="00000000" w:rsidP="00123485">
      <w:pPr>
        <w:spacing w:after="120" w:line="360" w:lineRule="auto"/>
        <w:jc w:val="both"/>
        <w:rPr>
          <w:b/>
          <w:bCs/>
        </w:rPr>
      </w:pPr>
      <w:r w:rsidRPr="00123485">
        <w:rPr>
          <w:b/>
          <w:bCs/>
        </w:rPr>
        <w:t>Aim and Objectives</w:t>
      </w:r>
    </w:p>
    <w:p w14:paraId="4CCB91B3" w14:textId="77777777" w:rsidR="00DF11C8" w:rsidRDefault="00000000">
      <w:pPr>
        <w:spacing w:after="120" w:line="360" w:lineRule="auto"/>
        <w:jc w:val="both"/>
      </w:pPr>
      <w:r>
        <w:rPr>
          <w:b/>
          <w:bCs/>
        </w:rPr>
        <w:t xml:space="preserve">Aim: </w:t>
      </w:r>
      <w:r>
        <w:t>To explore and map the evidence on person-centred approaches in dementia care, including how these are defined, implemented and experienced by people with dementia and their carers.</w:t>
      </w:r>
    </w:p>
    <w:p w14:paraId="38A14C28" w14:textId="77777777" w:rsidR="00DF11C8" w:rsidRDefault="00000000">
      <w:pPr>
        <w:spacing w:after="120" w:line="360" w:lineRule="auto"/>
        <w:jc w:val="both"/>
      </w:pPr>
      <w:r>
        <w:t>The review has five objectives:</w:t>
      </w:r>
    </w:p>
    <w:p w14:paraId="1EF379FE" w14:textId="77777777" w:rsidR="00DF11C8" w:rsidRDefault="00000000">
      <w:pPr>
        <w:pStyle w:val="ListParagraph"/>
        <w:numPr>
          <w:ilvl w:val="0"/>
          <w:numId w:val="2"/>
        </w:numPr>
        <w:spacing w:after="80" w:line="360" w:lineRule="auto"/>
        <w:jc w:val="both"/>
      </w:pPr>
      <w:r>
        <w:t>To examine how PCC in dementia is defined and understood across the literature.</w:t>
      </w:r>
    </w:p>
    <w:p w14:paraId="7D9BC87B" w14:textId="77777777" w:rsidR="00DF11C8" w:rsidRDefault="00000000">
      <w:pPr>
        <w:pStyle w:val="ListParagraph"/>
        <w:numPr>
          <w:ilvl w:val="0"/>
          <w:numId w:val="2"/>
        </w:numPr>
        <w:spacing w:after="80" w:line="360" w:lineRule="auto"/>
        <w:jc w:val="both"/>
      </w:pPr>
      <w:r>
        <w:t>To explore how person-centred approaches are applied across different care settings.</w:t>
      </w:r>
    </w:p>
    <w:p w14:paraId="5C671443" w14:textId="77777777" w:rsidR="00DF11C8" w:rsidRDefault="00000000">
      <w:pPr>
        <w:pStyle w:val="ListParagraph"/>
        <w:numPr>
          <w:ilvl w:val="0"/>
          <w:numId w:val="2"/>
        </w:numPr>
        <w:spacing w:after="80" w:line="360" w:lineRule="auto"/>
        <w:jc w:val="both"/>
      </w:pPr>
      <w:r>
        <w:t>To summarise outcomes linked to PCC for people with dementia.</w:t>
      </w:r>
    </w:p>
    <w:p w14:paraId="798138A9" w14:textId="77777777" w:rsidR="00DF11C8" w:rsidRDefault="00000000">
      <w:pPr>
        <w:pStyle w:val="ListParagraph"/>
        <w:numPr>
          <w:ilvl w:val="0"/>
          <w:numId w:val="2"/>
        </w:numPr>
        <w:spacing w:after="80" w:line="360" w:lineRule="auto"/>
        <w:jc w:val="both"/>
      </w:pPr>
      <w:r>
        <w:lastRenderedPageBreak/>
        <w:t>To identify the support needs of carers and barriers to person-centred care delivery.</w:t>
      </w:r>
    </w:p>
    <w:p w14:paraId="0E139343" w14:textId="77777777" w:rsidR="00123485" w:rsidRDefault="00000000" w:rsidP="00123485">
      <w:pPr>
        <w:pStyle w:val="ListParagraph"/>
        <w:numPr>
          <w:ilvl w:val="0"/>
          <w:numId w:val="2"/>
        </w:numPr>
        <w:spacing w:after="80" w:line="360" w:lineRule="auto"/>
        <w:jc w:val="both"/>
      </w:pPr>
      <w:r>
        <w:t>To highlight evidence gaps and make recommendations for practice and policy.</w:t>
      </w:r>
    </w:p>
    <w:p w14:paraId="3BBC0F16" w14:textId="4D71493D" w:rsidR="00DF11C8" w:rsidRPr="00123485" w:rsidRDefault="00000000" w:rsidP="00123485">
      <w:pPr>
        <w:spacing w:after="80" w:line="360" w:lineRule="auto"/>
        <w:jc w:val="both"/>
        <w:rPr>
          <w:b/>
          <w:bCs/>
        </w:rPr>
      </w:pPr>
      <w:r w:rsidRPr="00123485">
        <w:rPr>
          <w:b/>
          <w:bCs/>
        </w:rPr>
        <w:t>Background</w:t>
      </w:r>
    </w:p>
    <w:p w14:paraId="389BA0ED" w14:textId="77777777" w:rsidR="00DF11C8" w:rsidRDefault="00000000">
      <w:pPr>
        <w:spacing w:after="120" w:line="360" w:lineRule="auto"/>
        <w:jc w:val="both"/>
      </w:pPr>
      <w:r>
        <w:t>The scale of dementia as a public health challenge in the UK is difficult to overstate. Alzheimer's Society (2022) estimates the total annual cost to the economy at over £34.7 billion, accounting for NHS expenditure, social care and the contributions of unpaid informal carers. It is now the leading cause of death in England and Wales, and Livingston et al. (2020) estimate that around 40% of dementia cases worldwide may be attributable to modifiable risk factors, reinforcing the case for both prevention and high-quality post-diagnostic care. Significant variation in the quality and equity of dementia care provision persists across the UK (NICE, 2018; NHS England, 2019). Despite decades of policy attention and research investment, there remains a substantial gap between the care that people with dementia need and what they consistently receive.</w:t>
      </w:r>
    </w:p>
    <w:p w14:paraId="45796715" w14:textId="3354716F" w:rsidR="00DF11C8" w:rsidRDefault="00000000">
      <w:pPr>
        <w:spacing w:after="120" w:line="360" w:lineRule="auto"/>
        <w:jc w:val="both"/>
      </w:pPr>
      <w:r>
        <w:t xml:space="preserve">Policy development in England has evolved </w:t>
      </w:r>
      <w:r w:rsidR="005A4942">
        <w:t>significantly</w:t>
      </w:r>
      <w:r>
        <w:t xml:space="preserve"> since the National Dementia Strategy (Department of Health, 2009) established the first national framework for improving dementia care. The strategy prioritised earlier and more accurate diagnosis, better coordination between services and improved information and support for carers. Critically, it introduced an expectation that care should be personalised and responsive to individual circumstances — a principle that has since become central to all subsequent policy frameworks. The Care Act (2014) strengthened the legal basis for this by placing a statutory duty on local authorities to promote wellbeing across all dimensions of a person's life, including psychological and emotional wellbeing, dignity and participation, when making decisions about adult social care. This holistic understanding of wellbeing aligns closely with the values underpinning PCC in dementia. The Mental Capacity Act (2005) reinforces these principles further, requiring practitioners to presume capacity, take all practicable steps to support people to make their own decisions, and where capacity is absent, to act in the individual's best interests. Together, these pieces of legislation create a strong framework within which person-centred practice in dementia care is not merely aspirational but legally required.</w:t>
      </w:r>
    </w:p>
    <w:p w14:paraId="5D74794D" w14:textId="3A0F8FE0" w:rsidR="00DF11C8" w:rsidRDefault="00000000">
      <w:pPr>
        <w:spacing w:after="120" w:line="360" w:lineRule="auto"/>
        <w:jc w:val="both"/>
      </w:pPr>
      <w:r>
        <w:t>The NHS Long Term Plan (NHS England, 2019) committed to improving dementia diagnosis rates in England to a target of 66.7% of estimated cases and strengthened commitments to post-diagnostic support</w:t>
      </w:r>
      <w:r w:rsidR="00B51A0A">
        <w:t>,</w:t>
      </w:r>
      <w:r>
        <w:t xml:space="preserve"> recognising that receiving a timely diagnosis is only the beginning of what is often a long and complex care journey. NICE (2018) guidelines on dementia assessment, management and support make explicit that all stages of care, from initial presentation through to end-of-life support, should be underpinned by person-centred </w:t>
      </w:r>
      <w:r>
        <w:lastRenderedPageBreak/>
        <w:t>principles. These guidelines also emphasise the importance of involving family carers at every stage as active partners rather than passive bystanders.</w:t>
      </w:r>
    </w:p>
    <w:p w14:paraId="585E75A8" w14:textId="5E7EC8B6" w:rsidR="00DF11C8" w:rsidRDefault="00000000">
      <w:pPr>
        <w:spacing w:after="120" w:line="360" w:lineRule="auto"/>
        <w:jc w:val="both"/>
      </w:pPr>
      <w:r>
        <w:t>The theoretical foundations of PCC in dementia are most closely associated with the work of Tom Kitwood (1997), who challenged the prevailing biomedical model of the condition by arguing that the experience of dementia is shaped not only by neurological changes but also by the social and relational environment in which the person lives. Kitwood described 'malignant social psychology' as a cluster of often unintentional care practices — such as ignoring, infantilising or objectifying the person with dementia — that systematically undermine personhood. Against this, he identified five core needs</w:t>
      </w:r>
      <w:r w:rsidR="00B51A0A">
        <w:t xml:space="preserve">; </w:t>
      </w:r>
      <w:r>
        <w:t>comfort, attachment, inclusion, occupation and identity</w:t>
      </w:r>
      <w:r w:rsidR="00B51A0A">
        <w:t xml:space="preserve">, </w:t>
      </w:r>
      <w:r>
        <w:t xml:space="preserve">which must be consistently met for care to be genuinely person-centred. These ideas have </w:t>
      </w:r>
      <w:r w:rsidR="00B51A0A">
        <w:t>contributed to</w:t>
      </w:r>
      <w:r>
        <w:t xml:space="preserve"> tools including Dementia Care Mapping and in therapeutic approaches such as life history work and validation therapy (Serbser-Koal et al., 2024). The broader concept of relationship-centred care has also gained traction in recent years, recognising that the quality of interactions between people with dementia, their carers and professionals is at least as important as any specific clinical intervention (Berkovic et al., 2024).</w:t>
      </w:r>
    </w:p>
    <w:p w14:paraId="5C739522" w14:textId="77777777" w:rsidR="009E6153" w:rsidRDefault="00000000" w:rsidP="009E6153">
      <w:pPr>
        <w:spacing w:after="120" w:line="360" w:lineRule="auto"/>
        <w:jc w:val="both"/>
      </w:pPr>
      <w:r>
        <w:t>Family and informal carers are central to the dementia care system in England. Alzheimer's Society (2022) estimates that carers provide over 1.8 million hours of unpaid care each week, saving the economy in excess of £13 billion annually. However, this contribution comes at a substantial personal cost. High rates of carer burden, depression, social isolation and unmet support needs are consistently reported in the literature (Feast et al., 2016; Herron and Runacres, 2023). Brodaty and Donkin (2009) highlight that family caregivers of people with dementia experience significantly higher rates of psychological distress than caregivers of people with other long-term conditions, and that the behavioural symptoms of dementia — rather than cognitive decline alone — are the strongest predictor of carer breakdown. Many carers manage complex behavioural presentations, navigate fragmented service systems and advocate for their relatives with minimal professional guidance. The COVID-19 pandemic amplified these pressures considerably, with community services, day centres and peer support groups closing for extended periods at a time when many carers were already struggling (Wheatley et al., 2022). Understanding what effective person-centred approaches look like in practice, and what consistently prevents them from being delivered, is therefore a matter of genuine clinical and policy urgency.</w:t>
      </w:r>
    </w:p>
    <w:p w14:paraId="02F09B91" w14:textId="638CB236" w:rsidR="009E6153" w:rsidRPr="009E6153" w:rsidRDefault="00000000" w:rsidP="009E6153">
      <w:pPr>
        <w:spacing w:after="120" w:line="360" w:lineRule="auto"/>
        <w:jc w:val="both"/>
        <w:rPr>
          <w:b/>
          <w:bCs/>
        </w:rPr>
      </w:pPr>
      <w:r w:rsidRPr="009E6153">
        <w:rPr>
          <w:b/>
          <w:bCs/>
        </w:rPr>
        <w:t>Methods</w:t>
      </w:r>
    </w:p>
    <w:p w14:paraId="2E9C15BB" w14:textId="34BE4883" w:rsidR="00DF11C8" w:rsidRPr="009E6153" w:rsidRDefault="00000000" w:rsidP="009E6153">
      <w:pPr>
        <w:spacing w:after="120" w:line="360" w:lineRule="auto"/>
        <w:jc w:val="both"/>
        <w:rPr>
          <w:b/>
          <w:bCs/>
        </w:rPr>
      </w:pPr>
      <w:r w:rsidRPr="009E6153">
        <w:rPr>
          <w:b/>
          <w:bCs/>
        </w:rPr>
        <w:t>Research Design</w:t>
      </w:r>
    </w:p>
    <w:p w14:paraId="18ADD5DE" w14:textId="77777777" w:rsidR="009E6153" w:rsidRDefault="00000000" w:rsidP="009E6153">
      <w:pPr>
        <w:spacing w:after="120" w:line="360" w:lineRule="auto"/>
        <w:jc w:val="both"/>
      </w:pPr>
      <w:r>
        <w:lastRenderedPageBreak/>
        <w:t>This review follows the five-stage scoping review framework developed by Arksey and O'Malley (2005): (1) identifying the research question; (2) locating relevant studies; (3) selecting studies; (4) charting data; and (5) summarising and reporting findings. A scoping review was chosen because the aim is to map the evidence across a broad area rather than evaluate the effectiveness of one specific intervention. Data were analysed using Aveyard's (2014) simplified thematic analysis, which involves reading studies carefully, noting recurring ideas, grouping related concepts into themes and refining the final framework.</w:t>
      </w:r>
    </w:p>
    <w:p w14:paraId="05178C8D" w14:textId="15312039" w:rsidR="00DF11C8" w:rsidRPr="009E6153" w:rsidRDefault="00000000" w:rsidP="009E6153">
      <w:pPr>
        <w:spacing w:after="120" w:line="360" w:lineRule="auto"/>
        <w:jc w:val="both"/>
        <w:rPr>
          <w:b/>
          <w:bCs/>
        </w:rPr>
      </w:pPr>
      <w:r w:rsidRPr="009E6153">
        <w:rPr>
          <w:b/>
          <w:bCs/>
        </w:rPr>
        <w:t>Search Strategy</w:t>
      </w:r>
    </w:p>
    <w:p w14:paraId="0DCD8404" w14:textId="77777777" w:rsidR="009E6153" w:rsidRPr="009E6153" w:rsidRDefault="00000000" w:rsidP="009E6153">
      <w:pPr>
        <w:spacing w:after="120" w:line="360" w:lineRule="auto"/>
        <w:jc w:val="both"/>
        <w:rPr>
          <w:b/>
          <w:bCs/>
        </w:rPr>
      </w:pPr>
      <w:r>
        <w:t xml:space="preserve">Searches were conducted across four databases: PubMed, PubMed Central (PMC), Cambridge Core and the MDPI Healthcare open-access database. Terms included 'dementia', 'person-centred care', 'person-centered care', 'BPSD', 'behavioural and psychological symptoms', 'family carers', 'carer support', 'postdiagnostic dementia support' and 'dementia care UK', combined using Boolean operators AND and OR. Searches were limited to peer-reviewed English-language studies published between 2010 and 2025. One exception was Feast et al. (2016), which was published within this window and synthesises older relevant </w:t>
      </w:r>
      <w:r w:rsidRPr="009E6153">
        <w:t>literature that directly informed the review question.</w:t>
      </w:r>
    </w:p>
    <w:p w14:paraId="51A8B5DD" w14:textId="72E9C8E9" w:rsidR="00DF11C8" w:rsidRPr="009E6153" w:rsidRDefault="00000000" w:rsidP="009E6153">
      <w:pPr>
        <w:spacing w:after="120" w:line="360" w:lineRule="auto"/>
        <w:jc w:val="both"/>
        <w:rPr>
          <w:b/>
          <w:bCs/>
        </w:rPr>
      </w:pPr>
      <w:r w:rsidRPr="009E6153">
        <w:rPr>
          <w:b/>
          <w:bCs/>
        </w:rPr>
        <w:t>Inclusion and Exclusion Criteria</w:t>
      </w:r>
    </w:p>
    <w:p w14:paraId="4C060395" w14:textId="77777777" w:rsidR="009E6153" w:rsidRDefault="00000000" w:rsidP="009E6153">
      <w:pPr>
        <w:spacing w:after="120" w:line="360" w:lineRule="auto"/>
        <w:jc w:val="both"/>
      </w:pPr>
      <w:r>
        <w:t>Studies were included if they were peer-reviewed primary or secondary research focusing on dementia care, the experiences of people with dementia or carers, or person-centred approaches in dementia settings. Editorials, policy documents, conference papers, letters and commentaries were excluded, as were studies focused solely on pharmacological interventions, which fell outside the scope of the review question.</w:t>
      </w:r>
    </w:p>
    <w:p w14:paraId="036C9525" w14:textId="741B07C5" w:rsidR="00DF11C8" w:rsidRPr="009E6153" w:rsidRDefault="00000000" w:rsidP="009E6153">
      <w:pPr>
        <w:spacing w:after="120" w:line="360" w:lineRule="auto"/>
        <w:jc w:val="both"/>
        <w:rPr>
          <w:b/>
          <w:bCs/>
        </w:rPr>
      </w:pPr>
      <w:r w:rsidRPr="009E6153">
        <w:rPr>
          <w:b/>
          <w:bCs/>
        </w:rPr>
        <w:t>Study Selection and Data Extraction</w:t>
      </w:r>
    </w:p>
    <w:p w14:paraId="4793BDA7" w14:textId="77777777" w:rsidR="009E6153" w:rsidRDefault="00000000" w:rsidP="009E6153">
      <w:pPr>
        <w:spacing w:after="120" w:line="360" w:lineRule="auto"/>
        <w:jc w:val="both"/>
      </w:pPr>
      <w:r>
        <w:t>Five studies met all criteria: Prato et al. (2019); Kim and Park (2017); Wheatley et al. (2022); Feast et al. (2016); and Herron and Runacres (2023). They were selected because together they offer a range of research designs — qualitative, quantitative and mixed — spanning multiple settings and participant perspectives. Data were extracted into a standardised table capturing authors, design, setting, sample, databases searched and key findings relevant to the review question. Four themes were identified through thematic analysis.</w:t>
      </w:r>
    </w:p>
    <w:p w14:paraId="2D4BF4C4" w14:textId="0C8E3BAB" w:rsidR="00DF11C8" w:rsidRPr="009E6153" w:rsidRDefault="00000000" w:rsidP="009E6153">
      <w:pPr>
        <w:spacing w:after="120" w:line="360" w:lineRule="auto"/>
        <w:jc w:val="both"/>
        <w:rPr>
          <w:b/>
          <w:bCs/>
        </w:rPr>
      </w:pPr>
      <w:r w:rsidRPr="009E6153">
        <w:rPr>
          <w:b/>
          <w:bCs/>
        </w:rPr>
        <w:t>Ethical Considerations</w:t>
      </w:r>
    </w:p>
    <w:p w14:paraId="4A483066" w14:textId="77777777" w:rsidR="009E6153" w:rsidRDefault="00000000" w:rsidP="009E6153">
      <w:pPr>
        <w:spacing w:after="120" w:line="360" w:lineRule="auto"/>
        <w:jc w:val="both"/>
      </w:pPr>
      <w:r>
        <w:t>As this review is based entirely on published secondary literature, formal ethical approval was not required. Ethical practice was upheld through accurate citation and transparent, faithful reporting of all authors' findings, in line with the principles outlined by Aveyard (2014).</w:t>
      </w:r>
    </w:p>
    <w:p w14:paraId="2BA23C66" w14:textId="77777777" w:rsidR="009E6153" w:rsidRDefault="009E6153" w:rsidP="009E6153">
      <w:pPr>
        <w:spacing w:after="120" w:line="360" w:lineRule="auto"/>
        <w:jc w:val="both"/>
      </w:pPr>
    </w:p>
    <w:p w14:paraId="335C6C49" w14:textId="77777777" w:rsidR="009E6153" w:rsidRDefault="00000000" w:rsidP="009E6153">
      <w:pPr>
        <w:spacing w:after="120" w:line="360" w:lineRule="auto"/>
        <w:jc w:val="both"/>
        <w:rPr>
          <w:b/>
          <w:bCs/>
        </w:rPr>
      </w:pPr>
      <w:r w:rsidRPr="009E6153">
        <w:rPr>
          <w:b/>
          <w:bCs/>
        </w:rPr>
        <w:lastRenderedPageBreak/>
        <w:t>Results</w:t>
      </w:r>
    </w:p>
    <w:p w14:paraId="21006CC2" w14:textId="698BCDA0" w:rsidR="00DF11C8" w:rsidRPr="009E6153" w:rsidRDefault="00000000" w:rsidP="009E6153">
      <w:pPr>
        <w:spacing w:after="120" w:line="360" w:lineRule="auto"/>
        <w:jc w:val="both"/>
        <w:rPr>
          <w:b/>
          <w:bCs/>
        </w:rPr>
      </w:pPr>
      <w:r w:rsidRPr="009E6153">
        <w:rPr>
          <w:b/>
          <w:bCs/>
        </w:rPr>
        <w:t>Summary of Included Studies</w:t>
      </w:r>
    </w:p>
    <w:tbl>
      <w:tblPr>
        <w:tblpPr w:leftFromText="180" w:rightFromText="180" w:vertAnchor="text" w:horzAnchor="margin" w:tblpY="237"/>
        <w:tblW w:w="90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61"/>
        <w:gridCol w:w="1451"/>
        <w:gridCol w:w="1321"/>
        <w:gridCol w:w="1381"/>
        <w:gridCol w:w="1301"/>
        <w:gridCol w:w="1141"/>
        <w:gridCol w:w="1703"/>
        <w:gridCol w:w="83"/>
      </w:tblGrid>
      <w:tr w:rsidR="001B3525" w14:paraId="0F913430" w14:textId="77777777" w:rsidTr="005A4942">
        <w:trPr>
          <w:gridAfter w:val="1"/>
          <w:wAfter w:w="388" w:type="dxa"/>
          <w:tblHeader/>
        </w:trPr>
        <w:tc>
          <w:tcPr>
            <w:tcW w:w="1016" w:type="dxa"/>
            <w:shd w:val="clear" w:color="auto" w:fill="D5E8F0"/>
            <w:tcMar>
              <w:top w:w="80" w:type="dxa"/>
              <w:left w:w="120" w:type="dxa"/>
              <w:bottom w:w="80" w:type="dxa"/>
              <w:right w:w="120" w:type="dxa"/>
            </w:tcMar>
          </w:tcPr>
          <w:p w14:paraId="31730DB3" w14:textId="77777777" w:rsidR="005A4942" w:rsidRDefault="005A4942" w:rsidP="005A4942">
            <w:r>
              <w:rPr>
                <w:b/>
                <w:bCs/>
                <w:sz w:val="18"/>
                <w:szCs w:val="18"/>
              </w:rPr>
              <w:t>Author(s) &amp; Year</w:t>
            </w:r>
          </w:p>
        </w:tc>
        <w:tc>
          <w:tcPr>
            <w:tcW w:w="1386" w:type="dxa"/>
            <w:shd w:val="clear" w:color="auto" w:fill="D5E8F0"/>
            <w:tcMar>
              <w:top w:w="80" w:type="dxa"/>
              <w:left w:w="120" w:type="dxa"/>
              <w:bottom w:w="80" w:type="dxa"/>
              <w:right w:w="120" w:type="dxa"/>
            </w:tcMar>
          </w:tcPr>
          <w:p w14:paraId="25E163D8" w14:textId="77777777" w:rsidR="005A4942" w:rsidRDefault="005A4942" w:rsidP="005A4942">
            <w:r>
              <w:rPr>
                <w:b/>
                <w:bCs/>
                <w:sz w:val="18"/>
                <w:szCs w:val="18"/>
              </w:rPr>
              <w:t>Study Title</w:t>
            </w:r>
          </w:p>
        </w:tc>
        <w:tc>
          <w:tcPr>
            <w:tcW w:w="1263" w:type="dxa"/>
            <w:shd w:val="clear" w:color="auto" w:fill="D5E8F0"/>
            <w:tcMar>
              <w:top w:w="80" w:type="dxa"/>
              <w:left w:w="120" w:type="dxa"/>
              <w:bottom w:w="80" w:type="dxa"/>
              <w:right w:w="120" w:type="dxa"/>
            </w:tcMar>
          </w:tcPr>
          <w:p w14:paraId="52C02AD0" w14:textId="77777777" w:rsidR="005A4942" w:rsidRDefault="005A4942" w:rsidP="005A4942">
            <w:r>
              <w:rPr>
                <w:b/>
                <w:bCs/>
                <w:sz w:val="18"/>
                <w:szCs w:val="18"/>
              </w:rPr>
              <w:t>Study Design</w:t>
            </w:r>
          </w:p>
        </w:tc>
        <w:tc>
          <w:tcPr>
            <w:tcW w:w="1320" w:type="dxa"/>
            <w:shd w:val="clear" w:color="auto" w:fill="D5E8F0"/>
            <w:tcMar>
              <w:top w:w="80" w:type="dxa"/>
              <w:left w:w="120" w:type="dxa"/>
              <w:bottom w:w="80" w:type="dxa"/>
              <w:right w:w="120" w:type="dxa"/>
            </w:tcMar>
          </w:tcPr>
          <w:p w14:paraId="31374322" w14:textId="77777777" w:rsidR="005A4942" w:rsidRDefault="005A4942" w:rsidP="005A4942">
            <w:r>
              <w:rPr>
                <w:b/>
                <w:bCs/>
                <w:sz w:val="18"/>
                <w:szCs w:val="18"/>
              </w:rPr>
              <w:t>Setting / Country</w:t>
            </w:r>
          </w:p>
        </w:tc>
        <w:tc>
          <w:tcPr>
            <w:tcW w:w="1244" w:type="dxa"/>
            <w:shd w:val="clear" w:color="auto" w:fill="D5E8F0"/>
            <w:tcMar>
              <w:top w:w="80" w:type="dxa"/>
              <w:left w:w="120" w:type="dxa"/>
              <w:bottom w:w="80" w:type="dxa"/>
              <w:right w:w="120" w:type="dxa"/>
            </w:tcMar>
          </w:tcPr>
          <w:p w14:paraId="30173376" w14:textId="77777777" w:rsidR="005A4942" w:rsidRDefault="005A4942" w:rsidP="005A4942">
            <w:r>
              <w:rPr>
                <w:b/>
                <w:bCs/>
                <w:sz w:val="18"/>
                <w:szCs w:val="18"/>
              </w:rPr>
              <w:t>Sample</w:t>
            </w:r>
          </w:p>
        </w:tc>
        <w:tc>
          <w:tcPr>
            <w:tcW w:w="1092" w:type="dxa"/>
            <w:shd w:val="clear" w:color="auto" w:fill="D5E8F0"/>
            <w:tcMar>
              <w:top w:w="80" w:type="dxa"/>
              <w:left w:w="120" w:type="dxa"/>
              <w:bottom w:w="80" w:type="dxa"/>
              <w:right w:w="120" w:type="dxa"/>
            </w:tcMar>
          </w:tcPr>
          <w:p w14:paraId="051E13FB" w14:textId="77777777" w:rsidR="005A4942" w:rsidRDefault="005A4942" w:rsidP="005A4942">
            <w:r>
              <w:rPr>
                <w:b/>
                <w:bCs/>
                <w:sz w:val="18"/>
                <w:szCs w:val="18"/>
              </w:rPr>
              <w:t>Databases / Search</w:t>
            </w:r>
          </w:p>
        </w:tc>
        <w:tc>
          <w:tcPr>
            <w:tcW w:w="1703" w:type="dxa"/>
            <w:shd w:val="clear" w:color="auto" w:fill="D5E8F0"/>
            <w:tcMar>
              <w:top w:w="80" w:type="dxa"/>
              <w:left w:w="120" w:type="dxa"/>
              <w:bottom w:w="80" w:type="dxa"/>
              <w:right w:w="120" w:type="dxa"/>
            </w:tcMar>
          </w:tcPr>
          <w:p w14:paraId="6DF13D0D" w14:textId="77777777" w:rsidR="005A4942" w:rsidRDefault="005A4942" w:rsidP="005A4942">
            <w:r>
              <w:rPr>
                <w:b/>
                <w:bCs/>
                <w:sz w:val="18"/>
                <w:szCs w:val="18"/>
              </w:rPr>
              <w:t>Key Findings</w:t>
            </w:r>
          </w:p>
        </w:tc>
      </w:tr>
      <w:tr w:rsidR="001B3525" w14:paraId="1DCFC8DF" w14:textId="77777777" w:rsidTr="005A4942">
        <w:tc>
          <w:tcPr>
            <w:tcW w:w="1016" w:type="dxa"/>
            <w:tcMar>
              <w:top w:w="80" w:type="dxa"/>
              <w:left w:w="120" w:type="dxa"/>
              <w:bottom w:w="80" w:type="dxa"/>
              <w:right w:w="120" w:type="dxa"/>
            </w:tcMar>
          </w:tcPr>
          <w:p w14:paraId="1635CDD9" w14:textId="77777777" w:rsidR="005A4942" w:rsidRDefault="005A4942" w:rsidP="005A4942">
            <w:r>
              <w:rPr>
                <w:b/>
                <w:bCs/>
                <w:sz w:val="18"/>
                <w:szCs w:val="18"/>
              </w:rPr>
              <w:t>Prato et al. (2019)</w:t>
            </w:r>
          </w:p>
        </w:tc>
        <w:tc>
          <w:tcPr>
            <w:tcW w:w="1386" w:type="dxa"/>
            <w:tcMar>
              <w:top w:w="80" w:type="dxa"/>
              <w:left w:w="120" w:type="dxa"/>
              <w:bottom w:w="80" w:type="dxa"/>
              <w:right w:w="120" w:type="dxa"/>
            </w:tcMar>
          </w:tcPr>
          <w:p w14:paraId="2926A83E" w14:textId="77777777" w:rsidR="005A4942" w:rsidRDefault="005A4942" w:rsidP="005A4942">
            <w:r>
              <w:rPr>
                <w:i/>
                <w:iCs/>
                <w:sz w:val="18"/>
                <w:szCs w:val="18"/>
              </w:rPr>
              <w:t>Empowerment, environment and person-centred care: A qualitative study exploring the hospital experience for adults with cognitive impairment</w:t>
            </w:r>
          </w:p>
        </w:tc>
        <w:tc>
          <w:tcPr>
            <w:tcW w:w="1263" w:type="dxa"/>
            <w:tcMar>
              <w:top w:w="80" w:type="dxa"/>
              <w:left w:w="120" w:type="dxa"/>
              <w:bottom w:w="80" w:type="dxa"/>
              <w:right w:w="120" w:type="dxa"/>
            </w:tcMar>
          </w:tcPr>
          <w:p w14:paraId="4B112505" w14:textId="77777777" w:rsidR="005A4942" w:rsidRDefault="005A4942" w:rsidP="005A4942">
            <w:r>
              <w:rPr>
                <w:sz w:val="18"/>
                <w:szCs w:val="18"/>
              </w:rPr>
              <w:t>Qualitative (interviews &amp; observations)</w:t>
            </w:r>
          </w:p>
        </w:tc>
        <w:tc>
          <w:tcPr>
            <w:tcW w:w="1320" w:type="dxa"/>
            <w:tcMar>
              <w:top w:w="80" w:type="dxa"/>
              <w:left w:w="120" w:type="dxa"/>
              <w:bottom w:w="80" w:type="dxa"/>
              <w:right w:w="120" w:type="dxa"/>
            </w:tcMar>
          </w:tcPr>
          <w:p w14:paraId="6BC60A21" w14:textId="77777777" w:rsidR="005A4942" w:rsidRDefault="005A4942" w:rsidP="005A4942">
            <w:r>
              <w:rPr>
                <w:sz w:val="18"/>
                <w:szCs w:val="18"/>
              </w:rPr>
              <w:t>Acute hospital wards, UK (Newcastle)</w:t>
            </w:r>
          </w:p>
        </w:tc>
        <w:tc>
          <w:tcPr>
            <w:tcW w:w="1244" w:type="dxa"/>
            <w:tcMar>
              <w:top w:w="80" w:type="dxa"/>
              <w:left w:w="120" w:type="dxa"/>
              <w:bottom w:w="80" w:type="dxa"/>
              <w:right w:w="120" w:type="dxa"/>
            </w:tcMar>
          </w:tcPr>
          <w:p w14:paraId="277F819C" w14:textId="77777777" w:rsidR="005A4942" w:rsidRDefault="005A4942" w:rsidP="005A4942">
            <w:r>
              <w:rPr>
                <w:sz w:val="18"/>
                <w:szCs w:val="18"/>
              </w:rPr>
              <w:t>People with cognitive impairment and hospital staff</w:t>
            </w:r>
          </w:p>
        </w:tc>
        <w:tc>
          <w:tcPr>
            <w:tcW w:w="1092" w:type="dxa"/>
            <w:tcMar>
              <w:top w:w="80" w:type="dxa"/>
              <w:left w:w="120" w:type="dxa"/>
              <w:bottom w:w="80" w:type="dxa"/>
              <w:right w:w="120" w:type="dxa"/>
            </w:tcMar>
          </w:tcPr>
          <w:p w14:paraId="619C0D9E" w14:textId="77777777" w:rsidR="005A4942" w:rsidRDefault="005A4942" w:rsidP="005A4942">
            <w:r>
              <w:rPr>
                <w:sz w:val="18"/>
                <w:szCs w:val="18"/>
              </w:rPr>
              <w:t>N/A – primary qualitative study</w:t>
            </w:r>
          </w:p>
        </w:tc>
        <w:tc>
          <w:tcPr>
            <w:tcW w:w="1703" w:type="dxa"/>
            <w:gridSpan w:val="2"/>
            <w:tcMar>
              <w:top w:w="80" w:type="dxa"/>
              <w:left w:w="120" w:type="dxa"/>
              <w:bottom w:w="80" w:type="dxa"/>
              <w:right w:w="120" w:type="dxa"/>
            </w:tcMar>
          </w:tcPr>
          <w:p w14:paraId="3AC35F55" w14:textId="77777777" w:rsidR="005A4942" w:rsidRDefault="005A4942" w:rsidP="005A4942">
            <w:pPr>
              <w:spacing w:after="60"/>
            </w:pPr>
            <w:r>
              <w:rPr>
                <w:sz w:val="18"/>
                <w:szCs w:val="18"/>
              </w:rPr>
              <w:t>Themes: empowerment, environment and PCC.</w:t>
            </w:r>
          </w:p>
          <w:p w14:paraId="742D2029" w14:textId="77777777" w:rsidR="005A4942" w:rsidRDefault="005A4942" w:rsidP="005A4942">
            <w:pPr>
              <w:spacing w:after="60"/>
            </w:pPr>
            <w:r>
              <w:rPr>
                <w:sz w:val="18"/>
                <w:szCs w:val="18"/>
              </w:rPr>
              <w:t>Barriers: rushed wards, fragmented communication, staff unfamiliarity with patients.</w:t>
            </w:r>
          </w:p>
          <w:p w14:paraId="0237AE66" w14:textId="77777777" w:rsidR="005A4942" w:rsidRDefault="005A4942" w:rsidP="005A4942">
            <w:r>
              <w:rPr>
                <w:sz w:val="18"/>
                <w:szCs w:val="18"/>
              </w:rPr>
              <w:t>Family involvement essential to person-centred hospital care.</w:t>
            </w:r>
          </w:p>
        </w:tc>
      </w:tr>
      <w:tr w:rsidR="001B3525" w14:paraId="5CE95B02" w14:textId="77777777" w:rsidTr="005A4942">
        <w:tc>
          <w:tcPr>
            <w:tcW w:w="1016" w:type="dxa"/>
            <w:tcMar>
              <w:top w:w="80" w:type="dxa"/>
              <w:left w:w="120" w:type="dxa"/>
              <w:bottom w:w="80" w:type="dxa"/>
              <w:right w:w="120" w:type="dxa"/>
            </w:tcMar>
          </w:tcPr>
          <w:p w14:paraId="45716DA2" w14:textId="77777777" w:rsidR="005A4942" w:rsidRDefault="005A4942" w:rsidP="005A4942">
            <w:r>
              <w:rPr>
                <w:b/>
                <w:bCs/>
                <w:sz w:val="18"/>
                <w:szCs w:val="18"/>
              </w:rPr>
              <w:t>Kim and Park (2017)</w:t>
            </w:r>
          </w:p>
        </w:tc>
        <w:tc>
          <w:tcPr>
            <w:tcW w:w="1386" w:type="dxa"/>
            <w:tcMar>
              <w:top w:w="80" w:type="dxa"/>
              <w:left w:w="120" w:type="dxa"/>
              <w:bottom w:w="80" w:type="dxa"/>
              <w:right w:w="120" w:type="dxa"/>
            </w:tcMar>
          </w:tcPr>
          <w:p w14:paraId="2B87C6A8" w14:textId="77777777" w:rsidR="005A4942" w:rsidRDefault="005A4942" w:rsidP="005A4942">
            <w:r>
              <w:rPr>
                <w:i/>
                <w:iCs/>
                <w:sz w:val="18"/>
                <w:szCs w:val="18"/>
              </w:rPr>
              <w:t>Effectiveness of person-centered care on people with dementia: a systematic review and meta-analysis</w:t>
            </w:r>
          </w:p>
        </w:tc>
        <w:tc>
          <w:tcPr>
            <w:tcW w:w="1263" w:type="dxa"/>
            <w:tcMar>
              <w:top w:w="80" w:type="dxa"/>
              <w:left w:w="120" w:type="dxa"/>
              <w:bottom w:w="80" w:type="dxa"/>
              <w:right w:w="120" w:type="dxa"/>
            </w:tcMar>
          </w:tcPr>
          <w:p w14:paraId="12DCD69A" w14:textId="77777777" w:rsidR="005A4942" w:rsidRDefault="005A4942" w:rsidP="005A4942">
            <w:r>
              <w:rPr>
                <w:sz w:val="18"/>
                <w:szCs w:val="18"/>
              </w:rPr>
              <w:t>Systematic review &amp; meta-analysis</w:t>
            </w:r>
          </w:p>
        </w:tc>
        <w:tc>
          <w:tcPr>
            <w:tcW w:w="1320" w:type="dxa"/>
            <w:tcMar>
              <w:top w:w="80" w:type="dxa"/>
              <w:left w:w="120" w:type="dxa"/>
              <w:bottom w:w="80" w:type="dxa"/>
              <w:right w:w="120" w:type="dxa"/>
            </w:tcMar>
          </w:tcPr>
          <w:p w14:paraId="3D2194EF" w14:textId="77777777" w:rsidR="005A4942" w:rsidRDefault="005A4942" w:rsidP="005A4942">
            <w:r>
              <w:rPr>
                <w:sz w:val="18"/>
                <w:szCs w:val="18"/>
              </w:rPr>
              <w:t>Long-term care &amp; home care (multiple countries)</w:t>
            </w:r>
          </w:p>
        </w:tc>
        <w:tc>
          <w:tcPr>
            <w:tcW w:w="1244" w:type="dxa"/>
            <w:tcMar>
              <w:top w:w="80" w:type="dxa"/>
              <w:left w:w="120" w:type="dxa"/>
              <w:bottom w:w="80" w:type="dxa"/>
              <w:right w:w="120" w:type="dxa"/>
            </w:tcMar>
          </w:tcPr>
          <w:p w14:paraId="4C5B5723" w14:textId="77777777" w:rsidR="005A4942" w:rsidRDefault="005A4942" w:rsidP="005A4942">
            <w:r>
              <w:rPr>
                <w:sz w:val="18"/>
                <w:szCs w:val="18"/>
              </w:rPr>
              <w:t>19 studies; 3,985 participants</w:t>
            </w:r>
          </w:p>
        </w:tc>
        <w:tc>
          <w:tcPr>
            <w:tcW w:w="1092" w:type="dxa"/>
            <w:tcMar>
              <w:top w:w="80" w:type="dxa"/>
              <w:left w:w="120" w:type="dxa"/>
              <w:bottom w:w="80" w:type="dxa"/>
              <w:right w:w="120" w:type="dxa"/>
            </w:tcMar>
          </w:tcPr>
          <w:p w14:paraId="672AAA09" w14:textId="77777777" w:rsidR="005A4942" w:rsidRDefault="005A4942" w:rsidP="005A4942">
            <w:r>
              <w:rPr>
                <w:sz w:val="18"/>
                <w:szCs w:val="18"/>
              </w:rPr>
              <w:t>Medline, EMBASE, CINAHL, PsycINFO, Cochrane, KoreaMed</w:t>
            </w:r>
          </w:p>
        </w:tc>
        <w:tc>
          <w:tcPr>
            <w:tcW w:w="1703" w:type="dxa"/>
            <w:gridSpan w:val="2"/>
            <w:tcMar>
              <w:top w:w="80" w:type="dxa"/>
              <w:left w:w="120" w:type="dxa"/>
              <w:bottom w:w="80" w:type="dxa"/>
              <w:right w:w="120" w:type="dxa"/>
            </w:tcMar>
          </w:tcPr>
          <w:p w14:paraId="6ACA10AE" w14:textId="77777777" w:rsidR="005A4942" w:rsidRDefault="005A4942" w:rsidP="005A4942">
            <w:pPr>
              <w:spacing w:after="60"/>
            </w:pPr>
            <w:r>
              <w:rPr>
                <w:sz w:val="18"/>
                <w:szCs w:val="18"/>
              </w:rPr>
              <w:t>PCC reduced agitation, NPS and depression; improved QoL.</w:t>
            </w:r>
          </w:p>
          <w:p w14:paraId="64EED540" w14:textId="77777777" w:rsidR="005A4942" w:rsidRDefault="005A4942" w:rsidP="005A4942">
            <w:pPr>
              <w:spacing w:after="60"/>
            </w:pPr>
            <w:r>
              <w:rPr>
                <w:sz w:val="18"/>
                <w:szCs w:val="18"/>
              </w:rPr>
              <w:t>Short-term activity-based PCC most effective for agitation.</w:t>
            </w:r>
          </w:p>
          <w:p w14:paraId="3977E3C6" w14:textId="77777777" w:rsidR="005A4942" w:rsidRDefault="005A4942" w:rsidP="005A4942">
            <w:pPr>
              <w:spacing w:after="60"/>
            </w:pPr>
            <w:r>
              <w:rPr>
                <w:sz w:val="18"/>
                <w:szCs w:val="18"/>
              </w:rPr>
              <w:t>Long-term staff education best for sustained QoL improvement.</w:t>
            </w:r>
          </w:p>
          <w:p w14:paraId="4769EF82" w14:textId="77777777" w:rsidR="005A4942" w:rsidRDefault="005A4942" w:rsidP="005A4942">
            <w:r>
              <w:rPr>
                <w:sz w:val="18"/>
                <w:szCs w:val="18"/>
              </w:rPr>
              <w:t>Greater effect in less severe dementia.</w:t>
            </w:r>
          </w:p>
        </w:tc>
      </w:tr>
      <w:tr w:rsidR="001B3525" w14:paraId="04F47655" w14:textId="77777777" w:rsidTr="005A4942">
        <w:tc>
          <w:tcPr>
            <w:tcW w:w="1016" w:type="dxa"/>
            <w:tcMar>
              <w:top w:w="80" w:type="dxa"/>
              <w:left w:w="120" w:type="dxa"/>
              <w:bottom w:w="80" w:type="dxa"/>
              <w:right w:w="120" w:type="dxa"/>
            </w:tcMar>
          </w:tcPr>
          <w:p w14:paraId="58F53DE7" w14:textId="77777777" w:rsidR="005A4942" w:rsidRDefault="005A4942" w:rsidP="005A4942">
            <w:r>
              <w:rPr>
                <w:b/>
                <w:bCs/>
                <w:sz w:val="18"/>
                <w:szCs w:val="18"/>
              </w:rPr>
              <w:t>Wheatley et al. (2022)</w:t>
            </w:r>
          </w:p>
        </w:tc>
        <w:tc>
          <w:tcPr>
            <w:tcW w:w="1386" w:type="dxa"/>
            <w:tcMar>
              <w:top w:w="80" w:type="dxa"/>
              <w:left w:w="120" w:type="dxa"/>
              <w:bottom w:w="80" w:type="dxa"/>
              <w:right w:w="120" w:type="dxa"/>
            </w:tcMar>
          </w:tcPr>
          <w:p w14:paraId="53549F8F" w14:textId="77777777" w:rsidR="005A4942" w:rsidRDefault="005A4942" w:rsidP="005A4942">
            <w:r>
              <w:rPr>
                <w:i/>
                <w:iCs/>
                <w:sz w:val="18"/>
                <w:szCs w:val="18"/>
              </w:rPr>
              <w:t>Changes to postdiagnostic dementia support in England and Wales during the COVID-19 pandemic: a qualitative study</w:t>
            </w:r>
          </w:p>
        </w:tc>
        <w:tc>
          <w:tcPr>
            <w:tcW w:w="1263" w:type="dxa"/>
            <w:tcMar>
              <w:top w:w="80" w:type="dxa"/>
              <w:left w:w="120" w:type="dxa"/>
              <w:bottom w:w="80" w:type="dxa"/>
              <w:right w:w="120" w:type="dxa"/>
            </w:tcMar>
          </w:tcPr>
          <w:p w14:paraId="707A0637" w14:textId="77777777" w:rsidR="005A4942" w:rsidRDefault="005A4942" w:rsidP="005A4942">
            <w:r>
              <w:rPr>
                <w:sz w:val="18"/>
                <w:szCs w:val="18"/>
              </w:rPr>
              <w:t>Qualitative (semi-structured interviews)</w:t>
            </w:r>
          </w:p>
        </w:tc>
        <w:tc>
          <w:tcPr>
            <w:tcW w:w="1320" w:type="dxa"/>
            <w:tcMar>
              <w:top w:w="80" w:type="dxa"/>
              <w:left w:w="120" w:type="dxa"/>
              <w:bottom w:w="80" w:type="dxa"/>
              <w:right w:w="120" w:type="dxa"/>
            </w:tcMar>
          </w:tcPr>
          <w:p w14:paraId="144D60F2" w14:textId="77777777" w:rsidR="005A4942" w:rsidRDefault="005A4942" w:rsidP="005A4942">
            <w:r>
              <w:rPr>
                <w:sz w:val="18"/>
                <w:szCs w:val="18"/>
              </w:rPr>
              <w:t>Health, social care and third sector services, England and Wales</w:t>
            </w:r>
          </w:p>
        </w:tc>
        <w:tc>
          <w:tcPr>
            <w:tcW w:w="1244" w:type="dxa"/>
            <w:tcMar>
              <w:top w:w="80" w:type="dxa"/>
              <w:left w:w="120" w:type="dxa"/>
              <w:bottom w:w="80" w:type="dxa"/>
              <w:right w:w="120" w:type="dxa"/>
            </w:tcMar>
          </w:tcPr>
          <w:p w14:paraId="778CEC38" w14:textId="77777777" w:rsidR="005A4942" w:rsidRDefault="005A4942" w:rsidP="005A4942">
            <w:r>
              <w:rPr>
                <w:sz w:val="18"/>
                <w:szCs w:val="18"/>
              </w:rPr>
              <w:t>21 dementia support professionals</w:t>
            </w:r>
          </w:p>
        </w:tc>
        <w:tc>
          <w:tcPr>
            <w:tcW w:w="1092" w:type="dxa"/>
            <w:tcMar>
              <w:top w:w="80" w:type="dxa"/>
              <w:left w:w="120" w:type="dxa"/>
              <w:bottom w:w="80" w:type="dxa"/>
              <w:right w:w="120" w:type="dxa"/>
            </w:tcMar>
          </w:tcPr>
          <w:p w14:paraId="744F050B" w14:textId="77777777" w:rsidR="005A4942" w:rsidRDefault="005A4942" w:rsidP="005A4942">
            <w:r>
              <w:rPr>
                <w:sz w:val="18"/>
                <w:szCs w:val="18"/>
              </w:rPr>
              <w:t>N/A – primary qualitative study</w:t>
            </w:r>
          </w:p>
        </w:tc>
        <w:tc>
          <w:tcPr>
            <w:tcW w:w="1703" w:type="dxa"/>
            <w:gridSpan w:val="2"/>
            <w:tcMar>
              <w:top w:w="80" w:type="dxa"/>
              <w:left w:w="120" w:type="dxa"/>
              <w:bottom w:w="80" w:type="dxa"/>
              <w:right w:w="120" w:type="dxa"/>
            </w:tcMar>
          </w:tcPr>
          <w:p w14:paraId="16817BFF" w14:textId="77777777" w:rsidR="005A4942" w:rsidRDefault="005A4942" w:rsidP="005A4942">
            <w:pPr>
              <w:spacing w:after="60"/>
            </w:pPr>
            <w:r>
              <w:rPr>
                <w:sz w:val="18"/>
                <w:szCs w:val="18"/>
              </w:rPr>
              <w:t>COVID-19 caused widespread closures and shift to remote working.</w:t>
            </w:r>
          </w:p>
          <w:p w14:paraId="007EA900" w14:textId="77777777" w:rsidR="005A4942" w:rsidRDefault="005A4942" w:rsidP="005A4942">
            <w:pPr>
              <w:spacing w:after="60"/>
            </w:pPr>
            <w:r>
              <w:rPr>
                <w:sz w:val="18"/>
                <w:szCs w:val="18"/>
              </w:rPr>
              <w:t>Risk of widening inequalities noted.</w:t>
            </w:r>
          </w:p>
          <w:p w14:paraId="162623CB" w14:textId="77777777" w:rsidR="005A4942" w:rsidRDefault="005A4942" w:rsidP="005A4942">
            <w:pPr>
              <w:spacing w:after="60"/>
            </w:pPr>
            <w:r>
              <w:rPr>
                <w:sz w:val="18"/>
                <w:szCs w:val="18"/>
              </w:rPr>
              <w:t>Blended models identified as a positive lasting change.</w:t>
            </w:r>
          </w:p>
          <w:p w14:paraId="5037DE77" w14:textId="77777777" w:rsidR="005A4942" w:rsidRDefault="005A4942" w:rsidP="005A4942">
            <w:r>
              <w:rPr>
                <w:sz w:val="18"/>
                <w:szCs w:val="18"/>
              </w:rPr>
              <w:t>Implications for resilient post-diagnostic services.</w:t>
            </w:r>
          </w:p>
        </w:tc>
      </w:tr>
      <w:tr w:rsidR="001B3525" w14:paraId="22435387" w14:textId="77777777" w:rsidTr="005A4942">
        <w:tc>
          <w:tcPr>
            <w:tcW w:w="1016" w:type="dxa"/>
            <w:tcMar>
              <w:top w:w="80" w:type="dxa"/>
              <w:left w:w="120" w:type="dxa"/>
              <w:bottom w:w="80" w:type="dxa"/>
              <w:right w:w="120" w:type="dxa"/>
            </w:tcMar>
          </w:tcPr>
          <w:p w14:paraId="605590B6" w14:textId="77777777" w:rsidR="005A4942" w:rsidRDefault="005A4942" w:rsidP="005A4942">
            <w:r>
              <w:rPr>
                <w:b/>
                <w:bCs/>
                <w:sz w:val="18"/>
                <w:szCs w:val="18"/>
              </w:rPr>
              <w:t>Feast et al. (2016)</w:t>
            </w:r>
          </w:p>
        </w:tc>
        <w:tc>
          <w:tcPr>
            <w:tcW w:w="1386" w:type="dxa"/>
            <w:tcMar>
              <w:top w:w="80" w:type="dxa"/>
              <w:left w:w="120" w:type="dxa"/>
              <w:bottom w:w="80" w:type="dxa"/>
              <w:right w:w="120" w:type="dxa"/>
            </w:tcMar>
          </w:tcPr>
          <w:p w14:paraId="4D9D774C" w14:textId="77777777" w:rsidR="005A4942" w:rsidRDefault="005A4942" w:rsidP="005A4942">
            <w:r>
              <w:rPr>
                <w:i/>
                <w:iCs/>
                <w:sz w:val="18"/>
                <w:szCs w:val="18"/>
              </w:rPr>
              <w:t>Behavioural and psychological symptoms in dementia and the challenges for family carers: systematic review</w:t>
            </w:r>
          </w:p>
        </w:tc>
        <w:tc>
          <w:tcPr>
            <w:tcW w:w="1263" w:type="dxa"/>
            <w:tcMar>
              <w:top w:w="80" w:type="dxa"/>
              <w:left w:w="120" w:type="dxa"/>
              <w:bottom w:w="80" w:type="dxa"/>
              <w:right w:w="120" w:type="dxa"/>
            </w:tcMar>
          </w:tcPr>
          <w:p w14:paraId="2CF68F01" w14:textId="77777777" w:rsidR="005A4942" w:rsidRDefault="005A4942" w:rsidP="005A4942">
            <w:r>
              <w:rPr>
                <w:sz w:val="18"/>
                <w:szCs w:val="18"/>
              </w:rPr>
              <w:t>Systematic review &amp; meta-ethnographic synthesis</w:t>
            </w:r>
          </w:p>
        </w:tc>
        <w:tc>
          <w:tcPr>
            <w:tcW w:w="1320" w:type="dxa"/>
            <w:tcMar>
              <w:top w:w="80" w:type="dxa"/>
              <w:left w:w="120" w:type="dxa"/>
              <w:bottom w:w="80" w:type="dxa"/>
              <w:right w:w="120" w:type="dxa"/>
            </w:tcMar>
          </w:tcPr>
          <w:p w14:paraId="09D8DE87" w14:textId="77777777" w:rsidR="005A4942" w:rsidRDefault="005A4942" w:rsidP="005A4942">
            <w:r>
              <w:rPr>
                <w:sz w:val="18"/>
                <w:szCs w:val="18"/>
              </w:rPr>
              <w:t>Community and family care settings (multiple countries)</w:t>
            </w:r>
          </w:p>
        </w:tc>
        <w:tc>
          <w:tcPr>
            <w:tcW w:w="1244" w:type="dxa"/>
            <w:tcMar>
              <w:top w:w="80" w:type="dxa"/>
              <w:left w:w="120" w:type="dxa"/>
              <w:bottom w:w="80" w:type="dxa"/>
              <w:right w:w="120" w:type="dxa"/>
            </w:tcMar>
          </w:tcPr>
          <w:p w14:paraId="5FDD8741" w14:textId="77777777" w:rsidR="005A4942" w:rsidRDefault="005A4942" w:rsidP="005A4942">
            <w:r>
              <w:rPr>
                <w:sz w:val="18"/>
                <w:szCs w:val="18"/>
              </w:rPr>
              <w:t>25 high-quality studies</w:t>
            </w:r>
          </w:p>
        </w:tc>
        <w:tc>
          <w:tcPr>
            <w:tcW w:w="1092" w:type="dxa"/>
            <w:tcMar>
              <w:top w:w="80" w:type="dxa"/>
              <w:left w:w="120" w:type="dxa"/>
              <w:bottom w:w="80" w:type="dxa"/>
              <w:right w:w="120" w:type="dxa"/>
            </w:tcMar>
          </w:tcPr>
          <w:p w14:paraId="509ABAE1" w14:textId="77777777" w:rsidR="005A4942" w:rsidRDefault="005A4942" w:rsidP="005A4942">
            <w:r>
              <w:rPr>
                <w:sz w:val="18"/>
                <w:szCs w:val="18"/>
              </w:rPr>
              <w:t>Five databases (1980–2012)</w:t>
            </w:r>
          </w:p>
        </w:tc>
        <w:tc>
          <w:tcPr>
            <w:tcW w:w="1703" w:type="dxa"/>
            <w:gridSpan w:val="2"/>
            <w:tcMar>
              <w:top w:w="80" w:type="dxa"/>
              <w:left w:w="120" w:type="dxa"/>
              <w:bottom w:w="80" w:type="dxa"/>
              <w:right w:w="120" w:type="dxa"/>
            </w:tcMar>
          </w:tcPr>
          <w:p w14:paraId="5B0023A7" w14:textId="77777777" w:rsidR="005A4942" w:rsidRDefault="005A4942" w:rsidP="005A4942">
            <w:pPr>
              <w:spacing w:after="60"/>
            </w:pPr>
            <w:r>
              <w:rPr>
                <w:sz w:val="18"/>
                <w:szCs w:val="18"/>
              </w:rPr>
              <w:t>Two frameworks: 'feeling bereft' and 'misunderstandings about behaviour'.</w:t>
            </w:r>
          </w:p>
          <w:p w14:paraId="2F64964F" w14:textId="77777777" w:rsidR="005A4942" w:rsidRDefault="005A4942" w:rsidP="005A4942">
            <w:pPr>
              <w:spacing w:after="60"/>
            </w:pPr>
            <w:r>
              <w:rPr>
                <w:sz w:val="18"/>
                <w:szCs w:val="18"/>
              </w:rPr>
              <w:t>Belief that dementia destroys identity was central to carer distress.</w:t>
            </w:r>
          </w:p>
          <w:p w14:paraId="40E729F8" w14:textId="77777777" w:rsidR="005A4942" w:rsidRDefault="005A4942" w:rsidP="005A4942">
            <w:r>
              <w:rPr>
                <w:sz w:val="18"/>
                <w:szCs w:val="18"/>
              </w:rPr>
              <w:t xml:space="preserve">PCC must address carers' own </w:t>
            </w:r>
            <w:r>
              <w:rPr>
                <w:sz w:val="18"/>
                <w:szCs w:val="18"/>
              </w:rPr>
              <w:lastRenderedPageBreak/>
              <w:t>psychological needs.</w:t>
            </w:r>
          </w:p>
        </w:tc>
      </w:tr>
      <w:tr w:rsidR="001B3525" w14:paraId="633D8D96" w14:textId="77777777" w:rsidTr="005A4942">
        <w:tc>
          <w:tcPr>
            <w:tcW w:w="1016" w:type="dxa"/>
            <w:tcMar>
              <w:top w:w="80" w:type="dxa"/>
              <w:left w:w="120" w:type="dxa"/>
              <w:bottom w:w="80" w:type="dxa"/>
              <w:right w:w="120" w:type="dxa"/>
            </w:tcMar>
          </w:tcPr>
          <w:p w14:paraId="1CE2BDE6" w14:textId="77777777" w:rsidR="005A4942" w:rsidRDefault="005A4942" w:rsidP="005A4942">
            <w:r>
              <w:rPr>
                <w:b/>
                <w:bCs/>
                <w:sz w:val="18"/>
                <w:szCs w:val="18"/>
              </w:rPr>
              <w:t>Herron &amp; Runacres (2023)</w:t>
            </w:r>
          </w:p>
        </w:tc>
        <w:tc>
          <w:tcPr>
            <w:tcW w:w="1386" w:type="dxa"/>
            <w:tcMar>
              <w:top w:w="80" w:type="dxa"/>
              <w:left w:w="120" w:type="dxa"/>
              <w:bottom w:w="80" w:type="dxa"/>
              <w:right w:w="120" w:type="dxa"/>
            </w:tcMar>
          </w:tcPr>
          <w:p w14:paraId="419BD7ED" w14:textId="77777777" w:rsidR="005A4942" w:rsidRDefault="005A4942" w:rsidP="005A4942">
            <w:r>
              <w:rPr>
                <w:i/>
                <w:iCs/>
                <w:sz w:val="18"/>
                <w:szCs w:val="18"/>
              </w:rPr>
              <w:t>The support priorities of older carers of people living with dementia: a nominal group technique study</w:t>
            </w:r>
          </w:p>
        </w:tc>
        <w:tc>
          <w:tcPr>
            <w:tcW w:w="1263" w:type="dxa"/>
            <w:tcMar>
              <w:top w:w="80" w:type="dxa"/>
              <w:left w:w="120" w:type="dxa"/>
              <w:bottom w:w="80" w:type="dxa"/>
              <w:right w:w="120" w:type="dxa"/>
            </w:tcMar>
          </w:tcPr>
          <w:p w14:paraId="12B781DB" w14:textId="77777777" w:rsidR="005A4942" w:rsidRDefault="005A4942" w:rsidP="005A4942">
            <w:r>
              <w:rPr>
                <w:sz w:val="18"/>
                <w:szCs w:val="18"/>
              </w:rPr>
              <w:t>Qualitative (Nominal Group Technique focus groups)</w:t>
            </w:r>
          </w:p>
        </w:tc>
        <w:tc>
          <w:tcPr>
            <w:tcW w:w="1320" w:type="dxa"/>
            <w:tcMar>
              <w:top w:w="80" w:type="dxa"/>
              <w:left w:w="120" w:type="dxa"/>
              <w:bottom w:w="80" w:type="dxa"/>
              <w:right w:w="120" w:type="dxa"/>
            </w:tcMar>
          </w:tcPr>
          <w:p w14:paraId="24FD7179" w14:textId="77777777" w:rsidR="005A4942" w:rsidRDefault="005A4942" w:rsidP="005A4942">
            <w:r>
              <w:rPr>
                <w:sz w:val="18"/>
                <w:szCs w:val="18"/>
              </w:rPr>
              <w:t>Community-based, UK (Staffordshire)</w:t>
            </w:r>
          </w:p>
        </w:tc>
        <w:tc>
          <w:tcPr>
            <w:tcW w:w="1244" w:type="dxa"/>
            <w:tcMar>
              <w:top w:w="80" w:type="dxa"/>
              <w:left w:w="120" w:type="dxa"/>
              <w:bottom w:w="80" w:type="dxa"/>
              <w:right w:w="120" w:type="dxa"/>
            </w:tcMar>
          </w:tcPr>
          <w:p w14:paraId="29F6EA4D" w14:textId="77777777" w:rsidR="005A4942" w:rsidRDefault="005A4942" w:rsidP="005A4942">
            <w:r>
              <w:rPr>
                <w:sz w:val="18"/>
                <w:szCs w:val="18"/>
              </w:rPr>
              <w:t>12 older carers (65+)</w:t>
            </w:r>
          </w:p>
        </w:tc>
        <w:tc>
          <w:tcPr>
            <w:tcW w:w="1092" w:type="dxa"/>
            <w:tcMar>
              <w:top w:w="80" w:type="dxa"/>
              <w:left w:w="120" w:type="dxa"/>
              <w:bottom w:w="80" w:type="dxa"/>
              <w:right w:w="120" w:type="dxa"/>
            </w:tcMar>
          </w:tcPr>
          <w:p w14:paraId="0087606C" w14:textId="77777777" w:rsidR="005A4942" w:rsidRDefault="005A4942" w:rsidP="005A4942">
            <w:r>
              <w:rPr>
                <w:sz w:val="18"/>
                <w:szCs w:val="18"/>
              </w:rPr>
              <w:t>N/A – primary qualitative study</w:t>
            </w:r>
          </w:p>
        </w:tc>
        <w:tc>
          <w:tcPr>
            <w:tcW w:w="1703" w:type="dxa"/>
            <w:gridSpan w:val="2"/>
            <w:tcMar>
              <w:top w:w="80" w:type="dxa"/>
              <w:left w:w="120" w:type="dxa"/>
              <w:bottom w:w="80" w:type="dxa"/>
              <w:right w:w="120" w:type="dxa"/>
            </w:tcMar>
          </w:tcPr>
          <w:p w14:paraId="648AB78B" w14:textId="77777777" w:rsidR="005A4942" w:rsidRDefault="005A4942" w:rsidP="005A4942">
            <w:pPr>
              <w:spacing w:after="60"/>
            </w:pPr>
            <w:r>
              <w:rPr>
                <w:sz w:val="18"/>
                <w:szCs w:val="18"/>
              </w:rPr>
              <w:t>15 priorities across four themes: holistic carer needs; belonging; accessible/timely support; wellbeing and personhood.</w:t>
            </w:r>
          </w:p>
          <w:p w14:paraId="38B0450F" w14:textId="77777777" w:rsidR="005A4942" w:rsidRDefault="005A4942" w:rsidP="005A4942">
            <w:pPr>
              <w:spacing w:after="60"/>
            </w:pPr>
            <w:r>
              <w:rPr>
                <w:sz w:val="18"/>
                <w:szCs w:val="18"/>
              </w:rPr>
              <w:t>Diagnosis frequently experienced negatively.</w:t>
            </w:r>
          </w:p>
          <w:p w14:paraId="5D563587" w14:textId="77777777" w:rsidR="005A4942" w:rsidRDefault="005A4942" w:rsidP="005A4942">
            <w:r>
              <w:rPr>
                <w:sz w:val="18"/>
                <w:szCs w:val="18"/>
              </w:rPr>
              <w:t>Services should be co-designed with carers.</w:t>
            </w:r>
          </w:p>
        </w:tc>
      </w:tr>
    </w:tbl>
    <w:p w14:paraId="3B9ADD76" w14:textId="77777777" w:rsidR="005A4942" w:rsidRDefault="005A4942">
      <w:pPr>
        <w:spacing w:after="120" w:line="360" w:lineRule="auto"/>
        <w:jc w:val="both"/>
      </w:pPr>
    </w:p>
    <w:p w14:paraId="28590134" w14:textId="2D9BD6CA" w:rsidR="00DF11C8" w:rsidRDefault="00000000">
      <w:pPr>
        <w:spacing w:after="120" w:line="360" w:lineRule="auto"/>
        <w:jc w:val="both"/>
      </w:pPr>
      <w:r>
        <w:t xml:space="preserve">Five peer-reviewed studies were selected for inclusion in this scoping review. As shown in Table 1, they represent a range of research designs and contexts. Kim and Park (2017) conducted a systematic review and meta-analysis of 19 interventional studies involving 3,985 participants across long-term and home care settings internationally. Feast et al. (2016) synthesised 25 quantitative and qualitative studies on carers' experiences of BPSD using a systematic review and meta-ethnographic approach. Prato et al. (2019) gathered data through qualitative interviews and observation in acute hospital wards in Newcastle. Wheatley et al. (2022) conducted semi-structured interviews with 21 professionals working in post-diagnostic dementia support services across England and Wales. Herron and Runacres (2023) used Nominal Group Technique focus groups with twelve older carers in Staffordshire to explore support priorities. Together the studies cover a wide range of settings </w:t>
      </w:r>
      <w:r w:rsidR="00D67A30">
        <w:t xml:space="preserve">such as </w:t>
      </w:r>
      <w:r>
        <w:t>acute hospital, long-term care, community and third sector services</w:t>
      </w:r>
      <w:r w:rsidR="00D67A30">
        <w:t xml:space="preserve">, </w:t>
      </w:r>
      <w:r>
        <w:t>drawing on the perspectives of people with dementia, family carers and health and social care professionals.</w:t>
      </w:r>
    </w:p>
    <w:p w14:paraId="7990009A" w14:textId="77777777" w:rsidR="00DF11C8" w:rsidRDefault="00DF11C8"/>
    <w:p w14:paraId="002458F1" w14:textId="77777777" w:rsidR="009E6153" w:rsidRDefault="00000000" w:rsidP="009E6153">
      <w:pPr>
        <w:spacing w:before="80" w:after="160"/>
        <w:rPr>
          <w:sz w:val="20"/>
          <w:szCs w:val="20"/>
        </w:rPr>
      </w:pPr>
      <w:r w:rsidRPr="00707DC0">
        <w:rPr>
          <w:sz w:val="20"/>
          <w:szCs w:val="20"/>
        </w:rPr>
        <w:t>Table 1. Summary of included peer-reviewed studies.</w:t>
      </w:r>
    </w:p>
    <w:p w14:paraId="1CBF718C" w14:textId="5D82DB4F" w:rsidR="00DF11C8" w:rsidRPr="009E6153" w:rsidRDefault="00000000" w:rsidP="009E6153">
      <w:pPr>
        <w:spacing w:before="80" w:after="160"/>
        <w:rPr>
          <w:b/>
          <w:bCs/>
        </w:rPr>
      </w:pPr>
      <w:r w:rsidRPr="009E6153">
        <w:rPr>
          <w:b/>
          <w:bCs/>
        </w:rPr>
        <w:t>Thematic Analysis</w:t>
      </w:r>
    </w:p>
    <w:p w14:paraId="5009418C" w14:textId="77777777" w:rsidR="009E6153" w:rsidRDefault="00000000" w:rsidP="009E6153">
      <w:pPr>
        <w:spacing w:after="120" w:line="360" w:lineRule="auto"/>
        <w:jc w:val="both"/>
      </w:pPr>
      <w:r>
        <w:t xml:space="preserve">Four </w:t>
      </w:r>
      <w:r w:rsidR="00D67A30">
        <w:t>main</w:t>
      </w:r>
      <w:r>
        <w:t xml:space="preserve"> themes were identified through Aveyard's (2014) thematic analysis: (1) the effectiveness of PCC on outcomes for people with dementia; (2) barriers to implementing PCC across care settings; (3) BPSD as a challenge to person-centred practice and carers; and (4) carer support needs as central to effective PCC delivery. These themes are explored in detail in the Discussion.</w:t>
      </w:r>
    </w:p>
    <w:p w14:paraId="29135BB7" w14:textId="77777777" w:rsidR="009E6153" w:rsidRDefault="009E6153" w:rsidP="009E6153">
      <w:pPr>
        <w:spacing w:after="120" w:line="360" w:lineRule="auto"/>
        <w:jc w:val="both"/>
        <w:rPr>
          <w:b/>
          <w:bCs/>
        </w:rPr>
      </w:pPr>
    </w:p>
    <w:p w14:paraId="7474C9C4" w14:textId="77777777" w:rsidR="0049087E" w:rsidRDefault="0049087E" w:rsidP="009E6153">
      <w:pPr>
        <w:spacing w:after="120" w:line="360" w:lineRule="auto"/>
        <w:jc w:val="both"/>
        <w:rPr>
          <w:b/>
          <w:bCs/>
        </w:rPr>
      </w:pPr>
    </w:p>
    <w:p w14:paraId="31FCF4D7" w14:textId="43DF9C1C" w:rsidR="00DF11C8" w:rsidRPr="009E6153" w:rsidRDefault="00000000" w:rsidP="009E6153">
      <w:pPr>
        <w:spacing w:after="120" w:line="360" w:lineRule="auto"/>
        <w:jc w:val="both"/>
        <w:rPr>
          <w:b/>
          <w:bCs/>
        </w:rPr>
      </w:pPr>
      <w:r w:rsidRPr="009E6153">
        <w:rPr>
          <w:b/>
          <w:bCs/>
        </w:rPr>
        <w:lastRenderedPageBreak/>
        <w:t>Discussion</w:t>
      </w:r>
    </w:p>
    <w:p w14:paraId="7C8D98A1" w14:textId="77777777" w:rsidR="009E6153" w:rsidRDefault="00000000" w:rsidP="009E6153">
      <w:pPr>
        <w:spacing w:after="120" w:line="360" w:lineRule="auto"/>
        <w:jc w:val="both"/>
      </w:pPr>
      <w:r>
        <w:t>The four themes that emerged from this scoping review present a picture of person-centred dementia care that is widely supported in principle but unevenly delivered in practice. The evidence shows that PCC can produce meaningful, measurable benefits for people with dementia when properly implemented. At the same time, the literature points consistently to a gap between what PCC looks like in theory</w:t>
      </w:r>
      <w:r w:rsidR="00D67A30">
        <w:t xml:space="preserve">; </w:t>
      </w:r>
      <w:r>
        <w:t>a holistic, relational, individually tailored approach</w:t>
      </w:r>
      <w:r w:rsidR="00D67A30">
        <w:t>-</w:t>
      </w:r>
      <w:r>
        <w:t>and what it often resembles in real care settings, where time pressure, staff knowledge gaps and inadequate carer support all undermine its delivery.</w:t>
      </w:r>
    </w:p>
    <w:p w14:paraId="3634DDD4" w14:textId="2047C642" w:rsidR="00DF11C8" w:rsidRPr="009E6153" w:rsidRDefault="00000000" w:rsidP="009E6153">
      <w:pPr>
        <w:spacing w:after="120" w:line="360" w:lineRule="auto"/>
        <w:jc w:val="both"/>
        <w:rPr>
          <w:b/>
          <w:bCs/>
        </w:rPr>
      </w:pPr>
      <w:r w:rsidRPr="009E6153">
        <w:rPr>
          <w:b/>
          <w:bCs/>
        </w:rPr>
        <w:t>Theme 1: Evidence for the Effectiveness of Person-Centred Care</w:t>
      </w:r>
    </w:p>
    <w:p w14:paraId="252EE802" w14:textId="77777777" w:rsidR="00DF11C8" w:rsidRDefault="00000000">
      <w:pPr>
        <w:spacing w:after="120" w:line="360" w:lineRule="auto"/>
        <w:jc w:val="both"/>
      </w:pPr>
      <w:r>
        <w:t>The most robust quantitative evidence in this review comes from Kim and Park (2017), whose meta-analysis synthesised data from 19 interventional studies involving 3,985 participants across long-term and home care settings. The findings showed that PCC significantly reduced agitation, neuropsychiatric symptoms (NPS) and depression whilst improving quality of life. These are clinically important outcomes. Agitation and NPS are among the most distressing features of dementia for both individuals and families, and are frequently a driver of emergency admissions and care home placements. The finding that a relational, non-pharmacological approach can produce statistically significant reductions in these symptoms is particularly relevant in the UK context, where overuse of antipsychotic medication in dementia care has been a longstanding patient safety concern (NICE, 2018).</w:t>
      </w:r>
    </w:p>
    <w:p w14:paraId="10256A85" w14:textId="77777777" w:rsidR="009E6153" w:rsidRDefault="00000000" w:rsidP="009E6153">
      <w:pPr>
        <w:spacing w:after="120" w:line="360" w:lineRule="auto"/>
        <w:jc w:val="both"/>
      </w:pPr>
      <w:r>
        <w:t>The meta-analysis also demonstrated that not all PCC interventions work in the same way. Short-term, activity-based approaches produced the greatest reductions in agitation. Longer-term programmes that invested in the skills, knowledge and confidence of care staff were more effective for sustaining quality of life improvements over time. This matters for service design in the UK. It suggests that different types of PCC input are needed at different points — individualised activities to manage acute presentations, combined with sustained staff education to embed a culture of PCC within organisations. One without the other is likely to produce short-lived improvements that are not maintained when the programme ends. The additional finding that PCC was more effective in earlier-stage dementia adds further weight to the NHS Long Term Plan's emphasis on investment in post-diagnostic support as an early intervention strategy (NHS England, 2019).</w:t>
      </w:r>
    </w:p>
    <w:p w14:paraId="48C71A9B" w14:textId="386EDD1D" w:rsidR="00DF11C8" w:rsidRPr="009E6153" w:rsidRDefault="00000000" w:rsidP="009E6153">
      <w:pPr>
        <w:spacing w:after="120" w:line="360" w:lineRule="auto"/>
        <w:jc w:val="both"/>
        <w:rPr>
          <w:b/>
          <w:bCs/>
        </w:rPr>
      </w:pPr>
      <w:r w:rsidRPr="009E6153">
        <w:rPr>
          <w:b/>
          <w:bCs/>
        </w:rPr>
        <w:t>Theme 2: Barriers to Implementing Person-Centred Care</w:t>
      </w:r>
    </w:p>
    <w:p w14:paraId="19547B49" w14:textId="7652AD27" w:rsidR="00DF11C8" w:rsidRDefault="00000000">
      <w:pPr>
        <w:spacing w:after="120" w:line="360" w:lineRule="auto"/>
        <w:jc w:val="both"/>
      </w:pPr>
      <w:r>
        <w:t xml:space="preserve">Prato et al. (2019) illuminate the barriers to PCC in acute hospital settings, and their findings are striking. In qualitative work carried out in Newcastle hospital wards, they found that even where staff were motivated to deliver good care, the structural conditions of an acute ward made this extremely difficult. Patients were regularly admitted without any information about </w:t>
      </w:r>
      <w:r>
        <w:lastRenderedPageBreak/>
        <w:t>who they were as people</w:t>
      </w:r>
      <w:r w:rsidR="00D67A30">
        <w:t xml:space="preserve">; </w:t>
      </w:r>
      <w:r>
        <w:t xml:space="preserve">their routines, preferences, life history or the things that gave them comfort. Communication between professional groups was fragmented. The physical environment was poorly suited to people with cognitive impairment. And family carers, who hold exactly the biographical knowledge that person-centred care depends upon, were routinely excluded from care planning. What is notable about these findings is that the barriers were largely structural rather than attitudinal. Staff were not indifferent; they were operating within systems that made individualised care nearly impossible. Addressing this requires organisational and cultural change, not just individual training. Investment in dementia-specialist roles </w:t>
      </w:r>
      <w:r w:rsidR="00D67A30">
        <w:t xml:space="preserve">such as </w:t>
      </w:r>
      <w:r>
        <w:t>Dementia Nurse Specialists, Dementia Champions and the routine use of personal profiles and communication passports would help, alongside NICE (2018) guidance that all acute hospital staff should receive dementia awareness training as a baseline.</w:t>
      </w:r>
    </w:p>
    <w:p w14:paraId="395926DA" w14:textId="77777777" w:rsidR="009E6153" w:rsidRDefault="00000000" w:rsidP="009E6153">
      <w:pPr>
        <w:spacing w:after="120" w:line="360" w:lineRule="auto"/>
        <w:jc w:val="both"/>
      </w:pPr>
      <w:r>
        <w:t>Wheatley et al. (2022) reveal a different set of barriers in community settings. Their interviews with 21 professionals across England and Wales found that COVID-19 caused widespread service closures and a rapid move to remote provision with disproportionate impact on older adults, those with more advanced dementia and people from minority ethnic communities who were less able to engage digitally. These inequalities pre-date the pandemic; the disruption simply made them more visible. On the positive side, the study identified some lasting benefits: improved cross-sector collaboration and more flexible, blended models of support that made services more accessible for some carers. The challenge now is to preserve these gains while actively tackling digital exclusion, and to use them as a foundation for designing post-pandemic services that are genuinely resilient and person-centred.</w:t>
      </w:r>
    </w:p>
    <w:p w14:paraId="7EB3F48F" w14:textId="301539DA" w:rsidR="00DF11C8" w:rsidRPr="009E6153" w:rsidRDefault="00000000" w:rsidP="009E6153">
      <w:pPr>
        <w:spacing w:after="120" w:line="360" w:lineRule="auto"/>
        <w:jc w:val="both"/>
        <w:rPr>
          <w:b/>
          <w:bCs/>
        </w:rPr>
      </w:pPr>
      <w:r w:rsidRPr="009E6153">
        <w:rPr>
          <w:b/>
          <w:bCs/>
        </w:rPr>
        <w:t>Theme 3: Behavioural and Psychological Symptoms as a Challenge</w:t>
      </w:r>
    </w:p>
    <w:p w14:paraId="58BA1CF1" w14:textId="77777777" w:rsidR="00DF11C8" w:rsidRDefault="00000000">
      <w:pPr>
        <w:spacing w:after="120" w:line="360" w:lineRule="auto"/>
        <w:jc w:val="both"/>
      </w:pPr>
      <w:r>
        <w:t xml:space="preserve">Feast et al. (2016) provide an important analysis of why family carers find BPSD so difficult to manage, synthesising 25 studies through a systematic review and meta-ethnographic approach. Two explanatory frameworks emerged. The first, 'feeling bereft', describes the grief-like distress carers experienced as the relational dynamics and communication patterns of their relationship with their relative changed. Many carers described a sense of having lost the person they had known, even while that person remained physically present — a form of ongoing, unresolved loss that the literature sometimes refers to as ambiguous loss. The second framework, 'misunderstandings about behaviour', describes the tendency to interpret challenging behaviours as deliberate, personally motivated or indicative of personality change, rather than as expressions of unmet need. This distinction is directly relevant to PCC. Kitwood (1997) argued that behaviours such as agitation or verbal outbursts typically communicate something — an unmet need for safety, comfort, connection or occupation. A carer who reads such behaviour as intentional will respond very differently, and typically far less effectively, </w:t>
      </w:r>
      <w:r>
        <w:lastRenderedPageBreak/>
        <w:t>than one who asks what might be driving it. Underlying both frameworks was a belief that dementia ultimately destroys identity entirely, leaving 'no one home.' This view is both understandable and fundamentally at odds with the core principles of PCC.</w:t>
      </w:r>
    </w:p>
    <w:p w14:paraId="1F5D31DF" w14:textId="77777777" w:rsidR="009E6153" w:rsidRDefault="00000000" w:rsidP="009E6153">
      <w:pPr>
        <w:spacing w:after="120" w:line="360" w:lineRule="auto"/>
        <w:jc w:val="both"/>
      </w:pPr>
      <w:r>
        <w:t>The implications for practice are significant. Carer support programmes need to do more than provide practical management techniques. They need to help carers reframe their understanding of BPSD as expressions of unmet need, support them to maintain a sense of their relative's continuing personhood, and provide space to acknowledge the grief that many are carrying without adequate recognition. Programmes such as the NICE-recommended START intervention offer some of this, but availability remains inconsistent across England and Wales, and many carers never access structured psychosocial support at all.</w:t>
      </w:r>
    </w:p>
    <w:p w14:paraId="350B089F" w14:textId="7008DEEE" w:rsidR="00DF11C8" w:rsidRPr="009E6153" w:rsidRDefault="00000000" w:rsidP="009E6153">
      <w:pPr>
        <w:spacing w:after="120" w:line="360" w:lineRule="auto"/>
        <w:jc w:val="both"/>
        <w:rPr>
          <w:b/>
          <w:bCs/>
        </w:rPr>
      </w:pPr>
      <w:r w:rsidRPr="009E6153">
        <w:rPr>
          <w:b/>
          <w:bCs/>
        </w:rPr>
        <w:t>Theme 4: Carer Support Needs as Central to PCC</w:t>
      </w:r>
    </w:p>
    <w:p w14:paraId="0356959B" w14:textId="77777777" w:rsidR="00DF11C8" w:rsidRDefault="00000000">
      <w:pPr>
        <w:spacing w:after="120" w:line="360" w:lineRule="auto"/>
        <w:jc w:val="both"/>
      </w:pPr>
      <w:r>
        <w:t>Herron and Runacres (2023) add a different and valuable dimension by focusing on what older carers themselves identify as their support priorities. Using Nominal Group Technique with twelve carers aged 65 and over in Staffordshire, the study generated fifteen priorities grouped under four themes: holistic carer needs; a sense of belonging and connection; accessible and timely support; and the wellbeing and personhood of the person being cared for. Many participants reflected negatively on the process of receiving a diagnosis — describing poorly prepared clinicians, unclear communication and limited opportunity to ask questions or plan. These early experiences shape carers' confidence and their capacity to deliver person-centred care in the months and years that follow, which makes getting the diagnosis process right genuinely consequential.</w:t>
      </w:r>
    </w:p>
    <w:p w14:paraId="2BB6069E" w14:textId="54B20EB9" w:rsidR="00DF11C8" w:rsidRDefault="00000000">
      <w:pPr>
        <w:spacing w:after="120" w:line="360" w:lineRule="auto"/>
        <w:jc w:val="both"/>
      </w:pPr>
      <w:r>
        <w:t>The deliberate focus on older carers is an important contribution. Carers aged 65 and over are more likely to have their own health conditions, to have been caring for a long time without seeking formal support, and to experience social isolation. Their needs are not the same as those of younger carers, yet services rarely distinguish between the two. The high ranking given to peer connection and belonging in this study is a useful reminder that emotional and social needs matter as much as access to practical information or services. Read alongside Feast et al. (2016), these findings make a compelling case that PCC in dementia must extend beyond the individual with dementia to encompass the relational system they live within. Carers are not merely facilitators of care; they are people whose own beliefs, emotional states and level of support directly shape the quality of care the person with dementia receives. Until services consistently treat carers as partners with their own needs</w:t>
      </w:r>
      <w:r w:rsidR="00D67A30">
        <w:t>,</w:t>
      </w:r>
      <w:r>
        <w:t xml:space="preserve"> not just as delivery mechanisms</w:t>
      </w:r>
      <w:r w:rsidR="00D67A30">
        <w:t>,</w:t>
      </w:r>
      <w:r>
        <w:t xml:space="preserve"> genuinely person-centred dementia care will remain only partially realised.</w:t>
      </w:r>
    </w:p>
    <w:p w14:paraId="7CFDCAD4" w14:textId="77777777" w:rsidR="009E6153" w:rsidRDefault="00000000" w:rsidP="009E6153">
      <w:pPr>
        <w:spacing w:after="120" w:line="360" w:lineRule="auto"/>
        <w:jc w:val="both"/>
      </w:pPr>
      <w:r>
        <w:t xml:space="preserve">One limitation worth noting is that Kim and Park's (2017) meta-analysis drew primarily on studies from long-term care facilities outside the UK, which limits how directly findings translate </w:t>
      </w:r>
      <w:r>
        <w:lastRenderedPageBreak/>
        <w:t>to UK community or acute hospital contexts. Future research using consistent outcome measures in UK settings would add considerably to this evidence base.</w:t>
      </w:r>
    </w:p>
    <w:p w14:paraId="11AC779C" w14:textId="029DDB96" w:rsidR="00DF11C8" w:rsidRPr="009E6153" w:rsidRDefault="00000000" w:rsidP="009E6153">
      <w:pPr>
        <w:spacing w:after="120" w:line="360" w:lineRule="auto"/>
        <w:jc w:val="both"/>
        <w:rPr>
          <w:b/>
          <w:bCs/>
        </w:rPr>
      </w:pPr>
      <w:r w:rsidRPr="009E6153">
        <w:rPr>
          <w:b/>
          <w:bCs/>
        </w:rPr>
        <w:t>Conclusion and Recommendations</w:t>
      </w:r>
    </w:p>
    <w:p w14:paraId="2075676E" w14:textId="3C9C3953" w:rsidR="00DF11C8" w:rsidRDefault="00000000">
      <w:pPr>
        <w:spacing w:after="120" w:line="360" w:lineRule="auto"/>
        <w:jc w:val="both"/>
      </w:pPr>
      <w:r>
        <w:t xml:space="preserve">This scoping review has mapped the existing evidence on person-centred approaches in dementia care, drawing on five peer-reviewed studies and identifying four themes: the demonstrated effectiveness of PCC in reducing neuropsychiatric symptoms and improving quality of life; persistent structural and systemic barriers to its implementation; the challenges BPSD presents for carers and person-centred practice; and the centrality of carer support needs to effective PCC delivery. The evidence is clear that PCC is not simply an ethical preference </w:t>
      </w:r>
      <w:r w:rsidR="00D67A30">
        <w:t>rather</w:t>
      </w:r>
      <w:r>
        <w:t xml:space="preserve"> it is clinically effective, legally supported and operationally necessary. Yet the gap between UK policy commitments to person-centred dementia care and what is consistently delivered on the ground remains real and well-documented. Closing that gap will require commitment from NHS organisations, commissioners, policymakers and practitioners alike.</w:t>
      </w:r>
    </w:p>
    <w:p w14:paraId="530D9813" w14:textId="77777777" w:rsidR="00DF11C8" w:rsidRDefault="00000000">
      <w:pPr>
        <w:spacing w:after="120" w:line="360" w:lineRule="auto"/>
        <w:jc w:val="both"/>
      </w:pPr>
      <w:r>
        <w:t>Five recommendations are drawn from this review:</w:t>
      </w:r>
    </w:p>
    <w:p w14:paraId="4B90006F" w14:textId="77777777" w:rsidR="00DF11C8" w:rsidRDefault="00000000">
      <w:pPr>
        <w:pStyle w:val="ListParagraph"/>
        <w:numPr>
          <w:ilvl w:val="0"/>
          <w:numId w:val="3"/>
        </w:numPr>
        <w:spacing w:after="80" w:line="360" w:lineRule="auto"/>
        <w:jc w:val="both"/>
      </w:pPr>
      <w:r>
        <w:t>Large-scale, UK-based research is needed to evaluate PCC implementation specifically in acute hospital settings, where structural barriers are most pronounced and the evidence base is most limited.</w:t>
      </w:r>
    </w:p>
    <w:p w14:paraId="6E6D774A" w14:textId="77777777" w:rsidR="00DF11C8" w:rsidRDefault="00000000">
      <w:pPr>
        <w:pStyle w:val="ListParagraph"/>
        <w:numPr>
          <w:ilvl w:val="0"/>
          <w:numId w:val="3"/>
        </w:numPr>
        <w:spacing w:after="80" w:line="360" w:lineRule="auto"/>
        <w:jc w:val="both"/>
      </w:pPr>
      <w:r>
        <w:t>NHS trusts should invest in sustained, competency-based dementia education programmes for all clinical staff, moving beyond one-off training towards embedding PCC within the culture and routines of care organisations.</w:t>
      </w:r>
    </w:p>
    <w:p w14:paraId="78865155" w14:textId="77777777" w:rsidR="00DF11C8" w:rsidRDefault="00000000">
      <w:pPr>
        <w:pStyle w:val="ListParagraph"/>
        <w:numPr>
          <w:ilvl w:val="0"/>
          <w:numId w:val="3"/>
        </w:numPr>
        <w:spacing w:after="80" w:line="360" w:lineRule="auto"/>
        <w:jc w:val="both"/>
      </w:pPr>
      <w:r>
        <w:t>Psychosocial support programmes for family carers managing BPSD must address carers' beliefs about dementia and identity alongside practical skills, and should explicitly make space for acknowledgement of grief and relational loss.</w:t>
      </w:r>
    </w:p>
    <w:p w14:paraId="53EB2908" w14:textId="77777777" w:rsidR="00DF11C8" w:rsidRDefault="00000000">
      <w:pPr>
        <w:pStyle w:val="ListParagraph"/>
        <w:numPr>
          <w:ilvl w:val="0"/>
          <w:numId w:val="3"/>
        </w:numPr>
        <w:spacing w:after="80" w:line="360" w:lineRule="auto"/>
        <w:jc w:val="both"/>
      </w:pPr>
      <w:r>
        <w:t>Post-diagnostic dementia services should adopt flexible, blended models of support that are co-designed with people with dementia and their carers, genuinely accessible to those at risk of digital exclusion, and designed to be resilient to future disruption.</w:t>
      </w:r>
    </w:p>
    <w:p w14:paraId="358E4766" w14:textId="77777777" w:rsidR="009E6153" w:rsidRDefault="00000000" w:rsidP="009E6153">
      <w:pPr>
        <w:pStyle w:val="ListParagraph"/>
        <w:numPr>
          <w:ilvl w:val="0"/>
          <w:numId w:val="3"/>
        </w:numPr>
        <w:spacing w:after="80" w:line="360" w:lineRule="auto"/>
        <w:jc w:val="both"/>
      </w:pPr>
      <w:r>
        <w:t>Future policy must treat the wellbeing of family carers as inseparable from the delivery of high-quality PCC, and commission support services accordingly — recognising carers as expert partners in care rather than as service delivery mechanisms.</w:t>
      </w:r>
    </w:p>
    <w:p w14:paraId="6CB7D906" w14:textId="77777777" w:rsidR="009E6153" w:rsidRDefault="009E6153" w:rsidP="009E6153">
      <w:pPr>
        <w:spacing w:after="80" w:line="360" w:lineRule="auto"/>
        <w:jc w:val="both"/>
        <w:rPr>
          <w:b/>
          <w:bCs/>
        </w:rPr>
      </w:pPr>
    </w:p>
    <w:p w14:paraId="7A8A766C" w14:textId="77777777" w:rsidR="009E6153" w:rsidRDefault="009E6153" w:rsidP="009E6153">
      <w:pPr>
        <w:spacing w:after="80" w:line="360" w:lineRule="auto"/>
        <w:jc w:val="both"/>
        <w:rPr>
          <w:b/>
          <w:bCs/>
        </w:rPr>
      </w:pPr>
    </w:p>
    <w:p w14:paraId="41AC08D9" w14:textId="77777777" w:rsidR="009E6153" w:rsidRDefault="009E6153" w:rsidP="009E6153">
      <w:pPr>
        <w:spacing w:after="80" w:line="360" w:lineRule="auto"/>
        <w:jc w:val="both"/>
        <w:rPr>
          <w:b/>
          <w:bCs/>
        </w:rPr>
      </w:pPr>
    </w:p>
    <w:p w14:paraId="4100211D" w14:textId="77777777" w:rsidR="009E6153" w:rsidRDefault="009E6153" w:rsidP="009E6153">
      <w:pPr>
        <w:spacing w:after="80" w:line="360" w:lineRule="auto"/>
        <w:jc w:val="both"/>
        <w:rPr>
          <w:b/>
          <w:bCs/>
        </w:rPr>
      </w:pPr>
    </w:p>
    <w:p w14:paraId="0970DD20" w14:textId="7FDC4997" w:rsidR="00707DC0" w:rsidRPr="009E6153" w:rsidRDefault="00000000" w:rsidP="009E6153">
      <w:pPr>
        <w:spacing w:after="80" w:line="360" w:lineRule="auto"/>
        <w:jc w:val="both"/>
        <w:rPr>
          <w:b/>
          <w:bCs/>
        </w:rPr>
      </w:pPr>
      <w:r w:rsidRPr="009E6153">
        <w:rPr>
          <w:b/>
          <w:bCs/>
        </w:rPr>
        <w:lastRenderedPageBreak/>
        <w:t>References</w:t>
      </w:r>
    </w:p>
    <w:p w14:paraId="1E0E7D11" w14:textId="116E8A35" w:rsidR="00DF11C8" w:rsidRDefault="00AF4BD0" w:rsidP="00707DC0">
      <w:pPr>
        <w:spacing w:after="100"/>
        <w:ind w:left="720" w:hanging="720"/>
      </w:pPr>
      <w:r w:rsidRPr="00AF4BD0">
        <w:rPr>
          <w:sz w:val="20"/>
          <w:szCs w:val="20"/>
        </w:rPr>
        <w:t xml:space="preserve">Alzheimer's Research UK (2023) 'New estimates suggest dementia cases are set to rise – are they reliable?', Alzheimer's Research UK, 27 October. Available at: </w:t>
      </w:r>
      <w:hyperlink r:id="rId8" w:history="1">
        <w:r w:rsidRPr="00C67F22">
          <w:rPr>
            <w:rStyle w:val="Hyperlink"/>
            <w:sz w:val="20"/>
            <w:szCs w:val="20"/>
          </w:rPr>
          <w:t>https://www.alzheimersresearchuk.org/news/new-estimates-sugg</w:t>
        </w:r>
        <w:r w:rsidRPr="00C67F22">
          <w:rPr>
            <w:rStyle w:val="Hyperlink"/>
            <w:sz w:val="20"/>
            <w:szCs w:val="20"/>
          </w:rPr>
          <w:t>e</w:t>
        </w:r>
        <w:r w:rsidRPr="00C67F22">
          <w:rPr>
            <w:rStyle w:val="Hyperlink"/>
            <w:sz w:val="20"/>
            <w:szCs w:val="20"/>
          </w:rPr>
          <w:t>st-dementia-cases-are-set-to-rise-are-they-reliable/</w:t>
        </w:r>
      </w:hyperlink>
      <w:r>
        <w:rPr>
          <w:sz w:val="20"/>
          <w:szCs w:val="20"/>
        </w:rPr>
        <w:t xml:space="preserve"> </w:t>
      </w:r>
      <w:r w:rsidR="00000000">
        <w:rPr>
          <w:sz w:val="20"/>
          <w:szCs w:val="20"/>
        </w:rPr>
        <w:t>(Accessed: 20 March 2026).</w:t>
      </w:r>
    </w:p>
    <w:p w14:paraId="2CE0A5E1" w14:textId="58B8D078" w:rsidR="00DF11C8" w:rsidRDefault="00000000" w:rsidP="00707DC0">
      <w:pPr>
        <w:spacing w:after="100"/>
        <w:ind w:left="720" w:hanging="720"/>
      </w:pPr>
      <w:r>
        <w:rPr>
          <w:sz w:val="20"/>
          <w:szCs w:val="20"/>
        </w:rPr>
        <w:t xml:space="preserve">Arksey, H. and O'Malley, L. (2005) 'Scoping studies: towards a methodological framework', International Journal of Social Research Methodology, 8(1), pp. 19–32. Available at: </w:t>
      </w:r>
      <w:hyperlink r:id="rId9" w:history="1">
        <w:r w:rsidR="00AF4BD0" w:rsidRPr="00C67F22">
          <w:rPr>
            <w:rStyle w:val="Hyperlink"/>
            <w:sz w:val="20"/>
            <w:szCs w:val="20"/>
          </w:rPr>
          <w:t>https://doi.org/10.1080/1364557032000119</w:t>
        </w:r>
        <w:r w:rsidR="00AF4BD0" w:rsidRPr="00C67F22">
          <w:rPr>
            <w:rStyle w:val="Hyperlink"/>
            <w:sz w:val="20"/>
            <w:szCs w:val="20"/>
          </w:rPr>
          <w:t>6</w:t>
        </w:r>
        <w:r w:rsidR="00AF4BD0" w:rsidRPr="00C67F22">
          <w:rPr>
            <w:rStyle w:val="Hyperlink"/>
            <w:sz w:val="20"/>
            <w:szCs w:val="20"/>
          </w:rPr>
          <w:t>16</w:t>
        </w:r>
      </w:hyperlink>
      <w:r w:rsidR="00AF4BD0">
        <w:rPr>
          <w:sz w:val="20"/>
          <w:szCs w:val="20"/>
        </w:rPr>
        <w:t xml:space="preserve"> </w:t>
      </w:r>
      <w:r>
        <w:rPr>
          <w:sz w:val="20"/>
          <w:szCs w:val="20"/>
        </w:rPr>
        <w:t>(Accessed: 15 March 2026).</w:t>
      </w:r>
    </w:p>
    <w:p w14:paraId="41488520" w14:textId="4E962AB6" w:rsidR="00DF11C8" w:rsidRDefault="00000000" w:rsidP="00707DC0">
      <w:pPr>
        <w:spacing w:after="100"/>
        <w:ind w:left="720" w:hanging="720"/>
      </w:pPr>
      <w:r>
        <w:rPr>
          <w:sz w:val="20"/>
          <w:szCs w:val="20"/>
        </w:rPr>
        <w:t>Aveyard, H. (2014) Doing a Literature Review in Health and Social Care: A Practical Guide. 3rd edn. Maidenhead: Open University Press.</w:t>
      </w:r>
    </w:p>
    <w:p w14:paraId="1627F50B" w14:textId="452274CB" w:rsidR="00DF11C8" w:rsidRDefault="00000000" w:rsidP="00707DC0">
      <w:pPr>
        <w:spacing w:after="100"/>
        <w:ind w:left="720" w:hanging="720"/>
      </w:pPr>
      <w:r>
        <w:rPr>
          <w:sz w:val="20"/>
          <w:szCs w:val="20"/>
        </w:rPr>
        <w:t xml:space="preserve">Berkovic, D., Macrae, A., Gulline, H., Horsman, P., Soh, S.-E. and Skouteris, H. (2024) 'The delivery of person-centered care for people living with dementia in residential aged care: a systematic review and mixed-methods synthesis', The Gerontologist, 64(2). Available at: </w:t>
      </w:r>
      <w:hyperlink r:id="rId10" w:history="1">
        <w:r w:rsidR="00FA49A8" w:rsidRPr="00A969EC">
          <w:rPr>
            <w:rStyle w:val="Hyperlink"/>
            <w:sz w:val="20"/>
            <w:szCs w:val="20"/>
          </w:rPr>
          <w:t>https://doi.org/10.1093/gero</w:t>
        </w:r>
        <w:r w:rsidR="00FA49A8" w:rsidRPr="00A969EC">
          <w:rPr>
            <w:rStyle w:val="Hyperlink"/>
            <w:sz w:val="20"/>
            <w:szCs w:val="20"/>
          </w:rPr>
          <w:t>n</w:t>
        </w:r>
        <w:r w:rsidR="00FA49A8" w:rsidRPr="00A969EC">
          <w:rPr>
            <w:rStyle w:val="Hyperlink"/>
            <w:sz w:val="20"/>
            <w:szCs w:val="20"/>
          </w:rPr>
          <w:t>t/gnad062</w:t>
        </w:r>
      </w:hyperlink>
      <w:r w:rsidR="00FA49A8">
        <w:rPr>
          <w:sz w:val="20"/>
          <w:szCs w:val="20"/>
        </w:rPr>
        <w:t xml:space="preserve"> </w:t>
      </w:r>
      <w:r>
        <w:rPr>
          <w:sz w:val="20"/>
          <w:szCs w:val="20"/>
        </w:rPr>
        <w:t>(Accessed: 16 March 2026).</w:t>
      </w:r>
    </w:p>
    <w:p w14:paraId="15F0675D" w14:textId="2E60B28D" w:rsidR="00DF11C8" w:rsidRDefault="00000000" w:rsidP="00707DC0">
      <w:pPr>
        <w:spacing w:after="100"/>
        <w:ind w:left="720" w:hanging="720"/>
      </w:pPr>
      <w:r>
        <w:rPr>
          <w:sz w:val="20"/>
          <w:szCs w:val="20"/>
        </w:rPr>
        <w:t xml:space="preserve">Brodaty, H. and Donkin, M. (2009) 'Family caregivers of people with dementia', Dialogues in Clinical Neuroscience, 11(2), pp. 217–228. Available at: </w:t>
      </w:r>
      <w:hyperlink r:id="rId11" w:history="1">
        <w:r w:rsidR="00FA49A8" w:rsidRPr="00A969EC">
          <w:rPr>
            <w:rStyle w:val="Hyperlink"/>
            <w:sz w:val="20"/>
            <w:szCs w:val="20"/>
          </w:rPr>
          <w:t>https://pmc.ncbi.nlm.nih.gov/articles/PMC318</w:t>
        </w:r>
        <w:r w:rsidR="00FA49A8" w:rsidRPr="00A969EC">
          <w:rPr>
            <w:rStyle w:val="Hyperlink"/>
            <w:sz w:val="20"/>
            <w:szCs w:val="20"/>
          </w:rPr>
          <w:t>1</w:t>
        </w:r>
        <w:r w:rsidR="00FA49A8" w:rsidRPr="00A969EC">
          <w:rPr>
            <w:rStyle w:val="Hyperlink"/>
            <w:sz w:val="20"/>
            <w:szCs w:val="20"/>
          </w:rPr>
          <w:t>966/</w:t>
        </w:r>
      </w:hyperlink>
      <w:r w:rsidR="00FA49A8">
        <w:rPr>
          <w:sz w:val="20"/>
          <w:szCs w:val="20"/>
        </w:rPr>
        <w:t xml:space="preserve"> </w:t>
      </w:r>
      <w:r>
        <w:rPr>
          <w:sz w:val="20"/>
          <w:szCs w:val="20"/>
        </w:rPr>
        <w:t>(Accessed: 17 March 2026).</w:t>
      </w:r>
    </w:p>
    <w:p w14:paraId="42BA0F63" w14:textId="4EAEA955" w:rsidR="00DF11C8" w:rsidRDefault="00000000" w:rsidP="00707DC0">
      <w:pPr>
        <w:spacing w:after="100"/>
        <w:ind w:left="720" w:hanging="720"/>
      </w:pPr>
      <w:r>
        <w:rPr>
          <w:sz w:val="20"/>
          <w:szCs w:val="20"/>
        </w:rPr>
        <w:t xml:space="preserve">Care Act (2014) c. 23. London: HMSO. Available at: </w:t>
      </w:r>
      <w:hyperlink r:id="rId12" w:history="1">
        <w:r w:rsidR="00FA49A8" w:rsidRPr="00A969EC">
          <w:rPr>
            <w:rStyle w:val="Hyperlink"/>
            <w:sz w:val="20"/>
            <w:szCs w:val="20"/>
          </w:rPr>
          <w:t>https://www.legislation.gov.uk/ukp</w:t>
        </w:r>
        <w:r w:rsidR="00FA49A8" w:rsidRPr="00A969EC">
          <w:rPr>
            <w:rStyle w:val="Hyperlink"/>
            <w:sz w:val="20"/>
            <w:szCs w:val="20"/>
          </w:rPr>
          <w:t>g</w:t>
        </w:r>
        <w:r w:rsidR="00FA49A8" w:rsidRPr="00A969EC">
          <w:rPr>
            <w:rStyle w:val="Hyperlink"/>
            <w:sz w:val="20"/>
            <w:szCs w:val="20"/>
          </w:rPr>
          <w:t>a/2014/23/contents</w:t>
        </w:r>
      </w:hyperlink>
      <w:r w:rsidR="00707DC0">
        <w:rPr>
          <w:sz w:val="20"/>
          <w:szCs w:val="20"/>
        </w:rPr>
        <w:t xml:space="preserve"> (</w:t>
      </w:r>
      <w:r>
        <w:rPr>
          <w:sz w:val="20"/>
          <w:szCs w:val="20"/>
        </w:rPr>
        <w:t>Accessed: 14 March 2026).</w:t>
      </w:r>
    </w:p>
    <w:p w14:paraId="76ED1012" w14:textId="29E7E010" w:rsidR="00DF11C8" w:rsidRDefault="00000000" w:rsidP="00707DC0">
      <w:pPr>
        <w:spacing w:after="100"/>
        <w:ind w:left="720" w:hanging="720"/>
      </w:pPr>
      <w:r>
        <w:rPr>
          <w:sz w:val="20"/>
          <w:szCs w:val="20"/>
        </w:rPr>
        <w:t>Department of Health (2009) Living Well with Dementia: A National Dementia Strategy. London: Department of Health. Available at:</w:t>
      </w:r>
      <w:r w:rsidR="00FA49A8">
        <w:rPr>
          <w:sz w:val="20"/>
          <w:szCs w:val="20"/>
        </w:rPr>
        <w:t xml:space="preserve"> </w:t>
      </w:r>
      <w:hyperlink r:id="rId13" w:history="1">
        <w:r w:rsidR="00FA49A8" w:rsidRPr="00C67F22">
          <w:rPr>
            <w:rStyle w:val="Hyperlink"/>
            <w:sz w:val="20"/>
            <w:szCs w:val="20"/>
          </w:rPr>
          <w:t>https://assets.publishing.service.gov.uk/media/5a7b63e9e5274a34770eb5f4/dh_0940</w:t>
        </w:r>
        <w:r w:rsidR="00FA49A8" w:rsidRPr="00C67F22">
          <w:rPr>
            <w:rStyle w:val="Hyperlink"/>
            <w:sz w:val="20"/>
            <w:szCs w:val="20"/>
          </w:rPr>
          <w:t>5</w:t>
        </w:r>
        <w:r w:rsidR="00FA49A8" w:rsidRPr="00C67F22">
          <w:rPr>
            <w:rStyle w:val="Hyperlink"/>
            <w:sz w:val="20"/>
            <w:szCs w:val="20"/>
          </w:rPr>
          <w:t>2.pdf</w:t>
        </w:r>
      </w:hyperlink>
      <w:r w:rsidR="00FA49A8">
        <w:rPr>
          <w:sz w:val="20"/>
          <w:szCs w:val="20"/>
        </w:rPr>
        <w:t xml:space="preserve">  </w:t>
      </w:r>
      <w:r>
        <w:rPr>
          <w:sz w:val="20"/>
          <w:szCs w:val="20"/>
        </w:rPr>
        <w:t xml:space="preserve"> (Accessed: 15 March 2026).</w:t>
      </w:r>
    </w:p>
    <w:p w14:paraId="7F8E6AD6" w14:textId="29ECEF9D" w:rsidR="00DF11C8" w:rsidRDefault="00000000" w:rsidP="00707DC0">
      <w:pPr>
        <w:spacing w:after="100"/>
        <w:ind w:left="720" w:hanging="720"/>
      </w:pPr>
      <w:r>
        <w:rPr>
          <w:sz w:val="20"/>
          <w:szCs w:val="20"/>
        </w:rPr>
        <w:t xml:space="preserve">Feast, A., Orrell, M., Charlesworth, G., Melunsky, N., Poland, F. and Moniz-Cook, E. (2016) 'Behavioural and psychological symptoms in dementia and the challenges for family carers: systematic review', British Journal of Psychiatry, 208(5), pp. 429–434. Available at: </w:t>
      </w:r>
      <w:hyperlink r:id="rId14" w:history="1">
        <w:r w:rsidR="00FA49A8" w:rsidRPr="00C67F22">
          <w:rPr>
            <w:rStyle w:val="Hyperlink"/>
            <w:sz w:val="20"/>
            <w:szCs w:val="20"/>
          </w:rPr>
          <w:t>https://pmc.ncbi.nlm.nih.gov/articles/P</w:t>
        </w:r>
        <w:r w:rsidR="00FA49A8" w:rsidRPr="00C67F22">
          <w:rPr>
            <w:rStyle w:val="Hyperlink"/>
            <w:sz w:val="20"/>
            <w:szCs w:val="20"/>
          </w:rPr>
          <w:t>M</w:t>
        </w:r>
        <w:r w:rsidR="00FA49A8" w:rsidRPr="00C67F22">
          <w:rPr>
            <w:rStyle w:val="Hyperlink"/>
            <w:sz w:val="20"/>
            <w:szCs w:val="20"/>
          </w:rPr>
          <w:t>C4853642/</w:t>
        </w:r>
      </w:hyperlink>
      <w:r w:rsidR="00FA49A8">
        <w:rPr>
          <w:sz w:val="20"/>
          <w:szCs w:val="20"/>
        </w:rPr>
        <w:t xml:space="preserve"> </w:t>
      </w:r>
      <w:r>
        <w:rPr>
          <w:sz w:val="20"/>
          <w:szCs w:val="20"/>
        </w:rPr>
        <w:t>(Accessed: 16 March 2026).</w:t>
      </w:r>
    </w:p>
    <w:p w14:paraId="15A58DF4" w14:textId="55E76A7C" w:rsidR="00DF11C8" w:rsidRDefault="00000000" w:rsidP="00707DC0">
      <w:pPr>
        <w:spacing w:after="100"/>
        <w:ind w:left="720" w:hanging="720"/>
      </w:pPr>
      <w:r>
        <w:rPr>
          <w:sz w:val="20"/>
          <w:szCs w:val="20"/>
        </w:rPr>
        <w:t xml:space="preserve">Guan, X., Duan, A.M., Xin, G.K., Oyebode, J. and Liu, Y. (2025) 'Barriers and facilitators to implementing person-centred dementia care in long-term care facilities in Western and Asian countries: a scoping review', Frontiers in Psychiatry, 15, 1523501. Available at: </w:t>
      </w:r>
      <w:hyperlink r:id="rId15" w:history="1">
        <w:r w:rsidR="00FA49A8" w:rsidRPr="00C67F22">
          <w:rPr>
            <w:rStyle w:val="Hyperlink"/>
            <w:sz w:val="20"/>
            <w:szCs w:val="20"/>
          </w:rPr>
          <w:t>https://doi.org/10.3389/fpsyt.2024.1523</w:t>
        </w:r>
        <w:r w:rsidR="00FA49A8" w:rsidRPr="00C67F22">
          <w:rPr>
            <w:rStyle w:val="Hyperlink"/>
            <w:sz w:val="20"/>
            <w:szCs w:val="20"/>
          </w:rPr>
          <w:t>5</w:t>
        </w:r>
        <w:r w:rsidR="00FA49A8" w:rsidRPr="00C67F22">
          <w:rPr>
            <w:rStyle w:val="Hyperlink"/>
            <w:sz w:val="20"/>
            <w:szCs w:val="20"/>
          </w:rPr>
          <w:t>01</w:t>
        </w:r>
      </w:hyperlink>
      <w:r w:rsidR="00FA49A8">
        <w:rPr>
          <w:sz w:val="20"/>
          <w:szCs w:val="20"/>
        </w:rPr>
        <w:t xml:space="preserve"> </w:t>
      </w:r>
      <w:r>
        <w:rPr>
          <w:sz w:val="20"/>
          <w:szCs w:val="20"/>
        </w:rPr>
        <w:t>(Accessed: 18 March 2026).</w:t>
      </w:r>
    </w:p>
    <w:p w14:paraId="0B438703" w14:textId="01B12857" w:rsidR="00DF11C8" w:rsidRDefault="00000000" w:rsidP="00707DC0">
      <w:pPr>
        <w:spacing w:after="100"/>
        <w:ind w:left="720" w:hanging="720"/>
      </w:pPr>
      <w:r>
        <w:rPr>
          <w:sz w:val="20"/>
          <w:szCs w:val="20"/>
        </w:rPr>
        <w:t xml:space="preserve">Herron, D. and Runacres, J. (2023) 'The support priorities of older carers of people living with dementia: a nominal group technique study', Healthcare, 11(14), p. 1998. Available at: </w:t>
      </w:r>
      <w:hyperlink r:id="rId16" w:history="1">
        <w:r w:rsidR="00FA49A8" w:rsidRPr="00C67F22">
          <w:rPr>
            <w:rStyle w:val="Hyperlink"/>
            <w:sz w:val="20"/>
            <w:szCs w:val="20"/>
          </w:rPr>
          <w:t>https://doi.org/10.3390/healthcare111419</w:t>
        </w:r>
        <w:r w:rsidR="00FA49A8" w:rsidRPr="00C67F22">
          <w:rPr>
            <w:rStyle w:val="Hyperlink"/>
            <w:sz w:val="20"/>
            <w:szCs w:val="20"/>
          </w:rPr>
          <w:t>9</w:t>
        </w:r>
        <w:r w:rsidR="00FA49A8" w:rsidRPr="00C67F22">
          <w:rPr>
            <w:rStyle w:val="Hyperlink"/>
            <w:sz w:val="20"/>
            <w:szCs w:val="20"/>
          </w:rPr>
          <w:t>8</w:t>
        </w:r>
      </w:hyperlink>
      <w:r w:rsidR="00FA49A8">
        <w:rPr>
          <w:sz w:val="20"/>
          <w:szCs w:val="20"/>
        </w:rPr>
        <w:t xml:space="preserve"> </w:t>
      </w:r>
      <w:r>
        <w:rPr>
          <w:sz w:val="20"/>
          <w:szCs w:val="20"/>
        </w:rPr>
        <w:t>(Accessed: 17 March 2026).</w:t>
      </w:r>
    </w:p>
    <w:p w14:paraId="389F2880" w14:textId="04653DF8" w:rsidR="00DF11C8" w:rsidRDefault="00000000" w:rsidP="00707DC0">
      <w:pPr>
        <w:spacing w:after="100"/>
        <w:ind w:left="720" w:hanging="720"/>
      </w:pPr>
      <w:r>
        <w:rPr>
          <w:sz w:val="20"/>
          <w:szCs w:val="20"/>
        </w:rPr>
        <w:t xml:space="preserve">Kim, S.K. and Park, M. (2017) 'Effectiveness of person-centered care on people with dementia: a systematic review and meta-analysis', Clinical Interventions in Aging, 12, pp. 381–397. Available at: </w:t>
      </w:r>
      <w:hyperlink r:id="rId17" w:history="1">
        <w:r w:rsidR="00FA49A8" w:rsidRPr="00C67F22">
          <w:rPr>
            <w:rStyle w:val="Hyperlink"/>
            <w:sz w:val="20"/>
            <w:szCs w:val="20"/>
          </w:rPr>
          <w:t>https://pmc.ncbi.nlm.nih.gov/articles/PMC53229</w:t>
        </w:r>
        <w:r w:rsidR="00FA49A8" w:rsidRPr="00C67F22">
          <w:rPr>
            <w:rStyle w:val="Hyperlink"/>
            <w:sz w:val="20"/>
            <w:szCs w:val="20"/>
          </w:rPr>
          <w:t>3</w:t>
        </w:r>
        <w:r w:rsidR="00FA49A8" w:rsidRPr="00C67F22">
          <w:rPr>
            <w:rStyle w:val="Hyperlink"/>
            <w:sz w:val="20"/>
            <w:szCs w:val="20"/>
          </w:rPr>
          <w:t>9/</w:t>
        </w:r>
      </w:hyperlink>
      <w:r w:rsidR="00FA49A8">
        <w:rPr>
          <w:sz w:val="20"/>
          <w:szCs w:val="20"/>
        </w:rPr>
        <w:t xml:space="preserve"> </w:t>
      </w:r>
      <w:r>
        <w:rPr>
          <w:sz w:val="20"/>
          <w:szCs w:val="20"/>
        </w:rPr>
        <w:t>(Accessed: 15 March 2026).</w:t>
      </w:r>
    </w:p>
    <w:p w14:paraId="4CE188FF" w14:textId="4B2E0512" w:rsidR="00DF11C8" w:rsidRPr="00FA49A8" w:rsidRDefault="00000000" w:rsidP="00707DC0">
      <w:pPr>
        <w:spacing w:after="100"/>
        <w:ind w:left="720" w:hanging="720"/>
        <w:rPr>
          <w:sz w:val="20"/>
          <w:szCs w:val="20"/>
        </w:rPr>
      </w:pPr>
      <w:r>
        <w:rPr>
          <w:sz w:val="20"/>
          <w:szCs w:val="20"/>
        </w:rPr>
        <w:t>Kitwood, T. (1997) Dementia Reconsidered: The Person Comes First. Buckingham: Open University Press.</w:t>
      </w:r>
    </w:p>
    <w:p w14:paraId="035177F5" w14:textId="769174F8" w:rsidR="00DF11C8" w:rsidRDefault="00000000" w:rsidP="00707DC0">
      <w:pPr>
        <w:spacing w:after="100"/>
        <w:ind w:left="720" w:hanging="720"/>
      </w:pPr>
      <w:r>
        <w:rPr>
          <w:sz w:val="20"/>
          <w:szCs w:val="20"/>
        </w:rPr>
        <w:t xml:space="preserve">Livingston, G., Huntley, J., Sommerlad, A., Ames, D., Ballard, C., Banerjee, S., Brayne, C., Burns, A., Cohen-Mansfield, J., Cooper, C., Costafreda, S.G., Dias, A., Fox, N., Gitlin, L.N., Howard, R., Kales, H.C., Kivimäki, M., Larson, E.B., Ogunniyi, A., Orgeta, V., Ritchie, K., Rockwood, K., Sampson, E.L., Samus, Q., Schneider, L.S., Selbæk, G., Teri, L. and Mukadam, N. (2020) 'Dementia prevention, intervention, and care: 2020 report of the Lancet Commission', The Lancet, 396(10248), pp. 413–446. Available at: </w:t>
      </w:r>
      <w:hyperlink r:id="rId18" w:history="1">
        <w:r w:rsidR="00FA49A8" w:rsidRPr="00C67F22">
          <w:rPr>
            <w:rStyle w:val="Hyperlink"/>
            <w:sz w:val="20"/>
            <w:szCs w:val="20"/>
          </w:rPr>
          <w:t>https://doi.org/10</w:t>
        </w:r>
        <w:r w:rsidR="00FA49A8" w:rsidRPr="00C67F22">
          <w:rPr>
            <w:rStyle w:val="Hyperlink"/>
            <w:sz w:val="20"/>
            <w:szCs w:val="20"/>
          </w:rPr>
          <w:t>.</w:t>
        </w:r>
        <w:r w:rsidR="00FA49A8" w:rsidRPr="00C67F22">
          <w:rPr>
            <w:rStyle w:val="Hyperlink"/>
            <w:sz w:val="20"/>
            <w:szCs w:val="20"/>
          </w:rPr>
          <w:t>1016/S0140-6736(20)30367-6</w:t>
        </w:r>
      </w:hyperlink>
      <w:r w:rsidR="00FA49A8">
        <w:rPr>
          <w:sz w:val="20"/>
          <w:szCs w:val="20"/>
        </w:rPr>
        <w:t xml:space="preserve"> </w:t>
      </w:r>
      <w:r>
        <w:rPr>
          <w:sz w:val="20"/>
          <w:szCs w:val="20"/>
        </w:rPr>
        <w:t xml:space="preserve"> (Accessed:</w:t>
      </w:r>
      <w:r w:rsidR="00DE39EB">
        <w:rPr>
          <w:sz w:val="20"/>
          <w:szCs w:val="20"/>
        </w:rPr>
        <w:t xml:space="preserve"> 1</w:t>
      </w:r>
      <w:r>
        <w:rPr>
          <w:sz w:val="20"/>
          <w:szCs w:val="20"/>
        </w:rPr>
        <w:t>8 March 2026).</w:t>
      </w:r>
    </w:p>
    <w:p w14:paraId="677392E5" w14:textId="3B06F497" w:rsidR="00DF11C8" w:rsidRDefault="00000000" w:rsidP="00707DC0">
      <w:pPr>
        <w:spacing w:after="100"/>
        <w:ind w:left="720" w:hanging="720"/>
      </w:pPr>
      <w:r>
        <w:rPr>
          <w:sz w:val="20"/>
          <w:szCs w:val="20"/>
        </w:rPr>
        <w:t xml:space="preserve">Mental Capacity Act (2005) c. 9. London: HMSO. Available at: </w:t>
      </w:r>
      <w:hyperlink r:id="rId19" w:history="1">
        <w:r w:rsidR="00FA49A8" w:rsidRPr="00C67F22">
          <w:rPr>
            <w:rStyle w:val="Hyperlink"/>
            <w:sz w:val="20"/>
            <w:szCs w:val="20"/>
          </w:rPr>
          <w:t>https://www.legislation.gov.uk/ukpga/2005/9/cont</w:t>
        </w:r>
        <w:r w:rsidR="00FA49A8" w:rsidRPr="00C67F22">
          <w:rPr>
            <w:rStyle w:val="Hyperlink"/>
            <w:sz w:val="20"/>
            <w:szCs w:val="20"/>
          </w:rPr>
          <w:t>e</w:t>
        </w:r>
        <w:r w:rsidR="00FA49A8" w:rsidRPr="00C67F22">
          <w:rPr>
            <w:rStyle w:val="Hyperlink"/>
            <w:sz w:val="20"/>
            <w:szCs w:val="20"/>
          </w:rPr>
          <w:t>nts</w:t>
        </w:r>
      </w:hyperlink>
      <w:r>
        <w:rPr>
          <w:sz w:val="20"/>
          <w:szCs w:val="20"/>
        </w:rPr>
        <w:t xml:space="preserve"> (Accessed: 14 March 2026).</w:t>
      </w:r>
    </w:p>
    <w:p w14:paraId="57D7516E" w14:textId="14E216BF" w:rsidR="00DF11C8" w:rsidRDefault="00000000" w:rsidP="00707DC0">
      <w:pPr>
        <w:spacing w:after="100"/>
        <w:ind w:left="720" w:hanging="720"/>
      </w:pPr>
      <w:r>
        <w:rPr>
          <w:sz w:val="20"/>
          <w:szCs w:val="20"/>
        </w:rPr>
        <w:t xml:space="preserve">National Institute for Health and Care Excellence (NICE) (2018) Dementia: Assessment, Management and Support for People Living with Dementia and Their Carers. NG97. London: NICE. Available at: </w:t>
      </w:r>
      <w:hyperlink r:id="rId20" w:history="1">
        <w:r w:rsidR="00FA49A8" w:rsidRPr="00C67F22">
          <w:rPr>
            <w:rStyle w:val="Hyperlink"/>
            <w:sz w:val="20"/>
            <w:szCs w:val="20"/>
          </w:rPr>
          <w:t>https://www.nice.org.uk/guidance/n</w:t>
        </w:r>
        <w:r w:rsidR="00FA49A8" w:rsidRPr="00C67F22">
          <w:rPr>
            <w:rStyle w:val="Hyperlink"/>
            <w:sz w:val="20"/>
            <w:szCs w:val="20"/>
          </w:rPr>
          <w:t>g</w:t>
        </w:r>
        <w:r w:rsidR="00FA49A8" w:rsidRPr="00C67F22">
          <w:rPr>
            <w:rStyle w:val="Hyperlink"/>
            <w:sz w:val="20"/>
            <w:szCs w:val="20"/>
          </w:rPr>
          <w:t>97</w:t>
        </w:r>
      </w:hyperlink>
      <w:r>
        <w:rPr>
          <w:sz w:val="20"/>
          <w:szCs w:val="20"/>
        </w:rPr>
        <w:t xml:space="preserve"> (Accessed: 15 March 2026).</w:t>
      </w:r>
    </w:p>
    <w:p w14:paraId="7A5BCB90" w14:textId="408F5608" w:rsidR="00DF11C8" w:rsidRDefault="00000000" w:rsidP="00707DC0">
      <w:pPr>
        <w:spacing w:after="100"/>
        <w:ind w:left="720" w:hanging="720"/>
      </w:pPr>
      <w:r>
        <w:rPr>
          <w:sz w:val="20"/>
          <w:szCs w:val="20"/>
        </w:rPr>
        <w:t xml:space="preserve">NHS England (2019) The NHS Long Term Plan. London: NHS England. Available at: </w:t>
      </w:r>
      <w:hyperlink r:id="rId21" w:history="1">
        <w:r w:rsidR="00FA49A8" w:rsidRPr="00C67F22">
          <w:rPr>
            <w:rStyle w:val="Hyperlink"/>
            <w:sz w:val="20"/>
            <w:szCs w:val="20"/>
          </w:rPr>
          <w:t>https://www.longtermpla</w:t>
        </w:r>
        <w:r w:rsidR="00FA49A8" w:rsidRPr="00C67F22">
          <w:rPr>
            <w:rStyle w:val="Hyperlink"/>
            <w:sz w:val="20"/>
            <w:szCs w:val="20"/>
          </w:rPr>
          <w:t>n</w:t>
        </w:r>
        <w:r w:rsidR="00FA49A8" w:rsidRPr="00C67F22">
          <w:rPr>
            <w:rStyle w:val="Hyperlink"/>
            <w:sz w:val="20"/>
            <w:szCs w:val="20"/>
          </w:rPr>
          <w:t>.nhs.uk</w:t>
        </w:r>
      </w:hyperlink>
      <w:r w:rsidR="00FA49A8">
        <w:rPr>
          <w:sz w:val="20"/>
          <w:szCs w:val="20"/>
        </w:rPr>
        <w:t xml:space="preserve"> </w:t>
      </w:r>
      <w:r>
        <w:rPr>
          <w:sz w:val="20"/>
          <w:szCs w:val="20"/>
        </w:rPr>
        <w:t>(Accessed: 18 March 2026).</w:t>
      </w:r>
    </w:p>
    <w:p w14:paraId="2E9D5504" w14:textId="55E45708" w:rsidR="00DF11C8" w:rsidRDefault="00000000" w:rsidP="00707DC0">
      <w:pPr>
        <w:spacing w:after="100"/>
        <w:ind w:left="720" w:hanging="720"/>
      </w:pPr>
      <w:r>
        <w:rPr>
          <w:sz w:val="20"/>
          <w:szCs w:val="20"/>
        </w:rPr>
        <w:lastRenderedPageBreak/>
        <w:t xml:space="preserve">Prato, L., Lindley, L., Boyles, M., Robinson, L. and Abley, C. (2019) 'Empowerment, environment and person-centred care: a qualitative study exploring the hospital experience for adults with cognitive impairment', Dementia, 18(7–8), pp. 2710–2730. Available at: </w:t>
      </w:r>
      <w:hyperlink r:id="rId22" w:history="1">
        <w:r w:rsidR="00FA49A8" w:rsidRPr="00C67F22">
          <w:rPr>
            <w:rStyle w:val="Hyperlink"/>
            <w:sz w:val="20"/>
            <w:szCs w:val="20"/>
          </w:rPr>
          <w:t>https://doi.org/10.1177/1471301218755</w:t>
        </w:r>
        <w:r w:rsidR="00FA49A8" w:rsidRPr="00C67F22">
          <w:rPr>
            <w:rStyle w:val="Hyperlink"/>
            <w:sz w:val="20"/>
            <w:szCs w:val="20"/>
          </w:rPr>
          <w:t>8</w:t>
        </w:r>
        <w:r w:rsidR="00FA49A8" w:rsidRPr="00C67F22">
          <w:rPr>
            <w:rStyle w:val="Hyperlink"/>
            <w:sz w:val="20"/>
            <w:szCs w:val="20"/>
          </w:rPr>
          <w:t>78</w:t>
        </w:r>
      </w:hyperlink>
      <w:r w:rsidR="00FA49A8">
        <w:rPr>
          <w:sz w:val="20"/>
          <w:szCs w:val="20"/>
        </w:rPr>
        <w:t xml:space="preserve"> </w:t>
      </w:r>
      <w:r>
        <w:rPr>
          <w:sz w:val="20"/>
          <w:szCs w:val="20"/>
        </w:rPr>
        <w:t>(Accessed: 16 March 2026).</w:t>
      </w:r>
    </w:p>
    <w:p w14:paraId="64D33E1D" w14:textId="33EBBDDA" w:rsidR="00DF11C8" w:rsidRDefault="00000000" w:rsidP="00707DC0">
      <w:pPr>
        <w:spacing w:after="100"/>
        <w:ind w:left="720" w:hanging="720"/>
      </w:pPr>
      <w:r>
        <w:rPr>
          <w:sz w:val="20"/>
          <w:szCs w:val="20"/>
        </w:rPr>
        <w:t xml:space="preserve">Serbser-Koal, J., Rommerskirch-Manietta, M., Purwins, D. and Roes, M. (2024) 'Person-centredness in dementia care: an integrative review of theoretical approaches', BMJ Open, 14(6), e085051. Available at: </w:t>
      </w:r>
      <w:hyperlink r:id="rId23" w:history="1">
        <w:r w:rsidR="00FA49A8" w:rsidRPr="00C67F22">
          <w:rPr>
            <w:rStyle w:val="Hyperlink"/>
            <w:sz w:val="20"/>
            <w:szCs w:val="20"/>
          </w:rPr>
          <w:t>https://doi.org/10.1136/bmjopen-2024-085</w:t>
        </w:r>
        <w:r w:rsidR="00FA49A8" w:rsidRPr="00C67F22">
          <w:rPr>
            <w:rStyle w:val="Hyperlink"/>
            <w:sz w:val="20"/>
            <w:szCs w:val="20"/>
          </w:rPr>
          <w:t>0</w:t>
        </w:r>
        <w:r w:rsidR="00FA49A8" w:rsidRPr="00C67F22">
          <w:rPr>
            <w:rStyle w:val="Hyperlink"/>
            <w:sz w:val="20"/>
            <w:szCs w:val="20"/>
          </w:rPr>
          <w:t>51</w:t>
        </w:r>
      </w:hyperlink>
      <w:r w:rsidR="00FA49A8">
        <w:rPr>
          <w:sz w:val="20"/>
          <w:szCs w:val="20"/>
        </w:rPr>
        <w:t xml:space="preserve"> </w:t>
      </w:r>
      <w:r>
        <w:rPr>
          <w:sz w:val="20"/>
          <w:szCs w:val="20"/>
        </w:rPr>
        <w:t>(Accessed: 17 March 2026).</w:t>
      </w:r>
    </w:p>
    <w:p w14:paraId="1702B934" w14:textId="75DF15E8" w:rsidR="00DF11C8" w:rsidRDefault="00000000" w:rsidP="00707DC0">
      <w:pPr>
        <w:spacing w:after="100"/>
        <w:ind w:left="720" w:hanging="720"/>
      </w:pPr>
      <w:r>
        <w:rPr>
          <w:sz w:val="20"/>
          <w:szCs w:val="20"/>
        </w:rPr>
        <w:t xml:space="preserve">Wheatley, A., Poole, M. and Robinson, L. (2022) 'Changes to postdiagnostic dementia support in England and Wales during the COVID-19 pandemic: a qualitative study', BMJ Open, 12(2), e059437. Available at: </w:t>
      </w:r>
      <w:hyperlink r:id="rId24" w:history="1">
        <w:r w:rsidR="00FA49A8" w:rsidRPr="00C67F22">
          <w:rPr>
            <w:rStyle w:val="Hyperlink"/>
            <w:sz w:val="20"/>
            <w:szCs w:val="20"/>
          </w:rPr>
          <w:t>https://doi.or</w:t>
        </w:r>
        <w:r w:rsidR="00FA49A8" w:rsidRPr="00C67F22">
          <w:rPr>
            <w:rStyle w:val="Hyperlink"/>
            <w:sz w:val="20"/>
            <w:szCs w:val="20"/>
          </w:rPr>
          <w:t>g</w:t>
        </w:r>
        <w:r w:rsidR="00FA49A8" w:rsidRPr="00C67F22">
          <w:rPr>
            <w:rStyle w:val="Hyperlink"/>
            <w:sz w:val="20"/>
            <w:szCs w:val="20"/>
          </w:rPr>
          <w:t>/10.1136/bmjopen-2021-059437</w:t>
        </w:r>
      </w:hyperlink>
      <w:r w:rsidR="00FA49A8">
        <w:rPr>
          <w:sz w:val="20"/>
          <w:szCs w:val="20"/>
        </w:rPr>
        <w:t xml:space="preserve"> </w:t>
      </w:r>
      <w:r>
        <w:rPr>
          <w:sz w:val="20"/>
          <w:szCs w:val="20"/>
        </w:rPr>
        <w:t>(Accessed: 17 March 2026).</w:t>
      </w:r>
    </w:p>
    <w:p w14:paraId="5E87AB1F" w14:textId="0A584A97" w:rsidR="00DF11C8" w:rsidRDefault="00000000" w:rsidP="00707DC0">
      <w:pPr>
        <w:spacing w:after="100"/>
        <w:ind w:left="720" w:hanging="720"/>
      </w:pPr>
      <w:r>
        <w:rPr>
          <w:sz w:val="20"/>
          <w:szCs w:val="20"/>
        </w:rPr>
        <w:t xml:space="preserve">World Health Organization (2021) Dementia fact sheet. Available at: </w:t>
      </w:r>
      <w:hyperlink r:id="rId25" w:history="1">
        <w:r w:rsidR="00FA49A8" w:rsidRPr="00C67F22">
          <w:rPr>
            <w:rStyle w:val="Hyperlink"/>
            <w:sz w:val="20"/>
            <w:szCs w:val="20"/>
          </w:rPr>
          <w:t>https://www.who.int/news-room/fact-sheets/detail/dem</w:t>
        </w:r>
        <w:r w:rsidR="00FA49A8" w:rsidRPr="00C67F22">
          <w:rPr>
            <w:rStyle w:val="Hyperlink"/>
            <w:sz w:val="20"/>
            <w:szCs w:val="20"/>
          </w:rPr>
          <w:t>e</w:t>
        </w:r>
        <w:r w:rsidR="00FA49A8" w:rsidRPr="00C67F22">
          <w:rPr>
            <w:rStyle w:val="Hyperlink"/>
            <w:sz w:val="20"/>
            <w:szCs w:val="20"/>
          </w:rPr>
          <w:t>ntia</w:t>
        </w:r>
      </w:hyperlink>
      <w:r>
        <w:rPr>
          <w:sz w:val="20"/>
          <w:szCs w:val="20"/>
        </w:rPr>
        <w:t xml:space="preserve"> (Accessed: 13 March 2026).</w:t>
      </w:r>
    </w:p>
    <w:sectPr w:rsidR="00DF11C8">
      <w:footerReference w:type="default" r:id="rId26"/>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C40BD1" w14:textId="77777777" w:rsidR="00473419" w:rsidRDefault="00473419">
      <w:r>
        <w:separator/>
      </w:r>
    </w:p>
  </w:endnote>
  <w:endnote w:type="continuationSeparator" w:id="0">
    <w:p w14:paraId="314A8265" w14:textId="77777777" w:rsidR="00473419" w:rsidRDefault="00473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50B796" w14:textId="77777777" w:rsidR="00DF11C8" w:rsidRDefault="00000000">
    <w:pPr>
      <w:jc w:val="center"/>
    </w:pPr>
    <w:r>
      <w:rPr>
        <w:sz w:val="18"/>
        <w:szCs w:val="18"/>
      </w:rPr>
      <w:fldChar w:fldCharType="begin"/>
    </w:r>
    <w:r>
      <w:rPr>
        <w:sz w:val="18"/>
        <w:szCs w:val="18"/>
      </w:rPr>
      <w:instrText>PAGE</w:instrText>
    </w:r>
    <w:r>
      <w:rPr>
        <w:sz w:val="18"/>
        <w:szCs w:val="18"/>
      </w:rPr>
      <w:fldChar w:fldCharType="separate"/>
    </w:r>
    <w:r w:rsidR="002B061C">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671EC9" w14:textId="77777777" w:rsidR="00473419" w:rsidRDefault="00473419">
      <w:r>
        <w:separator/>
      </w:r>
    </w:p>
  </w:footnote>
  <w:footnote w:type="continuationSeparator" w:id="0">
    <w:p w14:paraId="00CFF76A" w14:textId="77777777" w:rsidR="00473419" w:rsidRDefault="004734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8A1BDC"/>
    <w:multiLevelType w:val="hybridMultilevel"/>
    <w:tmpl w:val="DA1294B2"/>
    <w:lvl w:ilvl="0" w:tplc="049E931C">
      <w:start w:val="1"/>
      <w:numFmt w:val="bullet"/>
      <w:lvlText w:val="●"/>
      <w:lvlJc w:val="left"/>
      <w:pPr>
        <w:ind w:left="720" w:hanging="360"/>
      </w:pPr>
    </w:lvl>
    <w:lvl w:ilvl="1" w:tplc="1390CCD4">
      <w:start w:val="1"/>
      <w:numFmt w:val="bullet"/>
      <w:lvlText w:val="○"/>
      <w:lvlJc w:val="left"/>
      <w:pPr>
        <w:ind w:left="1440" w:hanging="360"/>
      </w:pPr>
    </w:lvl>
    <w:lvl w:ilvl="2" w:tplc="5D00273E">
      <w:start w:val="1"/>
      <w:numFmt w:val="bullet"/>
      <w:lvlText w:val="■"/>
      <w:lvlJc w:val="left"/>
      <w:pPr>
        <w:ind w:left="2160" w:hanging="360"/>
      </w:pPr>
    </w:lvl>
    <w:lvl w:ilvl="3" w:tplc="C3263EFE">
      <w:start w:val="1"/>
      <w:numFmt w:val="bullet"/>
      <w:lvlText w:val="●"/>
      <w:lvlJc w:val="left"/>
      <w:pPr>
        <w:ind w:left="2880" w:hanging="360"/>
      </w:pPr>
    </w:lvl>
    <w:lvl w:ilvl="4" w:tplc="236AF304">
      <w:start w:val="1"/>
      <w:numFmt w:val="bullet"/>
      <w:lvlText w:val="○"/>
      <w:lvlJc w:val="left"/>
      <w:pPr>
        <w:ind w:left="3600" w:hanging="360"/>
      </w:pPr>
    </w:lvl>
    <w:lvl w:ilvl="5" w:tplc="93687396">
      <w:start w:val="1"/>
      <w:numFmt w:val="bullet"/>
      <w:lvlText w:val="■"/>
      <w:lvlJc w:val="left"/>
      <w:pPr>
        <w:ind w:left="4320" w:hanging="360"/>
      </w:pPr>
    </w:lvl>
    <w:lvl w:ilvl="6" w:tplc="BCB87DA0">
      <w:start w:val="1"/>
      <w:numFmt w:val="bullet"/>
      <w:lvlText w:val="●"/>
      <w:lvlJc w:val="left"/>
      <w:pPr>
        <w:ind w:left="5040" w:hanging="360"/>
      </w:pPr>
    </w:lvl>
    <w:lvl w:ilvl="7" w:tplc="FB244102">
      <w:start w:val="1"/>
      <w:numFmt w:val="bullet"/>
      <w:lvlText w:val="●"/>
      <w:lvlJc w:val="left"/>
      <w:pPr>
        <w:ind w:left="5760" w:hanging="360"/>
      </w:pPr>
    </w:lvl>
    <w:lvl w:ilvl="8" w:tplc="3FB2130E">
      <w:start w:val="1"/>
      <w:numFmt w:val="bullet"/>
      <w:lvlText w:val="●"/>
      <w:lvlJc w:val="left"/>
      <w:pPr>
        <w:ind w:left="6480" w:hanging="360"/>
      </w:pPr>
    </w:lvl>
  </w:abstractNum>
  <w:abstractNum w:abstractNumId="1" w15:restartNumberingAfterBreak="0">
    <w:nsid w:val="3FBD67AB"/>
    <w:multiLevelType w:val="hybridMultilevel"/>
    <w:tmpl w:val="AFE67FDA"/>
    <w:lvl w:ilvl="0" w:tplc="575E3744">
      <w:start w:val="1"/>
      <w:numFmt w:val="bullet"/>
      <w:lvlText w:val="•"/>
      <w:lvlJc w:val="left"/>
      <w:pPr>
        <w:ind w:left="720" w:hanging="360"/>
      </w:pPr>
    </w:lvl>
    <w:lvl w:ilvl="1" w:tplc="792C1506">
      <w:numFmt w:val="decimal"/>
      <w:lvlText w:val=""/>
      <w:lvlJc w:val="left"/>
    </w:lvl>
    <w:lvl w:ilvl="2" w:tplc="0F2ED35C">
      <w:numFmt w:val="decimal"/>
      <w:lvlText w:val=""/>
      <w:lvlJc w:val="left"/>
    </w:lvl>
    <w:lvl w:ilvl="3" w:tplc="EE968AD0">
      <w:numFmt w:val="decimal"/>
      <w:lvlText w:val=""/>
      <w:lvlJc w:val="left"/>
    </w:lvl>
    <w:lvl w:ilvl="4" w:tplc="D27C937A">
      <w:numFmt w:val="decimal"/>
      <w:lvlText w:val=""/>
      <w:lvlJc w:val="left"/>
    </w:lvl>
    <w:lvl w:ilvl="5" w:tplc="41CEF07C">
      <w:numFmt w:val="decimal"/>
      <w:lvlText w:val=""/>
      <w:lvlJc w:val="left"/>
    </w:lvl>
    <w:lvl w:ilvl="6" w:tplc="4C8E59FA">
      <w:numFmt w:val="decimal"/>
      <w:lvlText w:val=""/>
      <w:lvlJc w:val="left"/>
    </w:lvl>
    <w:lvl w:ilvl="7" w:tplc="3EF6E80A">
      <w:numFmt w:val="decimal"/>
      <w:lvlText w:val=""/>
      <w:lvlJc w:val="left"/>
    </w:lvl>
    <w:lvl w:ilvl="8" w:tplc="5F14F8A8">
      <w:numFmt w:val="decimal"/>
      <w:lvlText w:val=""/>
      <w:lvlJc w:val="left"/>
    </w:lvl>
  </w:abstractNum>
  <w:abstractNum w:abstractNumId="2" w15:restartNumberingAfterBreak="0">
    <w:nsid w:val="5BFA4BE6"/>
    <w:multiLevelType w:val="hybridMultilevel"/>
    <w:tmpl w:val="D1D8C2CE"/>
    <w:lvl w:ilvl="0" w:tplc="D638E452">
      <w:start w:val="1"/>
      <w:numFmt w:val="decimal"/>
      <w:lvlText w:val="%1."/>
      <w:lvlJc w:val="left"/>
      <w:pPr>
        <w:ind w:left="720" w:hanging="360"/>
      </w:pPr>
    </w:lvl>
    <w:lvl w:ilvl="1" w:tplc="C5CE159C">
      <w:numFmt w:val="decimal"/>
      <w:lvlText w:val=""/>
      <w:lvlJc w:val="left"/>
    </w:lvl>
    <w:lvl w:ilvl="2" w:tplc="7A00C152">
      <w:numFmt w:val="decimal"/>
      <w:lvlText w:val=""/>
      <w:lvlJc w:val="left"/>
    </w:lvl>
    <w:lvl w:ilvl="3" w:tplc="1E6A1284">
      <w:numFmt w:val="decimal"/>
      <w:lvlText w:val=""/>
      <w:lvlJc w:val="left"/>
    </w:lvl>
    <w:lvl w:ilvl="4" w:tplc="9C48EB4A">
      <w:numFmt w:val="decimal"/>
      <w:lvlText w:val=""/>
      <w:lvlJc w:val="left"/>
    </w:lvl>
    <w:lvl w:ilvl="5" w:tplc="2FC86D50">
      <w:numFmt w:val="decimal"/>
      <w:lvlText w:val=""/>
      <w:lvlJc w:val="left"/>
    </w:lvl>
    <w:lvl w:ilvl="6" w:tplc="165AD8B0">
      <w:numFmt w:val="decimal"/>
      <w:lvlText w:val=""/>
      <w:lvlJc w:val="left"/>
    </w:lvl>
    <w:lvl w:ilvl="7" w:tplc="70EA53AA">
      <w:numFmt w:val="decimal"/>
      <w:lvlText w:val=""/>
      <w:lvlJc w:val="left"/>
    </w:lvl>
    <w:lvl w:ilvl="8" w:tplc="0D40D4CE">
      <w:numFmt w:val="decimal"/>
      <w:lvlText w:val=""/>
      <w:lvlJc w:val="left"/>
    </w:lvl>
  </w:abstractNum>
  <w:num w:numId="1" w16cid:durableId="503398032">
    <w:abstractNumId w:val="0"/>
    <w:lvlOverride w:ilvl="0">
      <w:startOverride w:val="1"/>
    </w:lvlOverride>
  </w:num>
  <w:num w:numId="2" w16cid:durableId="928544296">
    <w:abstractNumId w:val="1"/>
    <w:lvlOverride w:ilvl="0">
      <w:startOverride w:val="1"/>
    </w:lvlOverride>
  </w:num>
  <w:num w:numId="3" w16cid:durableId="1471097774">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11C8"/>
    <w:rsid w:val="00121E8A"/>
    <w:rsid w:val="00123485"/>
    <w:rsid w:val="0017221D"/>
    <w:rsid w:val="001B3525"/>
    <w:rsid w:val="002B061C"/>
    <w:rsid w:val="00320923"/>
    <w:rsid w:val="003407BD"/>
    <w:rsid w:val="00473419"/>
    <w:rsid w:val="0049087E"/>
    <w:rsid w:val="005A4942"/>
    <w:rsid w:val="00707DC0"/>
    <w:rsid w:val="007A2506"/>
    <w:rsid w:val="009E6153"/>
    <w:rsid w:val="00A12FB7"/>
    <w:rsid w:val="00A46047"/>
    <w:rsid w:val="00A606D2"/>
    <w:rsid w:val="00AF4BD0"/>
    <w:rsid w:val="00B51A0A"/>
    <w:rsid w:val="00D67A30"/>
    <w:rsid w:val="00DE39EB"/>
    <w:rsid w:val="00DF11C8"/>
    <w:rsid w:val="00DF5F92"/>
    <w:rsid w:val="00E84C14"/>
    <w:rsid w:val="00FA4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A79CF"/>
  <w15:docId w15:val="{166314FC-151F-4098-8C24-3F554E6D7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80" w:after="140"/>
      <w:outlineLvl w:val="0"/>
    </w:pPr>
    <w:rPr>
      <w:b/>
      <w:bCs/>
      <w:color w:val="000000"/>
      <w:sz w:val="26"/>
      <w:szCs w:val="26"/>
    </w:rPr>
  </w:style>
  <w:style w:type="paragraph" w:styleId="Heading2">
    <w:name w:val="heading 2"/>
    <w:uiPriority w:val="9"/>
    <w:unhideWhenUsed/>
    <w:qFormat/>
    <w:pPr>
      <w:spacing w:before="200" w:after="80"/>
      <w:outlineLvl w:val="1"/>
    </w:pPr>
    <w:rPr>
      <w:b/>
      <w:bCs/>
      <w:color w:val="000000"/>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UnresolvedMention">
    <w:name w:val="Unresolved Mention"/>
    <w:basedOn w:val="DefaultParagraphFont"/>
    <w:uiPriority w:val="99"/>
    <w:semiHidden/>
    <w:unhideWhenUsed/>
    <w:rsid w:val="00FA49A8"/>
    <w:rPr>
      <w:color w:val="605E5C"/>
      <w:shd w:val="clear" w:color="auto" w:fill="E1DFDD"/>
    </w:rPr>
  </w:style>
  <w:style w:type="character" w:styleId="FollowedHyperlink">
    <w:name w:val="FollowedHyperlink"/>
    <w:basedOn w:val="DefaultParagraphFont"/>
    <w:uiPriority w:val="99"/>
    <w:semiHidden/>
    <w:unhideWhenUsed/>
    <w:rsid w:val="00FA49A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lzheimersresearchuk.org/news/new-estimates-suggest-dementia-cases-are-set-to-rise-are-they-reliable/" TargetMode="External"/><Relationship Id="rId13" Type="http://schemas.openxmlformats.org/officeDocument/2006/relationships/hyperlink" Target="https://assets.publishing.service.gov.uk/media/5a7b63e9e5274a34770eb5f4/dh_094052.pdf" TargetMode="External"/><Relationship Id="rId18" Type="http://schemas.openxmlformats.org/officeDocument/2006/relationships/hyperlink" Target="https://doi.org/10.1016/S0140-6736(20)30367-6"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longtermplan.nhs.uk" TargetMode="External"/><Relationship Id="rId7" Type="http://schemas.openxmlformats.org/officeDocument/2006/relationships/endnotes" Target="endnotes.xml"/><Relationship Id="rId12" Type="http://schemas.openxmlformats.org/officeDocument/2006/relationships/hyperlink" Target="https://www.legislation.gov.uk/ukpga/2014/23/contents" TargetMode="External"/><Relationship Id="rId17" Type="http://schemas.openxmlformats.org/officeDocument/2006/relationships/hyperlink" Target="https://pmc.ncbi.nlm.nih.gov/articles/PMC5322939/" TargetMode="External"/><Relationship Id="rId25" Type="http://schemas.openxmlformats.org/officeDocument/2006/relationships/hyperlink" Target="https://www.who.int/news-room/fact-sheets/detail/dementia" TargetMode="External"/><Relationship Id="rId2" Type="http://schemas.openxmlformats.org/officeDocument/2006/relationships/numbering" Target="numbering.xml"/><Relationship Id="rId16" Type="http://schemas.openxmlformats.org/officeDocument/2006/relationships/hyperlink" Target="https://doi.org/10.3390/healthcare11141998" TargetMode="External"/><Relationship Id="rId20" Type="http://schemas.openxmlformats.org/officeDocument/2006/relationships/hyperlink" Target="https://www.nice.org.uk/guidance/ng9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3181966/" TargetMode="External"/><Relationship Id="rId24" Type="http://schemas.openxmlformats.org/officeDocument/2006/relationships/hyperlink" Target="https://doi.org/10.1136/bmjopen-2021-059437" TargetMode="External"/><Relationship Id="rId5" Type="http://schemas.openxmlformats.org/officeDocument/2006/relationships/webSettings" Target="webSettings.xml"/><Relationship Id="rId15" Type="http://schemas.openxmlformats.org/officeDocument/2006/relationships/hyperlink" Target="https://doi.org/10.3389/fpsyt.2024.1523501" TargetMode="External"/><Relationship Id="rId23" Type="http://schemas.openxmlformats.org/officeDocument/2006/relationships/hyperlink" Target="https://doi.org/10.1136/bmjopen-2024-085051" TargetMode="External"/><Relationship Id="rId28" Type="http://schemas.openxmlformats.org/officeDocument/2006/relationships/theme" Target="theme/theme1.xml"/><Relationship Id="rId10" Type="http://schemas.openxmlformats.org/officeDocument/2006/relationships/hyperlink" Target="https://doi.org/10.1093/geront/gnad062" TargetMode="External"/><Relationship Id="rId19" Type="http://schemas.openxmlformats.org/officeDocument/2006/relationships/hyperlink" Target="https://www.legislation.gov.uk/ukpga/2005/9/contents" TargetMode="External"/><Relationship Id="rId4" Type="http://schemas.openxmlformats.org/officeDocument/2006/relationships/settings" Target="settings.xml"/><Relationship Id="rId9" Type="http://schemas.openxmlformats.org/officeDocument/2006/relationships/hyperlink" Target="https://doi.org/10.1080/1364557032000119616" TargetMode="External"/><Relationship Id="rId14" Type="http://schemas.openxmlformats.org/officeDocument/2006/relationships/hyperlink" Target="https://pmc.ncbi.nlm.nih.gov/articles/PMC4853642/" TargetMode="External"/><Relationship Id="rId22" Type="http://schemas.openxmlformats.org/officeDocument/2006/relationships/hyperlink" Target="https://doi.org/10.1177/147130121875587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9C51FF-814D-404B-9873-EEB8BB2CBF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14</Pages>
  <Words>5006</Words>
  <Characters>28537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dc:description/>
  <cp:lastModifiedBy>Fariha Batool (2328297)</cp:lastModifiedBy>
  <cp:revision>9</cp:revision>
  <dcterms:created xsi:type="dcterms:W3CDTF">2026-03-29T09:05:00Z</dcterms:created>
  <dcterms:modified xsi:type="dcterms:W3CDTF">2026-03-29T10:05:00Z</dcterms:modified>
</cp:coreProperties>
</file>