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258607565"/>
        <w:docPartObj>
          <w:docPartGallery w:val="Cover Pages"/>
          <w:docPartUnique/>
        </w:docPartObj>
      </w:sdtPr>
      <w:sdtEndPr>
        <w:rPr>
          <w:rFonts w:ascii="Arial" w:hAnsi="Arial" w:cs="Arial"/>
          <w:color w:val="auto"/>
          <w:sz w:val="24"/>
          <w:szCs w:val="24"/>
        </w:rPr>
      </w:sdtEndPr>
      <w:sdtContent>
        <w:p w14:paraId="74DC9197" w14:textId="7883EDEB" w:rsidR="00541CE7" w:rsidRDefault="00541CE7">
          <w:pPr>
            <w:pStyle w:val="NoSpacing"/>
            <w:spacing w:before="1540" w:after="240"/>
            <w:jc w:val="center"/>
            <w:rPr>
              <w:color w:val="156082" w:themeColor="accent1"/>
            </w:rPr>
          </w:pPr>
          <w:r>
            <w:rPr>
              <w:noProof/>
              <w:color w:val="156082" w:themeColor="accent1"/>
            </w:rPr>
            <w:drawing>
              <wp:inline distT="0" distB="0" distL="0" distR="0" wp14:anchorId="526D6C54" wp14:editId="4AE1A81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9C43E44F6C54AF48491DC93C728679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CCA40CC" w14:textId="77A88EE4" w:rsidR="00541CE7" w:rsidRDefault="005B63E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Change management portfolio</w:t>
              </w:r>
            </w:p>
          </w:sdtContent>
        </w:sdt>
        <w:sdt>
          <w:sdtPr>
            <w:rPr>
              <w:color w:val="156082" w:themeColor="accent1"/>
              <w:sz w:val="28"/>
              <w:szCs w:val="28"/>
            </w:rPr>
            <w:alias w:val="Subtitle"/>
            <w:tag w:val=""/>
            <w:id w:val="328029620"/>
            <w:placeholder>
              <w:docPart w:val="50CC2733D0E14896BBC504C6B71F91D0"/>
            </w:placeholder>
            <w:dataBinding w:prefixMappings="xmlns:ns0='http://purl.org/dc/elements/1.1/' xmlns:ns1='http://schemas.openxmlformats.org/package/2006/metadata/core-properties' " w:xpath="/ns1:coreProperties[1]/ns0:subject[1]" w:storeItemID="{6C3C8BC8-F283-45AE-878A-BAB7291924A1}"/>
            <w:text/>
          </w:sdtPr>
          <w:sdtContent>
            <w:p w14:paraId="0624B518" w14:textId="2DCB2B88" w:rsidR="00541CE7" w:rsidRDefault="00243722">
              <w:pPr>
                <w:pStyle w:val="NoSpacing"/>
                <w:jc w:val="center"/>
                <w:rPr>
                  <w:color w:val="156082" w:themeColor="accent1"/>
                  <w:sz w:val="28"/>
                  <w:szCs w:val="28"/>
                </w:rPr>
              </w:pPr>
              <w:r w:rsidRPr="00243722">
                <w:rPr>
                  <w:color w:val="156082" w:themeColor="accent1"/>
                  <w:sz w:val="28"/>
                  <w:szCs w:val="28"/>
                </w:rPr>
                <w:t>Leading and implementing workplace change - BMSW6103</w:t>
              </w:r>
            </w:p>
          </w:sdtContent>
        </w:sdt>
        <w:p w14:paraId="49440B2C" w14:textId="77777777" w:rsidR="00541CE7" w:rsidRDefault="00541CE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DFA181A" wp14:editId="0E7B7B8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45B2CE" w14:textId="6F0E9BED" w:rsidR="00541CE7" w:rsidRDefault="00541CE7">
                                <w:pPr>
                                  <w:pStyle w:val="NoSpacing"/>
                                  <w:jc w:val="center"/>
                                  <w:rPr>
                                    <w:caps/>
                                    <w:color w:val="156082" w:themeColor="accent1"/>
                                    <w:sz w:val="28"/>
                                    <w:szCs w:val="28"/>
                                  </w:rPr>
                                </w:pPr>
                                <w:r>
                                  <w:rPr>
                                    <w:caps/>
                                    <w:color w:val="156082" w:themeColor="accent1"/>
                                    <w:sz w:val="28"/>
                                    <w:szCs w:val="28"/>
                                  </w:rPr>
                                  <w:t>words: 5898</w:t>
                                </w:r>
                              </w:p>
                              <w:p w14:paraId="4E9EA9A6" w14:textId="1DA89295" w:rsidR="00541CE7" w:rsidRDefault="00541CE7">
                                <w:pPr>
                                  <w:pStyle w:val="NoSpacing"/>
                                  <w:jc w:val="center"/>
                                  <w:rPr>
                                    <w:caps/>
                                    <w:color w:val="156082" w:themeColor="accent1"/>
                                    <w:sz w:val="28"/>
                                    <w:szCs w:val="28"/>
                                  </w:rPr>
                                </w:pPr>
                                <w:r>
                                  <w:rPr>
                                    <w:caps/>
                                    <w:color w:val="156082" w:themeColor="accent1"/>
                                    <w:sz w:val="28"/>
                                    <w:szCs w:val="28"/>
                                  </w:rPr>
                                  <w:t>Date: 21-July-2024</w:t>
                                </w:r>
                              </w:p>
                              <w:p w14:paraId="57AFBA96" w14:textId="43A4EA0A" w:rsidR="00541CE7" w:rsidRDefault="00541CE7">
                                <w:pPr>
                                  <w:pStyle w:val="NoSpacing"/>
                                  <w:jc w:val="center"/>
                                  <w:rPr>
                                    <w:color w:val="156082" w:themeColor="accent1"/>
                                  </w:rPr>
                                </w:pPr>
                                <w:r>
                                  <w:rPr>
                                    <w:caps/>
                                    <w:color w:val="156082" w:themeColor="accent1"/>
                                    <w:sz w:val="28"/>
                                    <w:szCs w:val="28"/>
                                  </w:rPr>
                                  <w:t>STudent 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DFA181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945B2CE" w14:textId="6F0E9BED" w:rsidR="00541CE7" w:rsidRDefault="00541CE7">
                          <w:pPr>
                            <w:pStyle w:val="NoSpacing"/>
                            <w:jc w:val="center"/>
                            <w:rPr>
                              <w:caps/>
                              <w:color w:val="156082" w:themeColor="accent1"/>
                              <w:sz w:val="28"/>
                              <w:szCs w:val="28"/>
                            </w:rPr>
                          </w:pPr>
                          <w:r>
                            <w:rPr>
                              <w:caps/>
                              <w:color w:val="156082" w:themeColor="accent1"/>
                              <w:sz w:val="28"/>
                              <w:szCs w:val="28"/>
                            </w:rPr>
                            <w:t>words: 5898</w:t>
                          </w:r>
                        </w:p>
                        <w:p w14:paraId="4E9EA9A6" w14:textId="1DA89295" w:rsidR="00541CE7" w:rsidRDefault="00541CE7">
                          <w:pPr>
                            <w:pStyle w:val="NoSpacing"/>
                            <w:jc w:val="center"/>
                            <w:rPr>
                              <w:caps/>
                              <w:color w:val="156082" w:themeColor="accent1"/>
                              <w:sz w:val="28"/>
                              <w:szCs w:val="28"/>
                            </w:rPr>
                          </w:pPr>
                          <w:r>
                            <w:rPr>
                              <w:caps/>
                              <w:color w:val="156082" w:themeColor="accent1"/>
                              <w:sz w:val="28"/>
                              <w:szCs w:val="28"/>
                            </w:rPr>
                            <w:t>Date: 21-July-2024</w:t>
                          </w:r>
                        </w:p>
                        <w:p w14:paraId="57AFBA96" w14:textId="43A4EA0A" w:rsidR="00541CE7" w:rsidRDefault="00541CE7">
                          <w:pPr>
                            <w:pStyle w:val="NoSpacing"/>
                            <w:jc w:val="center"/>
                            <w:rPr>
                              <w:color w:val="156082" w:themeColor="accent1"/>
                            </w:rPr>
                          </w:pPr>
                          <w:r>
                            <w:rPr>
                              <w:caps/>
                              <w:color w:val="156082" w:themeColor="accent1"/>
                              <w:sz w:val="28"/>
                              <w:szCs w:val="28"/>
                            </w:rPr>
                            <w:t>STudent ID:</w:t>
                          </w:r>
                        </w:p>
                      </w:txbxContent>
                    </v:textbox>
                    <w10:wrap anchorx="margin" anchory="page"/>
                  </v:shape>
                </w:pict>
              </mc:Fallback>
            </mc:AlternateContent>
          </w:r>
          <w:r>
            <w:rPr>
              <w:noProof/>
              <w:color w:val="156082" w:themeColor="accent1"/>
            </w:rPr>
            <w:drawing>
              <wp:inline distT="0" distB="0" distL="0" distR="0" wp14:anchorId="323FD5D2" wp14:editId="55FAADF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50BEF2" w14:textId="06A0A86E" w:rsidR="00541CE7" w:rsidRDefault="00541CE7">
          <w:pPr>
            <w:rPr>
              <w:rFonts w:ascii="Arial" w:hAnsi="Arial" w:cs="Arial"/>
              <w:sz w:val="24"/>
              <w:szCs w:val="24"/>
            </w:rPr>
          </w:pPr>
          <w:r>
            <w:rPr>
              <w:rFonts w:ascii="Arial" w:hAnsi="Arial" w:cs="Arial"/>
              <w:sz w:val="24"/>
              <w:szCs w:val="24"/>
            </w:rPr>
            <w:br w:type="page"/>
          </w:r>
        </w:p>
      </w:sdtContent>
    </w:sdt>
    <w:sdt>
      <w:sdtPr>
        <w:rPr>
          <w:rFonts w:asciiTheme="minorHAnsi" w:eastAsiaTheme="minorHAnsi" w:hAnsiTheme="minorHAnsi" w:cstheme="minorBidi"/>
          <w:color w:val="auto"/>
          <w:kern w:val="2"/>
          <w:sz w:val="22"/>
          <w:szCs w:val="22"/>
          <w:lang w:val="en-GB"/>
          <w14:ligatures w14:val="standardContextual"/>
        </w:rPr>
        <w:id w:val="1494677590"/>
        <w:docPartObj>
          <w:docPartGallery w:val="Table of Contents"/>
          <w:docPartUnique/>
        </w:docPartObj>
      </w:sdtPr>
      <w:sdtEndPr>
        <w:rPr>
          <w:b/>
          <w:bCs/>
          <w:noProof/>
        </w:rPr>
      </w:sdtEndPr>
      <w:sdtContent>
        <w:p w14:paraId="43A4856A" w14:textId="2933352B" w:rsidR="005B63EC" w:rsidRDefault="005B63EC">
          <w:pPr>
            <w:pStyle w:val="TOCHeading"/>
          </w:pPr>
          <w:r>
            <w:t>Table of Contents</w:t>
          </w:r>
        </w:p>
        <w:p w14:paraId="06FE8A28" w14:textId="385A3E22" w:rsidR="005B63EC" w:rsidRDefault="005B63EC">
          <w:pPr>
            <w:pStyle w:val="TOC1"/>
            <w:tabs>
              <w:tab w:val="right" w:leader="dot" w:pos="9350"/>
            </w:tabs>
            <w:rPr>
              <w:noProof/>
            </w:rPr>
          </w:pPr>
          <w:r>
            <w:fldChar w:fldCharType="begin"/>
          </w:r>
          <w:r>
            <w:instrText xml:space="preserve"> TOC \o "1-3" \h \z \u </w:instrText>
          </w:r>
          <w:r>
            <w:fldChar w:fldCharType="separate"/>
          </w:r>
          <w:hyperlink w:anchor="_Toc172418791" w:history="1">
            <w:r w:rsidRPr="00ED181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_Toc172418791 \h </w:instrText>
            </w:r>
            <w:r>
              <w:rPr>
                <w:noProof/>
                <w:webHidden/>
              </w:rPr>
            </w:r>
            <w:r>
              <w:rPr>
                <w:noProof/>
                <w:webHidden/>
              </w:rPr>
              <w:fldChar w:fldCharType="separate"/>
            </w:r>
            <w:r>
              <w:rPr>
                <w:noProof/>
                <w:webHidden/>
              </w:rPr>
              <w:t>1</w:t>
            </w:r>
            <w:r>
              <w:rPr>
                <w:noProof/>
                <w:webHidden/>
              </w:rPr>
              <w:fldChar w:fldCharType="end"/>
            </w:r>
          </w:hyperlink>
        </w:p>
        <w:p w14:paraId="6E06D295" w14:textId="1D52116F" w:rsidR="005B63EC" w:rsidRDefault="00000000">
          <w:pPr>
            <w:pStyle w:val="TOC1"/>
            <w:tabs>
              <w:tab w:val="right" w:leader="dot" w:pos="9350"/>
            </w:tabs>
            <w:rPr>
              <w:noProof/>
            </w:rPr>
          </w:pPr>
          <w:hyperlink w:anchor="_Toc172418792" w:history="1">
            <w:r w:rsidR="005B63EC" w:rsidRPr="00ED181E">
              <w:rPr>
                <w:rStyle w:val="Hyperlink"/>
                <w:rFonts w:ascii="Arial" w:hAnsi="Arial" w:cs="Arial"/>
                <w:noProof/>
              </w:rPr>
              <w:t>Question 1: Stakeholder Analysis</w:t>
            </w:r>
            <w:r w:rsidR="005B63EC">
              <w:rPr>
                <w:noProof/>
                <w:webHidden/>
              </w:rPr>
              <w:tab/>
            </w:r>
            <w:r w:rsidR="005B63EC">
              <w:rPr>
                <w:noProof/>
                <w:webHidden/>
              </w:rPr>
              <w:fldChar w:fldCharType="begin"/>
            </w:r>
            <w:r w:rsidR="005B63EC">
              <w:rPr>
                <w:noProof/>
                <w:webHidden/>
              </w:rPr>
              <w:instrText xml:space="preserve"> PAGEREF _Toc172418792 \h </w:instrText>
            </w:r>
            <w:r w:rsidR="005B63EC">
              <w:rPr>
                <w:noProof/>
                <w:webHidden/>
              </w:rPr>
            </w:r>
            <w:r w:rsidR="005B63EC">
              <w:rPr>
                <w:noProof/>
                <w:webHidden/>
              </w:rPr>
              <w:fldChar w:fldCharType="separate"/>
            </w:r>
            <w:r w:rsidR="005B63EC">
              <w:rPr>
                <w:noProof/>
                <w:webHidden/>
              </w:rPr>
              <w:t>1</w:t>
            </w:r>
            <w:r w:rsidR="005B63EC">
              <w:rPr>
                <w:noProof/>
                <w:webHidden/>
              </w:rPr>
              <w:fldChar w:fldCharType="end"/>
            </w:r>
          </w:hyperlink>
        </w:p>
        <w:p w14:paraId="16C984DC" w14:textId="7811B154" w:rsidR="005B63EC" w:rsidRDefault="00000000">
          <w:pPr>
            <w:pStyle w:val="TOC2"/>
            <w:tabs>
              <w:tab w:val="right" w:leader="dot" w:pos="9350"/>
            </w:tabs>
            <w:rPr>
              <w:noProof/>
            </w:rPr>
          </w:pPr>
          <w:hyperlink w:anchor="_Toc172418793" w:history="1">
            <w:r w:rsidR="005B63EC" w:rsidRPr="00ED181E">
              <w:rPr>
                <w:rStyle w:val="Hyperlink"/>
                <w:rFonts w:ascii="Arial" w:hAnsi="Arial" w:cs="Arial"/>
                <w:noProof/>
              </w:rPr>
              <w:t>Power-Interest Matrix</w:t>
            </w:r>
            <w:r w:rsidR="005B63EC">
              <w:rPr>
                <w:noProof/>
                <w:webHidden/>
              </w:rPr>
              <w:tab/>
            </w:r>
            <w:r w:rsidR="005B63EC">
              <w:rPr>
                <w:noProof/>
                <w:webHidden/>
              </w:rPr>
              <w:fldChar w:fldCharType="begin"/>
            </w:r>
            <w:r w:rsidR="005B63EC">
              <w:rPr>
                <w:noProof/>
                <w:webHidden/>
              </w:rPr>
              <w:instrText xml:space="preserve"> PAGEREF _Toc172418793 \h </w:instrText>
            </w:r>
            <w:r w:rsidR="005B63EC">
              <w:rPr>
                <w:noProof/>
                <w:webHidden/>
              </w:rPr>
            </w:r>
            <w:r w:rsidR="005B63EC">
              <w:rPr>
                <w:noProof/>
                <w:webHidden/>
              </w:rPr>
              <w:fldChar w:fldCharType="separate"/>
            </w:r>
            <w:r w:rsidR="005B63EC">
              <w:rPr>
                <w:noProof/>
                <w:webHidden/>
              </w:rPr>
              <w:t>2</w:t>
            </w:r>
            <w:r w:rsidR="005B63EC">
              <w:rPr>
                <w:noProof/>
                <w:webHidden/>
              </w:rPr>
              <w:fldChar w:fldCharType="end"/>
            </w:r>
          </w:hyperlink>
        </w:p>
        <w:p w14:paraId="4BFAA099" w14:textId="305C3D39" w:rsidR="005B63EC" w:rsidRDefault="00000000">
          <w:pPr>
            <w:pStyle w:val="TOC2"/>
            <w:tabs>
              <w:tab w:val="right" w:leader="dot" w:pos="9350"/>
            </w:tabs>
            <w:rPr>
              <w:noProof/>
            </w:rPr>
          </w:pPr>
          <w:hyperlink w:anchor="_Toc172418794" w:history="1">
            <w:r w:rsidR="005B63EC" w:rsidRPr="00ED181E">
              <w:rPr>
                <w:rStyle w:val="Hyperlink"/>
                <w:rFonts w:ascii="Arial" w:hAnsi="Arial" w:cs="Arial"/>
                <w:noProof/>
              </w:rPr>
              <w:t>Stakeholder Identification</w:t>
            </w:r>
            <w:r w:rsidR="005B63EC">
              <w:rPr>
                <w:noProof/>
                <w:webHidden/>
              </w:rPr>
              <w:tab/>
            </w:r>
            <w:r w:rsidR="005B63EC">
              <w:rPr>
                <w:noProof/>
                <w:webHidden/>
              </w:rPr>
              <w:fldChar w:fldCharType="begin"/>
            </w:r>
            <w:r w:rsidR="005B63EC">
              <w:rPr>
                <w:noProof/>
                <w:webHidden/>
              </w:rPr>
              <w:instrText xml:space="preserve"> PAGEREF _Toc172418794 \h </w:instrText>
            </w:r>
            <w:r w:rsidR="005B63EC">
              <w:rPr>
                <w:noProof/>
                <w:webHidden/>
              </w:rPr>
            </w:r>
            <w:r w:rsidR="005B63EC">
              <w:rPr>
                <w:noProof/>
                <w:webHidden/>
              </w:rPr>
              <w:fldChar w:fldCharType="separate"/>
            </w:r>
            <w:r w:rsidR="005B63EC">
              <w:rPr>
                <w:noProof/>
                <w:webHidden/>
              </w:rPr>
              <w:t>3</w:t>
            </w:r>
            <w:r w:rsidR="005B63EC">
              <w:rPr>
                <w:noProof/>
                <w:webHidden/>
              </w:rPr>
              <w:fldChar w:fldCharType="end"/>
            </w:r>
          </w:hyperlink>
        </w:p>
        <w:p w14:paraId="68EFDBA8" w14:textId="3EE88732" w:rsidR="005B63EC" w:rsidRDefault="00000000">
          <w:pPr>
            <w:pStyle w:val="TOC2"/>
            <w:tabs>
              <w:tab w:val="right" w:leader="dot" w:pos="9350"/>
            </w:tabs>
            <w:rPr>
              <w:noProof/>
            </w:rPr>
          </w:pPr>
          <w:hyperlink w:anchor="_Toc172418795" w:history="1">
            <w:r w:rsidR="005B63EC" w:rsidRPr="00ED181E">
              <w:rPr>
                <w:rStyle w:val="Hyperlink"/>
                <w:rFonts w:ascii="Arial" w:hAnsi="Arial" w:cs="Arial"/>
                <w:noProof/>
              </w:rPr>
              <w:t>Stakeholder Alignment</w:t>
            </w:r>
            <w:r w:rsidR="005B63EC">
              <w:rPr>
                <w:noProof/>
                <w:webHidden/>
              </w:rPr>
              <w:tab/>
            </w:r>
            <w:r w:rsidR="005B63EC">
              <w:rPr>
                <w:noProof/>
                <w:webHidden/>
              </w:rPr>
              <w:fldChar w:fldCharType="begin"/>
            </w:r>
            <w:r w:rsidR="005B63EC">
              <w:rPr>
                <w:noProof/>
                <w:webHidden/>
              </w:rPr>
              <w:instrText xml:space="preserve"> PAGEREF _Toc172418795 \h </w:instrText>
            </w:r>
            <w:r w:rsidR="005B63EC">
              <w:rPr>
                <w:noProof/>
                <w:webHidden/>
              </w:rPr>
            </w:r>
            <w:r w:rsidR="005B63EC">
              <w:rPr>
                <w:noProof/>
                <w:webHidden/>
              </w:rPr>
              <w:fldChar w:fldCharType="separate"/>
            </w:r>
            <w:r w:rsidR="005B63EC">
              <w:rPr>
                <w:noProof/>
                <w:webHidden/>
              </w:rPr>
              <w:t>4</w:t>
            </w:r>
            <w:r w:rsidR="005B63EC">
              <w:rPr>
                <w:noProof/>
                <w:webHidden/>
              </w:rPr>
              <w:fldChar w:fldCharType="end"/>
            </w:r>
          </w:hyperlink>
        </w:p>
        <w:p w14:paraId="54CAA036" w14:textId="5F3EE1B6" w:rsidR="005B63EC" w:rsidRDefault="00000000">
          <w:pPr>
            <w:pStyle w:val="TOC2"/>
            <w:tabs>
              <w:tab w:val="right" w:leader="dot" w:pos="9350"/>
            </w:tabs>
            <w:rPr>
              <w:noProof/>
            </w:rPr>
          </w:pPr>
          <w:hyperlink w:anchor="_Toc172418796" w:history="1">
            <w:r w:rsidR="005B63EC" w:rsidRPr="00ED181E">
              <w:rPr>
                <w:rStyle w:val="Hyperlink"/>
                <w:rFonts w:ascii="Arial" w:hAnsi="Arial" w:cs="Arial"/>
                <w:noProof/>
              </w:rPr>
              <w:t>Justification of Stakeholder’s Importance</w:t>
            </w:r>
            <w:r w:rsidR="005B63EC">
              <w:rPr>
                <w:noProof/>
                <w:webHidden/>
              </w:rPr>
              <w:tab/>
            </w:r>
            <w:r w:rsidR="005B63EC">
              <w:rPr>
                <w:noProof/>
                <w:webHidden/>
              </w:rPr>
              <w:fldChar w:fldCharType="begin"/>
            </w:r>
            <w:r w:rsidR="005B63EC">
              <w:rPr>
                <w:noProof/>
                <w:webHidden/>
              </w:rPr>
              <w:instrText xml:space="preserve"> PAGEREF _Toc172418796 \h </w:instrText>
            </w:r>
            <w:r w:rsidR="005B63EC">
              <w:rPr>
                <w:noProof/>
                <w:webHidden/>
              </w:rPr>
            </w:r>
            <w:r w:rsidR="005B63EC">
              <w:rPr>
                <w:noProof/>
                <w:webHidden/>
              </w:rPr>
              <w:fldChar w:fldCharType="separate"/>
            </w:r>
            <w:r w:rsidR="005B63EC">
              <w:rPr>
                <w:noProof/>
                <w:webHidden/>
              </w:rPr>
              <w:t>6</w:t>
            </w:r>
            <w:r w:rsidR="005B63EC">
              <w:rPr>
                <w:noProof/>
                <w:webHidden/>
              </w:rPr>
              <w:fldChar w:fldCharType="end"/>
            </w:r>
          </w:hyperlink>
        </w:p>
        <w:p w14:paraId="7C710BD5" w14:textId="51E720F0" w:rsidR="005B63EC" w:rsidRDefault="00000000">
          <w:pPr>
            <w:pStyle w:val="TOC3"/>
            <w:tabs>
              <w:tab w:val="right" w:leader="dot" w:pos="9350"/>
            </w:tabs>
            <w:rPr>
              <w:noProof/>
            </w:rPr>
          </w:pPr>
          <w:hyperlink w:anchor="_Toc172418797" w:history="1">
            <w:r w:rsidR="005B63EC" w:rsidRPr="00ED181E">
              <w:rPr>
                <w:rStyle w:val="Hyperlink"/>
                <w:rFonts w:ascii="Arial" w:hAnsi="Arial" w:cs="Arial"/>
                <w:noProof/>
              </w:rPr>
              <w:t>High Power, High Interest (Manage Closely)</w:t>
            </w:r>
            <w:r w:rsidR="005B63EC">
              <w:rPr>
                <w:noProof/>
                <w:webHidden/>
              </w:rPr>
              <w:tab/>
            </w:r>
            <w:r w:rsidR="005B63EC">
              <w:rPr>
                <w:noProof/>
                <w:webHidden/>
              </w:rPr>
              <w:fldChar w:fldCharType="begin"/>
            </w:r>
            <w:r w:rsidR="005B63EC">
              <w:rPr>
                <w:noProof/>
                <w:webHidden/>
              </w:rPr>
              <w:instrText xml:space="preserve"> PAGEREF _Toc172418797 \h </w:instrText>
            </w:r>
            <w:r w:rsidR="005B63EC">
              <w:rPr>
                <w:noProof/>
                <w:webHidden/>
              </w:rPr>
            </w:r>
            <w:r w:rsidR="005B63EC">
              <w:rPr>
                <w:noProof/>
                <w:webHidden/>
              </w:rPr>
              <w:fldChar w:fldCharType="separate"/>
            </w:r>
            <w:r w:rsidR="005B63EC">
              <w:rPr>
                <w:noProof/>
                <w:webHidden/>
              </w:rPr>
              <w:t>6</w:t>
            </w:r>
            <w:r w:rsidR="005B63EC">
              <w:rPr>
                <w:noProof/>
                <w:webHidden/>
              </w:rPr>
              <w:fldChar w:fldCharType="end"/>
            </w:r>
          </w:hyperlink>
        </w:p>
        <w:p w14:paraId="17DFF0E1" w14:textId="086E1A04" w:rsidR="005B63EC" w:rsidRDefault="00000000">
          <w:pPr>
            <w:pStyle w:val="TOC3"/>
            <w:tabs>
              <w:tab w:val="right" w:leader="dot" w:pos="9350"/>
            </w:tabs>
            <w:rPr>
              <w:noProof/>
            </w:rPr>
          </w:pPr>
          <w:hyperlink w:anchor="_Toc172418798" w:history="1">
            <w:r w:rsidR="005B63EC" w:rsidRPr="00ED181E">
              <w:rPr>
                <w:rStyle w:val="Hyperlink"/>
                <w:rFonts w:ascii="Arial" w:hAnsi="Arial" w:cs="Arial"/>
                <w:noProof/>
              </w:rPr>
              <w:t>High Power, Low Interest (Keep Satisfied)</w:t>
            </w:r>
            <w:r w:rsidR="005B63EC">
              <w:rPr>
                <w:noProof/>
                <w:webHidden/>
              </w:rPr>
              <w:tab/>
            </w:r>
            <w:r w:rsidR="005B63EC">
              <w:rPr>
                <w:noProof/>
                <w:webHidden/>
              </w:rPr>
              <w:fldChar w:fldCharType="begin"/>
            </w:r>
            <w:r w:rsidR="005B63EC">
              <w:rPr>
                <w:noProof/>
                <w:webHidden/>
              </w:rPr>
              <w:instrText xml:space="preserve"> PAGEREF _Toc172418798 \h </w:instrText>
            </w:r>
            <w:r w:rsidR="005B63EC">
              <w:rPr>
                <w:noProof/>
                <w:webHidden/>
              </w:rPr>
            </w:r>
            <w:r w:rsidR="005B63EC">
              <w:rPr>
                <w:noProof/>
                <w:webHidden/>
              </w:rPr>
              <w:fldChar w:fldCharType="separate"/>
            </w:r>
            <w:r w:rsidR="005B63EC">
              <w:rPr>
                <w:noProof/>
                <w:webHidden/>
              </w:rPr>
              <w:t>7</w:t>
            </w:r>
            <w:r w:rsidR="005B63EC">
              <w:rPr>
                <w:noProof/>
                <w:webHidden/>
              </w:rPr>
              <w:fldChar w:fldCharType="end"/>
            </w:r>
          </w:hyperlink>
        </w:p>
        <w:p w14:paraId="05289D04" w14:textId="47BD600D" w:rsidR="005B63EC" w:rsidRDefault="00000000">
          <w:pPr>
            <w:pStyle w:val="TOC3"/>
            <w:tabs>
              <w:tab w:val="right" w:leader="dot" w:pos="9350"/>
            </w:tabs>
            <w:rPr>
              <w:noProof/>
            </w:rPr>
          </w:pPr>
          <w:hyperlink w:anchor="_Toc172418799" w:history="1">
            <w:r w:rsidR="005B63EC" w:rsidRPr="00ED181E">
              <w:rPr>
                <w:rStyle w:val="Hyperlink"/>
                <w:rFonts w:ascii="Arial" w:hAnsi="Arial" w:cs="Arial"/>
                <w:noProof/>
              </w:rPr>
              <w:t>Low Power, High Interest (Keep Informed)</w:t>
            </w:r>
            <w:r w:rsidR="005B63EC">
              <w:rPr>
                <w:noProof/>
                <w:webHidden/>
              </w:rPr>
              <w:tab/>
            </w:r>
            <w:r w:rsidR="005B63EC">
              <w:rPr>
                <w:noProof/>
                <w:webHidden/>
              </w:rPr>
              <w:fldChar w:fldCharType="begin"/>
            </w:r>
            <w:r w:rsidR="005B63EC">
              <w:rPr>
                <w:noProof/>
                <w:webHidden/>
              </w:rPr>
              <w:instrText xml:space="preserve"> PAGEREF _Toc172418799 \h </w:instrText>
            </w:r>
            <w:r w:rsidR="005B63EC">
              <w:rPr>
                <w:noProof/>
                <w:webHidden/>
              </w:rPr>
            </w:r>
            <w:r w:rsidR="005B63EC">
              <w:rPr>
                <w:noProof/>
                <w:webHidden/>
              </w:rPr>
              <w:fldChar w:fldCharType="separate"/>
            </w:r>
            <w:r w:rsidR="005B63EC">
              <w:rPr>
                <w:noProof/>
                <w:webHidden/>
              </w:rPr>
              <w:t>8</w:t>
            </w:r>
            <w:r w:rsidR="005B63EC">
              <w:rPr>
                <w:noProof/>
                <w:webHidden/>
              </w:rPr>
              <w:fldChar w:fldCharType="end"/>
            </w:r>
          </w:hyperlink>
        </w:p>
        <w:p w14:paraId="021C5B8D" w14:textId="631FE6C9" w:rsidR="005B63EC" w:rsidRDefault="00000000">
          <w:pPr>
            <w:pStyle w:val="TOC3"/>
            <w:tabs>
              <w:tab w:val="right" w:leader="dot" w:pos="9350"/>
            </w:tabs>
            <w:rPr>
              <w:noProof/>
            </w:rPr>
          </w:pPr>
          <w:hyperlink w:anchor="_Toc172418800" w:history="1">
            <w:r w:rsidR="005B63EC" w:rsidRPr="00ED181E">
              <w:rPr>
                <w:rStyle w:val="Hyperlink"/>
                <w:rFonts w:ascii="Arial" w:hAnsi="Arial" w:cs="Arial"/>
                <w:noProof/>
              </w:rPr>
              <w:t>Low Power, Low Interest (Monitor)</w:t>
            </w:r>
            <w:r w:rsidR="005B63EC">
              <w:rPr>
                <w:noProof/>
                <w:webHidden/>
              </w:rPr>
              <w:tab/>
            </w:r>
            <w:r w:rsidR="005B63EC">
              <w:rPr>
                <w:noProof/>
                <w:webHidden/>
              </w:rPr>
              <w:fldChar w:fldCharType="begin"/>
            </w:r>
            <w:r w:rsidR="005B63EC">
              <w:rPr>
                <w:noProof/>
                <w:webHidden/>
              </w:rPr>
              <w:instrText xml:space="preserve"> PAGEREF _Toc172418800 \h </w:instrText>
            </w:r>
            <w:r w:rsidR="005B63EC">
              <w:rPr>
                <w:noProof/>
                <w:webHidden/>
              </w:rPr>
            </w:r>
            <w:r w:rsidR="005B63EC">
              <w:rPr>
                <w:noProof/>
                <w:webHidden/>
              </w:rPr>
              <w:fldChar w:fldCharType="separate"/>
            </w:r>
            <w:r w:rsidR="005B63EC">
              <w:rPr>
                <w:noProof/>
                <w:webHidden/>
              </w:rPr>
              <w:t>9</w:t>
            </w:r>
            <w:r w:rsidR="005B63EC">
              <w:rPr>
                <w:noProof/>
                <w:webHidden/>
              </w:rPr>
              <w:fldChar w:fldCharType="end"/>
            </w:r>
          </w:hyperlink>
        </w:p>
        <w:p w14:paraId="14F0F370" w14:textId="062AD6E0" w:rsidR="005B63EC" w:rsidRDefault="00000000">
          <w:pPr>
            <w:pStyle w:val="TOC1"/>
            <w:tabs>
              <w:tab w:val="right" w:leader="dot" w:pos="9350"/>
            </w:tabs>
            <w:rPr>
              <w:noProof/>
            </w:rPr>
          </w:pPr>
          <w:hyperlink w:anchor="_Toc172418801" w:history="1">
            <w:r w:rsidR="005B63EC" w:rsidRPr="00ED181E">
              <w:rPr>
                <w:rStyle w:val="Hyperlink"/>
                <w:rFonts w:ascii="Arial" w:hAnsi="Arial" w:cs="Arial"/>
                <w:noProof/>
              </w:rPr>
              <w:t>Q2: Conflict Resolution Styles</w:t>
            </w:r>
            <w:r w:rsidR="005B63EC">
              <w:rPr>
                <w:noProof/>
                <w:webHidden/>
              </w:rPr>
              <w:tab/>
            </w:r>
            <w:r w:rsidR="005B63EC">
              <w:rPr>
                <w:noProof/>
                <w:webHidden/>
              </w:rPr>
              <w:fldChar w:fldCharType="begin"/>
            </w:r>
            <w:r w:rsidR="005B63EC">
              <w:rPr>
                <w:noProof/>
                <w:webHidden/>
              </w:rPr>
              <w:instrText xml:space="preserve"> PAGEREF _Toc172418801 \h </w:instrText>
            </w:r>
            <w:r w:rsidR="005B63EC">
              <w:rPr>
                <w:noProof/>
                <w:webHidden/>
              </w:rPr>
            </w:r>
            <w:r w:rsidR="005B63EC">
              <w:rPr>
                <w:noProof/>
                <w:webHidden/>
              </w:rPr>
              <w:fldChar w:fldCharType="separate"/>
            </w:r>
            <w:r w:rsidR="005B63EC">
              <w:rPr>
                <w:noProof/>
                <w:webHidden/>
              </w:rPr>
              <w:t>10</w:t>
            </w:r>
            <w:r w:rsidR="005B63EC">
              <w:rPr>
                <w:noProof/>
                <w:webHidden/>
              </w:rPr>
              <w:fldChar w:fldCharType="end"/>
            </w:r>
          </w:hyperlink>
        </w:p>
        <w:p w14:paraId="7AB7C08A" w14:textId="31A32F3E" w:rsidR="005B63EC" w:rsidRDefault="00000000">
          <w:pPr>
            <w:pStyle w:val="TOC2"/>
            <w:tabs>
              <w:tab w:val="right" w:leader="dot" w:pos="9350"/>
            </w:tabs>
            <w:rPr>
              <w:noProof/>
            </w:rPr>
          </w:pPr>
          <w:hyperlink w:anchor="_Toc172418802" w:history="1">
            <w:r w:rsidR="005B63EC" w:rsidRPr="00ED181E">
              <w:rPr>
                <w:rStyle w:val="Hyperlink"/>
                <w:rFonts w:ascii="Arial" w:hAnsi="Arial" w:cs="Arial"/>
                <w:noProof/>
              </w:rPr>
              <w:t>Conflict Resolution Styles</w:t>
            </w:r>
            <w:r w:rsidR="005B63EC">
              <w:rPr>
                <w:noProof/>
                <w:webHidden/>
              </w:rPr>
              <w:tab/>
            </w:r>
            <w:r w:rsidR="005B63EC">
              <w:rPr>
                <w:noProof/>
                <w:webHidden/>
              </w:rPr>
              <w:fldChar w:fldCharType="begin"/>
            </w:r>
            <w:r w:rsidR="005B63EC">
              <w:rPr>
                <w:noProof/>
                <w:webHidden/>
              </w:rPr>
              <w:instrText xml:space="preserve"> PAGEREF _Toc172418802 \h </w:instrText>
            </w:r>
            <w:r w:rsidR="005B63EC">
              <w:rPr>
                <w:noProof/>
                <w:webHidden/>
              </w:rPr>
            </w:r>
            <w:r w:rsidR="005B63EC">
              <w:rPr>
                <w:noProof/>
                <w:webHidden/>
              </w:rPr>
              <w:fldChar w:fldCharType="separate"/>
            </w:r>
            <w:r w:rsidR="005B63EC">
              <w:rPr>
                <w:noProof/>
                <w:webHidden/>
              </w:rPr>
              <w:t>11</w:t>
            </w:r>
            <w:r w:rsidR="005B63EC">
              <w:rPr>
                <w:noProof/>
                <w:webHidden/>
              </w:rPr>
              <w:fldChar w:fldCharType="end"/>
            </w:r>
          </w:hyperlink>
        </w:p>
        <w:p w14:paraId="76626F75" w14:textId="7E24A4A2" w:rsidR="005B63EC" w:rsidRDefault="00000000">
          <w:pPr>
            <w:pStyle w:val="TOC2"/>
            <w:tabs>
              <w:tab w:val="right" w:leader="dot" w:pos="9350"/>
            </w:tabs>
            <w:rPr>
              <w:noProof/>
            </w:rPr>
          </w:pPr>
          <w:hyperlink w:anchor="_Toc172418803" w:history="1">
            <w:r w:rsidR="005B63EC" w:rsidRPr="00ED181E">
              <w:rPr>
                <w:rStyle w:val="Hyperlink"/>
                <w:noProof/>
              </w:rPr>
              <w:t>Suitable Conflict Resolution Style: Collaboration</w:t>
            </w:r>
            <w:r w:rsidR="005B63EC">
              <w:rPr>
                <w:noProof/>
                <w:webHidden/>
              </w:rPr>
              <w:tab/>
            </w:r>
            <w:r w:rsidR="005B63EC">
              <w:rPr>
                <w:noProof/>
                <w:webHidden/>
              </w:rPr>
              <w:fldChar w:fldCharType="begin"/>
            </w:r>
            <w:r w:rsidR="005B63EC">
              <w:rPr>
                <w:noProof/>
                <w:webHidden/>
              </w:rPr>
              <w:instrText xml:space="preserve"> PAGEREF _Toc172418803 \h </w:instrText>
            </w:r>
            <w:r w:rsidR="005B63EC">
              <w:rPr>
                <w:noProof/>
                <w:webHidden/>
              </w:rPr>
            </w:r>
            <w:r w:rsidR="005B63EC">
              <w:rPr>
                <w:noProof/>
                <w:webHidden/>
              </w:rPr>
              <w:fldChar w:fldCharType="separate"/>
            </w:r>
            <w:r w:rsidR="005B63EC">
              <w:rPr>
                <w:noProof/>
                <w:webHidden/>
              </w:rPr>
              <w:t>12</w:t>
            </w:r>
            <w:r w:rsidR="005B63EC">
              <w:rPr>
                <w:noProof/>
                <w:webHidden/>
              </w:rPr>
              <w:fldChar w:fldCharType="end"/>
            </w:r>
          </w:hyperlink>
        </w:p>
        <w:p w14:paraId="395AC920" w14:textId="0ECF2591" w:rsidR="005B63EC" w:rsidRDefault="00000000">
          <w:pPr>
            <w:pStyle w:val="TOC1"/>
            <w:tabs>
              <w:tab w:val="right" w:leader="dot" w:pos="9350"/>
            </w:tabs>
            <w:rPr>
              <w:noProof/>
            </w:rPr>
          </w:pPr>
          <w:hyperlink w:anchor="_Toc172418804" w:history="1">
            <w:r w:rsidR="005B63EC" w:rsidRPr="00ED181E">
              <w:rPr>
                <w:rStyle w:val="Hyperlink"/>
                <w:noProof/>
              </w:rPr>
              <w:t>Application of Collaboration Style</w:t>
            </w:r>
            <w:r w:rsidR="005B63EC">
              <w:rPr>
                <w:noProof/>
                <w:webHidden/>
              </w:rPr>
              <w:tab/>
            </w:r>
            <w:r w:rsidR="005B63EC">
              <w:rPr>
                <w:noProof/>
                <w:webHidden/>
              </w:rPr>
              <w:fldChar w:fldCharType="begin"/>
            </w:r>
            <w:r w:rsidR="005B63EC">
              <w:rPr>
                <w:noProof/>
                <w:webHidden/>
              </w:rPr>
              <w:instrText xml:space="preserve"> PAGEREF _Toc172418804 \h </w:instrText>
            </w:r>
            <w:r w:rsidR="005B63EC">
              <w:rPr>
                <w:noProof/>
                <w:webHidden/>
              </w:rPr>
            </w:r>
            <w:r w:rsidR="005B63EC">
              <w:rPr>
                <w:noProof/>
                <w:webHidden/>
              </w:rPr>
              <w:fldChar w:fldCharType="separate"/>
            </w:r>
            <w:r w:rsidR="005B63EC">
              <w:rPr>
                <w:noProof/>
                <w:webHidden/>
              </w:rPr>
              <w:t>14</w:t>
            </w:r>
            <w:r w:rsidR="005B63EC">
              <w:rPr>
                <w:noProof/>
                <w:webHidden/>
              </w:rPr>
              <w:fldChar w:fldCharType="end"/>
            </w:r>
          </w:hyperlink>
        </w:p>
        <w:p w14:paraId="6AE2A092" w14:textId="03A32BC0" w:rsidR="005B63EC" w:rsidRDefault="00000000">
          <w:pPr>
            <w:pStyle w:val="TOC1"/>
            <w:tabs>
              <w:tab w:val="right" w:leader="dot" w:pos="9350"/>
            </w:tabs>
            <w:rPr>
              <w:noProof/>
            </w:rPr>
          </w:pPr>
          <w:hyperlink w:anchor="_Toc172418805" w:history="1">
            <w:r w:rsidR="005B63EC" w:rsidRPr="00ED181E">
              <w:rPr>
                <w:rStyle w:val="Hyperlink"/>
                <w:noProof/>
              </w:rPr>
              <w:t>Win-Win Solutions</w:t>
            </w:r>
            <w:r w:rsidR="005B63EC">
              <w:rPr>
                <w:noProof/>
                <w:webHidden/>
              </w:rPr>
              <w:tab/>
            </w:r>
            <w:r w:rsidR="005B63EC">
              <w:rPr>
                <w:noProof/>
                <w:webHidden/>
              </w:rPr>
              <w:fldChar w:fldCharType="begin"/>
            </w:r>
            <w:r w:rsidR="005B63EC">
              <w:rPr>
                <w:noProof/>
                <w:webHidden/>
              </w:rPr>
              <w:instrText xml:space="preserve"> PAGEREF _Toc172418805 \h </w:instrText>
            </w:r>
            <w:r w:rsidR="005B63EC">
              <w:rPr>
                <w:noProof/>
                <w:webHidden/>
              </w:rPr>
            </w:r>
            <w:r w:rsidR="005B63EC">
              <w:rPr>
                <w:noProof/>
                <w:webHidden/>
              </w:rPr>
              <w:fldChar w:fldCharType="separate"/>
            </w:r>
            <w:r w:rsidR="005B63EC">
              <w:rPr>
                <w:noProof/>
                <w:webHidden/>
              </w:rPr>
              <w:t>16</w:t>
            </w:r>
            <w:r w:rsidR="005B63EC">
              <w:rPr>
                <w:noProof/>
                <w:webHidden/>
              </w:rPr>
              <w:fldChar w:fldCharType="end"/>
            </w:r>
          </w:hyperlink>
        </w:p>
        <w:p w14:paraId="1336F9FA" w14:textId="0A515E9E" w:rsidR="005B63EC" w:rsidRDefault="00000000">
          <w:pPr>
            <w:pStyle w:val="TOC1"/>
            <w:tabs>
              <w:tab w:val="right" w:leader="dot" w:pos="9350"/>
            </w:tabs>
            <w:rPr>
              <w:noProof/>
            </w:rPr>
          </w:pPr>
          <w:hyperlink w:anchor="_Toc172418806" w:history="1">
            <w:r w:rsidR="005B63EC" w:rsidRPr="00ED181E">
              <w:rPr>
                <w:rStyle w:val="Hyperlink"/>
                <w:noProof/>
              </w:rPr>
              <w:t>Understanding of Conflict Resolution</w:t>
            </w:r>
            <w:r w:rsidR="005B63EC">
              <w:rPr>
                <w:noProof/>
                <w:webHidden/>
              </w:rPr>
              <w:tab/>
            </w:r>
            <w:r w:rsidR="005B63EC">
              <w:rPr>
                <w:noProof/>
                <w:webHidden/>
              </w:rPr>
              <w:fldChar w:fldCharType="begin"/>
            </w:r>
            <w:r w:rsidR="005B63EC">
              <w:rPr>
                <w:noProof/>
                <w:webHidden/>
              </w:rPr>
              <w:instrText xml:space="preserve"> PAGEREF _Toc172418806 \h </w:instrText>
            </w:r>
            <w:r w:rsidR="005B63EC">
              <w:rPr>
                <w:noProof/>
                <w:webHidden/>
              </w:rPr>
            </w:r>
            <w:r w:rsidR="005B63EC">
              <w:rPr>
                <w:noProof/>
                <w:webHidden/>
              </w:rPr>
              <w:fldChar w:fldCharType="separate"/>
            </w:r>
            <w:r w:rsidR="005B63EC">
              <w:rPr>
                <w:noProof/>
                <w:webHidden/>
              </w:rPr>
              <w:t>18</w:t>
            </w:r>
            <w:r w:rsidR="005B63EC">
              <w:rPr>
                <w:noProof/>
                <w:webHidden/>
              </w:rPr>
              <w:fldChar w:fldCharType="end"/>
            </w:r>
          </w:hyperlink>
        </w:p>
        <w:p w14:paraId="3F20A5E4" w14:textId="261D60B8" w:rsidR="005B63EC" w:rsidRDefault="00000000">
          <w:pPr>
            <w:pStyle w:val="TOC1"/>
            <w:tabs>
              <w:tab w:val="right" w:leader="dot" w:pos="9350"/>
            </w:tabs>
            <w:rPr>
              <w:noProof/>
            </w:rPr>
          </w:pPr>
          <w:hyperlink w:anchor="_Toc172418807" w:history="1">
            <w:r w:rsidR="005B63EC" w:rsidRPr="00ED181E">
              <w:rPr>
                <w:rStyle w:val="Hyperlink"/>
                <w:noProof/>
              </w:rPr>
              <w:t>Conclusion</w:t>
            </w:r>
            <w:r w:rsidR="005B63EC">
              <w:rPr>
                <w:noProof/>
                <w:webHidden/>
              </w:rPr>
              <w:tab/>
            </w:r>
            <w:r w:rsidR="005B63EC">
              <w:rPr>
                <w:noProof/>
                <w:webHidden/>
              </w:rPr>
              <w:fldChar w:fldCharType="begin"/>
            </w:r>
            <w:r w:rsidR="005B63EC">
              <w:rPr>
                <w:noProof/>
                <w:webHidden/>
              </w:rPr>
              <w:instrText xml:space="preserve"> PAGEREF _Toc172418807 \h </w:instrText>
            </w:r>
            <w:r w:rsidR="005B63EC">
              <w:rPr>
                <w:noProof/>
                <w:webHidden/>
              </w:rPr>
            </w:r>
            <w:r w:rsidR="005B63EC">
              <w:rPr>
                <w:noProof/>
                <w:webHidden/>
              </w:rPr>
              <w:fldChar w:fldCharType="separate"/>
            </w:r>
            <w:r w:rsidR="005B63EC">
              <w:rPr>
                <w:noProof/>
                <w:webHidden/>
              </w:rPr>
              <w:t>20</w:t>
            </w:r>
            <w:r w:rsidR="005B63EC">
              <w:rPr>
                <w:noProof/>
                <w:webHidden/>
              </w:rPr>
              <w:fldChar w:fldCharType="end"/>
            </w:r>
          </w:hyperlink>
        </w:p>
        <w:p w14:paraId="6288ECE6" w14:textId="4A8F9E10" w:rsidR="005B63EC" w:rsidRDefault="00000000">
          <w:pPr>
            <w:pStyle w:val="TOC1"/>
            <w:tabs>
              <w:tab w:val="right" w:leader="dot" w:pos="9350"/>
            </w:tabs>
            <w:rPr>
              <w:noProof/>
            </w:rPr>
          </w:pPr>
          <w:hyperlink w:anchor="_Toc172418808" w:history="1">
            <w:r w:rsidR="005B63EC" w:rsidRPr="00ED181E">
              <w:rPr>
                <w:rStyle w:val="Hyperlink"/>
                <w:noProof/>
              </w:rPr>
              <w:t>References</w:t>
            </w:r>
            <w:r w:rsidR="005B63EC">
              <w:rPr>
                <w:noProof/>
                <w:webHidden/>
              </w:rPr>
              <w:tab/>
            </w:r>
            <w:r w:rsidR="005B63EC">
              <w:rPr>
                <w:noProof/>
                <w:webHidden/>
              </w:rPr>
              <w:fldChar w:fldCharType="begin"/>
            </w:r>
            <w:r w:rsidR="005B63EC">
              <w:rPr>
                <w:noProof/>
                <w:webHidden/>
              </w:rPr>
              <w:instrText xml:space="preserve"> PAGEREF _Toc172418808 \h </w:instrText>
            </w:r>
            <w:r w:rsidR="005B63EC">
              <w:rPr>
                <w:noProof/>
                <w:webHidden/>
              </w:rPr>
            </w:r>
            <w:r w:rsidR="005B63EC">
              <w:rPr>
                <w:noProof/>
                <w:webHidden/>
              </w:rPr>
              <w:fldChar w:fldCharType="separate"/>
            </w:r>
            <w:r w:rsidR="005B63EC">
              <w:rPr>
                <w:noProof/>
                <w:webHidden/>
              </w:rPr>
              <w:t>21</w:t>
            </w:r>
            <w:r w:rsidR="005B63EC">
              <w:rPr>
                <w:noProof/>
                <w:webHidden/>
              </w:rPr>
              <w:fldChar w:fldCharType="end"/>
            </w:r>
          </w:hyperlink>
        </w:p>
        <w:p w14:paraId="199F0A94" w14:textId="02AFB158" w:rsidR="005B63EC" w:rsidRDefault="005B63EC">
          <w:r>
            <w:rPr>
              <w:b/>
              <w:bCs/>
              <w:noProof/>
            </w:rPr>
            <w:fldChar w:fldCharType="end"/>
          </w:r>
        </w:p>
      </w:sdtContent>
    </w:sdt>
    <w:p w14:paraId="2A27DA3D" w14:textId="3E83EBA4" w:rsidR="005B63EC" w:rsidRDefault="005B63EC" w:rsidP="00541CE7">
      <w:pPr>
        <w:spacing w:line="360" w:lineRule="auto"/>
        <w:rPr>
          <w:rFonts w:ascii="Arial" w:hAnsi="Arial" w:cs="Arial"/>
          <w:sz w:val="24"/>
          <w:szCs w:val="24"/>
        </w:rPr>
      </w:pPr>
    </w:p>
    <w:p w14:paraId="7E119F42" w14:textId="453BAE91" w:rsidR="00343AC1" w:rsidRPr="00631E54" w:rsidRDefault="005B63EC" w:rsidP="005B63EC">
      <w:pPr>
        <w:rPr>
          <w:rFonts w:ascii="Arial" w:hAnsi="Arial" w:cs="Arial"/>
          <w:sz w:val="24"/>
          <w:szCs w:val="24"/>
        </w:rPr>
      </w:pPr>
      <w:r>
        <w:rPr>
          <w:rFonts w:ascii="Arial" w:hAnsi="Arial" w:cs="Arial"/>
          <w:sz w:val="24"/>
          <w:szCs w:val="24"/>
        </w:rPr>
        <w:br w:type="page"/>
      </w:r>
    </w:p>
    <w:p w14:paraId="2148760E" w14:textId="5496F0D3" w:rsidR="00343AC1" w:rsidRPr="00631E54" w:rsidRDefault="00343AC1" w:rsidP="00541CE7">
      <w:pPr>
        <w:pStyle w:val="Heading1"/>
        <w:spacing w:line="360" w:lineRule="auto"/>
        <w:rPr>
          <w:rFonts w:ascii="Arial" w:hAnsi="Arial" w:cs="Arial"/>
        </w:rPr>
      </w:pPr>
      <w:bookmarkStart w:id="0" w:name="_Toc172418791"/>
      <w:r w:rsidRPr="00631E54">
        <w:rPr>
          <w:rFonts w:ascii="Arial" w:hAnsi="Arial" w:cs="Arial"/>
        </w:rPr>
        <w:lastRenderedPageBreak/>
        <w:t>Introduction</w:t>
      </w:r>
      <w:bookmarkEnd w:id="0"/>
    </w:p>
    <w:p w14:paraId="4F53EAE3" w14:textId="04081BA6" w:rsidR="00343AC1" w:rsidRPr="00631E54" w:rsidRDefault="00343AC1" w:rsidP="00541CE7">
      <w:pPr>
        <w:spacing w:line="360" w:lineRule="auto"/>
        <w:rPr>
          <w:rFonts w:ascii="Arial" w:hAnsi="Arial" w:cs="Arial"/>
          <w:sz w:val="24"/>
          <w:szCs w:val="24"/>
        </w:rPr>
      </w:pPr>
      <w:r w:rsidRPr="00631E54">
        <w:rPr>
          <w:rFonts w:ascii="Arial" w:hAnsi="Arial" w:cs="Arial"/>
          <w:sz w:val="24"/>
          <w:szCs w:val="24"/>
        </w:rPr>
        <w:t>Stakeholder analysis involves the identification and evaluation of the influence and interests of various parties (stakeholders) involved in an organization. It is vital for comprehending the requirements and expectations of different groups, thus facilitating improved decision-making processes and conflict resolution.</w:t>
      </w:r>
    </w:p>
    <w:p w14:paraId="41AF6DE8" w14:textId="351A9CF4" w:rsidR="00343AC1" w:rsidRPr="00631E54" w:rsidRDefault="00343AC1" w:rsidP="00541CE7">
      <w:pPr>
        <w:spacing w:line="360" w:lineRule="auto"/>
        <w:rPr>
          <w:rFonts w:ascii="Arial" w:hAnsi="Arial" w:cs="Arial"/>
          <w:sz w:val="24"/>
          <w:szCs w:val="24"/>
        </w:rPr>
      </w:pPr>
      <w:r w:rsidRPr="00631E54">
        <w:rPr>
          <w:rFonts w:ascii="Arial" w:hAnsi="Arial" w:cs="Arial"/>
          <w:sz w:val="24"/>
          <w:szCs w:val="24"/>
        </w:rPr>
        <w:t xml:space="preserve">On May 3, 2022, employees of the Post Office initiated a one-day strike due to concerns regarding their remuneration. In 2021, their wages had been frozen, but they were offered a </w:t>
      </w:r>
      <w:r w:rsidR="002A5F8B" w:rsidRPr="00631E54">
        <w:rPr>
          <w:rFonts w:ascii="Arial" w:hAnsi="Arial" w:cs="Arial"/>
          <w:sz w:val="24"/>
          <w:szCs w:val="24"/>
        </w:rPr>
        <w:t>meagre</w:t>
      </w:r>
      <w:r w:rsidRPr="00631E54">
        <w:rPr>
          <w:rFonts w:ascii="Arial" w:hAnsi="Arial" w:cs="Arial"/>
          <w:sz w:val="24"/>
          <w:szCs w:val="24"/>
        </w:rPr>
        <w:t xml:space="preserve"> increase of only 2%, along with a one-off payment of £250 for 2022. The Communication Workers Union (CWU) deemed this offer inadequate in light of the significant inflation rate at 9% according to the Retail Price Index. The successful resolution of this crisis is crucial for upholding operational stability and ensuring employee satisfaction.</w:t>
      </w:r>
    </w:p>
    <w:p w14:paraId="2D3FA117" w14:textId="391ACA4F" w:rsidR="00343AC1" w:rsidRPr="00631E54" w:rsidRDefault="00343AC1" w:rsidP="00541CE7">
      <w:pPr>
        <w:spacing w:line="360" w:lineRule="auto"/>
        <w:rPr>
          <w:rFonts w:ascii="Arial" w:hAnsi="Arial" w:cs="Arial"/>
          <w:sz w:val="24"/>
          <w:szCs w:val="24"/>
        </w:rPr>
      </w:pPr>
      <w:r w:rsidRPr="00631E54">
        <w:rPr>
          <w:rFonts w:ascii="Arial" w:hAnsi="Arial" w:cs="Arial"/>
          <w:sz w:val="24"/>
          <w:szCs w:val="24"/>
        </w:rPr>
        <w:t xml:space="preserve">This report will </w:t>
      </w:r>
      <w:r w:rsidR="00C26228" w:rsidRPr="00631E54">
        <w:rPr>
          <w:rFonts w:ascii="Arial" w:hAnsi="Arial" w:cs="Arial"/>
          <w:sz w:val="24"/>
          <w:szCs w:val="24"/>
        </w:rPr>
        <w:t>include</w:t>
      </w:r>
      <w:r w:rsidRPr="00631E54">
        <w:rPr>
          <w:rFonts w:ascii="Arial" w:hAnsi="Arial" w:cs="Arial"/>
          <w:sz w:val="24"/>
          <w:szCs w:val="24"/>
        </w:rPr>
        <w:t xml:space="preserve"> various aspects such as identifying stakeholders through utilization of the Power-Interest Matrix model, </w:t>
      </w:r>
      <w:r w:rsidR="00C26228" w:rsidRPr="00631E54">
        <w:rPr>
          <w:rFonts w:ascii="Arial" w:hAnsi="Arial" w:cs="Arial"/>
          <w:sz w:val="24"/>
          <w:szCs w:val="24"/>
        </w:rPr>
        <w:t>analysing</w:t>
      </w:r>
      <w:r w:rsidRPr="00631E54">
        <w:rPr>
          <w:rFonts w:ascii="Arial" w:hAnsi="Arial" w:cs="Arial"/>
          <w:sz w:val="24"/>
          <w:szCs w:val="24"/>
        </w:rPr>
        <w:t xml:space="preserve"> conflict resolution styles that are relevant to the specific case at hand within Post Office context, discussing strategies aimed at achieving mutually beneficial outcomes among stakeholders, as well as exploring how stakeholder theory combined with effective conflict resolution techniques can better equip us in facing workplace challenges. Ultimately, this report aims to provide comprehensive insights into proficiently managing conflicts within organizations while also effectively resolving them.</w:t>
      </w:r>
    </w:p>
    <w:p w14:paraId="1855E991" w14:textId="0F4AED19" w:rsidR="00AB5429" w:rsidRPr="00631E54" w:rsidRDefault="00C26228" w:rsidP="00541CE7">
      <w:pPr>
        <w:pStyle w:val="Heading1"/>
        <w:spacing w:line="360" w:lineRule="auto"/>
        <w:rPr>
          <w:rFonts w:ascii="Arial" w:hAnsi="Arial" w:cs="Arial"/>
        </w:rPr>
      </w:pPr>
      <w:bookmarkStart w:id="1" w:name="_Toc172418792"/>
      <w:r w:rsidRPr="00631E54">
        <w:rPr>
          <w:rFonts w:ascii="Arial" w:hAnsi="Arial" w:cs="Arial"/>
        </w:rPr>
        <w:t>Question 1: Stakeholder Analysis</w:t>
      </w:r>
      <w:bookmarkEnd w:id="1"/>
      <w:r w:rsidRPr="00631E54">
        <w:rPr>
          <w:rFonts w:ascii="Arial" w:hAnsi="Arial" w:cs="Arial"/>
        </w:rPr>
        <w:t xml:space="preserve"> </w:t>
      </w:r>
    </w:p>
    <w:p w14:paraId="317B53C8" w14:textId="54D592E3" w:rsidR="00AB5429" w:rsidRPr="00631E54" w:rsidRDefault="00AB5429" w:rsidP="00541CE7">
      <w:pPr>
        <w:spacing w:line="360" w:lineRule="auto"/>
        <w:rPr>
          <w:rFonts w:ascii="Arial" w:hAnsi="Arial" w:cs="Arial"/>
          <w:sz w:val="24"/>
          <w:szCs w:val="24"/>
        </w:rPr>
      </w:pPr>
      <w:r w:rsidRPr="00631E54">
        <w:rPr>
          <w:rFonts w:ascii="Arial" w:hAnsi="Arial" w:cs="Arial"/>
          <w:sz w:val="24"/>
          <w:szCs w:val="24"/>
        </w:rPr>
        <w:t>Stakeholder analysis models play a crucial role in identifying and comprehending the interests and impact of different stakeholders within an organization</w:t>
      </w:r>
      <w:r w:rsidR="0061060F" w:rsidRPr="00631E54">
        <w:rPr>
          <w:rFonts w:ascii="Arial" w:hAnsi="Arial" w:cs="Arial"/>
          <w:sz w:val="24"/>
          <w:szCs w:val="24"/>
        </w:rPr>
        <w:t xml:space="preserve"> </w:t>
      </w:r>
      <w:r w:rsidR="0061060F" w:rsidRPr="00631E54">
        <w:rPr>
          <w:rFonts w:ascii="Arial" w:hAnsi="Arial" w:cs="Arial"/>
          <w:sz w:val="24"/>
        </w:rPr>
        <w:t>(Kennon et al., 2009)</w:t>
      </w:r>
      <w:r w:rsidRPr="00631E54">
        <w:rPr>
          <w:rFonts w:ascii="Arial" w:hAnsi="Arial" w:cs="Arial"/>
          <w:sz w:val="24"/>
          <w:szCs w:val="24"/>
        </w:rPr>
        <w:t>. There are various models commonly employed for this purpose, including Mendelow’s Matrix and the Power-Interest Matrix.</w:t>
      </w:r>
    </w:p>
    <w:p w14:paraId="265D212D" w14:textId="2DC63C83" w:rsidR="00AB5429" w:rsidRPr="00631E54" w:rsidRDefault="00AB5429" w:rsidP="00541CE7">
      <w:pPr>
        <w:spacing w:line="360" w:lineRule="auto"/>
        <w:rPr>
          <w:rFonts w:ascii="Arial" w:hAnsi="Arial" w:cs="Arial"/>
          <w:sz w:val="24"/>
          <w:szCs w:val="24"/>
        </w:rPr>
      </w:pPr>
      <w:r w:rsidRPr="00631E54">
        <w:rPr>
          <w:rFonts w:ascii="Arial" w:hAnsi="Arial" w:cs="Arial"/>
          <w:sz w:val="24"/>
          <w:szCs w:val="24"/>
        </w:rPr>
        <w:t xml:space="preserve">Mendelow's Matrix classifies stakeholders depending on their level of power and interest. Stakeholders are positioned on a grid that has axes representing power and </w:t>
      </w:r>
      <w:r w:rsidRPr="00631E54">
        <w:rPr>
          <w:rFonts w:ascii="Arial" w:hAnsi="Arial" w:cs="Arial"/>
          <w:sz w:val="24"/>
          <w:szCs w:val="24"/>
        </w:rPr>
        <w:lastRenderedPageBreak/>
        <w:t>interest, dividing them into four groups: keep satisfied (high power, low interest), manage closely (high power, high interest), monitor (low power, low interest), and keep informed (low power, high interest). This framework enables organizations to prioritize stakeholders and customize their engagement strategies accordingly</w:t>
      </w:r>
      <w:r w:rsidR="0061060F" w:rsidRPr="00631E54">
        <w:rPr>
          <w:rFonts w:ascii="Arial" w:hAnsi="Arial" w:cs="Arial"/>
          <w:sz w:val="24"/>
          <w:szCs w:val="24"/>
        </w:rPr>
        <w:t xml:space="preserve"> </w:t>
      </w:r>
      <w:r w:rsidR="00B83197" w:rsidRPr="00631E54">
        <w:rPr>
          <w:rFonts w:ascii="Arial" w:hAnsi="Arial" w:cs="Arial"/>
          <w:sz w:val="24"/>
        </w:rPr>
        <w:t>(Kuzmin and Khilukha, 2016)</w:t>
      </w:r>
      <w:r w:rsidRPr="00631E54">
        <w:rPr>
          <w:rFonts w:ascii="Arial" w:hAnsi="Arial" w:cs="Arial"/>
          <w:sz w:val="24"/>
          <w:szCs w:val="24"/>
        </w:rPr>
        <w:t>.</w:t>
      </w:r>
    </w:p>
    <w:p w14:paraId="2503C3A5" w14:textId="5073E06E" w:rsidR="00AB5429" w:rsidRPr="00631E54" w:rsidRDefault="00AB5429" w:rsidP="00541CE7">
      <w:pPr>
        <w:spacing w:line="360" w:lineRule="auto"/>
        <w:rPr>
          <w:rFonts w:ascii="Arial" w:hAnsi="Arial" w:cs="Arial"/>
          <w:sz w:val="24"/>
          <w:szCs w:val="24"/>
        </w:rPr>
      </w:pPr>
      <w:r w:rsidRPr="00631E54">
        <w:rPr>
          <w:rFonts w:ascii="Arial" w:hAnsi="Arial" w:cs="Arial"/>
          <w:sz w:val="24"/>
          <w:szCs w:val="24"/>
        </w:rPr>
        <w:t xml:space="preserve">The Power-Interest Matrix, </w:t>
      </w:r>
      <w:r w:rsidR="00E9236B" w:rsidRPr="00631E54">
        <w:rPr>
          <w:rFonts w:ascii="Arial" w:hAnsi="Arial" w:cs="Arial"/>
          <w:sz w:val="24"/>
          <w:szCs w:val="24"/>
        </w:rPr>
        <w:t>like</w:t>
      </w:r>
      <w:r w:rsidRPr="00631E54">
        <w:rPr>
          <w:rFonts w:ascii="Arial" w:hAnsi="Arial" w:cs="Arial"/>
          <w:sz w:val="24"/>
          <w:szCs w:val="24"/>
        </w:rPr>
        <w:t xml:space="preserve"> Mendelow's Matrix, focuses on the stakeholder's ability to influence the organization as well as their level of interest in its activities. It also categorizes stakeholders into four groups: high power, high interest; high power, low-interest; low-power/high-interest; and low-power/low-interest. This model is especially valuable for identifying crucial stakeholders who require close management and those who need regular updates.</w:t>
      </w:r>
    </w:p>
    <w:p w14:paraId="1E18208D" w14:textId="06FF8DA0" w:rsidR="00B25029" w:rsidRPr="00631E54" w:rsidRDefault="00AB5429" w:rsidP="00541CE7">
      <w:pPr>
        <w:spacing w:line="360" w:lineRule="auto"/>
        <w:rPr>
          <w:rFonts w:ascii="Arial" w:hAnsi="Arial" w:cs="Arial"/>
          <w:sz w:val="24"/>
          <w:szCs w:val="24"/>
        </w:rPr>
      </w:pPr>
      <w:r w:rsidRPr="00631E54">
        <w:rPr>
          <w:rFonts w:ascii="Arial" w:hAnsi="Arial" w:cs="Arial"/>
          <w:sz w:val="24"/>
          <w:szCs w:val="24"/>
        </w:rPr>
        <w:t xml:space="preserve">To conduct this </w:t>
      </w:r>
      <w:r w:rsidR="00B25029" w:rsidRPr="00631E54">
        <w:rPr>
          <w:rFonts w:ascii="Arial" w:hAnsi="Arial" w:cs="Arial"/>
          <w:sz w:val="24"/>
          <w:szCs w:val="24"/>
        </w:rPr>
        <w:t>analysis</w:t>
      </w:r>
      <w:r w:rsidRPr="00631E54">
        <w:rPr>
          <w:rFonts w:ascii="Arial" w:hAnsi="Arial" w:cs="Arial"/>
          <w:sz w:val="24"/>
          <w:szCs w:val="24"/>
        </w:rPr>
        <w:t>, the Power-Interest Matrix has been selected for its straightforwardness and efficiency in charting stakeholders' stances based on their influence and interest. This framework offers a distinct structure for comprehending which stakeholders are of utmost importance to involve and how to prioritize addressing their requirements when resolving the conflict at the Post Office.</w:t>
      </w:r>
    </w:p>
    <w:p w14:paraId="4061FA30" w14:textId="65E9B94D" w:rsidR="00B25029" w:rsidRPr="00631E54" w:rsidRDefault="00B25029" w:rsidP="00541CE7">
      <w:pPr>
        <w:pStyle w:val="Heading2"/>
        <w:spacing w:line="360" w:lineRule="auto"/>
        <w:rPr>
          <w:rFonts w:ascii="Arial" w:hAnsi="Arial" w:cs="Arial"/>
        </w:rPr>
      </w:pPr>
      <w:bookmarkStart w:id="2" w:name="_Toc172418793"/>
      <w:r w:rsidRPr="00631E54">
        <w:rPr>
          <w:rFonts w:ascii="Arial" w:hAnsi="Arial" w:cs="Arial"/>
        </w:rPr>
        <w:t>Power-Interest Matrix</w:t>
      </w:r>
      <w:bookmarkEnd w:id="2"/>
    </w:p>
    <w:p w14:paraId="518C94F7" w14:textId="5809C1DF" w:rsidR="00B25029" w:rsidRPr="00631E54" w:rsidRDefault="00B25029" w:rsidP="00541CE7">
      <w:pPr>
        <w:spacing w:line="360" w:lineRule="auto"/>
        <w:rPr>
          <w:rFonts w:ascii="Arial" w:hAnsi="Arial" w:cs="Arial"/>
          <w:sz w:val="24"/>
          <w:szCs w:val="24"/>
        </w:rPr>
      </w:pPr>
      <w:r w:rsidRPr="00631E54">
        <w:rPr>
          <w:rFonts w:ascii="Arial" w:hAnsi="Arial" w:cs="Arial"/>
          <w:sz w:val="24"/>
          <w:szCs w:val="24"/>
        </w:rPr>
        <w:t>The strategic tool known as the Power-Interest Matrix is utilized to examine stakeholders by plotting their power level against their level of interest in the activities of an organization. This matrix serves as a valuable resource for organizations to efficiently prioritize their efforts in engaging with stakeholders</w:t>
      </w:r>
      <w:r w:rsidR="002A5F8B" w:rsidRPr="00631E54">
        <w:rPr>
          <w:rFonts w:ascii="Arial" w:hAnsi="Arial" w:cs="Arial"/>
          <w:sz w:val="24"/>
          <w:szCs w:val="24"/>
        </w:rPr>
        <w:t xml:space="preserve"> </w:t>
      </w:r>
      <w:r w:rsidR="002A5F8B" w:rsidRPr="00631E54">
        <w:rPr>
          <w:rFonts w:ascii="Arial" w:hAnsi="Arial" w:cs="Arial"/>
          <w:kern w:val="0"/>
          <w:sz w:val="24"/>
        </w:rPr>
        <w:t>(Slabá and Fiala, 2014)</w:t>
      </w:r>
      <w:r w:rsidRPr="00631E54">
        <w:rPr>
          <w:rFonts w:ascii="Arial" w:hAnsi="Arial" w:cs="Arial"/>
          <w:sz w:val="24"/>
          <w:szCs w:val="24"/>
        </w:rPr>
        <w:t>.</w:t>
      </w:r>
    </w:p>
    <w:p w14:paraId="4DB6FA79" w14:textId="744A4605" w:rsidR="00B25029" w:rsidRPr="00631E54" w:rsidRDefault="00B25029" w:rsidP="00541CE7">
      <w:pPr>
        <w:spacing w:line="360" w:lineRule="auto"/>
        <w:rPr>
          <w:rFonts w:ascii="Arial" w:hAnsi="Arial" w:cs="Arial"/>
          <w:sz w:val="24"/>
          <w:szCs w:val="24"/>
        </w:rPr>
      </w:pPr>
      <w:r w:rsidRPr="00631E54">
        <w:rPr>
          <w:rFonts w:ascii="Arial" w:hAnsi="Arial" w:cs="Arial"/>
          <w:sz w:val="24"/>
          <w:szCs w:val="24"/>
        </w:rPr>
        <w:t>Within the Power-Interest Matrix, stakeholders are positioned on a grid that consists of two axes: power and interest. Power refers to the stakeholder's capacity to influence decisions and outcomes within the organization, while interest indicates the extent to which stakeholders are concerned or impacted by the actions taken by said organization. The matrix is divided into four distinct quadrants</w:t>
      </w:r>
      <w:r w:rsidR="00B83197" w:rsidRPr="00631E54">
        <w:rPr>
          <w:rFonts w:ascii="Arial" w:hAnsi="Arial" w:cs="Arial"/>
          <w:sz w:val="24"/>
          <w:szCs w:val="24"/>
        </w:rPr>
        <w:t xml:space="preserve"> </w:t>
      </w:r>
      <w:r w:rsidR="00CE02FB" w:rsidRPr="00631E54">
        <w:rPr>
          <w:rFonts w:ascii="Arial" w:hAnsi="Arial" w:cs="Arial"/>
          <w:sz w:val="24"/>
        </w:rPr>
        <w:t>(Mathur et al., 2007)</w:t>
      </w:r>
      <w:r w:rsidRPr="00631E54">
        <w:rPr>
          <w:rFonts w:ascii="Arial" w:hAnsi="Arial" w:cs="Arial"/>
          <w:sz w:val="24"/>
          <w:szCs w:val="24"/>
        </w:rPr>
        <w:t>.</w:t>
      </w:r>
    </w:p>
    <w:p w14:paraId="38E69003" w14:textId="77777777" w:rsidR="008A7A80" w:rsidRPr="00631E54" w:rsidRDefault="008A7A80" w:rsidP="00541CE7">
      <w:pPr>
        <w:spacing w:line="360" w:lineRule="auto"/>
        <w:rPr>
          <w:rFonts w:ascii="Arial" w:hAnsi="Arial" w:cs="Arial"/>
          <w:sz w:val="24"/>
          <w:szCs w:val="24"/>
        </w:rPr>
      </w:pPr>
    </w:p>
    <w:p w14:paraId="3C39F86E" w14:textId="4E7948B2" w:rsidR="008A7A80" w:rsidRPr="00631E54" w:rsidRDefault="008A7A80" w:rsidP="00541CE7">
      <w:pPr>
        <w:spacing w:line="360" w:lineRule="auto"/>
        <w:rPr>
          <w:rFonts w:ascii="Arial" w:hAnsi="Arial" w:cs="Arial"/>
          <w:sz w:val="24"/>
          <w:szCs w:val="24"/>
        </w:rPr>
      </w:pPr>
      <w:r w:rsidRPr="00631E54">
        <w:rPr>
          <w:rFonts w:ascii="Arial" w:hAnsi="Arial" w:cs="Arial"/>
          <w:sz w:val="24"/>
          <w:szCs w:val="24"/>
        </w:rPr>
        <w:lastRenderedPageBreak/>
        <w:t xml:space="preserve">Stakeholders categorized as </w:t>
      </w:r>
      <w:r w:rsidRPr="00631E54">
        <w:rPr>
          <w:rFonts w:ascii="Arial" w:hAnsi="Arial" w:cs="Arial"/>
          <w:b/>
          <w:bCs/>
          <w:sz w:val="24"/>
          <w:szCs w:val="24"/>
        </w:rPr>
        <w:t>"High Power, High Interest</w:t>
      </w:r>
      <w:r w:rsidRPr="00631E54">
        <w:rPr>
          <w:rFonts w:ascii="Arial" w:hAnsi="Arial" w:cs="Arial"/>
          <w:sz w:val="24"/>
          <w:szCs w:val="24"/>
        </w:rPr>
        <w:t>" play a critical role in the organization and hold substantial influence. Their level of concern regarding the organization's activities is significant. It is imperative to actively engage and closely manage these stakeholders to meet their needs and expectations effectively. In the case of the Post Office, examples of stakeholders falling into this category are the Communication Workers Union (CWU) and postal workers.</w:t>
      </w:r>
    </w:p>
    <w:p w14:paraId="6A4FD115" w14:textId="22AC7E62" w:rsidR="008A7A80" w:rsidRPr="00631E54" w:rsidRDefault="008A7A80" w:rsidP="00541CE7">
      <w:pPr>
        <w:spacing w:line="360" w:lineRule="auto"/>
        <w:rPr>
          <w:rFonts w:ascii="Arial" w:hAnsi="Arial" w:cs="Arial"/>
          <w:sz w:val="24"/>
          <w:szCs w:val="24"/>
        </w:rPr>
      </w:pPr>
      <w:r w:rsidRPr="00631E54">
        <w:rPr>
          <w:rFonts w:ascii="Arial" w:hAnsi="Arial" w:cs="Arial"/>
          <w:sz w:val="24"/>
          <w:szCs w:val="24"/>
        </w:rPr>
        <w:t xml:space="preserve">On the other hand, stakeholders classified as </w:t>
      </w:r>
      <w:r w:rsidRPr="00631E54">
        <w:rPr>
          <w:rFonts w:ascii="Arial" w:hAnsi="Arial" w:cs="Arial"/>
          <w:b/>
          <w:bCs/>
          <w:sz w:val="24"/>
          <w:szCs w:val="24"/>
        </w:rPr>
        <w:t>"High Power, Low Interest"</w:t>
      </w:r>
      <w:r w:rsidRPr="00631E54">
        <w:rPr>
          <w:rFonts w:ascii="Arial" w:hAnsi="Arial" w:cs="Arial"/>
          <w:sz w:val="24"/>
          <w:szCs w:val="24"/>
        </w:rPr>
        <w:t xml:space="preserve"> possess considerable influence but show less interest in day-to-day operations. To prevent any potential negative impact, organizations should focus on keeping these stakeholders satisfied. Government bodies and regulatory entities typically fall within this group.</w:t>
      </w:r>
    </w:p>
    <w:p w14:paraId="12E013CF" w14:textId="08CB66F3" w:rsidR="00645FFC" w:rsidRPr="00631E54" w:rsidRDefault="008A7A80" w:rsidP="00541CE7">
      <w:pPr>
        <w:spacing w:line="360" w:lineRule="auto"/>
        <w:rPr>
          <w:rFonts w:ascii="Arial" w:hAnsi="Arial" w:cs="Arial"/>
          <w:sz w:val="24"/>
          <w:szCs w:val="24"/>
        </w:rPr>
      </w:pPr>
      <w:r w:rsidRPr="00631E54">
        <w:rPr>
          <w:rFonts w:ascii="Arial" w:hAnsi="Arial" w:cs="Arial"/>
          <w:sz w:val="24"/>
          <w:szCs w:val="24"/>
        </w:rPr>
        <w:t xml:space="preserve">Stakeholders falling into the </w:t>
      </w:r>
      <w:r w:rsidRPr="00631E54">
        <w:rPr>
          <w:rFonts w:ascii="Arial" w:hAnsi="Arial" w:cs="Arial"/>
          <w:b/>
          <w:bCs/>
          <w:sz w:val="24"/>
          <w:szCs w:val="24"/>
        </w:rPr>
        <w:t>"Low Power, High Interest</w:t>
      </w:r>
      <w:r w:rsidRPr="00631E54">
        <w:rPr>
          <w:rFonts w:ascii="Arial" w:hAnsi="Arial" w:cs="Arial"/>
          <w:sz w:val="24"/>
          <w:szCs w:val="24"/>
        </w:rPr>
        <w:t xml:space="preserve">" quadrant exhibit a keen interest in an organization's activities but lack significant power to influence outcomes directly. Therefore, it is crucial to keep them informed about relevant developments to ensure their continued support. This category commonly includes customers and media </w:t>
      </w:r>
      <w:r w:rsidR="00874090" w:rsidRPr="00631E54">
        <w:rPr>
          <w:rFonts w:ascii="Arial" w:hAnsi="Arial" w:cs="Arial"/>
          <w:sz w:val="24"/>
          <w:szCs w:val="24"/>
        </w:rPr>
        <w:t xml:space="preserve">representatives </w:t>
      </w:r>
      <w:r w:rsidR="002358A1" w:rsidRPr="00631E54">
        <w:rPr>
          <w:rFonts w:ascii="Arial" w:hAnsi="Arial" w:cs="Arial"/>
          <w:sz w:val="24"/>
        </w:rPr>
        <w:t>(Mathur et al., 2007)</w:t>
      </w:r>
      <w:r w:rsidRPr="00631E54">
        <w:rPr>
          <w:rFonts w:ascii="Arial" w:hAnsi="Arial" w:cs="Arial"/>
          <w:sz w:val="24"/>
          <w:szCs w:val="24"/>
        </w:rPr>
        <w:t>.</w:t>
      </w:r>
    </w:p>
    <w:p w14:paraId="7D3F6580" w14:textId="42F51D93" w:rsidR="008A7A80" w:rsidRPr="00631E54" w:rsidRDefault="00645FFC" w:rsidP="00541CE7">
      <w:pPr>
        <w:spacing w:line="360" w:lineRule="auto"/>
        <w:rPr>
          <w:rFonts w:ascii="Arial" w:hAnsi="Arial" w:cs="Arial"/>
          <w:sz w:val="24"/>
          <w:szCs w:val="24"/>
        </w:rPr>
      </w:pPr>
      <w:r w:rsidRPr="00631E54">
        <w:rPr>
          <w:rFonts w:ascii="Arial" w:hAnsi="Arial" w:cs="Arial"/>
          <w:sz w:val="24"/>
          <w:szCs w:val="24"/>
        </w:rPr>
        <w:t xml:space="preserve">Stakeholders with </w:t>
      </w:r>
      <w:r w:rsidRPr="00631E54">
        <w:rPr>
          <w:rFonts w:ascii="Arial" w:hAnsi="Arial" w:cs="Arial"/>
          <w:b/>
          <w:bCs/>
          <w:sz w:val="24"/>
          <w:szCs w:val="24"/>
        </w:rPr>
        <w:t>“Low Power, Low Interest</w:t>
      </w:r>
      <w:r w:rsidRPr="00631E54">
        <w:rPr>
          <w:rFonts w:ascii="Arial" w:hAnsi="Arial" w:cs="Arial"/>
          <w:sz w:val="24"/>
          <w:szCs w:val="24"/>
        </w:rPr>
        <w:t>”, such as suppliers and contractors, have little influence but should still be monitored for any changes in their status. These stakeholders require minimal attention compared to others.</w:t>
      </w:r>
    </w:p>
    <w:p w14:paraId="7D24C44A" w14:textId="54419262" w:rsidR="00645FFC" w:rsidRPr="00631E54" w:rsidRDefault="00D333E5" w:rsidP="00541CE7">
      <w:pPr>
        <w:spacing w:line="360" w:lineRule="auto"/>
        <w:rPr>
          <w:rFonts w:ascii="Arial" w:hAnsi="Arial" w:cs="Arial"/>
          <w:sz w:val="24"/>
          <w:szCs w:val="24"/>
        </w:rPr>
      </w:pPr>
      <w:r w:rsidRPr="00631E54">
        <w:rPr>
          <w:rFonts w:ascii="Arial" w:hAnsi="Arial" w:cs="Arial"/>
          <w:sz w:val="24"/>
          <w:szCs w:val="24"/>
        </w:rPr>
        <w:t>The Power-Interest Matrix offers several benefits, including its direct and clear method of prioritizing stakeholders according to their influence and interest. However, the simplicity of this model can also be a drawback since it may not fully capture the intricate and evolving nature of stakeholder relationships and their shifting priorities over time. Nevertheless, the Power-Interest Matrix continues to be a valuable tool for conducting stakeholder analysis by offering a lucid and actionable framework for effectively engaging with stakeholders</w:t>
      </w:r>
      <w:r w:rsidR="00CE02FB" w:rsidRPr="00631E54">
        <w:rPr>
          <w:rFonts w:ascii="Arial" w:hAnsi="Arial" w:cs="Arial"/>
          <w:sz w:val="24"/>
          <w:szCs w:val="24"/>
        </w:rPr>
        <w:t xml:space="preserve"> </w:t>
      </w:r>
      <w:r w:rsidR="00B21FE0" w:rsidRPr="00631E54">
        <w:rPr>
          <w:rFonts w:ascii="Arial" w:hAnsi="Arial" w:cs="Arial"/>
          <w:sz w:val="24"/>
        </w:rPr>
        <w:t>(Demir et al., 2015)</w:t>
      </w:r>
      <w:r w:rsidRPr="00631E54">
        <w:rPr>
          <w:rFonts w:ascii="Arial" w:hAnsi="Arial" w:cs="Arial"/>
          <w:sz w:val="24"/>
          <w:szCs w:val="24"/>
        </w:rPr>
        <w:t>.</w:t>
      </w:r>
    </w:p>
    <w:p w14:paraId="62D1CFB4" w14:textId="60B5737A" w:rsidR="00C75D7A" w:rsidRPr="00631E54" w:rsidRDefault="00E9236B" w:rsidP="00541CE7">
      <w:pPr>
        <w:pStyle w:val="Heading2"/>
        <w:spacing w:line="360" w:lineRule="auto"/>
        <w:rPr>
          <w:rFonts w:ascii="Arial" w:hAnsi="Arial" w:cs="Arial"/>
        </w:rPr>
      </w:pPr>
      <w:bookmarkStart w:id="3" w:name="_Toc172418794"/>
      <w:r w:rsidRPr="00631E54">
        <w:rPr>
          <w:rFonts w:ascii="Arial" w:hAnsi="Arial" w:cs="Arial"/>
        </w:rPr>
        <w:t>Stakeholder Identification</w:t>
      </w:r>
      <w:bookmarkEnd w:id="3"/>
    </w:p>
    <w:p w14:paraId="7F44D414" w14:textId="40DBA352" w:rsidR="00C75D7A" w:rsidRPr="00631E54" w:rsidRDefault="00C75D7A" w:rsidP="00541CE7">
      <w:pPr>
        <w:spacing w:line="360" w:lineRule="auto"/>
        <w:rPr>
          <w:rFonts w:ascii="Arial" w:hAnsi="Arial" w:cs="Arial"/>
          <w:sz w:val="24"/>
          <w:szCs w:val="24"/>
        </w:rPr>
      </w:pPr>
      <w:r w:rsidRPr="00631E54">
        <w:rPr>
          <w:rFonts w:ascii="Arial" w:hAnsi="Arial" w:cs="Arial"/>
          <w:sz w:val="24"/>
          <w:szCs w:val="24"/>
        </w:rPr>
        <w:t>Post Office management assumes a direct role in decision-making processes and bears responsibility for negotiating with workers and their union. The actions and decisions made by management exert significant impact on resolving the conflict at hand.</w:t>
      </w:r>
    </w:p>
    <w:p w14:paraId="36DE80CB" w14:textId="59EEFFE4" w:rsidR="00C75D7A" w:rsidRPr="00631E54" w:rsidRDefault="00C75D7A" w:rsidP="00541CE7">
      <w:pPr>
        <w:spacing w:line="360" w:lineRule="auto"/>
        <w:rPr>
          <w:rFonts w:ascii="Arial" w:hAnsi="Arial" w:cs="Arial"/>
          <w:sz w:val="24"/>
          <w:szCs w:val="24"/>
        </w:rPr>
      </w:pPr>
      <w:r w:rsidRPr="00631E54">
        <w:rPr>
          <w:rFonts w:ascii="Arial" w:hAnsi="Arial" w:cs="Arial"/>
          <w:sz w:val="24"/>
          <w:szCs w:val="24"/>
        </w:rPr>
        <w:lastRenderedPageBreak/>
        <w:t>At the core of this dispute lie postal workers themselves, whose pay and working conditions are central issues. Their contentment levels along with their willingness to work are vital factors that determine whether postal services can continue to function effectively.</w:t>
      </w:r>
    </w:p>
    <w:p w14:paraId="3E298A3A" w14:textId="130FA30E" w:rsidR="00C75D7A" w:rsidRPr="00631E54" w:rsidRDefault="00C75D7A" w:rsidP="00541CE7">
      <w:pPr>
        <w:spacing w:line="360" w:lineRule="auto"/>
        <w:rPr>
          <w:rFonts w:ascii="Arial" w:hAnsi="Arial" w:cs="Arial"/>
          <w:sz w:val="24"/>
          <w:szCs w:val="24"/>
        </w:rPr>
      </w:pPr>
      <w:r w:rsidRPr="00631E54">
        <w:rPr>
          <w:rFonts w:ascii="Arial" w:hAnsi="Arial" w:cs="Arial"/>
          <w:sz w:val="24"/>
          <w:szCs w:val="24"/>
        </w:rPr>
        <w:t>The Communication Workers Union (CWU) acts as a representative body for postal workers while advocating for their best interests. The union plays an essential role in negotiations throughout this conflict resolution process.</w:t>
      </w:r>
    </w:p>
    <w:p w14:paraId="3E7AB849" w14:textId="53C29109" w:rsidR="00C75D7A" w:rsidRPr="00631E54" w:rsidRDefault="00C75D7A" w:rsidP="00541CE7">
      <w:pPr>
        <w:spacing w:line="360" w:lineRule="auto"/>
        <w:rPr>
          <w:rFonts w:ascii="Arial" w:hAnsi="Arial" w:cs="Arial"/>
          <w:sz w:val="24"/>
          <w:szCs w:val="24"/>
        </w:rPr>
      </w:pPr>
      <w:r w:rsidRPr="00631E54">
        <w:rPr>
          <w:rFonts w:ascii="Arial" w:hAnsi="Arial" w:cs="Arial"/>
          <w:sz w:val="24"/>
          <w:szCs w:val="24"/>
        </w:rPr>
        <w:t>Customers depend on postal services for both personal needs as well as business operations. Consequently, their support levels alongside satisfaction play pivotal roles in shaping both organizational reputation and financial stability.</w:t>
      </w:r>
    </w:p>
    <w:p w14:paraId="6BE789D7" w14:textId="6A42F0AA" w:rsidR="00C75D7A" w:rsidRPr="00631E54" w:rsidRDefault="00C75D7A" w:rsidP="00541CE7">
      <w:pPr>
        <w:spacing w:line="360" w:lineRule="auto"/>
        <w:rPr>
          <w:rFonts w:ascii="Arial" w:hAnsi="Arial" w:cs="Arial"/>
          <w:sz w:val="24"/>
          <w:szCs w:val="24"/>
        </w:rPr>
      </w:pPr>
      <w:r w:rsidRPr="00631E54">
        <w:rPr>
          <w:rFonts w:ascii="Arial" w:hAnsi="Arial" w:cs="Arial"/>
          <w:sz w:val="24"/>
          <w:szCs w:val="24"/>
        </w:rPr>
        <w:t>Government bodies and regulatory authorities are responsible for overseeing operations and ensuring adherence to legal requirements. The outcome of negotiations can be influenced by their approval and support.</w:t>
      </w:r>
    </w:p>
    <w:p w14:paraId="0EB7890B" w14:textId="2517A744" w:rsidR="00C75D7A" w:rsidRPr="00631E54" w:rsidRDefault="00C75D7A" w:rsidP="00541CE7">
      <w:pPr>
        <w:spacing w:line="360" w:lineRule="auto"/>
        <w:rPr>
          <w:rFonts w:ascii="Arial" w:hAnsi="Arial" w:cs="Arial"/>
          <w:sz w:val="24"/>
          <w:szCs w:val="24"/>
        </w:rPr>
      </w:pPr>
      <w:r w:rsidRPr="00631E54">
        <w:rPr>
          <w:rFonts w:ascii="Arial" w:hAnsi="Arial" w:cs="Arial"/>
          <w:sz w:val="24"/>
          <w:szCs w:val="24"/>
        </w:rPr>
        <w:t>The media has the power to shape public perception, impacting both the organization and its stakeholders. Establishing effective communication with the media is crucial for managing public relations.</w:t>
      </w:r>
    </w:p>
    <w:p w14:paraId="468D32E7" w14:textId="321110E9" w:rsidR="00C75D7A" w:rsidRPr="00631E54" w:rsidRDefault="00C75D7A" w:rsidP="00541CE7">
      <w:pPr>
        <w:spacing w:line="360" w:lineRule="auto"/>
        <w:rPr>
          <w:rFonts w:ascii="Arial" w:hAnsi="Arial" w:cs="Arial"/>
          <w:sz w:val="24"/>
          <w:szCs w:val="24"/>
        </w:rPr>
      </w:pPr>
      <w:r w:rsidRPr="00631E54">
        <w:rPr>
          <w:rFonts w:ascii="Arial" w:hAnsi="Arial" w:cs="Arial"/>
          <w:sz w:val="24"/>
          <w:szCs w:val="24"/>
        </w:rPr>
        <w:t>Suppliers and contractors play a vital role in providing necessary goods and services to the Post Office. Disruptions can affect their operations, making their cooperation essential for seamless functioning.</w:t>
      </w:r>
    </w:p>
    <w:p w14:paraId="1D3DA57E" w14:textId="71A0BE20" w:rsidR="00C958BE" w:rsidRPr="00631E54" w:rsidRDefault="00C958BE" w:rsidP="00541CE7">
      <w:pPr>
        <w:pStyle w:val="Heading2"/>
        <w:spacing w:line="360" w:lineRule="auto"/>
        <w:rPr>
          <w:rFonts w:ascii="Arial" w:hAnsi="Arial" w:cs="Arial"/>
        </w:rPr>
      </w:pPr>
      <w:bookmarkStart w:id="4" w:name="_Toc172418795"/>
      <w:r w:rsidRPr="00631E54">
        <w:rPr>
          <w:rFonts w:ascii="Arial" w:hAnsi="Arial" w:cs="Arial"/>
        </w:rPr>
        <w:t>Stakeholder Alignment</w:t>
      </w:r>
      <w:bookmarkEnd w:id="4"/>
    </w:p>
    <w:p w14:paraId="3B5D7A79" w14:textId="3070C776" w:rsidR="00C958BE" w:rsidRPr="00631E54" w:rsidRDefault="00C958BE" w:rsidP="00541CE7">
      <w:pPr>
        <w:spacing w:line="360" w:lineRule="auto"/>
        <w:rPr>
          <w:rFonts w:ascii="Arial" w:hAnsi="Arial" w:cs="Arial"/>
          <w:sz w:val="24"/>
          <w:szCs w:val="24"/>
        </w:rPr>
      </w:pPr>
      <w:r w:rsidRPr="00631E54">
        <w:rPr>
          <w:rFonts w:ascii="Arial" w:hAnsi="Arial" w:cs="Arial"/>
          <w:sz w:val="24"/>
          <w:szCs w:val="24"/>
        </w:rPr>
        <w:t>The Power-Interest Matrix is a framework that classifies stakeholders based on their level of power and interest in the activities of an organization. This classification system assists in determining the most appropriate strategies for engaging with each stakeholder group.</w:t>
      </w:r>
    </w:p>
    <w:p w14:paraId="75D61907" w14:textId="67735A0B" w:rsidR="0088184C" w:rsidRPr="00631E54" w:rsidRDefault="00C958BE" w:rsidP="00541CE7">
      <w:pPr>
        <w:spacing w:line="360" w:lineRule="auto"/>
        <w:rPr>
          <w:rFonts w:ascii="Arial" w:hAnsi="Arial" w:cs="Arial"/>
          <w:sz w:val="24"/>
          <w:szCs w:val="24"/>
        </w:rPr>
      </w:pPr>
      <w:r w:rsidRPr="00631E54">
        <w:rPr>
          <w:rFonts w:ascii="Arial" w:hAnsi="Arial" w:cs="Arial"/>
          <w:sz w:val="24"/>
          <w:szCs w:val="24"/>
        </w:rPr>
        <w:t>Stakeholders who fall into the "</w:t>
      </w:r>
      <w:r w:rsidRPr="00631E54">
        <w:rPr>
          <w:rFonts w:ascii="Arial" w:hAnsi="Arial" w:cs="Arial"/>
          <w:b/>
          <w:bCs/>
          <w:sz w:val="24"/>
          <w:szCs w:val="24"/>
        </w:rPr>
        <w:t>High Power, High Interest</w:t>
      </w:r>
      <w:r w:rsidRPr="00631E54">
        <w:rPr>
          <w:rFonts w:ascii="Arial" w:hAnsi="Arial" w:cs="Arial"/>
          <w:sz w:val="24"/>
          <w:szCs w:val="24"/>
        </w:rPr>
        <w:t xml:space="preserve">" quadrant are of utmost importance to the organization and necessitate active engagement and close management. The Communication Workers Union (CWU) and postal workers are examples of stakeholders in this category. The CWU, which represents postal workers, </w:t>
      </w:r>
      <w:r w:rsidRPr="00631E54">
        <w:rPr>
          <w:rFonts w:ascii="Arial" w:hAnsi="Arial" w:cs="Arial"/>
          <w:sz w:val="24"/>
          <w:szCs w:val="24"/>
        </w:rPr>
        <w:lastRenderedPageBreak/>
        <w:t>wields significant influence and holds deep concerns regarding pay and working conditions outcomes. Postal workers themselves are directly impacted by decisions made within the organization, resulting in a high level of interest in resolving disputes. Engaging with these stakeholders is essential to achieve an effective and sustainable solution.</w:t>
      </w:r>
    </w:p>
    <w:p w14:paraId="3E41D4AC" w14:textId="4F523FD9" w:rsidR="0088184C" w:rsidRPr="00631E54" w:rsidRDefault="0088184C" w:rsidP="00541CE7">
      <w:pPr>
        <w:spacing w:line="360" w:lineRule="auto"/>
        <w:rPr>
          <w:rFonts w:ascii="Arial" w:hAnsi="Arial" w:cs="Arial"/>
          <w:sz w:val="24"/>
          <w:szCs w:val="24"/>
        </w:rPr>
      </w:pPr>
      <w:r w:rsidRPr="00631E54">
        <w:rPr>
          <w:rFonts w:ascii="Arial" w:hAnsi="Arial" w:cs="Arial"/>
          <w:sz w:val="24"/>
          <w:szCs w:val="24"/>
        </w:rPr>
        <w:t xml:space="preserve">Stakeholders with significant influence over the organization but limited concern for day-to-day operations are classified as </w:t>
      </w:r>
      <w:r w:rsidRPr="00631E54">
        <w:rPr>
          <w:rFonts w:ascii="Arial" w:hAnsi="Arial" w:cs="Arial"/>
          <w:b/>
          <w:bCs/>
          <w:sz w:val="24"/>
          <w:szCs w:val="24"/>
        </w:rPr>
        <w:t>High Power, Low Interest (Keep Satisfied</w:t>
      </w:r>
      <w:r w:rsidRPr="00631E54">
        <w:rPr>
          <w:rFonts w:ascii="Arial" w:hAnsi="Arial" w:cs="Arial"/>
          <w:sz w:val="24"/>
          <w:szCs w:val="24"/>
        </w:rPr>
        <w:t>). This category typically includes government and regulatory bodies. Their primary focus is on ensuring compliance with laws and regulations, making their support crucial for maintaining the organization's legitimacy and smooth functioning. To prevent any potential negative consequences, it is essential to satisfy these stakeholders through adherence to regulations and regular updates.</w:t>
      </w:r>
    </w:p>
    <w:p w14:paraId="141C5379" w14:textId="3A68BDB3" w:rsidR="005E0462" w:rsidRPr="00631E54" w:rsidRDefault="0088184C" w:rsidP="00541CE7">
      <w:pPr>
        <w:spacing w:line="360" w:lineRule="auto"/>
        <w:rPr>
          <w:rFonts w:ascii="Arial" w:hAnsi="Arial" w:cs="Arial"/>
          <w:sz w:val="24"/>
          <w:szCs w:val="24"/>
        </w:rPr>
      </w:pPr>
      <w:r w:rsidRPr="00631E54">
        <w:rPr>
          <w:rFonts w:ascii="Arial" w:hAnsi="Arial" w:cs="Arial"/>
          <w:sz w:val="24"/>
          <w:szCs w:val="24"/>
        </w:rPr>
        <w:t xml:space="preserve">On the other hand, stakeholders in the </w:t>
      </w:r>
      <w:r w:rsidRPr="00631E54">
        <w:rPr>
          <w:rFonts w:ascii="Arial" w:hAnsi="Arial" w:cs="Arial"/>
          <w:b/>
          <w:bCs/>
          <w:sz w:val="24"/>
          <w:szCs w:val="24"/>
        </w:rPr>
        <w:t>Low Power, High Interest (Keep Informed)</w:t>
      </w:r>
      <w:r w:rsidRPr="00631E54">
        <w:rPr>
          <w:rFonts w:ascii="Arial" w:hAnsi="Arial" w:cs="Arial"/>
          <w:sz w:val="24"/>
          <w:szCs w:val="24"/>
        </w:rPr>
        <w:t xml:space="preserve"> quadrant possess a strong interest in the organization's activities but lack substantial power to influence outcomes. This category often comprises customers and media entities. Customers rely on postal services for personal and business needs, making them highly invested in dispute resolution outcomes. The media holds sway over public opinion; therefore, keeping them informed is vital to ensure accurate and </w:t>
      </w:r>
      <w:r w:rsidR="00A6078E" w:rsidRPr="00631E54">
        <w:rPr>
          <w:rFonts w:ascii="Arial" w:hAnsi="Arial" w:cs="Arial"/>
          <w:sz w:val="24"/>
          <w:szCs w:val="24"/>
        </w:rPr>
        <w:t>favourable</w:t>
      </w:r>
      <w:r w:rsidRPr="00631E54">
        <w:rPr>
          <w:rFonts w:ascii="Arial" w:hAnsi="Arial" w:cs="Arial"/>
          <w:sz w:val="24"/>
          <w:szCs w:val="24"/>
        </w:rPr>
        <w:t xml:space="preserve"> coverage. Providing timely and transparent information to these stakeholders is crucial for preserving their support and trust.</w:t>
      </w:r>
    </w:p>
    <w:p w14:paraId="0ED5F05E" w14:textId="6CC17D62" w:rsidR="003C3B7E" w:rsidRPr="00631E54" w:rsidRDefault="005E0462" w:rsidP="00541CE7">
      <w:pPr>
        <w:spacing w:line="360" w:lineRule="auto"/>
        <w:rPr>
          <w:rFonts w:ascii="Arial" w:hAnsi="Arial" w:cs="Arial"/>
          <w:sz w:val="24"/>
          <w:szCs w:val="24"/>
        </w:rPr>
      </w:pPr>
      <w:r w:rsidRPr="00631E54">
        <w:rPr>
          <w:rFonts w:ascii="Arial" w:hAnsi="Arial" w:cs="Arial"/>
          <w:sz w:val="24"/>
          <w:szCs w:val="24"/>
        </w:rPr>
        <w:t xml:space="preserve">Stakeholders with </w:t>
      </w:r>
      <w:r w:rsidR="004C46AA" w:rsidRPr="00631E54">
        <w:rPr>
          <w:rFonts w:ascii="Arial" w:hAnsi="Arial" w:cs="Arial"/>
          <w:b/>
          <w:bCs/>
          <w:sz w:val="24"/>
          <w:szCs w:val="24"/>
        </w:rPr>
        <w:t>L</w:t>
      </w:r>
      <w:r w:rsidRPr="00631E54">
        <w:rPr>
          <w:rFonts w:ascii="Arial" w:hAnsi="Arial" w:cs="Arial"/>
          <w:b/>
          <w:bCs/>
          <w:sz w:val="24"/>
          <w:szCs w:val="24"/>
        </w:rPr>
        <w:t>ow power</w:t>
      </w:r>
      <w:r w:rsidR="004C46AA" w:rsidRPr="00631E54">
        <w:rPr>
          <w:rFonts w:ascii="Arial" w:hAnsi="Arial" w:cs="Arial"/>
          <w:b/>
          <w:bCs/>
          <w:sz w:val="24"/>
          <w:szCs w:val="24"/>
        </w:rPr>
        <w:t>, L</w:t>
      </w:r>
      <w:r w:rsidR="00A6078E" w:rsidRPr="00631E54">
        <w:rPr>
          <w:rFonts w:ascii="Arial" w:hAnsi="Arial" w:cs="Arial"/>
          <w:b/>
          <w:bCs/>
          <w:sz w:val="24"/>
          <w:szCs w:val="24"/>
        </w:rPr>
        <w:t xml:space="preserve">ow </w:t>
      </w:r>
      <w:r w:rsidRPr="00631E54">
        <w:rPr>
          <w:rFonts w:ascii="Arial" w:hAnsi="Arial" w:cs="Arial"/>
          <w:b/>
          <w:bCs/>
          <w:sz w:val="24"/>
          <w:szCs w:val="24"/>
        </w:rPr>
        <w:t>interest</w:t>
      </w:r>
      <w:r w:rsidRPr="00631E54">
        <w:rPr>
          <w:rFonts w:ascii="Arial" w:hAnsi="Arial" w:cs="Arial"/>
          <w:sz w:val="24"/>
          <w:szCs w:val="24"/>
        </w:rPr>
        <w:t>, such as suppliers and contractors, have minimal influence on the organization's activities. Although they play a crucial role in the supply chain, their direct impact on resolving disputes is limited. Nonetheless, it remains vital to monitor these stakeholders for any changes in their status or level of interest that may necessitate increased engagement.</w:t>
      </w:r>
    </w:p>
    <w:p w14:paraId="17CACAAF" w14:textId="1C908126" w:rsidR="003C3B7E" w:rsidRPr="00631E54" w:rsidRDefault="003C3B7E" w:rsidP="00541CE7">
      <w:pPr>
        <w:spacing w:line="360" w:lineRule="auto"/>
        <w:rPr>
          <w:rFonts w:ascii="Arial" w:hAnsi="Arial" w:cs="Arial"/>
          <w:sz w:val="24"/>
          <w:szCs w:val="24"/>
        </w:rPr>
      </w:pPr>
      <w:r w:rsidRPr="00631E54">
        <w:rPr>
          <w:rFonts w:ascii="Arial" w:hAnsi="Arial" w:cs="Arial"/>
          <w:sz w:val="24"/>
          <w:szCs w:val="24"/>
        </w:rPr>
        <w:t xml:space="preserve">The Communication Workers Union (CWU) and postal workers are positioned in the high power, high interest quadrant as they are directly impacted by the salary disagreement and hold significant sway over resolving the conflict. The CWU represents postal workers as a whole, advocating for equitable pay and working conditions. Their strong interest arises from the immediate effects on their livelihoods and job </w:t>
      </w:r>
      <w:r w:rsidRPr="00631E54">
        <w:rPr>
          <w:rFonts w:ascii="Arial" w:hAnsi="Arial" w:cs="Arial"/>
          <w:sz w:val="24"/>
          <w:szCs w:val="24"/>
        </w:rPr>
        <w:lastRenderedPageBreak/>
        <w:t>satisfaction. Through organizing strikes and mobilizing employees, the union possesses considerable influence in shaping negotiations and outcomes.</w:t>
      </w:r>
    </w:p>
    <w:p w14:paraId="59D30C86" w14:textId="59CE66CD" w:rsidR="003C3B7E" w:rsidRPr="00631E54" w:rsidRDefault="003C3B7E" w:rsidP="00541CE7">
      <w:pPr>
        <w:spacing w:line="360" w:lineRule="auto"/>
        <w:rPr>
          <w:rFonts w:ascii="Arial" w:hAnsi="Arial" w:cs="Arial"/>
          <w:sz w:val="24"/>
          <w:szCs w:val="24"/>
        </w:rPr>
      </w:pPr>
      <w:r w:rsidRPr="00631E54">
        <w:rPr>
          <w:rFonts w:ascii="Arial" w:hAnsi="Arial" w:cs="Arial"/>
          <w:sz w:val="24"/>
          <w:szCs w:val="24"/>
        </w:rPr>
        <w:t>Postal workers themselves possess a keen interest due to the direct consequences on their earnings and quality of life. Their collective actions, such as strikes, have the potential to disrupt operations and exert pressure on management to address their requests. The strength of postal workers lies in their ability to halt services, which can have a substantial impact on organizational performance and public perception.</w:t>
      </w:r>
    </w:p>
    <w:p w14:paraId="05A68B8B" w14:textId="77777777" w:rsidR="000D5B02" w:rsidRPr="00631E54" w:rsidRDefault="000D5B02" w:rsidP="00541CE7">
      <w:pPr>
        <w:keepNext/>
        <w:spacing w:line="360" w:lineRule="auto"/>
        <w:rPr>
          <w:rFonts w:ascii="Arial" w:hAnsi="Arial" w:cs="Arial"/>
        </w:rPr>
      </w:pPr>
      <w:r w:rsidRPr="00631E54">
        <w:rPr>
          <w:rFonts w:ascii="Arial" w:hAnsi="Arial" w:cs="Arial"/>
          <w:noProof/>
        </w:rPr>
        <w:drawing>
          <wp:inline distT="0" distB="0" distL="0" distR="0" wp14:anchorId="0BB5C3D5" wp14:editId="27AB9708">
            <wp:extent cx="5943600" cy="1938020"/>
            <wp:effectExtent l="0" t="0" r="0" b="5080"/>
            <wp:docPr id="240827905" name="Picture 1" descr="A yellow and orang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827905" name="Picture 1" descr="A yellow and orange rectangular box with black text&#10;&#10;Description automatically generated"/>
                    <pic:cNvPicPr/>
                  </pic:nvPicPr>
                  <pic:blipFill>
                    <a:blip r:embed="rId9"/>
                    <a:stretch>
                      <a:fillRect/>
                    </a:stretch>
                  </pic:blipFill>
                  <pic:spPr>
                    <a:xfrm>
                      <a:off x="0" y="0"/>
                      <a:ext cx="5943600" cy="1938020"/>
                    </a:xfrm>
                    <a:prstGeom prst="rect">
                      <a:avLst/>
                    </a:prstGeom>
                  </pic:spPr>
                </pic:pic>
              </a:graphicData>
            </a:graphic>
          </wp:inline>
        </w:drawing>
      </w:r>
    </w:p>
    <w:p w14:paraId="72EE4FEF" w14:textId="4EC58BAD" w:rsidR="000D5B02" w:rsidRPr="00631E54" w:rsidRDefault="000D5B02" w:rsidP="00541CE7">
      <w:pPr>
        <w:pStyle w:val="Caption"/>
        <w:spacing w:line="360" w:lineRule="auto"/>
        <w:rPr>
          <w:rFonts w:ascii="Arial" w:hAnsi="Arial" w:cs="Arial"/>
          <w:sz w:val="24"/>
          <w:szCs w:val="24"/>
        </w:rPr>
      </w:pPr>
      <w:r w:rsidRPr="00631E54">
        <w:rPr>
          <w:rFonts w:ascii="Arial" w:hAnsi="Arial" w:cs="Arial"/>
        </w:rPr>
        <w:t xml:space="preserve">Figure </w:t>
      </w:r>
      <w:r w:rsidRPr="00631E54">
        <w:rPr>
          <w:rFonts w:ascii="Arial" w:hAnsi="Arial" w:cs="Arial"/>
        </w:rPr>
        <w:fldChar w:fldCharType="begin"/>
      </w:r>
      <w:r w:rsidRPr="00631E54">
        <w:rPr>
          <w:rFonts w:ascii="Arial" w:hAnsi="Arial" w:cs="Arial"/>
        </w:rPr>
        <w:instrText xml:space="preserve"> SEQ Figure \* ARABIC </w:instrText>
      </w:r>
      <w:r w:rsidRPr="00631E54">
        <w:rPr>
          <w:rFonts w:ascii="Arial" w:hAnsi="Arial" w:cs="Arial"/>
        </w:rPr>
        <w:fldChar w:fldCharType="separate"/>
      </w:r>
      <w:r w:rsidRPr="00631E54">
        <w:rPr>
          <w:rFonts w:ascii="Arial" w:hAnsi="Arial" w:cs="Arial"/>
          <w:noProof/>
        </w:rPr>
        <w:t>1</w:t>
      </w:r>
      <w:r w:rsidRPr="00631E54">
        <w:rPr>
          <w:rFonts w:ascii="Arial" w:hAnsi="Arial" w:cs="Arial"/>
        </w:rPr>
        <w:fldChar w:fldCharType="end"/>
      </w:r>
      <w:r w:rsidRPr="00631E54">
        <w:rPr>
          <w:rFonts w:ascii="Arial" w:hAnsi="Arial" w:cs="Arial"/>
        </w:rPr>
        <w:t>: Power-Interest Matrix.</w:t>
      </w:r>
    </w:p>
    <w:p w14:paraId="0085AFFB" w14:textId="20A6DF8E" w:rsidR="000D5B02" w:rsidRPr="00631E54" w:rsidRDefault="001B1C62" w:rsidP="00541CE7">
      <w:pPr>
        <w:pStyle w:val="Heading2"/>
        <w:spacing w:line="360" w:lineRule="auto"/>
        <w:rPr>
          <w:rFonts w:ascii="Arial" w:hAnsi="Arial" w:cs="Arial"/>
        </w:rPr>
      </w:pPr>
      <w:bookmarkStart w:id="5" w:name="_Toc172418796"/>
      <w:r w:rsidRPr="00631E54">
        <w:rPr>
          <w:rFonts w:ascii="Arial" w:hAnsi="Arial" w:cs="Arial"/>
        </w:rPr>
        <w:t>Justification of Stakeholder’s Importance</w:t>
      </w:r>
      <w:bookmarkEnd w:id="5"/>
    </w:p>
    <w:p w14:paraId="39A78E18" w14:textId="4A1A46BF" w:rsidR="001B1C62" w:rsidRPr="00631E54" w:rsidRDefault="001B1C62" w:rsidP="00541CE7">
      <w:pPr>
        <w:pStyle w:val="Heading3"/>
        <w:spacing w:line="360" w:lineRule="auto"/>
        <w:rPr>
          <w:rFonts w:ascii="Arial" w:hAnsi="Arial" w:cs="Arial"/>
        </w:rPr>
      </w:pPr>
      <w:bookmarkStart w:id="6" w:name="_Toc172418797"/>
      <w:r w:rsidRPr="00631E54">
        <w:rPr>
          <w:rFonts w:ascii="Arial" w:hAnsi="Arial" w:cs="Arial"/>
        </w:rPr>
        <w:t>High Power, High Interest (Manage Closely)</w:t>
      </w:r>
      <w:bookmarkEnd w:id="6"/>
    </w:p>
    <w:p w14:paraId="62A42AE9" w14:textId="7FB3E4E4" w:rsidR="00B51BEF" w:rsidRPr="00631E54" w:rsidRDefault="00B51BEF" w:rsidP="00541CE7">
      <w:pPr>
        <w:spacing w:line="360" w:lineRule="auto"/>
        <w:rPr>
          <w:rFonts w:ascii="Arial" w:hAnsi="Arial" w:cs="Arial"/>
          <w:sz w:val="24"/>
          <w:szCs w:val="24"/>
        </w:rPr>
      </w:pPr>
      <w:r w:rsidRPr="00631E54">
        <w:rPr>
          <w:rFonts w:ascii="Arial" w:hAnsi="Arial" w:cs="Arial"/>
          <w:sz w:val="24"/>
          <w:szCs w:val="24"/>
        </w:rPr>
        <w:t>The Communication Workers Union (CWU) and postal workers occupy the quadrant of high power and high interest because they are directly impacted by the salary disagreement and possess substantial influence over the resolution of the dispute. Representing the unified voice of postal workers, CWU advocates for equitable remuneration and working conditions. Their heightened level of interest arises from the immediate consequences on their livelihoods and job satisfaction. The union's capacity to orchestrate strikes and mobilize employees grants them considerable power in shaping negotiations and outcomes.</w:t>
      </w:r>
    </w:p>
    <w:p w14:paraId="7DA1D348" w14:textId="7D1323F4" w:rsidR="00B51BEF" w:rsidRPr="00631E54" w:rsidRDefault="00B51BEF" w:rsidP="00541CE7">
      <w:pPr>
        <w:spacing w:line="360" w:lineRule="auto"/>
        <w:rPr>
          <w:rFonts w:ascii="Arial" w:hAnsi="Arial" w:cs="Arial"/>
          <w:sz w:val="24"/>
          <w:szCs w:val="24"/>
        </w:rPr>
      </w:pPr>
      <w:r w:rsidRPr="00631E54">
        <w:rPr>
          <w:rFonts w:ascii="Arial" w:hAnsi="Arial" w:cs="Arial"/>
          <w:sz w:val="24"/>
          <w:szCs w:val="24"/>
        </w:rPr>
        <w:t xml:space="preserve">Postal workers themselves exhibit significant interest due to the direct implications on their earnings and quality of life. Through collective action, such as engaging in strikes, they can disrupt operations while exerting pressure on management to address their </w:t>
      </w:r>
      <w:r w:rsidRPr="00631E54">
        <w:rPr>
          <w:rFonts w:ascii="Arial" w:hAnsi="Arial" w:cs="Arial"/>
          <w:sz w:val="24"/>
          <w:szCs w:val="24"/>
        </w:rPr>
        <w:lastRenderedPageBreak/>
        <w:t>demands. The strength of postal workers lies in their ability to suspend services, which can profoundly impact organizational performance as well as public perception.</w:t>
      </w:r>
    </w:p>
    <w:p w14:paraId="0337B7B1" w14:textId="35759220" w:rsidR="00B51BEF" w:rsidRPr="00631E54" w:rsidRDefault="00B51BEF" w:rsidP="00541CE7">
      <w:pPr>
        <w:spacing w:line="360" w:lineRule="auto"/>
        <w:rPr>
          <w:rFonts w:ascii="Arial" w:hAnsi="Arial" w:cs="Arial"/>
          <w:sz w:val="24"/>
          <w:szCs w:val="24"/>
        </w:rPr>
      </w:pPr>
      <w:r w:rsidRPr="00631E54">
        <w:rPr>
          <w:rFonts w:ascii="Arial" w:hAnsi="Arial" w:cs="Arial"/>
          <w:sz w:val="24"/>
          <w:szCs w:val="24"/>
        </w:rPr>
        <w:t xml:space="preserve">Resolving the conflict necessitates close collaboration with the CWU and postal workers. It is crucial to address their needs and expectations </w:t>
      </w:r>
      <w:r w:rsidR="004F73D5" w:rsidRPr="00631E54">
        <w:rPr>
          <w:rFonts w:ascii="Arial" w:hAnsi="Arial" w:cs="Arial"/>
          <w:sz w:val="24"/>
          <w:szCs w:val="24"/>
        </w:rPr>
        <w:t>to</w:t>
      </w:r>
      <w:r w:rsidRPr="00631E54">
        <w:rPr>
          <w:rFonts w:ascii="Arial" w:hAnsi="Arial" w:cs="Arial"/>
          <w:sz w:val="24"/>
          <w:szCs w:val="24"/>
        </w:rPr>
        <w:t xml:space="preserve"> reach an agreement that can be sustained over time. To achieve this, management must actively involve them in dialogue, negotiation, and decision-making processes. This will help build trust and facilitate the identification of mutually acceptable solutions. The cooperation of these stakeholders is vital for restoring normal operations and ensuring long-term stability.</w:t>
      </w:r>
    </w:p>
    <w:p w14:paraId="2A9AADDD" w14:textId="0B8EB71A" w:rsidR="00B51BEF" w:rsidRPr="00631E54" w:rsidRDefault="00B51BEF" w:rsidP="00541CE7">
      <w:pPr>
        <w:spacing w:line="360" w:lineRule="auto"/>
        <w:rPr>
          <w:rFonts w:ascii="Arial" w:hAnsi="Arial" w:cs="Arial"/>
          <w:sz w:val="24"/>
          <w:szCs w:val="24"/>
        </w:rPr>
      </w:pPr>
      <w:r w:rsidRPr="00631E54">
        <w:rPr>
          <w:rFonts w:ascii="Arial" w:hAnsi="Arial" w:cs="Arial"/>
          <w:sz w:val="24"/>
          <w:szCs w:val="24"/>
        </w:rPr>
        <w:t>The positioning of these stakeholders can be influenced by changing contexts, such as shifts in economic conditions or public opinion. For example, if there is increased public support for the workers' cause, it could enhance their leverage during negotiations. On the other hand, economic downturns might weaken their bargaining power. Therefore, it is essential to continuously monitor these factors and employ adaptive engagement strategies to effectively respond to evolving circumstances</w:t>
      </w:r>
    </w:p>
    <w:p w14:paraId="624B1200" w14:textId="565125A7" w:rsidR="00986715" w:rsidRPr="00631E54" w:rsidRDefault="00B51BEF" w:rsidP="00541CE7">
      <w:pPr>
        <w:pStyle w:val="Heading3"/>
        <w:spacing w:line="360" w:lineRule="auto"/>
        <w:rPr>
          <w:rFonts w:ascii="Arial" w:hAnsi="Arial" w:cs="Arial"/>
        </w:rPr>
      </w:pPr>
      <w:bookmarkStart w:id="7" w:name="_Toc172418798"/>
      <w:r w:rsidRPr="00631E54">
        <w:rPr>
          <w:rFonts w:ascii="Arial" w:hAnsi="Arial" w:cs="Arial"/>
        </w:rPr>
        <w:t>High Power, Low Interest (Keep Satisfied)</w:t>
      </w:r>
      <w:bookmarkEnd w:id="7"/>
    </w:p>
    <w:p w14:paraId="61961AC1" w14:textId="021E4E70" w:rsidR="00986715" w:rsidRPr="00631E54" w:rsidRDefault="00986715" w:rsidP="00541CE7">
      <w:pPr>
        <w:spacing w:line="360" w:lineRule="auto"/>
        <w:rPr>
          <w:rFonts w:ascii="Arial" w:hAnsi="Arial" w:cs="Arial"/>
          <w:sz w:val="24"/>
          <w:szCs w:val="24"/>
        </w:rPr>
      </w:pPr>
      <w:r w:rsidRPr="00631E54">
        <w:rPr>
          <w:rFonts w:ascii="Arial" w:hAnsi="Arial" w:cs="Arial"/>
          <w:sz w:val="24"/>
          <w:szCs w:val="24"/>
        </w:rPr>
        <w:t>Government and regulatory bodies occupy the quadrant of high power but low interest. These stakeholders wield significant influence over the Post Office by virtue of their regulatory authority and ability to enforce compliance requirements. However, their involvement in day-to-day operations tends to be limited unless issues reach a critical level that jeopardizes public welfare or regulatory standards.</w:t>
      </w:r>
    </w:p>
    <w:p w14:paraId="04FE426B" w14:textId="16C31D8B" w:rsidR="00986715" w:rsidRPr="00631E54" w:rsidRDefault="00986715" w:rsidP="00541CE7">
      <w:pPr>
        <w:spacing w:line="360" w:lineRule="auto"/>
        <w:rPr>
          <w:rFonts w:ascii="Arial" w:hAnsi="Arial" w:cs="Arial"/>
          <w:sz w:val="24"/>
          <w:szCs w:val="24"/>
        </w:rPr>
      </w:pPr>
      <w:r w:rsidRPr="00631E54">
        <w:rPr>
          <w:rFonts w:ascii="Arial" w:hAnsi="Arial" w:cs="Arial"/>
          <w:sz w:val="24"/>
          <w:szCs w:val="24"/>
        </w:rPr>
        <w:t>The presence of government bodies and regulators is essential for ensuring that the Post Office operates within legal and regulatory frameworks. Their endorsement and approval are crucial in upholding operational legitimacy while avoiding penalties or sanctions. While they may not delve into the intricacies of the payment dispute, their overall interest lies in maintaining service continuity and adhering to regulations, granting them substantial power.</w:t>
      </w:r>
    </w:p>
    <w:p w14:paraId="57D525BF" w14:textId="12343D4D" w:rsidR="00986715" w:rsidRPr="00631E54" w:rsidRDefault="00986715" w:rsidP="00541CE7">
      <w:pPr>
        <w:spacing w:line="360" w:lineRule="auto"/>
        <w:rPr>
          <w:rFonts w:ascii="Arial" w:hAnsi="Arial" w:cs="Arial"/>
          <w:sz w:val="24"/>
          <w:szCs w:val="24"/>
        </w:rPr>
      </w:pPr>
      <w:r w:rsidRPr="00631E54">
        <w:rPr>
          <w:rFonts w:ascii="Arial" w:hAnsi="Arial" w:cs="Arial"/>
          <w:sz w:val="24"/>
          <w:szCs w:val="24"/>
        </w:rPr>
        <w:t xml:space="preserve">To effectively resolve this conflict, it is imperative to keep government bodies and regulators satisfied by demonstrating compliance with regulations while providing </w:t>
      </w:r>
      <w:r w:rsidRPr="00631E54">
        <w:rPr>
          <w:rFonts w:ascii="Arial" w:hAnsi="Arial" w:cs="Arial"/>
          <w:sz w:val="24"/>
          <w:szCs w:val="24"/>
        </w:rPr>
        <w:lastRenderedPageBreak/>
        <w:t xml:space="preserve">regular updates on progress made. Engaging in proactive communication regarding how the organization addresses the dispute, sustains service levels, and adheres to regulations can help secure their support. </w:t>
      </w:r>
    </w:p>
    <w:p w14:paraId="4F5FA1D4" w14:textId="334F4548" w:rsidR="00986715" w:rsidRPr="00631E54" w:rsidRDefault="00986715" w:rsidP="00541CE7">
      <w:pPr>
        <w:spacing w:line="360" w:lineRule="auto"/>
        <w:rPr>
          <w:rFonts w:ascii="Arial" w:hAnsi="Arial" w:cs="Arial"/>
          <w:sz w:val="24"/>
          <w:szCs w:val="24"/>
        </w:rPr>
      </w:pPr>
      <w:r w:rsidRPr="00631E54">
        <w:rPr>
          <w:rFonts w:ascii="Arial" w:hAnsi="Arial" w:cs="Arial"/>
          <w:sz w:val="24"/>
          <w:szCs w:val="24"/>
        </w:rPr>
        <w:t xml:space="preserve">Changes in political landscapes, regulatory policies, or public safety concerns can have an impact on the stance of government and regulatory bodies. For example, the Post Office could be affected by different regulatory approaches or policies prioritized by a new government administration. It is thus crucial to stay updated on political and regulatory shifts and adapt engagement strategies accordingly </w:t>
      </w:r>
      <w:r w:rsidR="00C6320D" w:rsidRPr="00631E54">
        <w:rPr>
          <w:rFonts w:ascii="Arial" w:hAnsi="Arial" w:cs="Arial"/>
          <w:sz w:val="24"/>
          <w:szCs w:val="24"/>
        </w:rPr>
        <w:t>to</w:t>
      </w:r>
      <w:r w:rsidRPr="00631E54">
        <w:rPr>
          <w:rFonts w:ascii="Arial" w:hAnsi="Arial" w:cs="Arial"/>
          <w:sz w:val="24"/>
          <w:szCs w:val="24"/>
        </w:rPr>
        <w:t xml:space="preserve"> maintain support and influence.</w:t>
      </w:r>
    </w:p>
    <w:p w14:paraId="019F57AB" w14:textId="6C77FC23" w:rsidR="00C6320D" w:rsidRPr="00631E54" w:rsidRDefault="00C6320D" w:rsidP="00541CE7">
      <w:pPr>
        <w:pStyle w:val="Heading3"/>
        <w:spacing w:line="360" w:lineRule="auto"/>
        <w:rPr>
          <w:rFonts w:ascii="Arial" w:hAnsi="Arial" w:cs="Arial"/>
        </w:rPr>
      </w:pPr>
      <w:bookmarkStart w:id="8" w:name="_Toc172418799"/>
      <w:r w:rsidRPr="00631E54">
        <w:rPr>
          <w:rFonts w:ascii="Arial" w:hAnsi="Arial" w:cs="Arial"/>
        </w:rPr>
        <w:t>Low Power, High Interest (Keep Informed)</w:t>
      </w:r>
      <w:bookmarkEnd w:id="8"/>
    </w:p>
    <w:p w14:paraId="7BC948F7" w14:textId="5210BDE1" w:rsidR="00C6320D" w:rsidRPr="00631E54" w:rsidRDefault="00C6320D" w:rsidP="00541CE7">
      <w:pPr>
        <w:spacing w:line="360" w:lineRule="auto"/>
        <w:rPr>
          <w:rFonts w:ascii="Arial" w:hAnsi="Arial" w:cs="Arial"/>
          <w:sz w:val="24"/>
          <w:szCs w:val="24"/>
        </w:rPr>
      </w:pPr>
      <w:r w:rsidRPr="00631E54">
        <w:rPr>
          <w:rFonts w:ascii="Arial" w:hAnsi="Arial" w:cs="Arial"/>
          <w:sz w:val="24"/>
          <w:szCs w:val="24"/>
        </w:rPr>
        <w:t>Customers and the media are positioned in the quadrant of low power but high interest. These stakeholders possess a strong interest in the operations of the Post Office as they heavily rely on its services, and any disruptions have a direct impact on their daily lives or business activities. However, their ability to directly influence the resolution of the pay dispute is comparatively limited when compared to other stakeholders.</w:t>
      </w:r>
    </w:p>
    <w:p w14:paraId="37C4EF2F" w14:textId="1FB6B2EC" w:rsidR="00C6320D" w:rsidRPr="00631E54" w:rsidRDefault="00C6320D" w:rsidP="00541CE7">
      <w:pPr>
        <w:spacing w:line="360" w:lineRule="auto"/>
        <w:rPr>
          <w:rFonts w:ascii="Arial" w:hAnsi="Arial" w:cs="Arial"/>
          <w:sz w:val="24"/>
          <w:szCs w:val="24"/>
        </w:rPr>
      </w:pPr>
      <w:r w:rsidRPr="00631E54">
        <w:rPr>
          <w:rFonts w:ascii="Arial" w:hAnsi="Arial" w:cs="Arial"/>
          <w:sz w:val="24"/>
          <w:szCs w:val="24"/>
        </w:rPr>
        <w:t>Customers rely on postal services for sending and receiving mail and packages, making them highly invested in the outcome of this conflict. Disruptions can lead to significant inconvenience and financial losses, particularly for businesses. While individual customers may not wield substantial power individually, their collective opinion has the potential to shape public perception and customer loyalty. It is crucial for the organization's reputation and financial stability that customer satisfaction is ensured, and trust is maintained.</w:t>
      </w:r>
    </w:p>
    <w:p w14:paraId="63C1C446" w14:textId="0901A8D5" w:rsidR="00C6320D" w:rsidRPr="00631E54" w:rsidRDefault="00C6320D" w:rsidP="00541CE7">
      <w:pPr>
        <w:spacing w:line="360" w:lineRule="auto"/>
        <w:rPr>
          <w:rFonts w:ascii="Arial" w:hAnsi="Arial" w:cs="Arial"/>
          <w:sz w:val="24"/>
          <w:szCs w:val="24"/>
        </w:rPr>
      </w:pPr>
      <w:r w:rsidRPr="00631E54">
        <w:rPr>
          <w:rFonts w:ascii="Arial" w:hAnsi="Arial" w:cs="Arial"/>
          <w:sz w:val="24"/>
          <w:szCs w:val="24"/>
        </w:rPr>
        <w:t>The media plays a vital role in shaping the public's perception and opinions. The strike's newsworthiness generates considerable interest, as it affects the general public. Media coverage has the potential to influence how various stakeholders, including the government and the public, perceive this conflict. While it may not directly impact conflict resolution, how the media portrays the situation can indirectly sway public opinion and exert pressure on those involved to find a resolution.</w:t>
      </w:r>
    </w:p>
    <w:p w14:paraId="3E88738D" w14:textId="1B939D2E" w:rsidR="00C6320D" w:rsidRPr="00631E54" w:rsidRDefault="00C6320D" w:rsidP="00541CE7">
      <w:pPr>
        <w:spacing w:line="360" w:lineRule="auto"/>
        <w:rPr>
          <w:rFonts w:ascii="Arial" w:hAnsi="Arial" w:cs="Arial"/>
          <w:sz w:val="24"/>
          <w:szCs w:val="24"/>
        </w:rPr>
      </w:pPr>
      <w:r w:rsidRPr="00631E54">
        <w:rPr>
          <w:rFonts w:ascii="Arial" w:hAnsi="Arial" w:cs="Arial"/>
          <w:sz w:val="24"/>
          <w:szCs w:val="24"/>
        </w:rPr>
        <w:lastRenderedPageBreak/>
        <w:t>To effectively manage these stakeholders, it is imperative for the Post Office to prioritize transparent and timely communication. Keeping customers and media well-informed about negotiation progress, efforts made to minimize service disruptions, and anticipated outcomes can help maintain their support while mitigating any negative perceptions that may arise. It is crucial for organizations like Post Office to monitor ongoing changes in public sentiment or shifts in media narratives as they can significantly impact their reputation. Therefore, continuous monitoring and proactive engagement are necessary to address concerns effectively while managing expectations appropriately.</w:t>
      </w:r>
    </w:p>
    <w:p w14:paraId="70DAC365" w14:textId="243C3CB7" w:rsidR="00874090" w:rsidRPr="00631E54" w:rsidRDefault="00874090" w:rsidP="00541CE7">
      <w:pPr>
        <w:pStyle w:val="Heading3"/>
        <w:spacing w:line="360" w:lineRule="auto"/>
        <w:rPr>
          <w:rFonts w:ascii="Arial" w:hAnsi="Arial" w:cs="Arial"/>
        </w:rPr>
      </w:pPr>
      <w:bookmarkStart w:id="9" w:name="_Toc172418800"/>
      <w:r w:rsidRPr="00631E54">
        <w:rPr>
          <w:rFonts w:ascii="Arial" w:hAnsi="Arial" w:cs="Arial"/>
        </w:rPr>
        <w:t>Low Power, Low Interest (Monitor)</w:t>
      </w:r>
      <w:bookmarkEnd w:id="9"/>
    </w:p>
    <w:p w14:paraId="3B2AE394" w14:textId="5729CFC5" w:rsidR="00874090" w:rsidRPr="00631E54" w:rsidRDefault="00874090" w:rsidP="00541CE7">
      <w:pPr>
        <w:spacing w:line="360" w:lineRule="auto"/>
        <w:rPr>
          <w:rFonts w:ascii="Arial" w:hAnsi="Arial" w:cs="Arial"/>
          <w:sz w:val="24"/>
          <w:szCs w:val="24"/>
        </w:rPr>
      </w:pPr>
      <w:r w:rsidRPr="00631E54">
        <w:rPr>
          <w:rFonts w:ascii="Arial" w:hAnsi="Arial" w:cs="Arial"/>
          <w:sz w:val="24"/>
          <w:szCs w:val="24"/>
        </w:rPr>
        <w:t xml:space="preserve">Suppliers and contractors occupy the quadrant of low power and low interest. These stakeholders play a crucial role in providing necessary goods and services to the Post Office, yet they are not directly affected by the internal salary disagreement. </w:t>
      </w:r>
      <w:r w:rsidR="00826D1B" w:rsidRPr="00631E54">
        <w:rPr>
          <w:rFonts w:ascii="Arial" w:hAnsi="Arial" w:cs="Arial"/>
          <w:sz w:val="24"/>
          <w:szCs w:val="24"/>
        </w:rPr>
        <w:t>Their</w:t>
      </w:r>
      <w:r w:rsidRPr="00631E54">
        <w:rPr>
          <w:rFonts w:ascii="Arial" w:hAnsi="Arial" w:cs="Arial"/>
          <w:sz w:val="24"/>
          <w:szCs w:val="24"/>
        </w:rPr>
        <w:t xml:space="preserve"> level of interest in the specific details of this conflict is minimal as long as their contracts and supply agreements are upheld, allowing them to continue their business operations without major disruptions.</w:t>
      </w:r>
    </w:p>
    <w:p w14:paraId="4353D0F3" w14:textId="7A8309D2" w:rsidR="00874090" w:rsidRPr="00631E54" w:rsidRDefault="00874090" w:rsidP="00541CE7">
      <w:pPr>
        <w:spacing w:line="360" w:lineRule="auto"/>
        <w:rPr>
          <w:rFonts w:ascii="Arial" w:hAnsi="Arial" w:cs="Arial"/>
          <w:sz w:val="24"/>
          <w:szCs w:val="24"/>
        </w:rPr>
      </w:pPr>
      <w:r w:rsidRPr="00631E54">
        <w:rPr>
          <w:rFonts w:ascii="Arial" w:hAnsi="Arial" w:cs="Arial"/>
          <w:sz w:val="24"/>
          <w:szCs w:val="24"/>
        </w:rPr>
        <w:t>Suppliers and contractors have limited ability to influence the resolution of this pay dispute. Their main priority lies in maintaining stable business relationships while ensuring uninterrupted continuity within their own operations. However, if there were significant disruptions in postal services, it could indirectly impact their supply chains and logistics systems thereby potentially heightening their interest in finding a resolution for this conflict.</w:t>
      </w:r>
    </w:p>
    <w:p w14:paraId="395375BC" w14:textId="101CC716" w:rsidR="00874090" w:rsidRPr="00631E54" w:rsidRDefault="00874090" w:rsidP="00541CE7">
      <w:pPr>
        <w:spacing w:line="360" w:lineRule="auto"/>
        <w:rPr>
          <w:rFonts w:ascii="Arial" w:hAnsi="Arial" w:cs="Arial"/>
          <w:sz w:val="24"/>
          <w:szCs w:val="24"/>
        </w:rPr>
      </w:pPr>
      <w:r w:rsidRPr="00631E54">
        <w:rPr>
          <w:rFonts w:ascii="Arial" w:hAnsi="Arial" w:cs="Arial"/>
          <w:sz w:val="24"/>
          <w:szCs w:val="24"/>
        </w:rPr>
        <w:t>The involvement of suppliers and contractors in resolving the conflict is comparatively passive when compared to other parties involved. Nevertheless, their cooperation is vital to guarantee the continuity of essential services and supplies throughout the dispute. By keeping them well-informed about the conflict's status and any potential impact on supply agreements, misunderstandings can be avoided, and ongoing support can be ensured.</w:t>
      </w:r>
    </w:p>
    <w:p w14:paraId="00659E82" w14:textId="51D8856A" w:rsidR="00874090" w:rsidRPr="00631E54" w:rsidRDefault="00874090" w:rsidP="00541CE7">
      <w:pPr>
        <w:spacing w:line="360" w:lineRule="auto"/>
        <w:rPr>
          <w:rFonts w:ascii="Arial" w:hAnsi="Arial" w:cs="Arial"/>
          <w:sz w:val="24"/>
          <w:szCs w:val="24"/>
        </w:rPr>
      </w:pPr>
      <w:r w:rsidRPr="00631E54">
        <w:rPr>
          <w:rFonts w:ascii="Arial" w:hAnsi="Arial" w:cs="Arial"/>
          <w:sz w:val="24"/>
          <w:szCs w:val="24"/>
        </w:rPr>
        <w:lastRenderedPageBreak/>
        <w:t>Changes occurring in the business environment or within the supply chain dynamics can affect how these stakeholders are positioned. For example, disruptions in global supply chains or alterations in the competitive landscape may heighten their interest in maintaining stable operations with the Post Office. It is crucial to monitor these stakeholders for any shifts in their interests or influence, as this ensures that their needs are met while also mitigating potential risks.</w:t>
      </w:r>
    </w:p>
    <w:p w14:paraId="41396FC2" w14:textId="71523858" w:rsidR="004F73D5" w:rsidRPr="00631E54" w:rsidRDefault="00FC6270" w:rsidP="00541CE7">
      <w:pPr>
        <w:pStyle w:val="Heading1"/>
        <w:spacing w:line="360" w:lineRule="auto"/>
        <w:rPr>
          <w:rFonts w:ascii="Arial" w:hAnsi="Arial" w:cs="Arial"/>
        </w:rPr>
      </w:pPr>
      <w:bookmarkStart w:id="10" w:name="_Toc172418801"/>
      <w:r w:rsidRPr="00631E54">
        <w:rPr>
          <w:rFonts w:ascii="Arial" w:hAnsi="Arial" w:cs="Arial"/>
        </w:rPr>
        <w:t>Q2: Conflict Resolution Styles</w:t>
      </w:r>
      <w:bookmarkEnd w:id="10"/>
    </w:p>
    <w:p w14:paraId="747EE1A1" w14:textId="366B69CE" w:rsidR="00FC6270" w:rsidRPr="00631E54" w:rsidRDefault="00FC6270" w:rsidP="00541CE7">
      <w:pPr>
        <w:spacing w:line="360" w:lineRule="auto"/>
        <w:rPr>
          <w:rFonts w:ascii="Arial" w:hAnsi="Arial" w:cs="Arial"/>
          <w:sz w:val="24"/>
          <w:szCs w:val="24"/>
        </w:rPr>
      </w:pPr>
      <w:r w:rsidRPr="00631E54">
        <w:rPr>
          <w:rFonts w:ascii="Arial" w:hAnsi="Arial" w:cs="Arial"/>
          <w:sz w:val="24"/>
          <w:szCs w:val="24"/>
        </w:rPr>
        <w:t>Conflict resolution consists of techniques and procedures used to facilitate the peaceful resolution of conflicts and promote reparation. It holds particular importance within organizational contexts, where unresolved conflicts can impede productivity, disrupt team unity, and have a detrimental impact on employee morale. The implementation of effective conflict resolution strategies enables organizations to cultivate a harmonious work environment, enhance communication channels, and foster a culture that values collaboration</w:t>
      </w:r>
      <w:r w:rsidR="002D08E0" w:rsidRPr="00631E54">
        <w:rPr>
          <w:rFonts w:ascii="Arial" w:hAnsi="Arial" w:cs="Arial"/>
          <w:sz w:val="24"/>
          <w:szCs w:val="24"/>
        </w:rPr>
        <w:t xml:space="preserve"> </w:t>
      </w:r>
      <w:r w:rsidR="002D08E0" w:rsidRPr="00631E54">
        <w:rPr>
          <w:rFonts w:ascii="Arial" w:hAnsi="Arial" w:cs="Arial"/>
          <w:sz w:val="24"/>
        </w:rPr>
        <w:t>(Ramsbotham et al., 2011)</w:t>
      </w:r>
      <w:r w:rsidRPr="00631E54">
        <w:rPr>
          <w:rFonts w:ascii="Arial" w:hAnsi="Arial" w:cs="Arial"/>
          <w:sz w:val="24"/>
          <w:szCs w:val="24"/>
        </w:rPr>
        <w:t>.</w:t>
      </w:r>
    </w:p>
    <w:p w14:paraId="1D5279A9" w14:textId="6BF16206" w:rsidR="00FC6270" w:rsidRPr="00631E54" w:rsidRDefault="00FC6270" w:rsidP="00541CE7">
      <w:pPr>
        <w:spacing w:line="360" w:lineRule="auto"/>
        <w:rPr>
          <w:rFonts w:ascii="Arial" w:hAnsi="Arial" w:cs="Arial"/>
          <w:sz w:val="24"/>
          <w:szCs w:val="24"/>
        </w:rPr>
      </w:pPr>
      <w:r w:rsidRPr="00631E54">
        <w:rPr>
          <w:rFonts w:ascii="Arial" w:hAnsi="Arial" w:cs="Arial"/>
          <w:sz w:val="24"/>
          <w:szCs w:val="24"/>
        </w:rPr>
        <w:t xml:space="preserve">The significance of conflict resolution in organizational settings is extensively documented in academic literature. For example, </w:t>
      </w:r>
      <w:r w:rsidR="00A97619" w:rsidRPr="00631E54">
        <w:rPr>
          <w:rFonts w:ascii="Arial" w:hAnsi="Arial" w:cs="Arial"/>
          <w:sz w:val="24"/>
        </w:rPr>
        <w:t xml:space="preserve">Thomas and Kilmann, </w:t>
      </w:r>
      <w:r w:rsidR="0033337E">
        <w:rPr>
          <w:rFonts w:ascii="Arial" w:hAnsi="Arial" w:cs="Arial"/>
          <w:sz w:val="24"/>
        </w:rPr>
        <w:t>(</w:t>
      </w:r>
      <w:r w:rsidR="00A97619" w:rsidRPr="00631E54">
        <w:rPr>
          <w:rFonts w:ascii="Arial" w:hAnsi="Arial" w:cs="Arial"/>
          <w:sz w:val="24"/>
        </w:rPr>
        <w:t>1976)</w:t>
      </w:r>
      <w:r w:rsidR="00A97619" w:rsidRPr="00631E54">
        <w:rPr>
          <w:rFonts w:ascii="Arial" w:hAnsi="Arial" w:cs="Arial"/>
          <w:sz w:val="24"/>
          <w:szCs w:val="24"/>
        </w:rPr>
        <w:t xml:space="preserve"> </w:t>
      </w:r>
      <w:r w:rsidRPr="00631E54">
        <w:rPr>
          <w:rFonts w:ascii="Arial" w:hAnsi="Arial" w:cs="Arial"/>
          <w:sz w:val="24"/>
          <w:szCs w:val="24"/>
        </w:rPr>
        <w:t xml:space="preserve">developed the Thomas-Kilmann Conflict Mode Instrument which identifies various styles for managing conflicts such as competing, collaborating, compromising, avoiding and accommodating. These styles provide a framework for comprehending how individuals approach conflicts as well as the potential outcomes resulting from these approaches. </w:t>
      </w:r>
      <w:r w:rsidR="008F5BBC" w:rsidRPr="00631E54">
        <w:rPr>
          <w:rFonts w:ascii="Arial" w:hAnsi="Arial" w:cs="Arial"/>
          <w:sz w:val="24"/>
        </w:rPr>
        <w:t xml:space="preserve">Rahim, </w:t>
      </w:r>
      <w:r w:rsidR="0033337E">
        <w:rPr>
          <w:rFonts w:ascii="Arial" w:hAnsi="Arial" w:cs="Arial"/>
          <w:sz w:val="24"/>
        </w:rPr>
        <w:t>(</w:t>
      </w:r>
      <w:r w:rsidR="008F5BBC" w:rsidRPr="00631E54">
        <w:rPr>
          <w:rFonts w:ascii="Arial" w:hAnsi="Arial" w:cs="Arial"/>
          <w:sz w:val="24"/>
        </w:rPr>
        <w:t>2002)</w:t>
      </w:r>
      <w:r w:rsidR="008F5BBC" w:rsidRPr="00631E54">
        <w:rPr>
          <w:rFonts w:ascii="Arial" w:hAnsi="Arial" w:cs="Arial"/>
          <w:sz w:val="24"/>
          <w:szCs w:val="24"/>
        </w:rPr>
        <w:t xml:space="preserve"> </w:t>
      </w:r>
      <w:r w:rsidRPr="00631E54">
        <w:rPr>
          <w:rFonts w:ascii="Arial" w:hAnsi="Arial" w:cs="Arial"/>
          <w:sz w:val="24"/>
          <w:szCs w:val="24"/>
        </w:rPr>
        <w:t>further explores conflict management within organizations by highlighting the necessity of adopting a systematic approach to resolving disputes to enhance organizational effectiveness.</w:t>
      </w:r>
    </w:p>
    <w:p w14:paraId="51F79222" w14:textId="1023E445" w:rsidR="00FC6270" w:rsidRPr="00631E54" w:rsidRDefault="00FC6270" w:rsidP="00541CE7">
      <w:pPr>
        <w:spacing w:line="360" w:lineRule="auto"/>
        <w:rPr>
          <w:rFonts w:ascii="Arial" w:hAnsi="Arial" w:cs="Arial"/>
          <w:sz w:val="24"/>
          <w:szCs w:val="24"/>
        </w:rPr>
      </w:pPr>
      <w:r w:rsidRPr="00631E54">
        <w:rPr>
          <w:rFonts w:ascii="Arial" w:hAnsi="Arial" w:cs="Arial"/>
          <w:sz w:val="24"/>
          <w:szCs w:val="24"/>
        </w:rPr>
        <w:t>Furthermore</w:t>
      </w:r>
      <w:r w:rsidR="008F5BBC" w:rsidRPr="00631E54">
        <w:rPr>
          <w:rFonts w:ascii="Arial" w:hAnsi="Arial" w:cs="Arial"/>
          <w:sz w:val="24"/>
          <w:szCs w:val="24"/>
        </w:rPr>
        <w:t>,</w:t>
      </w:r>
      <w:r w:rsidR="007404CA" w:rsidRPr="00631E54">
        <w:rPr>
          <w:rFonts w:ascii="Arial" w:hAnsi="Arial" w:cs="Arial"/>
          <w:sz w:val="24"/>
          <w:szCs w:val="24"/>
        </w:rPr>
        <w:t xml:space="preserve"> </w:t>
      </w:r>
      <w:r w:rsidR="007404CA" w:rsidRPr="00631E54">
        <w:rPr>
          <w:rFonts w:ascii="Arial" w:hAnsi="Arial" w:cs="Arial"/>
          <w:sz w:val="24"/>
        </w:rPr>
        <w:t xml:space="preserve">De Dreu and Weingart, </w:t>
      </w:r>
      <w:r w:rsidR="0033337E">
        <w:rPr>
          <w:rFonts w:ascii="Arial" w:hAnsi="Arial" w:cs="Arial"/>
          <w:sz w:val="24"/>
        </w:rPr>
        <w:t>(</w:t>
      </w:r>
      <w:r w:rsidR="007404CA" w:rsidRPr="00631E54">
        <w:rPr>
          <w:rFonts w:ascii="Arial" w:hAnsi="Arial" w:cs="Arial"/>
          <w:sz w:val="24"/>
        </w:rPr>
        <w:t>2003)</w:t>
      </w:r>
      <w:r w:rsidR="007404CA" w:rsidRPr="00631E54">
        <w:rPr>
          <w:rFonts w:ascii="Arial" w:hAnsi="Arial" w:cs="Arial"/>
          <w:sz w:val="24"/>
          <w:szCs w:val="24"/>
        </w:rPr>
        <w:t xml:space="preserve"> </w:t>
      </w:r>
      <w:r w:rsidRPr="00631E54">
        <w:rPr>
          <w:rFonts w:ascii="Arial" w:hAnsi="Arial" w:cs="Arial"/>
          <w:sz w:val="24"/>
          <w:szCs w:val="24"/>
        </w:rPr>
        <w:t xml:space="preserve">emphasize that effectively handled conflict has the potential to yield positive outcomes, such as enhanced decision-making abilities and innovation. Conversely, if conflict is mismanaged, it can lead to stress, decreased job satisfaction, and increased employee turnover rates. Consequently, it is imperative for organizations to establish robust mechanisms for conflict resolution </w:t>
      </w:r>
      <w:r w:rsidR="007404CA" w:rsidRPr="00631E54">
        <w:rPr>
          <w:rFonts w:ascii="Arial" w:hAnsi="Arial" w:cs="Arial"/>
          <w:sz w:val="24"/>
          <w:szCs w:val="24"/>
        </w:rPr>
        <w:t>to</w:t>
      </w:r>
      <w:r w:rsidRPr="00631E54">
        <w:rPr>
          <w:rFonts w:ascii="Arial" w:hAnsi="Arial" w:cs="Arial"/>
          <w:sz w:val="24"/>
          <w:szCs w:val="24"/>
        </w:rPr>
        <w:t xml:space="preserve"> address </w:t>
      </w:r>
      <w:r w:rsidRPr="00631E54">
        <w:rPr>
          <w:rFonts w:ascii="Arial" w:hAnsi="Arial" w:cs="Arial"/>
          <w:sz w:val="24"/>
          <w:szCs w:val="24"/>
        </w:rPr>
        <w:lastRenderedPageBreak/>
        <w:t>disputes in a constructive manner and foster a positive work environment conducive to overall organizational success.</w:t>
      </w:r>
    </w:p>
    <w:p w14:paraId="0C12650D" w14:textId="13ADE588" w:rsidR="00CE0209" w:rsidRPr="00631E54" w:rsidRDefault="00631E54" w:rsidP="00541CE7">
      <w:pPr>
        <w:pStyle w:val="Heading2"/>
        <w:spacing w:line="360" w:lineRule="auto"/>
        <w:rPr>
          <w:rFonts w:ascii="Arial" w:hAnsi="Arial" w:cs="Arial"/>
        </w:rPr>
      </w:pPr>
      <w:bookmarkStart w:id="11" w:name="_Toc172418802"/>
      <w:r w:rsidRPr="00631E54">
        <w:rPr>
          <w:rFonts w:ascii="Arial" w:hAnsi="Arial" w:cs="Arial"/>
        </w:rPr>
        <w:t>Conflict Resolution Style</w:t>
      </w:r>
      <w:r w:rsidR="00A57FB6">
        <w:rPr>
          <w:rFonts w:ascii="Arial" w:hAnsi="Arial" w:cs="Arial"/>
        </w:rPr>
        <w:t>s</w:t>
      </w:r>
      <w:bookmarkEnd w:id="11"/>
    </w:p>
    <w:p w14:paraId="085A56B1" w14:textId="0412E093" w:rsidR="00CE0209" w:rsidRPr="00631E54" w:rsidRDefault="00CE0209" w:rsidP="00541CE7">
      <w:pPr>
        <w:spacing w:line="360" w:lineRule="auto"/>
        <w:rPr>
          <w:rFonts w:ascii="Arial" w:hAnsi="Arial" w:cs="Arial"/>
          <w:sz w:val="24"/>
          <w:szCs w:val="24"/>
        </w:rPr>
      </w:pPr>
      <w:r w:rsidRPr="00631E54">
        <w:rPr>
          <w:rFonts w:ascii="Arial" w:hAnsi="Arial" w:cs="Arial"/>
          <w:sz w:val="24"/>
          <w:szCs w:val="24"/>
        </w:rPr>
        <w:t xml:space="preserve">Organizations commonly employ a variety of conflict resolution strategies to effectively manage and resolve disputes. One well-known framework for this purpose is the Thomas-Kilmann Conflict Mode Instrument (TKI), which was developed by Kenneth Thomas and Ralph Kilmann in 1974. This </w:t>
      </w:r>
      <w:r w:rsidR="00631E54" w:rsidRPr="00631E54">
        <w:rPr>
          <w:rFonts w:ascii="Arial" w:hAnsi="Arial" w:cs="Arial"/>
          <w:sz w:val="24"/>
          <w:szCs w:val="24"/>
        </w:rPr>
        <w:t>model</w:t>
      </w:r>
      <w:r w:rsidRPr="00631E54">
        <w:rPr>
          <w:rFonts w:ascii="Arial" w:hAnsi="Arial" w:cs="Arial"/>
          <w:sz w:val="24"/>
          <w:szCs w:val="24"/>
        </w:rPr>
        <w:t xml:space="preserve"> identifies five primary styles: </w:t>
      </w:r>
      <w:r w:rsidRPr="006E2777">
        <w:rPr>
          <w:rFonts w:ascii="Arial" w:hAnsi="Arial" w:cs="Arial"/>
          <w:i/>
          <w:iCs/>
          <w:sz w:val="24"/>
          <w:szCs w:val="24"/>
        </w:rPr>
        <w:t>competing, collaborating, compromising, avoiding, and accommodating</w:t>
      </w:r>
      <w:r w:rsidR="00303AB7">
        <w:rPr>
          <w:rFonts w:ascii="Arial" w:hAnsi="Arial" w:cs="Arial"/>
          <w:i/>
          <w:iCs/>
          <w:sz w:val="24"/>
          <w:szCs w:val="24"/>
        </w:rPr>
        <w:t xml:space="preserve"> </w:t>
      </w:r>
      <w:r w:rsidR="00303AB7" w:rsidRPr="00303AB7">
        <w:rPr>
          <w:rFonts w:ascii="Arial" w:hAnsi="Arial" w:cs="Arial"/>
          <w:sz w:val="24"/>
        </w:rPr>
        <w:t>(Johnson et al., 2014)</w:t>
      </w:r>
      <w:r w:rsidRPr="00631E54">
        <w:rPr>
          <w:rFonts w:ascii="Arial" w:hAnsi="Arial" w:cs="Arial"/>
          <w:sz w:val="24"/>
          <w:szCs w:val="24"/>
        </w:rPr>
        <w:t>.</w:t>
      </w:r>
    </w:p>
    <w:p w14:paraId="351B012A" w14:textId="67B0D9D5" w:rsidR="00CE0209" w:rsidRPr="00631E54" w:rsidRDefault="00CE0209" w:rsidP="00541CE7">
      <w:pPr>
        <w:spacing w:line="360" w:lineRule="auto"/>
        <w:rPr>
          <w:rFonts w:ascii="Arial" w:hAnsi="Arial" w:cs="Arial"/>
          <w:sz w:val="24"/>
          <w:szCs w:val="24"/>
        </w:rPr>
      </w:pPr>
      <w:r w:rsidRPr="00631E54">
        <w:rPr>
          <w:rFonts w:ascii="Arial" w:hAnsi="Arial" w:cs="Arial"/>
          <w:sz w:val="24"/>
          <w:szCs w:val="24"/>
        </w:rPr>
        <w:t xml:space="preserve">The </w:t>
      </w:r>
      <w:r w:rsidRPr="00631E54">
        <w:rPr>
          <w:rFonts w:ascii="Arial" w:hAnsi="Arial" w:cs="Arial"/>
          <w:b/>
          <w:bCs/>
          <w:sz w:val="24"/>
          <w:szCs w:val="24"/>
        </w:rPr>
        <w:t>competing</w:t>
      </w:r>
      <w:r w:rsidRPr="00631E54">
        <w:rPr>
          <w:rFonts w:ascii="Arial" w:hAnsi="Arial" w:cs="Arial"/>
          <w:sz w:val="24"/>
          <w:szCs w:val="24"/>
        </w:rPr>
        <w:t xml:space="preserve"> style involves a high level of assertiveness but low cooperativeness. In this approach, one party prioritizes their own concerns at the expense of others involved. While useful in situations that require quick and decisive action, overuse of this style can lead to tension</w:t>
      </w:r>
      <w:r w:rsidR="00303AB7">
        <w:rPr>
          <w:rFonts w:ascii="Arial" w:hAnsi="Arial" w:cs="Arial"/>
          <w:sz w:val="24"/>
          <w:szCs w:val="24"/>
        </w:rPr>
        <w:t xml:space="preserve"> </w:t>
      </w:r>
      <w:r w:rsidR="00303AB7" w:rsidRPr="00303AB7">
        <w:rPr>
          <w:rFonts w:ascii="Arial" w:hAnsi="Arial" w:cs="Arial"/>
          <w:sz w:val="24"/>
        </w:rPr>
        <w:t>(Thomas and Kilmann, 1976)</w:t>
      </w:r>
      <w:r w:rsidR="00303AB7">
        <w:rPr>
          <w:rFonts w:ascii="Arial" w:hAnsi="Arial" w:cs="Arial"/>
          <w:sz w:val="24"/>
          <w:szCs w:val="24"/>
        </w:rPr>
        <w:t>.</w:t>
      </w:r>
    </w:p>
    <w:p w14:paraId="374858DA" w14:textId="7BAC7B52" w:rsidR="00303AB7" w:rsidRDefault="00CE0209" w:rsidP="00541CE7">
      <w:pPr>
        <w:spacing w:line="360" w:lineRule="auto"/>
        <w:rPr>
          <w:rFonts w:ascii="Arial" w:hAnsi="Arial" w:cs="Arial"/>
          <w:sz w:val="24"/>
          <w:szCs w:val="24"/>
        </w:rPr>
      </w:pPr>
      <w:r w:rsidRPr="00631E54">
        <w:rPr>
          <w:rFonts w:ascii="Arial" w:hAnsi="Arial" w:cs="Arial"/>
          <w:sz w:val="24"/>
          <w:szCs w:val="24"/>
        </w:rPr>
        <w:t xml:space="preserve">On the other hand, </w:t>
      </w:r>
      <w:r w:rsidRPr="00631E54">
        <w:rPr>
          <w:rFonts w:ascii="Arial" w:hAnsi="Arial" w:cs="Arial"/>
          <w:b/>
          <w:bCs/>
          <w:sz w:val="24"/>
          <w:szCs w:val="24"/>
        </w:rPr>
        <w:t>collaborating</w:t>
      </w:r>
      <w:r w:rsidRPr="00631E54">
        <w:rPr>
          <w:rFonts w:ascii="Arial" w:hAnsi="Arial" w:cs="Arial"/>
          <w:sz w:val="24"/>
          <w:szCs w:val="24"/>
        </w:rPr>
        <w:t xml:space="preserve"> emphasizes both assertiveness and cooperativeness. Parties using this style work together to find a solution that benefits everyone involved while fostering trust and encouraging innovation. It is particularly effective for resolving complex conflicts where integrating different perspectives is necessary </w:t>
      </w:r>
      <w:r w:rsidR="00303AB7" w:rsidRPr="00303AB7">
        <w:rPr>
          <w:rFonts w:ascii="Arial" w:hAnsi="Arial" w:cs="Arial"/>
          <w:sz w:val="24"/>
        </w:rPr>
        <w:t>(Thomas and Kilmann, 1976)</w:t>
      </w:r>
      <w:r w:rsidR="00303AB7">
        <w:rPr>
          <w:rFonts w:ascii="Arial" w:hAnsi="Arial" w:cs="Arial"/>
          <w:sz w:val="24"/>
          <w:szCs w:val="24"/>
        </w:rPr>
        <w:t>.</w:t>
      </w:r>
    </w:p>
    <w:p w14:paraId="20EDBC64" w14:textId="23A2CABC" w:rsidR="00631E54" w:rsidRPr="00631E54" w:rsidRDefault="00CE0209" w:rsidP="00541CE7">
      <w:pPr>
        <w:spacing w:line="360" w:lineRule="auto"/>
        <w:rPr>
          <w:rFonts w:ascii="Arial" w:hAnsi="Arial" w:cs="Arial"/>
          <w:sz w:val="24"/>
          <w:szCs w:val="24"/>
        </w:rPr>
      </w:pPr>
      <w:r w:rsidRPr="00631E54">
        <w:rPr>
          <w:rFonts w:ascii="Arial" w:hAnsi="Arial" w:cs="Arial"/>
          <w:sz w:val="24"/>
          <w:szCs w:val="24"/>
        </w:rPr>
        <w:t xml:space="preserve">As for </w:t>
      </w:r>
      <w:r w:rsidRPr="00631E54">
        <w:rPr>
          <w:rFonts w:ascii="Arial" w:hAnsi="Arial" w:cs="Arial"/>
          <w:b/>
          <w:bCs/>
          <w:sz w:val="24"/>
          <w:szCs w:val="24"/>
        </w:rPr>
        <w:t>compromising</w:t>
      </w:r>
      <w:r w:rsidRPr="00631E54">
        <w:rPr>
          <w:rFonts w:ascii="Arial" w:hAnsi="Arial" w:cs="Arial"/>
          <w:sz w:val="24"/>
          <w:szCs w:val="24"/>
        </w:rPr>
        <w:t>, it takes a middle-ground approach with moderate levels of both assertiveness and cooperativeness. Each party involved sacrifices something to arrive at an acceptable solution that satisfies all parties involved. This style proves practical when temporary or expedient solutions are required for complex issues.</w:t>
      </w:r>
    </w:p>
    <w:p w14:paraId="376E888C" w14:textId="642C6F53" w:rsidR="00631E54" w:rsidRPr="00631E54" w:rsidRDefault="00631E54" w:rsidP="00541CE7">
      <w:pPr>
        <w:spacing w:line="360" w:lineRule="auto"/>
        <w:rPr>
          <w:rFonts w:ascii="Arial" w:hAnsi="Arial" w:cs="Arial"/>
          <w:sz w:val="24"/>
          <w:szCs w:val="24"/>
        </w:rPr>
      </w:pPr>
      <w:r w:rsidRPr="00631E54">
        <w:rPr>
          <w:rFonts w:ascii="Arial" w:hAnsi="Arial" w:cs="Arial"/>
          <w:b/>
          <w:bCs/>
          <w:sz w:val="24"/>
          <w:szCs w:val="24"/>
        </w:rPr>
        <w:t>Avoidance</w:t>
      </w:r>
      <w:r w:rsidRPr="00631E54">
        <w:rPr>
          <w:rFonts w:ascii="Arial" w:hAnsi="Arial" w:cs="Arial"/>
          <w:sz w:val="24"/>
          <w:szCs w:val="24"/>
        </w:rPr>
        <w:t xml:space="preserve"> is characterized by a lack of assertiveness and cooperativeness. Instead of immediately addressing the conflict, parties choose to postpone it, which can be helpful for trivial matters or when the timing isn't appropriate. However, persistent avoidance can lead to unresolved issues and an escalation in tension</w:t>
      </w:r>
      <w:r w:rsidR="00303AB7">
        <w:rPr>
          <w:rFonts w:ascii="Arial" w:hAnsi="Arial" w:cs="Arial"/>
          <w:sz w:val="24"/>
          <w:szCs w:val="24"/>
        </w:rPr>
        <w:t xml:space="preserve"> </w:t>
      </w:r>
      <w:r w:rsidR="00303AB7" w:rsidRPr="00303AB7">
        <w:rPr>
          <w:rFonts w:ascii="Arial" w:hAnsi="Arial" w:cs="Arial"/>
          <w:sz w:val="24"/>
        </w:rPr>
        <w:t>(Thomas and Kilmann, 1976)</w:t>
      </w:r>
      <w:r w:rsidR="00303AB7">
        <w:rPr>
          <w:rFonts w:ascii="Arial" w:hAnsi="Arial" w:cs="Arial"/>
          <w:sz w:val="24"/>
          <w:szCs w:val="24"/>
        </w:rPr>
        <w:t>.</w:t>
      </w:r>
    </w:p>
    <w:p w14:paraId="10463CCD" w14:textId="2D404574" w:rsidR="00631E54" w:rsidRPr="00631E54" w:rsidRDefault="00631E54" w:rsidP="00541CE7">
      <w:pPr>
        <w:spacing w:line="360" w:lineRule="auto"/>
        <w:rPr>
          <w:rFonts w:ascii="Arial" w:hAnsi="Arial" w:cs="Arial"/>
          <w:sz w:val="24"/>
          <w:szCs w:val="24"/>
        </w:rPr>
      </w:pPr>
      <w:r w:rsidRPr="00631E54">
        <w:rPr>
          <w:rFonts w:ascii="Arial" w:hAnsi="Arial" w:cs="Arial"/>
          <w:b/>
          <w:bCs/>
          <w:sz w:val="24"/>
          <w:szCs w:val="24"/>
        </w:rPr>
        <w:lastRenderedPageBreak/>
        <w:t>Accommodation</w:t>
      </w:r>
      <w:r w:rsidRPr="00631E54">
        <w:rPr>
          <w:rFonts w:ascii="Arial" w:hAnsi="Arial" w:cs="Arial"/>
          <w:sz w:val="24"/>
          <w:szCs w:val="24"/>
        </w:rPr>
        <w:t xml:space="preserve"> involves low assertiveness but high cooperativeness. In this style, one party prioritizes the concerns of others over their own. While this approach may preserve harmony in the short term, over time it may result in neglecting the needs of the accommodating party </w:t>
      </w:r>
      <w:r w:rsidR="00303AB7" w:rsidRPr="00303AB7">
        <w:rPr>
          <w:rFonts w:ascii="Arial" w:hAnsi="Arial" w:cs="Arial"/>
          <w:sz w:val="24"/>
        </w:rPr>
        <w:t>(Thomas and Kilmann, 1976)</w:t>
      </w:r>
      <w:r w:rsidR="00303AB7">
        <w:rPr>
          <w:rFonts w:ascii="Arial" w:hAnsi="Arial" w:cs="Arial"/>
          <w:sz w:val="24"/>
          <w:szCs w:val="24"/>
        </w:rPr>
        <w:t>.</w:t>
      </w:r>
    </w:p>
    <w:p w14:paraId="2EA0DA86" w14:textId="71974FB3" w:rsidR="00CE0209" w:rsidRDefault="00631E54" w:rsidP="00541CE7">
      <w:pPr>
        <w:spacing w:line="360" w:lineRule="auto"/>
        <w:rPr>
          <w:rFonts w:ascii="Arial" w:hAnsi="Arial" w:cs="Arial"/>
          <w:sz w:val="24"/>
          <w:szCs w:val="24"/>
        </w:rPr>
      </w:pPr>
      <w:r w:rsidRPr="00631E54">
        <w:rPr>
          <w:rFonts w:ascii="Arial" w:hAnsi="Arial" w:cs="Arial"/>
          <w:sz w:val="24"/>
          <w:szCs w:val="24"/>
        </w:rPr>
        <w:t>These conflict resolution styles offer organizations flexible strategies that allow them to adapt their approach depending on specific contexts and desired outcomes. By understanding and applying these styles effectively, organizations can enhance their overall effectiveness while maintaining positive working relationships.</w:t>
      </w:r>
    </w:p>
    <w:p w14:paraId="317B9142" w14:textId="0642C195" w:rsidR="00FA1C8E" w:rsidRPr="00FA1C8E" w:rsidRDefault="00FA1C8E" w:rsidP="00541CE7">
      <w:pPr>
        <w:pStyle w:val="Heading2"/>
        <w:spacing w:line="360" w:lineRule="auto"/>
      </w:pPr>
      <w:bookmarkStart w:id="12" w:name="_Toc172418803"/>
      <w:r>
        <w:t>Suitable Conflict Resolution Style</w:t>
      </w:r>
      <w:r w:rsidR="008A5DC4">
        <w:t>: Collaboration</w:t>
      </w:r>
      <w:bookmarkEnd w:id="12"/>
    </w:p>
    <w:p w14:paraId="4E1DA888" w14:textId="51B7804C" w:rsidR="00682324" w:rsidRPr="00682324" w:rsidRDefault="00682324" w:rsidP="00541CE7">
      <w:pPr>
        <w:spacing w:line="360" w:lineRule="auto"/>
        <w:rPr>
          <w:rFonts w:ascii="Arial" w:hAnsi="Arial" w:cs="Arial"/>
          <w:sz w:val="24"/>
          <w:szCs w:val="24"/>
        </w:rPr>
      </w:pPr>
      <w:r w:rsidRPr="00682324">
        <w:rPr>
          <w:rFonts w:ascii="Arial" w:hAnsi="Arial" w:cs="Arial"/>
          <w:sz w:val="24"/>
          <w:szCs w:val="24"/>
        </w:rPr>
        <w:t>In the context of the strike carried out by Post Office employees due to disputes over pay, there are various conflict resolution styles that have different levels of appropriateness. The competing style, characterized by assertiveness and a lack of cooperativeness, may result in a quick resolution but also runs the risk of escalating tensions. Although it is within their power for Post Office management to unilaterally enforce decisions, doing so could potentially lead to further dissatisfaction among workers and even more strikes, thereby exacerbating the conflict</w:t>
      </w:r>
      <w:r w:rsidR="00596A36">
        <w:rPr>
          <w:rFonts w:ascii="Arial" w:hAnsi="Arial" w:cs="Arial"/>
          <w:sz w:val="24"/>
          <w:szCs w:val="24"/>
        </w:rPr>
        <w:t xml:space="preserve"> </w:t>
      </w:r>
      <w:r w:rsidR="00596A36" w:rsidRPr="00596A36">
        <w:rPr>
          <w:rFonts w:ascii="Arial" w:hAnsi="Arial" w:cs="Arial"/>
          <w:sz w:val="24"/>
        </w:rPr>
        <w:t>(Schaubhut, 2007)</w:t>
      </w:r>
      <w:r w:rsidRPr="00682324">
        <w:rPr>
          <w:rFonts w:ascii="Arial" w:hAnsi="Arial" w:cs="Arial"/>
          <w:sz w:val="24"/>
          <w:szCs w:val="24"/>
        </w:rPr>
        <w:t>.</w:t>
      </w:r>
    </w:p>
    <w:p w14:paraId="757E0D9A" w14:textId="2ACF2B0F" w:rsidR="00682324" w:rsidRPr="00682324" w:rsidRDefault="00682324" w:rsidP="00541CE7">
      <w:pPr>
        <w:spacing w:line="360" w:lineRule="auto"/>
        <w:rPr>
          <w:rFonts w:ascii="Arial" w:hAnsi="Arial" w:cs="Arial"/>
          <w:sz w:val="24"/>
          <w:szCs w:val="24"/>
        </w:rPr>
      </w:pPr>
      <w:r w:rsidRPr="00682324">
        <w:rPr>
          <w:rFonts w:ascii="Arial" w:hAnsi="Arial" w:cs="Arial"/>
          <w:sz w:val="24"/>
          <w:szCs w:val="24"/>
        </w:rPr>
        <w:t>On the other hand, avoidance involves low assertiveness and cooperativeness and may only serve as a temporary delay in confronting the issue at hand. However, choosing to avoid addressing the problem could allow unresolved grievances among postal workers to fester over time which can ultimately have negative effects on morale and productivity. Given the significant impact of this dispute, avoidance is an unsuitable approach as it fails to address underlying issues that need proper resolution</w:t>
      </w:r>
      <w:r w:rsidR="00596A36">
        <w:rPr>
          <w:rFonts w:ascii="Arial" w:hAnsi="Arial" w:cs="Arial"/>
          <w:sz w:val="24"/>
          <w:szCs w:val="24"/>
        </w:rPr>
        <w:t xml:space="preserve"> </w:t>
      </w:r>
      <w:r w:rsidR="004B7E93" w:rsidRPr="004B7E93">
        <w:rPr>
          <w:rFonts w:ascii="Arial" w:hAnsi="Arial" w:cs="Arial"/>
          <w:sz w:val="24"/>
        </w:rPr>
        <w:t>(Shell, 2001)</w:t>
      </w:r>
      <w:r w:rsidRPr="00682324">
        <w:rPr>
          <w:rFonts w:ascii="Arial" w:hAnsi="Arial" w:cs="Arial"/>
          <w:sz w:val="24"/>
          <w:szCs w:val="24"/>
        </w:rPr>
        <w:t>.</w:t>
      </w:r>
    </w:p>
    <w:p w14:paraId="2F5C66B6" w14:textId="2AB84C44" w:rsidR="00682324" w:rsidRPr="00682324" w:rsidRDefault="00682324" w:rsidP="00541CE7">
      <w:pPr>
        <w:spacing w:line="360" w:lineRule="auto"/>
        <w:rPr>
          <w:rFonts w:ascii="Arial" w:hAnsi="Arial" w:cs="Arial"/>
          <w:sz w:val="24"/>
          <w:szCs w:val="24"/>
        </w:rPr>
      </w:pPr>
      <w:r w:rsidRPr="00682324">
        <w:rPr>
          <w:rFonts w:ascii="Arial" w:hAnsi="Arial" w:cs="Arial"/>
          <w:sz w:val="24"/>
          <w:szCs w:val="24"/>
        </w:rPr>
        <w:t>Alternatively, accommodation involves one party yielding to the demands to maintain short-term harmony. However, this comes at a cost since overly accommodating worker demands without addressing financial and operational constraints could establish unsustainable precedents while weakening the organization's position in future negotiations</w:t>
      </w:r>
      <w:r w:rsidR="004B7E93">
        <w:rPr>
          <w:rFonts w:ascii="Arial" w:hAnsi="Arial" w:cs="Arial"/>
          <w:sz w:val="24"/>
          <w:szCs w:val="24"/>
        </w:rPr>
        <w:t xml:space="preserve"> </w:t>
      </w:r>
      <w:r w:rsidR="004B7E93" w:rsidRPr="004B7E93">
        <w:rPr>
          <w:rFonts w:ascii="Arial" w:hAnsi="Arial" w:cs="Arial"/>
          <w:sz w:val="24"/>
        </w:rPr>
        <w:t>(Womack, 1988)</w:t>
      </w:r>
      <w:r w:rsidR="004B7E93">
        <w:rPr>
          <w:rFonts w:ascii="Arial" w:hAnsi="Arial" w:cs="Arial"/>
          <w:sz w:val="24"/>
          <w:szCs w:val="24"/>
        </w:rPr>
        <w:t>.</w:t>
      </w:r>
    </w:p>
    <w:p w14:paraId="6E1F5649" w14:textId="27AF7E1B" w:rsidR="00682324" w:rsidRDefault="00682324" w:rsidP="00541CE7">
      <w:pPr>
        <w:spacing w:line="360" w:lineRule="auto"/>
        <w:rPr>
          <w:rFonts w:ascii="Arial" w:hAnsi="Arial" w:cs="Arial"/>
          <w:sz w:val="24"/>
          <w:szCs w:val="24"/>
        </w:rPr>
      </w:pPr>
      <w:r w:rsidRPr="00682324">
        <w:rPr>
          <w:rFonts w:ascii="Arial" w:hAnsi="Arial" w:cs="Arial"/>
          <w:sz w:val="24"/>
          <w:szCs w:val="24"/>
        </w:rPr>
        <w:lastRenderedPageBreak/>
        <w:t xml:space="preserve">Compromise presents a well-rounded method, wherein both parties make compromises. This approach can lead to a speedier resolution compared to collaboration, although the resulting agreement may only partially </w:t>
      </w:r>
      <w:r w:rsidR="004B7E93" w:rsidRPr="00682324">
        <w:rPr>
          <w:rFonts w:ascii="Arial" w:hAnsi="Arial" w:cs="Arial"/>
          <w:sz w:val="24"/>
          <w:szCs w:val="24"/>
        </w:rPr>
        <w:t>fulfil</w:t>
      </w:r>
      <w:r w:rsidRPr="00682324">
        <w:rPr>
          <w:rFonts w:ascii="Arial" w:hAnsi="Arial" w:cs="Arial"/>
          <w:sz w:val="24"/>
          <w:szCs w:val="24"/>
        </w:rPr>
        <w:t xml:space="preserve"> the needs of both parties</w:t>
      </w:r>
      <w:r w:rsidR="004B7E93">
        <w:rPr>
          <w:rFonts w:ascii="Arial" w:hAnsi="Arial" w:cs="Arial"/>
          <w:sz w:val="24"/>
          <w:szCs w:val="24"/>
        </w:rPr>
        <w:t xml:space="preserve"> </w:t>
      </w:r>
      <w:r w:rsidR="00995DE5" w:rsidRPr="00995DE5">
        <w:rPr>
          <w:rFonts w:ascii="Arial" w:hAnsi="Arial" w:cs="Arial"/>
          <w:sz w:val="24"/>
        </w:rPr>
        <w:t>(Riasi and Asadzadeh, 2015)</w:t>
      </w:r>
      <w:r w:rsidRPr="00682324">
        <w:rPr>
          <w:rFonts w:ascii="Arial" w:hAnsi="Arial" w:cs="Arial"/>
          <w:sz w:val="24"/>
          <w:szCs w:val="24"/>
        </w:rPr>
        <w:t>. In the case of the Post Office, compromise could offer a temporary solution to the dispute but might leave management and workers with lingering feelings of unmet requirements, which could potentially result in future conflicts.</w:t>
      </w:r>
    </w:p>
    <w:p w14:paraId="14441479" w14:textId="02D2DAC5" w:rsidR="00FA1C8E" w:rsidRPr="00FA1C8E" w:rsidRDefault="00FA1C8E" w:rsidP="00541CE7">
      <w:pPr>
        <w:spacing w:line="360" w:lineRule="auto"/>
        <w:rPr>
          <w:rFonts w:ascii="Arial" w:hAnsi="Arial" w:cs="Arial"/>
          <w:sz w:val="24"/>
          <w:szCs w:val="24"/>
        </w:rPr>
      </w:pPr>
      <w:r w:rsidRPr="00FA1C8E">
        <w:rPr>
          <w:rFonts w:ascii="Arial" w:hAnsi="Arial" w:cs="Arial"/>
          <w:sz w:val="24"/>
          <w:szCs w:val="24"/>
        </w:rPr>
        <w:t xml:space="preserve">The most appropriate conflict resolution style for the strike among Post Office workers due to pay disagreements is collaboration. This </w:t>
      </w:r>
      <w:r w:rsidR="00EF6928" w:rsidRPr="00FA1C8E">
        <w:rPr>
          <w:rFonts w:ascii="Arial" w:hAnsi="Arial" w:cs="Arial"/>
          <w:sz w:val="24"/>
          <w:szCs w:val="24"/>
        </w:rPr>
        <w:t>style</w:t>
      </w:r>
      <w:r w:rsidRPr="00FA1C8E">
        <w:rPr>
          <w:rFonts w:ascii="Arial" w:hAnsi="Arial" w:cs="Arial"/>
          <w:sz w:val="24"/>
          <w:szCs w:val="24"/>
        </w:rPr>
        <w:t xml:space="preserve"> emphasizes both assertiveness and cooperativeness, with the aim of finding a mutually advantageous solution that addresses the concerns of all parties involved.</w:t>
      </w:r>
    </w:p>
    <w:p w14:paraId="2320723D" w14:textId="6AEB8616" w:rsidR="00FA1C8E" w:rsidRPr="00FA1C8E" w:rsidRDefault="00FA1C8E" w:rsidP="00541CE7">
      <w:pPr>
        <w:spacing w:line="360" w:lineRule="auto"/>
        <w:rPr>
          <w:rFonts w:ascii="Arial" w:hAnsi="Arial" w:cs="Arial"/>
          <w:sz w:val="24"/>
          <w:szCs w:val="24"/>
        </w:rPr>
      </w:pPr>
      <w:r w:rsidRPr="00FA1C8E">
        <w:rPr>
          <w:rFonts w:ascii="Arial" w:hAnsi="Arial" w:cs="Arial"/>
          <w:sz w:val="24"/>
          <w:szCs w:val="24"/>
        </w:rPr>
        <w:t>Collaboration proves to be an ideal approach when dealing with complex issues such as the dispute within the Post Office, where underlying concerns regarding wages and working conditions require comprehensive attention. This style promotes open dialogue, enabling both management and workers to express their concerns and work together towards a shared solution</w:t>
      </w:r>
      <w:r w:rsidR="003F5F2E">
        <w:rPr>
          <w:rFonts w:ascii="Arial" w:hAnsi="Arial" w:cs="Arial"/>
          <w:sz w:val="24"/>
          <w:szCs w:val="24"/>
        </w:rPr>
        <w:t xml:space="preserve"> </w:t>
      </w:r>
      <w:r w:rsidR="003F5F2E" w:rsidRPr="003F5F2E">
        <w:rPr>
          <w:rFonts w:ascii="Arial" w:hAnsi="Arial" w:cs="Arial"/>
          <w:sz w:val="24"/>
        </w:rPr>
        <w:t>(McKinney, 2014)</w:t>
      </w:r>
      <w:r w:rsidRPr="00FA1C8E">
        <w:rPr>
          <w:rFonts w:ascii="Arial" w:hAnsi="Arial" w:cs="Arial"/>
          <w:sz w:val="24"/>
          <w:szCs w:val="24"/>
        </w:rPr>
        <w:t>. Through engaging in collaborative efforts, trust can be built between the Post Office management and the Communication Workers Union (CWU), fostering a cooperative relationship. Such collaboration is vital for establishing a positive work environment that ensures long-term stability and employee satisfaction.</w:t>
      </w:r>
    </w:p>
    <w:p w14:paraId="2BA16DB1" w14:textId="2F14FB6A" w:rsidR="00C21DF8" w:rsidRPr="00C21DF8" w:rsidRDefault="00FA1C8E" w:rsidP="00541CE7">
      <w:pPr>
        <w:spacing w:line="360" w:lineRule="auto"/>
        <w:rPr>
          <w:rFonts w:ascii="Arial" w:hAnsi="Arial" w:cs="Arial"/>
          <w:sz w:val="24"/>
          <w:szCs w:val="24"/>
        </w:rPr>
      </w:pPr>
      <w:r w:rsidRPr="00FA1C8E">
        <w:rPr>
          <w:rFonts w:ascii="Arial" w:hAnsi="Arial" w:cs="Arial"/>
          <w:sz w:val="24"/>
          <w:szCs w:val="24"/>
        </w:rPr>
        <w:t xml:space="preserve">Furthermore, collaborative solutions are more sustainable as they </w:t>
      </w:r>
      <w:r w:rsidR="00C21DF8" w:rsidRPr="00FA1C8E">
        <w:rPr>
          <w:rFonts w:ascii="Arial" w:hAnsi="Arial" w:cs="Arial"/>
          <w:sz w:val="24"/>
          <w:szCs w:val="24"/>
        </w:rPr>
        <w:t>consider</w:t>
      </w:r>
      <w:r w:rsidRPr="00FA1C8E">
        <w:rPr>
          <w:rFonts w:ascii="Arial" w:hAnsi="Arial" w:cs="Arial"/>
          <w:sz w:val="24"/>
          <w:szCs w:val="24"/>
        </w:rPr>
        <w:t xml:space="preserve"> the interests and needs of all stakeholders involved. Consequently, these agreements are more likely to be upheld and respected by both parties involved, thus reducing future disputes or conflicts from arising again.</w:t>
      </w:r>
    </w:p>
    <w:p w14:paraId="0F0657B9" w14:textId="35B0AEE6" w:rsidR="00C21DF8" w:rsidRPr="00C21DF8" w:rsidRDefault="00C21DF8" w:rsidP="00541CE7">
      <w:pPr>
        <w:spacing w:line="360" w:lineRule="auto"/>
        <w:rPr>
          <w:rFonts w:ascii="Arial" w:hAnsi="Arial" w:cs="Arial"/>
          <w:sz w:val="24"/>
          <w:szCs w:val="24"/>
        </w:rPr>
      </w:pPr>
      <w:r w:rsidRPr="00C21DF8">
        <w:rPr>
          <w:rFonts w:ascii="Arial" w:hAnsi="Arial" w:cs="Arial"/>
          <w:sz w:val="24"/>
          <w:szCs w:val="24"/>
        </w:rPr>
        <w:t xml:space="preserve">However, collaboration does have its limitations. It necessitates a substantial amount of time and effort, and the process of negotiation and consensus-building can be protracted, potentially causing delays in reaching an immediate resolution. Despite these challenges, investing time in finding a comprehensive solution can help prevent future conflicts, making the initial investment of time worthwhile. Furthermore, managing a collaborative approach involves coordinating various perspectives and interests, </w:t>
      </w:r>
      <w:r w:rsidRPr="00C21DF8">
        <w:rPr>
          <w:rFonts w:ascii="Arial" w:hAnsi="Arial" w:cs="Arial"/>
          <w:sz w:val="24"/>
          <w:szCs w:val="24"/>
        </w:rPr>
        <w:lastRenderedPageBreak/>
        <w:t>which can be difficult. Effective facilitation skills and conflict management are necessary to navigate potential stalemates and ensure productive discussions take place. There is also the risk of deadlock if parties are unwilling to compromise or engage in open dialogue; therefore, it is essential for all stakeholders to remain committed to the process and willing to work towards a shared goal</w:t>
      </w:r>
      <w:r w:rsidR="003F5F2E">
        <w:rPr>
          <w:rFonts w:ascii="Arial" w:hAnsi="Arial" w:cs="Arial"/>
          <w:sz w:val="24"/>
          <w:szCs w:val="24"/>
        </w:rPr>
        <w:t xml:space="preserve"> </w:t>
      </w:r>
      <w:r w:rsidR="003F5F2E" w:rsidRPr="003F5F2E">
        <w:rPr>
          <w:rFonts w:ascii="Arial" w:hAnsi="Arial" w:cs="Arial"/>
          <w:sz w:val="24"/>
        </w:rPr>
        <w:t>(Leveillee, 2018)</w:t>
      </w:r>
      <w:r w:rsidRPr="00C21DF8">
        <w:rPr>
          <w:rFonts w:ascii="Arial" w:hAnsi="Arial" w:cs="Arial"/>
          <w:sz w:val="24"/>
          <w:szCs w:val="24"/>
        </w:rPr>
        <w:t>.</w:t>
      </w:r>
    </w:p>
    <w:p w14:paraId="66F95B3F" w14:textId="01601B78" w:rsidR="00C21DF8" w:rsidRDefault="00C21DF8" w:rsidP="00541CE7">
      <w:pPr>
        <w:spacing w:line="360" w:lineRule="auto"/>
        <w:rPr>
          <w:rFonts w:ascii="Arial" w:hAnsi="Arial" w:cs="Arial"/>
          <w:sz w:val="24"/>
          <w:szCs w:val="24"/>
        </w:rPr>
      </w:pPr>
      <w:r w:rsidRPr="00C21DF8">
        <w:rPr>
          <w:rFonts w:ascii="Arial" w:hAnsi="Arial" w:cs="Arial"/>
          <w:sz w:val="24"/>
          <w:szCs w:val="24"/>
        </w:rPr>
        <w:t>Despite these limitations mentioned above, collaboration emerges as the most effective style for resolving conflicts within the Post Office dispute. It promotes an exhaustive and inclusive approach that aims to find a solution benefiting both workers and management alike—ultimately enhancing overall organizational harmony and performance levels throughout the company's operations.</w:t>
      </w:r>
    </w:p>
    <w:p w14:paraId="383DF9CD" w14:textId="1D5314C6" w:rsidR="0097005E" w:rsidRPr="0097005E" w:rsidRDefault="00307C6A" w:rsidP="00541CE7">
      <w:pPr>
        <w:pStyle w:val="Heading1"/>
        <w:spacing w:line="360" w:lineRule="auto"/>
      </w:pPr>
      <w:bookmarkStart w:id="13" w:name="_Toc172418804"/>
      <w:r>
        <w:t>Application of Collaboration</w:t>
      </w:r>
      <w:r w:rsidR="00EF74BA">
        <w:t xml:space="preserve"> Style</w:t>
      </w:r>
      <w:bookmarkEnd w:id="13"/>
    </w:p>
    <w:p w14:paraId="234CDA28" w14:textId="1DC56116" w:rsidR="0097005E" w:rsidRPr="0097005E" w:rsidRDefault="0097005E" w:rsidP="00541CE7">
      <w:pPr>
        <w:spacing w:line="360" w:lineRule="auto"/>
        <w:rPr>
          <w:rFonts w:ascii="Arial" w:hAnsi="Arial" w:cs="Arial"/>
          <w:sz w:val="24"/>
          <w:szCs w:val="24"/>
        </w:rPr>
      </w:pPr>
      <w:r w:rsidRPr="0097005E">
        <w:rPr>
          <w:rFonts w:ascii="Arial" w:hAnsi="Arial" w:cs="Arial"/>
          <w:sz w:val="24"/>
          <w:szCs w:val="24"/>
        </w:rPr>
        <w:t>To effectively implement the collaborative conflict resolution style within the context of the Post Office, it is necessary to follow several key steps. The first step involves establishing a clear framework for collaboration. This can be achieved by creating joint committees that consist of representatives from both Post Office management and the Communication Workers Union (CWU). By defining the objectives and scope of this collaboration, all parties involved will have a thorough understanding of the goals and why it is important to find a solution that benefits everyone.</w:t>
      </w:r>
    </w:p>
    <w:p w14:paraId="530E2111" w14:textId="0FAD0F83" w:rsidR="0097005E" w:rsidRPr="0097005E" w:rsidRDefault="0097005E" w:rsidP="00541CE7">
      <w:pPr>
        <w:spacing w:line="360" w:lineRule="auto"/>
        <w:rPr>
          <w:rFonts w:ascii="Arial" w:hAnsi="Arial" w:cs="Arial"/>
          <w:sz w:val="24"/>
          <w:szCs w:val="24"/>
        </w:rPr>
      </w:pPr>
      <w:r w:rsidRPr="0097005E">
        <w:rPr>
          <w:rFonts w:ascii="Arial" w:hAnsi="Arial" w:cs="Arial"/>
          <w:sz w:val="24"/>
          <w:szCs w:val="24"/>
        </w:rPr>
        <w:t xml:space="preserve">Another crucial aspect is encouraging open and transparent communication among all stakeholders. Regular meetings should be held where both management and workers are given an opportunity to express their concerns, expectations, and suggestions. In cases where it may be necessary, neutral facilitators can also be utilized </w:t>
      </w:r>
      <w:r w:rsidR="00EF74BA" w:rsidRPr="0097005E">
        <w:rPr>
          <w:rFonts w:ascii="Arial" w:hAnsi="Arial" w:cs="Arial"/>
          <w:sz w:val="24"/>
          <w:szCs w:val="24"/>
        </w:rPr>
        <w:t>to</w:t>
      </w:r>
      <w:r w:rsidRPr="0097005E">
        <w:rPr>
          <w:rFonts w:ascii="Arial" w:hAnsi="Arial" w:cs="Arial"/>
          <w:sz w:val="24"/>
          <w:szCs w:val="24"/>
        </w:rPr>
        <w:t xml:space="preserve"> ensure that discussions remain productive and focused.</w:t>
      </w:r>
    </w:p>
    <w:p w14:paraId="07A4C2CD" w14:textId="2D138769" w:rsidR="0097005E" w:rsidRPr="0097005E" w:rsidRDefault="0097005E" w:rsidP="00541CE7">
      <w:pPr>
        <w:spacing w:line="360" w:lineRule="auto"/>
        <w:rPr>
          <w:rFonts w:ascii="Arial" w:hAnsi="Arial" w:cs="Arial"/>
          <w:sz w:val="24"/>
          <w:szCs w:val="24"/>
        </w:rPr>
      </w:pPr>
      <w:r w:rsidRPr="0097005E">
        <w:rPr>
          <w:rFonts w:ascii="Arial" w:hAnsi="Arial" w:cs="Arial"/>
          <w:sz w:val="24"/>
          <w:szCs w:val="24"/>
        </w:rPr>
        <w:t>Furthermore, gathering relevant data and information plays a vital role in this process</w:t>
      </w:r>
      <w:r w:rsidR="00B63131">
        <w:rPr>
          <w:rFonts w:ascii="Arial" w:hAnsi="Arial" w:cs="Arial"/>
          <w:sz w:val="24"/>
          <w:szCs w:val="24"/>
        </w:rPr>
        <w:t xml:space="preserve"> </w:t>
      </w:r>
      <w:r w:rsidR="00B63131" w:rsidRPr="00B63131">
        <w:rPr>
          <w:rFonts w:ascii="Arial" w:hAnsi="Arial" w:cs="Arial"/>
          <w:sz w:val="24"/>
        </w:rPr>
        <w:t>(Baru, 2018)</w:t>
      </w:r>
      <w:r w:rsidRPr="0097005E">
        <w:rPr>
          <w:rFonts w:ascii="Arial" w:hAnsi="Arial" w:cs="Arial"/>
          <w:sz w:val="24"/>
          <w:szCs w:val="24"/>
        </w:rPr>
        <w:t>. This includes sharing financial reports, market conditions analysis as well as benchmarks from other similar organizations. By openly sharing this information with all stakeholders involved, trust can be built while ensuring decisions are based on accurate data that covers every aspect comprehensively.</w:t>
      </w:r>
    </w:p>
    <w:p w14:paraId="4D109137" w14:textId="037AE95B" w:rsidR="0097005E" w:rsidRPr="0097005E" w:rsidRDefault="0097005E" w:rsidP="00541CE7">
      <w:pPr>
        <w:spacing w:line="360" w:lineRule="auto"/>
        <w:rPr>
          <w:rFonts w:ascii="Arial" w:hAnsi="Arial" w:cs="Arial"/>
          <w:sz w:val="24"/>
          <w:szCs w:val="24"/>
        </w:rPr>
      </w:pPr>
      <w:r w:rsidRPr="0097005E">
        <w:rPr>
          <w:rFonts w:ascii="Arial" w:hAnsi="Arial" w:cs="Arial"/>
          <w:sz w:val="24"/>
          <w:szCs w:val="24"/>
        </w:rPr>
        <w:lastRenderedPageBreak/>
        <w:t>Developing collaborative solutions involves participating in brainstorming sessions to generate potential resolutions. It is important to foster a culture of creative thinking and explore various alternatives that cater to the needs of both parties involved. The feasibility and impact of each suggested solution should be collectively assessed, ensuring that both sides have a say in the decision-making process. By engaging in constructive negotiation, consensus can be reached on the proposed solutions, with an emphasis on achieving mutually beneficial outcomes where both management and workers feel their requirements are met. It is imperative to document these agreements and create a comprehensive implementation plan that clearly outlines roles, responsibilities, and timelines</w:t>
      </w:r>
      <w:r w:rsidR="00B43A8D">
        <w:rPr>
          <w:rFonts w:ascii="Arial" w:hAnsi="Arial" w:cs="Arial"/>
          <w:sz w:val="24"/>
          <w:szCs w:val="24"/>
        </w:rPr>
        <w:t xml:space="preserve"> </w:t>
      </w:r>
      <w:r w:rsidR="00B43A8D" w:rsidRPr="00B43A8D">
        <w:rPr>
          <w:rFonts w:ascii="Arial" w:hAnsi="Arial" w:cs="Arial"/>
          <w:sz w:val="24"/>
        </w:rPr>
        <w:t>(Malek, 2000)</w:t>
      </w:r>
      <w:r w:rsidRPr="0097005E">
        <w:rPr>
          <w:rFonts w:ascii="Arial" w:hAnsi="Arial" w:cs="Arial"/>
          <w:sz w:val="24"/>
          <w:szCs w:val="24"/>
        </w:rPr>
        <w:t>.</w:t>
      </w:r>
    </w:p>
    <w:p w14:paraId="73850865" w14:textId="00876AB5" w:rsidR="009E10E9" w:rsidRPr="009E10E9" w:rsidRDefault="0097005E" w:rsidP="00541CE7">
      <w:pPr>
        <w:spacing w:line="360" w:lineRule="auto"/>
        <w:rPr>
          <w:rFonts w:ascii="Arial" w:hAnsi="Arial" w:cs="Arial"/>
          <w:sz w:val="24"/>
          <w:szCs w:val="24"/>
        </w:rPr>
      </w:pPr>
      <w:r w:rsidRPr="0097005E">
        <w:rPr>
          <w:rFonts w:ascii="Arial" w:hAnsi="Arial" w:cs="Arial"/>
          <w:sz w:val="24"/>
          <w:szCs w:val="24"/>
        </w:rPr>
        <w:t>Once the agreed-upon solutions have been established, it is crucial for all parties involved to demonstrate commitment towards executing the planned changes. Establishing mechanisms for monitoring progress and promptly addressing any issues that arise during implementation is essential. Regular reviews of the outcomes should be conducted along with necessary adjustments to ensure continuous success over time.</w:t>
      </w:r>
    </w:p>
    <w:p w14:paraId="155EB00D" w14:textId="1A45B27D" w:rsidR="009E10E9" w:rsidRPr="009E10E9" w:rsidRDefault="009E10E9" w:rsidP="00541CE7">
      <w:pPr>
        <w:spacing w:line="360" w:lineRule="auto"/>
        <w:rPr>
          <w:rFonts w:ascii="Arial" w:hAnsi="Arial" w:cs="Arial"/>
          <w:sz w:val="24"/>
          <w:szCs w:val="24"/>
        </w:rPr>
      </w:pPr>
      <w:r w:rsidRPr="009E10E9">
        <w:rPr>
          <w:rFonts w:ascii="Arial" w:hAnsi="Arial" w:cs="Arial"/>
          <w:sz w:val="24"/>
          <w:szCs w:val="24"/>
        </w:rPr>
        <w:t>However, the collaborative process may encounter potential hurdles. Resistance to change is a prevailing challenge as both management and workers may have apprehensions about negative repercussions or uncertainties</w:t>
      </w:r>
      <w:r w:rsidR="008E0FDF">
        <w:rPr>
          <w:rFonts w:ascii="Arial" w:hAnsi="Arial" w:cs="Arial"/>
          <w:sz w:val="24"/>
          <w:szCs w:val="24"/>
        </w:rPr>
        <w:t xml:space="preserve"> </w:t>
      </w:r>
      <w:r w:rsidR="008E0FDF" w:rsidRPr="008E0FDF">
        <w:rPr>
          <w:rFonts w:ascii="Arial" w:hAnsi="Arial" w:cs="Arial"/>
          <w:sz w:val="24"/>
        </w:rPr>
        <w:t>(Furst and Cable, 2008)</w:t>
      </w:r>
      <w:r w:rsidRPr="009E10E9">
        <w:rPr>
          <w:rFonts w:ascii="Arial" w:hAnsi="Arial" w:cs="Arial"/>
          <w:sz w:val="24"/>
          <w:szCs w:val="24"/>
        </w:rPr>
        <w:t>. To alleviate this, involving stakeholders early on, offering clear explanations of the advantages, and demonstrating unwavering dedication to a just and transparent process can be beneficial. Providing training and support can also facilitate smoother transitions. The existence of power imbalances between management and workers can impede genuine collaboration. This issue can be addressed by utilizing impartial facilitators who are able to balance power dynamics while ensuring that all perspectives are heard. Additionally, establishing a secure environment where stakeholders feel at ease expressing their opinions without fear of retaliation is crucial</w:t>
      </w:r>
      <w:r w:rsidR="00A16927">
        <w:rPr>
          <w:rFonts w:ascii="Arial" w:hAnsi="Arial" w:cs="Arial"/>
          <w:sz w:val="24"/>
          <w:szCs w:val="24"/>
        </w:rPr>
        <w:t xml:space="preserve"> </w:t>
      </w:r>
      <w:r w:rsidR="00A16927" w:rsidRPr="00A16927">
        <w:rPr>
          <w:rFonts w:ascii="Arial" w:hAnsi="Arial" w:cs="Arial"/>
          <w:sz w:val="24"/>
        </w:rPr>
        <w:t>(Bercovitch, 2009)</w:t>
      </w:r>
      <w:r w:rsidRPr="009E10E9">
        <w:rPr>
          <w:rFonts w:ascii="Arial" w:hAnsi="Arial" w:cs="Arial"/>
          <w:sz w:val="24"/>
          <w:szCs w:val="24"/>
        </w:rPr>
        <w:t>.</w:t>
      </w:r>
    </w:p>
    <w:p w14:paraId="5CDA8438" w14:textId="439222AD" w:rsidR="009F3817" w:rsidRPr="009F3817" w:rsidRDefault="009E10E9" w:rsidP="00541CE7">
      <w:pPr>
        <w:spacing w:line="360" w:lineRule="auto"/>
        <w:rPr>
          <w:rFonts w:ascii="Arial" w:hAnsi="Arial" w:cs="Arial"/>
          <w:sz w:val="24"/>
          <w:szCs w:val="24"/>
        </w:rPr>
      </w:pPr>
      <w:r w:rsidRPr="009E10E9">
        <w:rPr>
          <w:rFonts w:ascii="Arial" w:hAnsi="Arial" w:cs="Arial"/>
          <w:sz w:val="24"/>
          <w:szCs w:val="24"/>
        </w:rPr>
        <w:t xml:space="preserve">The collaborative process can be derailed by miscommunication or a lack of effective communication. To address this, it is important to establish open and regular channels of communication. Utilizing various methods such as face-to-face meetings, written </w:t>
      </w:r>
      <w:r w:rsidRPr="009E10E9">
        <w:rPr>
          <w:rFonts w:ascii="Arial" w:hAnsi="Arial" w:cs="Arial"/>
          <w:sz w:val="24"/>
          <w:szCs w:val="24"/>
        </w:rPr>
        <w:lastRenderedPageBreak/>
        <w:t>updates, and digital platforms is essential in ensuring that information is easily accessible and clearly understood by all parties involved. When there are differing objectives between management and workers, reaching a consensus can become challenging. However, by focusing on common goals and interests, highlighting the shared benefits of resolving conflicts, and emphasizing the long-term advantages of a collaborative approach, it becomes possible to bridge gaps and find common ground</w:t>
      </w:r>
      <w:r w:rsidR="00D6415C">
        <w:rPr>
          <w:rFonts w:ascii="Arial" w:hAnsi="Arial" w:cs="Arial"/>
          <w:sz w:val="24"/>
          <w:szCs w:val="24"/>
        </w:rPr>
        <w:t xml:space="preserve"> </w:t>
      </w:r>
      <w:r w:rsidR="00D6415C" w:rsidRPr="00D6415C">
        <w:rPr>
          <w:rFonts w:ascii="Arial" w:hAnsi="Arial" w:cs="Arial"/>
          <w:sz w:val="24"/>
        </w:rPr>
        <w:t>(Veenen, 2010)</w:t>
      </w:r>
      <w:r w:rsidRPr="009E10E9">
        <w:rPr>
          <w:rFonts w:ascii="Arial" w:hAnsi="Arial" w:cs="Arial"/>
          <w:sz w:val="24"/>
          <w:szCs w:val="24"/>
        </w:rPr>
        <w:t>.</w:t>
      </w:r>
    </w:p>
    <w:p w14:paraId="715D189F" w14:textId="172D9D78" w:rsidR="009F3817" w:rsidRDefault="009F3817" w:rsidP="00541CE7">
      <w:pPr>
        <w:spacing w:line="360" w:lineRule="auto"/>
        <w:rPr>
          <w:rFonts w:ascii="Arial" w:hAnsi="Arial" w:cs="Arial"/>
          <w:sz w:val="24"/>
          <w:szCs w:val="24"/>
        </w:rPr>
      </w:pPr>
      <w:r w:rsidRPr="009F3817">
        <w:rPr>
          <w:rFonts w:ascii="Arial" w:hAnsi="Arial" w:cs="Arial"/>
          <w:sz w:val="24"/>
          <w:szCs w:val="24"/>
        </w:rPr>
        <w:t>Considering time and resource limitations, the collaborative process can present a formidable obstacle. It is imperative to allocate sufficient resources and time to this endeavour. Ensuring that all stakeholders comprehend the significance of investing in a comprehensive and inclusive approach for achieving sustainable solutions is paramount. Prioritising key concerns aids in managing time judiciously. By adhering to these guidelines and proactively addressing potential hurdles, the Post Office can effectively implement a collaborative conflict resolution style. This not only resolves the current salary dispute but also bolsters relationships, cultivates a positive work environment, and fortifies overall organizational stability and performance.</w:t>
      </w:r>
    </w:p>
    <w:p w14:paraId="7E8359EA" w14:textId="51268B8A" w:rsidR="00FB72AF" w:rsidRPr="00FB72AF" w:rsidRDefault="00E717A2" w:rsidP="00541CE7">
      <w:pPr>
        <w:pStyle w:val="Heading1"/>
        <w:spacing w:line="360" w:lineRule="auto"/>
      </w:pPr>
      <w:bookmarkStart w:id="14" w:name="_Toc172418805"/>
      <w:r>
        <w:t>Win-Win Solutions</w:t>
      </w:r>
      <w:bookmarkEnd w:id="14"/>
    </w:p>
    <w:p w14:paraId="2106B7FD" w14:textId="763FE466" w:rsidR="001A037E" w:rsidRPr="001A037E" w:rsidRDefault="00FB72AF" w:rsidP="00541CE7">
      <w:pPr>
        <w:spacing w:line="360" w:lineRule="auto"/>
        <w:rPr>
          <w:rFonts w:ascii="Arial" w:hAnsi="Arial" w:cs="Arial"/>
          <w:sz w:val="24"/>
          <w:szCs w:val="24"/>
        </w:rPr>
      </w:pPr>
      <w:r w:rsidRPr="00FB72AF">
        <w:rPr>
          <w:rFonts w:ascii="Arial" w:hAnsi="Arial" w:cs="Arial"/>
          <w:sz w:val="24"/>
          <w:szCs w:val="24"/>
        </w:rPr>
        <w:t xml:space="preserve">In conflict resolution, a win-win solution </w:t>
      </w:r>
      <w:r w:rsidR="004F72B1">
        <w:rPr>
          <w:rFonts w:ascii="Arial" w:hAnsi="Arial" w:cs="Arial"/>
          <w:sz w:val="24"/>
          <w:szCs w:val="24"/>
        </w:rPr>
        <w:t>is made up of</w:t>
      </w:r>
      <w:r w:rsidRPr="00FB72AF">
        <w:rPr>
          <w:rFonts w:ascii="Arial" w:hAnsi="Arial" w:cs="Arial"/>
          <w:sz w:val="24"/>
          <w:szCs w:val="24"/>
        </w:rPr>
        <w:t xml:space="preserve"> an outcome wherein all parties implicated acknowledge that they have acquired something valuable, and their primary concerns have been resolved. This approach stands in contrast to situations where one-party gains at the expense of another (win-lose), or both parties suffer losses (lose-lose). Win-win solutions prioritize cooperation, respect for one another, and the discovery of innovative methods to fulfil the requirements and desires of all stakeholders</w:t>
      </w:r>
      <w:r w:rsidR="005F4058">
        <w:rPr>
          <w:rFonts w:ascii="Arial" w:hAnsi="Arial" w:cs="Arial"/>
          <w:sz w:val="24"/>
          <w:szCs w:val="24"/>
        </w:rPr>
        <w:t xml:space="preserve"> </w:t>
      </w:r>
      <w:r w:rsidR="005F4058" w:rsidRPr="005F4058">
        <w:rPr>
          <w:rFonts w:ascii="Arial" w:hAnsi="Arial" w:cs="Arial"/>
          <w:sz w:val="24"/>
        </w:rPr>
        <w:t>(Gitlow and McNary, 2006)</w:t>
      </w:r>
      <w:r w:rsidRPr="00FB72AF">
        <w:rPr>
          <w:rFonts w:ascii="Arial" w:hAnsi="Arial" w:cs="Arial"/>
          <w:sz w:val="24"/>
          <w:szCs w:val="24"/>
        </w:rPr>
        <w:t>.</w:t>
      </w:r>
    </w:p>
    <w:p w14:paraId="6D58522F" w14:textId="26D5A2B3" w:rsidR="001A037E" w:rsidRPr="001A037E" w:rsidRDefault="001A037E" w:rsidP="00541CE7">
      <w:pPr>
        <w:spacing w:line="360" w:lineRule="auto"/>
        <w:rPr>
          <w:rFonts w:ascii="Arial" w:hAnsi="Arial" w:cs="Arial"/>
          <w:sz w:val="24"/>
          <w:szCs w:val="24"/>
        </w:rPr>
      </w:pPr>
      <w:r w:rsidRPr="001A037E">
        <w:rPr>
          <w:rFonts w:ascii="Arial" w:hAnsi="Arial" w:cs="Arial"/>
          <w:sz w:val="24"/>
          <w:szCs w:val="24"/>
        </w:rPr>
        <w:t>To achieve a mutually beneficial outcome in the strike involving Post Office workers, it is crucial to adopt a strategic and inclusive approach that takes into account the interests and requirements of all parties involved. By considering stakeholder analysis (Q1) and conflict resolution styles (Q2), several key measures can be implemented to ensure a win-win solution.</w:t>
      </w:r>
    </w:p>
    <w:p w14:paraId="1FFD33A2" w14:textId="1F962231" w:rsidR="00FC2C4E" w:rsidRPr="00FC2C4E" w:rsidRDefault="001A037E" w:rsidP="00541CE7">
      <w:pPr>
        <w:spacing w:line="360" w:lineRule="auto"/>
        <w:rPr>
          <w:rFonts w:ascii="Arial" w:hAnsi="Arial" w:cs="Arial"/>
          <w:sz w:val="24"/>
          <w:szCs w:val="24"/>
        </w:rPr>
      </w:pPr>
      <w:r w:rsidRPr="001A037E">
        <w:rPr>
          <w:rFonts w:ascii="Arial" w:hAnsi="Arial" w:cs="Arial"/>
          <w:sz w:val="24"/>
          <w:szCs w:val="24"/>
        </w:rPr>
        <w:lastRenderedPageBreak/>
        <w:t>The initial step towards reaching such an agreement is engaging all relevant stakeholders in open and transparent dialogue. This encompasses Post Office management, postal workers, the Communication Workers Union (CWU), customers, government and regulatory bodies, the media, as well as suppliers and contractors. Establishing a joint committee or task force that represents these groups will facilitate effective communication and enable comprehensive representation of various perspectives. Regular meetings combined with facilitated negotiation sessions will aid in identifying common concerns and areas of consensus. By ensuring every stakeholder has a voice throughout the process, trust can be built while fostering a collaborative environment.</w:t>
      </w:r>
    </w:p>
    <w:p w14:paraId="0E7CE0AA" w14:textId="555E5956" w:rsidR="00FC2C4E" w:rsidRPr="00FC2C4E" w:rsidRDefault="00FC2C4E" w:rsidP="00541CE7">
      <w:pPr>
        <w:spacing w:line="360" w:lineRule="auto"/>
        <w:rPr>
          <w:rFonts w:ascii="Arial" w:hAnsi="Arial" w:cs="Arial"/>
          <w:sz w:val="24"/>
          <w:szCs w:val="24"/>
        </w:rPr>
      </w:pPr>
      <w:r w:rsidRPr="00FC2C4E">
        <w:rPr>
          <w:rFonts w:ascii="Arial" w:hAnsi="Arial" w:cs="Arial"/>
          <w:sz w:val="24"/>
          <w:szCs w:val="24"/>
        </w:rPr>
        <w:t>Establishing and prioritizing shared objectives and interests is imperative in order to attain a mutually beneficial outcome. It is highly probable that both management and employees have the common goal of maintaining a stable, productive, and harmonious work environment. Furthermore, customers and government entities also seek reliable postal services and organizational stability. By emphasizing these shared objectives, stakeholders can shift their focus from adversarial positions to collaborative problem-solving. Recognizing that both sides ultimately desire the success of the organization lays a solid foundation for developing solutions that are acceptable to all parties involved.</w:t>
      </w:r>
    </w:p>
    <w:p w14:paraId="523047D6" w14:textId="77777777" w:rsidR="00FC2C4E" w:rsidRDefault="00FC2C4E" w:rsidP="00541CE7">
      <w:pPr>
        <w:spacing w:line="360" w:lineRule="auto"/>
        <w:rPr>
          <w:rFonts w:ascii="Arial" w:hAnsi="Arial" w:cs="Arial"/>
          <w:sz w:val="24"/>
          <w:szCs w:val="24"/>
        </w:rPr>
      </w:pPr>
      <w:r w:rsidRPr="00FC2C4E">
        <w:rPr>
          <w:rFonts w:ascii="Arial" w:hAnsi="Arial" w:cs="Arial"/>
          <w:sz w:val="24"/>
          <w:szCs w:val="24"/>
        </w:rPr>
        <w:t>The key to achieving a win-win resolution lies in devising solutions that address the fundamental concerns of both parties. In the case of the Post Office dispute mentioned earlier with regards to wage increase, it may involve reaching an agreement on a fair wage hike which takes into account prevailing economic conditions such as the 9% inflation rate cited during discussions about striking actions taken by workers. A staggered pay increase or phased implementation could help strike a balance between minimizing financial impact on the organization while simultaneously addressing immediate concerns raised by employees. Additionally, incorporating regular reviews and adjustments based on economic indicators into long-term pay structures can provide ongoing reassurance for workers' welfare.</w:t>
      </w:r>
    </w:p>
    <w:p w14:paraId="71D02EDA" w14:textId="0C206786" w:rsidR="00FC2C4E" w:rsidRPr="00FB72AF" w:rsidRDefault="00FC2C4E" w:rsidP="00541CE7">
      <w:pPr>
        <w:spacing w:line="360" w:lineRule="auto"/>
        <w:rPr>
          <w:rFonts w:ascii="Arial" w:hAnsi="Arial" w:cs="Arial"/>
          <w:sz w:val="24"/>
          <w:szCs w:val="24"/>
        </w:rPr>
      </w:pPr>
      <w:r w:rsidRPr="00FC2C4E">
        <w:rPr>
          <w:rFonts w:ascii="Arial" w:hAnsi="Arial" w:cs="Arial"/>
          <w:sz w:val="24"/>
          <w:szCs w:val="24"/>
        </w:rPr>
        <w:lastRenderedPageBreak/>
        <w:t>Ultimately, cultivating a culture of perpetual enhancement can effectively mitigate forthcoming disputes and guarantee the sustained well-being of the organization. Promoting consistent open communication, frequent evaluation, and cooperative troubleshooting as customary procedures can cultivate resilience and flexibility within the organization. Establishing frameworks for uninterrupted involvement and conflict resolution guarantees that emerging concerns are proactively resolved before they intensify.</w:t>
      </w:r>
    </w:p>
    <w:p w14:paraId="031543E8" w14:textId="0177AA23" w:rsidR="00756DEE" w:rsidRPr="00756DEE" w:rsidRDefault="00756DEE" w:rsidP="00541CE7">
      <w:pPr>
        <w:pStyle w:val="Heading1"/>
        <w:spacing w:line="360" w:lineRule="auto"/>
      </w:pPr>
      <w:bookmarkStart w:id="15" w:name="_Toc172418806"/>
      <w:r>
        <w:t>Understanding of Conflict Resolution</w:t>
      </w:r>
      <w:bookmarkEnd w:id="15"/>
    </w:p>
    <w:p w14:paraId="23FB25FA" w14:textId="66C6A175" w:rsidR="00756DEE" w:rsidRPr="00756DEE" w:rsidRDefault="00756DEE" w:rsidP="00541CE7">
      <w:pPr>
        <w:spacing w:line="360" w:lineRule="auto"/>
        <w:rPr>
          <w:rFonts w:ascii="Arial" w:hAnsi="Arial" w:cs="Arial"/>
          <w:sz w:val="24"/>
          <w:szCs w:val="24"/>
        </w:rPr>
      </w:pPr>
      <w:r w:rsidRPr="00756DEE">
        <w:rPr>
          <w:rFonts w:ascii="Arial" w:hAnsi="Arial" w:cs="Arial"/>
          <w:sz w:val="24"/>
          <w:szCs w:val="24"/>
        </w:rPr>
        <w:t>My encounter with this module has significantly enriched my comprehension of conflict resolution and stakeholder theory, equipping me with vital abilities and insights for the professional environment. The ideas and pragmatic approaches acquired have prepared me to effectively manage conflicts within organizations and interact with diverse stakeholders to attain optimal results.</w:t>
      </w:r>
    </w:p>
    <w:p w14:paraId="6329B737" w14:textId="62707790" w:rsidR="00B957E0" w:rsidRPr="00B957E0" w:rsidRDefault="00756DEE" w:rsidP="00541CE7">
      <w:pPr>
        <w:spacing w:line="360" w:lineRule="auto"/>
        <w:rPr>
          <w:rFonts w:ascii="Arial" w:hAnsi="Arial" w:cs="Arial"/>
          <w:sz w:val="24"/>
          <w:szCs w:val="24"/>
        </w:rPr>
      </w:pPr>
      <w:r w:rsidRPr="00756DEE">
        <w:rPr>
          <w:rFonts w:ascii="Arial" w:hAnsi="Arial" w:cs="Arial"/>
          <w:sz w:val="24"/>
          <w:szCs w:val="24"/>
        </w:rPr>
        <w:t>The module has furnished me with a comprehensive grasp of various forms of conflict resolution, such as competing, collaborating, compromising, avoiding, and accommodating. This knowledge enables me to critically evaluate situations and select the most suitable approach based on the circumstances and desired outcomes. For example, in a high-pressure scenario that demands prompt decision-making, I can employ a competitive style. Conversely, for intricate conflicts necessitating innovative solutions, I can leverage collaboration.</w:t>
      </w:r>
    </w:p>
    <w:p w14:paraId="486B224D" w14:textId="0FA7B7D7" w:rsidR="00B957E0" w:rsidRPr="00B957E0" w:rsidRDefault="00B957E0" w:rsidP="00541CE7">
      <w:pPr>
        <w:spacing w:line="360" w:lineRule="auto"/>
        <w:rPr>
          <w:rFonts w:ascii="Arial" w:hAnsi="Arial" w:cs="Arial"/>
          <w:sz w:val="24"/>
          <w:szCs w:val="24"/>
        </w:rPr>
      </w:pPr>
      <w:r w:rsidRPr="00B957E0">
        <w:rPr>
          <w:rFonts w:ascii="Arial" w:hAnsi="Arial" w:cs="Arial"/>
          <w:sz w:val="24"/>
          <w:szCs w:val="24"/>
        </w:rPr>
        <w:t>Gaining a comprehensive understanding of conflict resolution dynamics necessitates the recognition of underlying factors that contribute to conflicts, such as miscommunication, power disparities, and divergent interests. This awareness empowers me to address the fundamental causes instead of merely resolving superficial problems. By directing my focus towards these underlying issues, I can facilitate the development of more sustainable and enduring solutions, thereby promoting stability and harmony within organizations.</w:t>
      </w:r>
    </w:p>
    <w:p w14:paraId="52E7CCAB" w14:textId="4B4CA6D3" w:rsidR="00C84998" w:rsidRPr="00C84998" w:rsidRDefault="00B957E0" w:rsidP="00541CE7">
      <w:pPr>
        <w:spacing w:line="360" w:lineRule="auto"/>
        <w:rPr>
          <w:rFonts w:ascii="Arial" w:hAnsi="Arial" w:cs="Arial"/>
          <w:sz w:val="24"/>
          <w:szCs w:val="24"/>
        </w:rPr>
      </w:pPr>
      <w:r w:rsidRPr="00B957E0">
        <w:rPr>
          <w:rFonts w:ascii="Arial" w:hAnsi="Arial" w:cs="Arial"/>
          <w:sz w:val="24"/>
          <w:szCs w:val="24"/>
        </w:rPr>
        <w:lastRenderedPageBreak/>
        <w:t>The concept of stakeholder theory places significant emphasis on identifying and comprehending the interests and influence wielded by various stakeholders within an organization. Through this module's teachings, I have acquired valuable skills in stakeholder mapping utilizing frameworks like the Power-Interest Matrix. This model classifies stakeholders based on their ability to exert influence over outcomes as well as their level of interest in a particular matter at hand. The mastery of this skill is crucial for effectively prioritizing stakeholder engagement efforts while ensuring that the needs and concerns expressed by all relevant parties are duly considered.</w:t>
      </w:r>
    </w:p>
    <w:p w14:paraId="1D4C5E11" w14:textId="7C3B4901" w:rsidR="00C84998" w:rsidRPr="00C84998" w:rsidRDefault="00C84998" w:rsidP="00541CE7">
      <w:pPr>
        <w:spacing w:line="360" w:lineRule="auto"/>
        <w:rPr>
          <w:rFonts w:ascii="Arial" w:hAnsi="Arial" w:cs="Arial"/>
          <w:sz w:val="24"/>
          <w:szCs w:val="24"/>
        </w:rPr>
      </w:pPr>
      <w:r w:rsidRPr="00C84998">
        <w:rPr>
          <w:rFonts w:ascii="Arial" w:hAnsi="Arial" w:cs="Arial"/>
          <w:sz w:val="24"/>
          <w:szCs w:val="24"/>
        </w:rPr>
        <w:t xml:space="preserve">Successful stakeholder engagement in the workplace necessitates effective communication, transparency, and the establishment of trust. Utilizing stakeholder theory enables me to create proactive strategies that address stakeholders' concerns and cultivate a collaborative atmosphere. For instance, involving key stakeholders </w:t>
      </w:r>
      <w:r w:rsidR="00696471" w:rsidRPr="00C84998">
        <w:rPr>
          <w:rFonts w:ascii="Arial" w:hAnsi="Arial" w:cs="Arial"/>
          <w:sz w:val="24"/>
          <w:szCs w:val="24"/>
        </w:rPr>
        <w:t>early in the</w:t>
      </w:r>
      <w:r w:rsidRPr="00C84998">
        <w:rPr>
          <w:rFonts w:ascii="Arial" w:hAnsi="Arial" w:cs="Arial"/>
          <w:sz w:val="24"/>
          <w:szCs w:val="24"/>
        </w:rPr>
        <w:t xml:space="preserve"> decision-making process and maintaining regular communication can prevent misunderstandings while fostering robust and cooperative relationships.</w:t>
      </w:r>
    </w:p>
    <w:p w14:paraId="0860E29B" w14:textId="2B823E03" w:rsidR="00B4777C" w:rsidRPr="00B4777C" w:rsidRDefault="00C84998" w:rsidP="00541CE7">
      <w:pPr>
        <w:spacing w:line="360" w:lineRule="auto"/>
        <w:rPr>
          <w:rFonts w:ascii="Arial" w:hAnsi="Arial" w:cs="Arial"/>
          <w:sz w:val="24"/>
          <w:szCs w:val="24"/>
        </w:rPr>
      </w:pPr>
      <w:r w:rsidRPr="00C84998">
        <w:rPr>
          <w:rFonts w:ascii="Arial" w:hAnsi="Arial" w:cs="Arial"/>
          <w:sz w:val="24"/>
          <w:szCs w:val="24"/>
        </w:rPr>
        <w:t>This module has furnished invaluable insights into implementing theoretical concepts within real-world contexts. Through case studies and simulations, I have had the opportunity to refine my conflict resolution skills as well as strategies for engaging with stakeholders, thereby enhancing my ability to navigate intricate dynamics within organizations. These experiences have equipped me with the confidence and competence necessary to adeptly handle conflicts and engage with stakeholders effectively.</w:t>
      </w:r>
    </w:p>
    <w:p w14:paraId="07488510" w14:textId="3E91C25F" w:rsidR="00B4777C" w:rsidRPr="00B4777C" w:rsidRDefault="00B4777C" w:rsidP="00541CE7">
      <w:pPr>
        <w:spacing w:line="360" w:lineRule="auto"/>
        <w:rPr>
          <w:rFonts w:ascii="Arial" w:hAnsi="Arial" w:cs="Arial"/>
          <w:sz w:val="24"/>
          <w:szCs w:val="24"/>
        </w:rPr>
      </w:pPr>
      <w:r w:rsidRPr="00B4777C">
        <w:rPr>
          <w:rFonts w:ascii="Arial" w:hAnsi="Arial" w:cs="Arial"/>
          <w:sz w:val="24"/>
          <w:szCs w:val="24"/>
        </w:rPr>
        <w:t>In the corporate environment, strategic decision-making involves the analysis of how decisions can affect various stakeholders and the anticipation of potential conflicts. By integrating stakeholder theory into my decision-making process, I can proactively identify areas where disagreements may arise and address them in advance. This approach reduces the likelihood of conflicts arising and promotes a smoother implementation of organizational initiatives.</w:t>
      </w:r>
    </w:p>
    <w:p w14:paraId="12368252" w14:textId="0425718F" w:rsidR="00B4777C" w:rsidRDefault="00B4777C" w:rsidP="00541CE7">
      <w:pPr>
        <w:spacing w:line="360" w:lineRule="auto"/>
        <w:rPr>
          <w:rFonts w:ascii="Arial" w:hAnsi="Arial" w:cs="Arial"/>
          <w:sz w:val="24"/>
          <w:szCs w:val="24"/>
        </w:rPr>
      </w:pPr>
      <w:r w:rsidRPr="00B4777C">
        <w:rPr>
          <w:rFonts w:ascii="Arial" w:hAnsi="Arial" w:cs="Arial"/>
          <w:sz w:val="24"/>
          <w:szCs w:val="24"/>
        </w:rPr>
        <w:t xml:space="preserve">Furthermore, this module has effectively prepared me for leadership positions by emphasizing conflict resolution and stakeholder management as fundamental leadership skills. Successful leaders must navigate through conflicts, foster agreement </w:t>
      </w:r>
      <w:r w:rsidRPr="00B4777C">
        <w:rPr>
          <w:rFonts w:ascii="Arial" w:hAnsi="Arial" w:cs="Arial"/>
          <w:sz w:val="24"/>
          <w:szCs w:val="24"/>
        </w:rPr>
        <w:lastRenderedPageBreak/>
        <w:t>among team members, and engage with diverse stakeholders to accomplish organizational objectives. The skills and knowledge acquired from this module have equipped me with the confidence and effectiveness required to undertake these responsibilities successfully.</w:t>
      </w:r>
    </w:p>
    <w:p w14:paraId="07416F15" w14:textId="1A2B52B4" w:rsidR="00AA54FC" w:rsidRPr="00AA54FC" w:rsidRDefault="00AA54FC" w:rsidP="00541CE7">
      <w:pPr>
        <w:pStyle w:val="Heading1"/>
        <w:spacing w:line="360" w:lineRule="auto"/>
      </w:pPr>
      <w:bookmarkStart w:id="16" w:name="_Toc172418807"/>
      <w:r>
        <w:t>Conclusion</w:t>
      </w:r>
      <w:bookmarkEnd w:id="16"/>
    </w:p>
    <w:p w14:paraId="55DA0F46" w14:textId="5FA7E5AD" w:rsidR="00AA54FC" w:rsidRPr="00AA54FC" w:rsidRDefault="00AA54FC" w:rsidP="00541CE7">
      <w:pPr>
        <w:spacing w:line="360" w:lineRule="auto"/>
        <w:rPr>
          <w:rFonts w:ascii="Arial" w:hAnsi="Arial" w:cs="Arial"/>
          <w:sz w:val="24"/>
          <w:szCs w:val="24"/>
        </w:rPr>
      </w:pPr>
      <w:r w:rsidRPr="00AA54FC">
        <w:rPr>
          <w:rFonts w:ascii="Arial" w:hAnsi="Arial" w:cs="Arial"/>
          <w:sz w:val="24"/>
          <w:szCs w:val="24"/>
        </w:rPr>
        <w:t>To effectively resolve the strike among Post Office workers, a comprehensive approach is necessary. This approach should incorporate stakeholder analysis, conflict resolution styles, and strategies that result in mutually beneficial outcomes. The Power-Interest Matrix can be utilized to identify and manage stakeholders such as the CWU, postal workers, government bodies, customers, and media based on their influence and interest levels. By understanding the dynamics and implications of various conflict resolution styles – particularly the collaborative approach – it becomes evident that this style is well-suited for dealing with this complex dispute. The collaborative approach encourages open dialogue among parties involved, promotes shared goals, and facilitates the development of solutions that address both immediate issues and long-term concerns.</w:t>
      </w:r>
    </w:p>
    <w:p w14:paraId="7FB06BA4" w14:textId="47231030" w:rsidR="00AA54FC" w:rsidRPr="00AA54FC" w:rsidRDefault="00AA54FC" w:rsidP="00541CE7">
      <w:pPr>
        <w:spacing w:line="360" w:lineRule="auto"/>
        <w:rPr>
          <w:rFonts w:ascii="Arial" w:hAnsi="Arial" w:cs="Arial"/>
          <w:sz w:val="24"/>
          <w:szCs w:val="24"/>
        </w:rPr>
      </w:pPr>
      <w:r w:rsidRPr="00AA54FC">
        <w:rPr>
          <w:rFonts w:ascii="Arial" w:hAnsi="Arial" w:cs="Arial"/>
          <w:sz w:val="24"/>
          <w:szCs w:val="24"/>
        </w:rPr>
        <w:t>Implementing a collaborative strategy involves the active participation of all relevant parties in open and transparent discussions, identifying shared goals, and establishing fair and sustainable solutions such as ensuring equal pay adjustments and enhancing working conditions. It is essential to address power imbalances, maintain ongoing communication, and monitor progress to foster trust and commitment to agreements. Additionally, cultivating a culture of continuous improvement can prevent future conflicts while bolstering the resilience of the organization.</w:t>
      </w:r>
    </w:p>
    <w:p w14:paraId="0AFB6F0D" w14:textId="0767606C" w:rsidR="00AA54FC" w:rsidRDefault="00AA54FC" w:rsidP="00541CE7">
      <w:pPr>
        <w:spacing w:line="360" w:lineRule="auto"/>
        <w:rPr>
          <w:rFonts w:ascii="Arial" w:hAnsi="Arial" w:cs="Arial"/>
          <w:sz w:val="24"/>
          <w:szCs w:val="24"/>
        </w:rPr>
      </w:pPr>
      <w:r w:rsidRPr="00AA54FC">
        <w:rPr>
          <w:rFonts w:ascii="Arial" w:hAnsi="Arial" w:cs="Arial"/>
          <w:sz w:val="24"/>
          <w:szCs w:val="24"/>
        </w:rPr>
        <w:t>The knowledge acquired from studying this module on conflict resolution and stakeholder theory has provided me with valuable skills for navigating workplace disputes effectively, engaging diverse stakeholders, and contributing to the creation of a positive and productive work environment. This comprehensive understanding is crucial for attaining long-term organizational success and stability.</w:t>
      </w:r>
    </w:p>
    <w:p w14:paraId="19673850" w14:textId="1799E388" w:rsidR="00AA54FC" w:rsidRDefault="00AA54FC" w:rsidP="00541CE7">
      <w:pPr>
        <w:pStyle w:val="Heading1"/>
        <w:spacing w:line="360" w:lineRule="auto"/>
      </w:pPr>
      <w:bookmarkStart w:id="17" w:name="_Toc172418808"/>
      <w:r>
        <w:lastRenderedPageBreak/>
        <w:t>References</w:t>
      </w:r>
      <w:bookmarkEnd w:id="17"/>
    </w:p>
    <w:p w14:paraId="5327CCB6" w14:textId="644DDAFF"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Baru, C., 2018. Data in the 21st Century, in: Kreinovich, V., Sriboonchitta, S., Chakpitak, N. (Eds.), Predictive Econometrics and Big Data, Studies in Computational Intelligence. Springer International Publishing, Cham, pp. 3–17. https://doi.org/10.1007/978-3-319-70942-0_1</w:t>
      </w:r>
    </w:p>
    <w:p w14:paraId="38E5464C"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Bercovitch, J., 2009. Mediation and conflict resolution. The SAGE handbook of conflict resolution 340–357.</w:t>
      </w:r>
    </w:p>
    <w:p w14:paraId="4EC6A5D4"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De Dreu, C.K.W., Weingart, L.R., 2003. Task versus relationship conflict, team performance, and team member satisfaction: A meta-analysis. Journal of Applied Psychology 88, 741–749. https://doi.org/10.1037/0021-9010.88.4.741</w:t>
      </w:r>
    </w:p>
    <w:p w14:paraId="35D49626"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Demir, S.T., Bryde, D.J., Fearon, D.J., Ochieng, E.G., 2015. Three dimensional stakeholder analysis - 3dSA: adding the risk dimension for stakeholder analysis. IJPOM 7, 15. https://doi.org/10.1504/IJPOM.2015.068002</w:t>
      </w:r>
    </w:p>
    <w:p w14:paraId="37910B5E"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Furst, S.A., Cable, D.M., 2008. Employee resistance to organizational change: managerial influence tactics and leader-member exchange. Journal of Applied psychology 93, 453.</w:t>
      </w:r>
    </w:p>
    <w:p w14:paraId="526DEDA3"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Gitlow, H., McNary, L., 2006. Creating win-win solutions for team conflicts. The Journal for Quality and Participation 29, 20.</w:t>
      </w:r>
    </w:p>
    <w:p w14:paraId="5E4273E9"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Johnson, C.A., Thompson, R.C., Anderson, M.G., 2014. Thomas-Kilmann Conflict Mode Instrument.</w:t>
      </w:r>
    </w:p>
    <w:p w14:paraId="3665887D"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Kennon, N., Howden, P., Hartley, M., 2009. Who really matters?: A stakeholder analysis tool. Extension Farming Systems Journal 5, 9–17.</w:t>
      </w:r>
    </w:p>
    <w:p w14:paraId="7031EAE4"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Kuzmin, O., Khilukha, O., 2016. Regulation of stakeholders’ interests in corporate governance through negotiations. Економічний часопис-ХХІ 56–60.</w:t>
      </w:r>
    </w:p>
    <w:p w14:paraId="460D119B"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Leveillee, M.G., 2018. Exploration of Conflict Management Styles Used by Medical-Surgical Nurses.</w:t>
      </w:r>
    </w:p>
    <w:p w14:paraId="7E694CFC"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Malek, M., 2000. Relationship between emotional intelligence and collaborative conflict resolution styles. United States International University.</w:t>
      </w:r>
    </w:p>
    <w:p w14:paraId="28BB4C0B"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 xml:space="preserve">Mathur, V.N., Price, A.D.F., Austin, S., Moobela, C., 2007. Defining, identifying and mapping stakeholders in the assessment of urban sustainability. IN: Horner, M.... </w:t>
      </w:r>
      <w:r w:rsidRPr="00AA54FC">
        <w:rPr>
          <w:rFonts w:ascii="Arial" w:hAnsi="Arial" w:cs="Arial"/>
          <w:sz w:val="24"/>
        </w:rPr>
        <w:lastRenderedPageBreak/>
        <w:t>et al, in: Proceedings: SUE-MoT Conference 2007: International Conference on Whole Life Sustainability and Its Assessment, Glasgow, Scotland, 27th-29th June. Citeseer.</w:t>
      </w:r>
    </w:p>
    <w:p w14:paraId="34611C70"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McKinney, N.S., 2014. Enhancing conflict competency. ABNF Journal 25, 123.</w:t>
      </w:r>
    </w:p>
    <w:p w14:paraId="0C8CB162"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Rahim, M.A., 2002. TOWARD A THEORY OF MANAGING ORGANIZATIONAL CONFLICT. International Journal of Conflict Management 13, 206–235. https://doi.org/10.1108/eb022874</w:t>
      </w:r>
    </w:p>
    <w:p w14:paraId="0C7DB507"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Ramsbotham, O., Miall, H., Woodhouse, T., 2011. Contemporary conflict resolution. Polity.</w:t>
      </w:r>
    </w:p>
    <w:p w14:paraId="4D967867"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Riasi, A., Asadzadeh, N., 2015. The relationship between principals’ reward power and their conflict management styles based on Thomas–Kilmann conflict mode instrument. Management Science Letters 5, 611–618.</w:t>
      </w:r>
    </w:p>
    <w:p w14:paraId="2095DD5D"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Schaubhut, N.A., 2007. Thomas-Kilmann conflict mode instrument. CPP Research Department.</w:t>
      </w:r>
    </w:p>
    <w:p w14:paraId="3059F960"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Shell, G.R., 2001. Teaching Ideas: Bargaining Styles and Negotiation: The Thomas‐Kilmann Conflict Mode Instrument in Negotiation Training. Negotiation Journal 17, 155–174. https://doi.org/10.1111/j.1571-9979.2001.tb00233.x</w:t>
      </w:r>
    </w:p>
    <w:p w14:paraId="06C0A162"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Slabá, M., Fiala, R., 2014. Application of power-interest matrix and influence-attitude matrix in stakeholder mapping of universities.</w:t>
      </w:r>
    </w:p>
    <w:p w14:paraId="26FBE759"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Thomas, K., Kilmann, R., 1976. Thomas-Kilmann conflict MODE instrument. https://doi.org/10.1037/t02326-000</w:t>
      </w:r>
    </w:p>
    <w:p w14:paraId="28E70465"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Veenen, J. van, 2010. Dealing with miscommunication, distrust, and emotions in online dispute resolution.</w:t>
      </w:r>
    </w:p>
    <w:p w14:paraId="41A05FF9" w14:textId="77777777" w:rsidR="00AA54FC" w:rsidRPr="00AA54FC" w:rsidRDefault="00AA54FC" w:rsidP="00541CE7">
      <w:pPr>
        <w:pStyle w:val="Bibliography"/>
        <w:spacing w:line="360" w:lineRule="auto"/>
        <w:rPr>
          <w:rFonts w:ascii="Arial" w:hAnsi="Arial" w:cs="Arial"/>
          <w:sz w:val="24"/>
        </w:rPr>
      </w:pPr>
      <w:r w:rsidRPr="00AA54FC">
        <w:rPr>
          <w:rFonts w:ascii="Arial" w:hAnsi="Arial" w:cs="Arial"/>
          <w:sz w:val="24"/>
        </w:rPr>
        <w:t>Womack, D.F., 1988. Assessing the Thomas-Kilmann Conflict Mode Survey. Management Communication Quarterly 1, 321–349. https://doi.org/10.1177/0893318988001003004</w:t>
      </w:r>
    </w:p>
    <w:p w14:paraId="62F6935B" w14:textId="742FAEB2" w:rsidR="00AA54FC" w:rsidRPr="00631E54" w:rsidRDefault="00AA54FC" w:rsidP="00541CE7">
      <w:pPr>
        <w:spacing w:line="360" w:lineRule="auto"/>
        <w:rPr>
          <w:rFonts w:ascii="Arial" w:hAnsi="Arial" w:cs="Arial"/>
          <w:sz w:val="24"/>
          <w:szCs w:val="24"/>
        </w:rPr>
      </w:pPr>
    </w:p>
    <w:sectPr w:rsidR="00AA54FC" w:rsidRPr="00631E54" w:rsidSect="00541CE7">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9CF54A" w14:textId="77777777" w:rsidR="00D62F36" w:rsidRDefault="00D62F36" w:rsidP="002B547E">
      <w:pPr>
        <w:spacing w:after="0" w:line="240" w:lineRule="auto"/>
      </w:pPr>
      <w:r>
        <w:separator/>
      </w:r>
    </w:p>
  </w:endnote>
  <w:endnote w:type="continuationSeparator" w:id="0">
    <w:p w14:paraId="2DC92131" w14:textId="77777777" w:rsidR="00D62F36" w:rsidRDefault="00D62F36" w:rsidP="002B5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8244743"/>
      <w:docPartObj>
        <w:docPartGallery w:val="Page Numbers (Bottom of Page)"/>
        <w:docPartUnique/>
      </w:docPartObj>
    </w:sdtPr>
    <w:sdtEndPr>
      <w:rPr>
        <w:noProof/>
      </w:rPr>
    </w:sdtEndPr>
    <w:sdtContent>
      <w:p w14:paraId="69C62F55" w14:textId="2F0E3D9E" w:rsidR="002B547E" w:rsidRDefault="002B54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E7B740" w14:textId="77777777" w:rsidR="002B547E" w:rsidRDefault="002B54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5F8190" w14:textId="77777777" w:rsidR="00D62F36" w:rsidRDefault="00D62F36" w:rsidP="002B547E">
      <w:pPr>
        <w:spacing w:after="0" w:line="240" w:lineRule="auto"/>
      </w:pPr>
      <w:r>
        <w:separator/>
      </w:r>
    </w:p>
  </w:footnote>
  <w:footnote w:type="continuationSeparator" w:id="0">
    <w:p w14:paraId="5CF2E5EC" w14:textId="77777777" w:rsidR="00D62F36" w:rsidRDefault="00D62F36" w:rsidP="002B54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40D"/>
    <w:rsid w:val="000C28B9"/>
    <w:rsid w:val="000D5B02"/>
    <w:rsid w:val="000F240D"/>
    <w:rsid w:val="001A037E"/>
    <w:rsid w:val="001B1C62"/>
    <w:rsid w:val="002358A1"/>
    <w:rsid w:val="00242CC1"/>
    <w:rsid w:val="00243722"/>
    <w:rsid w:val="002A5F8B"/>
    <w:rsid w:val="002B547E"/>
    <w:rsid w:val="002D08E0"/>
    <w:rsid w:val="002E08AC"/>
    <w:rsid w:val="00303AB7"/>
    <w:rsid w:val="00307C6A"/>
    <w:rsid w:val="003123F9"/>
    <w:rsid w:val="0033337E"/>
    <w:rsid w:val="00343AC1"/>
    <w:rsid w:val="003C3B7E"/>
    <w:rsid w:val="003F5F2E"/>
    <w:rsid w:val="004B7E93"/>
    <w:rsid w:val="004C46AA"/>
    <w:rsid w:val="004F72B1"/>
    <w:rsid w:val="004F73D5"/>
    <w:rsid w:val="00541CE7"/>
    <w:rsid w:val="00596A36"/>
    <w:rsid w:val="005B63EC"/>
    <w:rsid w:val="005E0462"/>
    <w:rsid w:val="005E55FD"/>
    <w:rsid w:val="005F4058"/>
    <w:rsid w:val="0061060F"/>
    <w:rsid w:val="006138F8"/>
    <w:rsid w:val="00631E54"/>
    <w:rsid w:val="00645FFC"/>
    <w:rsid w:val="00682324"/>
    <w:rsid w:val="00696471"/>
    <w:rsid w:val="006E2777"/>
    <w:rsid w:val="007404CA"/>
    <w:rsid w:val="00756DEE"/>
    <w:rsid w:val="007705B3"/>
    <w:rsid w:val="007767D5"/>
    <w:rsid w:val="007D3044"/>
    <w:rsid w:val="00826D1B"/>
    <w:rsid w:val="00874090"/>
    <w:rsid w:val="0088184C"/>
    <w:rsid w:val="008A5DC4"/>
    <w:rsid w:val="008A7A80"/>
    <w:rsid w:val="008B5F12"/>
    <w:rsid w:val="008E0FDF"/>
    <w:rsid w:val="008E3B4E"/>
    <w:rsid w:val="008F5BBC"/>
    <w:rsid w:val="00933025"/>
    <w:rsid w:val="0097005E"/>
    <w:rsid w:val="00986715"/>
    <w:rsid w:val="00995DE5"/>
    <w:rsid w:val="009E0B64"/>
    <w:rsid w:val="009E10E9"/>
    <w:rsid w:val="009F3817"/>
    <w:rsid w:val="00A01DBF"/>
    <w:rsid w:val="00A16927"/>
    <w:rsid w:val="00A57FB6"/>
    <w:rsid w:val="00A6078E"/>
    <w:rsid w:val="00A97619"/>
    <w:rsid w:val="00AA54FC"/>
    <w:rsid w:val="00AB5429"/>
    <w:rsid w:val="00B21FE0"/>
    <w:rsid w:val="00B25029"/>
    <w:rsid w:val="00B43A8D"/>
    <w:rsid w:val="00B4777C"/>
    <w:rsid w:val="00B51BEF"/>
    <w:rsid w:val="00B63131"/>
    <w:rsid w:val="00B83197"/>
    <w:rsid w:val="00B957E0"/>
    <w:rsid w:val="00C21DF8"/>
    <w:rsid w:val="00C26228"/>
    <w:rsid w:val="00C31828"/>
    <w:rsid w:val="00C6320D"/>
    <w:rsid w:val="00C75D7A"/>
    <w:rsid w:val="00C84998"/>
    <w:rsid w:val="00C958BE"/>
    <w:rsid w:val="00CE0209"/>
    <w:rsid w:val="00CE02FB"/>
    <w:rsid w:val="00D333E5"/>
    <w:rsid w:val="00D62F36"/>
    <w:rsid w:val="00D6415C"/>
    <w:rsid w:val="00DB31E2"/>
    <w:rsid w:val="00E31AC4"/>
    <w:rsid w:val="00E717A2"/>
    <w:rsid w:val="00E9236B"/>
    <w:rsid w:val="00EF6928"/>
    <w:rsid w:val="00EF74BA"/>
    <w:rsid w:val="00FA1C8E"/>
    <w:rsid w:val="00FB72AF"/>
    <w:rsid w:val="00FC2C4E"/>
    <w:rsid w:val="00FC62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286F4"/>
  <w15:chartTrackingRefBased/>
  <w15:docId w15:val="{A0C276B2-3780-482F-A9E1-793266763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F24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24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24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24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24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24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24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24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24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40D"/>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0F240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0F240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F240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F240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F240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F240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F240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F240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F24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240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F24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240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F240D"/>
    <w:pPr>
      <w:spacing w:before="160"/>
      <w:jc w:val="center"/>
    </w:pPr>
    <w:rPr>
      <w:i/>
      <w:iCs/>
      <w:color w:val="404040" w:themeColor="text1" w:themeTint="BF"/>
    </w:rPr>
  </w:style>
  <w:style w:type="character" w:customStyle="1" w:styleId="QuoteChar">
    <w:name w:val="Quote Char"/>
    <w:basedOn w:val="DefaultParagraphFont"/>
    <w:link w:val="Quote"/>
    <w:uiPriority w:val="29"/>
    <w:rsid w:val="000F240D"/>
    <w:rPr>
      <w:i/>
      <w:iCs/>
      <w:color w:val="404040" w:themeColor="text1" w:themeTint="BF"/>
      <w:lang w:val="en-GB"/>
    </w:rPr>
  </w:style>
  <w:style w:type="paragraph" w:styleId="ListParagraph">
    <w:name w:val="List Paragraph"/>
    <w:basedOn w:val="Normal"/>
    <w:uiPriority w:val="34"/>
    <w:qFormat/>
    <w:rsid w:val="000F240D"/>
    <w:pPr>
      <w:ind w:left="720"/>
      <w:contextualSpacing/>
    </w:pPr>
  </w:style>
  <w:style w:type="character" w:styleId="IntenseEmphasis">
    <w:name w:val="Intense Emphasis"/>
    <w:basedOn w:val="DefaultParagraphFont"/>
    <w:uiPriority w:val="21"/>
    <w:qFormat/>
    <w:rsid w:val="000F240D"/>
    <w:rPr>
      <w:i/>
      <w:iCs/>
      <w:color w:val="0F4761" w:themeColor="accent1" w:themeShade="BF"/>
    </w:rPr>
  </w:style>
  <w:style w:type="paragraph" w:styleId="IntenseQuote">
    <w:name w:val="Intense Quote"/>
    <w:basedOn w:val="Normal"/>
    <w:next w:val="Normal"/>
    <w:link w:val="IntenseQuoteChar"/>
    <w:uiPriority w:val="30"/>
    <w:qFormat/>
    <w:rsid w:val="000F24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240D"/>
    <w:rPr>
      <w:i/>
      <w:iCs/>
      <w:color w:val="0F4761" w:themeColor="accent1" w:themeShade="BF"/>
      <w:lang w:val="en-GB"/>
    </w:rPr>
  </w:style>
  <w:style w:type="character" w:styleId="IntenseReference">
    <w:name w:val="Intense Reference"/>
    <w:basedOn w:val="DefaultParagraphFont"/>
    <w:uiPriority w:val="32"/>
    <w:qFormat/>
    <w:rsid w:val="000F240D"/>
    <w:rPr>
      <w:b/>
      <w:bCs/>
      <w:smallCaps/>
      <w:color w:val="0F4761" w:themeColor="accent1" w:themeShade="BF"/>
      <w:spacing w:val="5"/>
    </w:rPr>
  </w:style>
  <w:style w:type="paragraph" w:styleId="Caption">
    <w:name w:val="caption"/>
    <w:basedOn w:val="Normal"/>
    <w:next w:val="Normal"/>
    <w:uiPriority w:val="35"/>
    <w:unhideWhenUsed/>
    <w:qFormat/>
    <w:rsid w:val="000D5B02"/>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AA54FC"/>
    <w:pPr>
      <w:spacing w:after="0" w:line="240" w:lineRule="auto"/>
      <w:ind w:left="720" w:hanging="720"/>
    </w:pPr>
  </w:style>
  <w:style w:type="paragraph" w:styleId="NoSpacing">
    <w:name w:val="No Spacing"/>
    <w:link w:val="NoSpacingChar"/>
    <w:uiPriority w:val="1"/>
    <w:qFormat/>
    <w:rsid w:val="00541CE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541CE7"/>
    <w:rPr>
      <w:rFonts w:eastAsiaTheme="minorEastAsia"/>
      <w:kern w:val="0"/>
      <w14:ligatures w14:val="none"/>
    </w:rPr>
  </w:style>
  <w:style w:type="paragraph" w:styleId="TOCHeading">
    <w:name w:val="TOC Heading"/>
    <w:basedOn w:val="Heading1"/>
    <w:next w:val="Normal"/>
    <w:uiPriority w:val="39"/>
    <w:unhideWhenUsed/>
    <w:qFormat/>
    <w:rsid w:val="005B63E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B63EC"/>
    <w:pPr>
      <w:spacing w:after="100"/>
    </w:pPr>
  </w:style>
  <w:style w:type="paragraph" w:styleId="TOC2">
    <w:name w:val="toc 2"/>
    <w:basedOn w:val="Normal"/>
    <w:next w:val="Normal"/>
    <w:autoRedefine/>
    <w:uiPriority w:val="39"/>
    <w:unhideWhenUsed/>
    <w:rsid w:val="005B63EC"/>
    <w:pPr>
      <w:spacing w:after="100"/>
      <w:ind w:left="220"/>
    </w:pPr>
  </w:style>
  <w:style w:type="paragraph" w:styleId="TOC3">
    <w:name w:val="toc 3"/>
    <w:basedOn w:val="Normal"/>
    <w:next w:val="Normal"/>
    <w:autoRedefine/>
    <w:uiPriority w:val="39"/>
    <w:unhideWhenUsed/>
    <w:rsid w:val="005B63EC"/>
    <w:pPr>
      <w:spacing w:after="100"/>
      <w:ind w:left="440"/>
    </w:pPr>
  </w:style>
  <w:style w:type="character" w:styleId="Hyperlink">
    <w:name w:val="Hyperlink"/>
    <w:basedOn w:val="DefaultParagraphFont"/>
    <w:uiPriority w:val="99"/>
    <w:unhideWhenUsed/>
    <w:rsid w:val="005B63EC"/>
    <w:rPr>
      <w:color w:val="467886" w:themeColor="hyperlink"/>
      <w:u w:val="single"/>
    </w:rPr>
  </w:style>
  <w:style w:type="paragraph" w:styleId="Header">
    <w:name w:val="header"/>
    <w:basedOn w:val="Normal"/>
    <w:link w:val="HeaderChar"/>
    <w:uiPriority w:val="99"/>
    <w:unhideWhenUsed/>
    <w:rsid w:val="002B54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547E"/>
    <w:rPr>
      <w:lang w:val="en-GB"/>
    </w:rPr>
  </w:style>
  <w:style w:type="paragraph" w:styleId="Footer">
    <w:name w:val="footer"/>
    <w:basedOn w:val="Normal"/>
    <w:link w:val="FooterChar"/>
    <w:uiPriority w:val="99"/>
    <w:unhideWhenUsed/>
    <w:rsid w:val="002B54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547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2896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9C43E44F6C54AF48491DC93C728679B"/>
        <w:category>
          <w:name w:val="General"/>
          <w:gallery w:val="placeholder"/>
        </w:category>
        <w:types>
          <w:type w:val="bbPlcHdr"/>
        </w:types>
        <w:behaviors>
          <w:behavior w:val="content"/>
        </w:behaviors>
        <w:guid w:val="{4C4BE40D-8E41-4D32-AB0F-EA9F35401720}"/>
      </w:docPartPr>
      <w:docPartBody>
        <w:p w:rsidR="00D11B85" w:rsidRDefault="005F1F75" w:rsidP="005F1F75">
          <w:pPr>
            <w:pStyle w:val="69C43E44F6C54AF48491DC93C728679B"/>
          </w:pPr>
          <w:r>
            <w:rPr>
              <w:rFonts w:asciiTheme="majorHAnsi" w:eastAsiaTheme="majorEastAsia" w:hAnsiTheme="majorHAnsi" w:cstheme="majorBidi"/>
              <w:caps/>
              <w:color w:val="156082" w:themeColor="accent1"/>
              <w:sz w:val="80"/>
              <w:szCs w:val="80"/>
            </w:rPr>
            <w:t>[Document title]</w:t>
          </w:r>
        </w:p>
      </w:docPartBody>
    </w:docPart>
    <w:docPart>
      <w:docPartPr>
        <w:name w:val="50CC2733D0E14896BBC504C6B71F91D0"/>
        <w:category>
          <w:name w:val="General"/>
          <w:gallery w:val="placeholder"/>
        </w:category>
        <w:types>
          <w:type w:val="bbPlcHdr"/>
        </w:types>
        <w:behaviors>
          <w:behavior w:val="content"/>
        </w:behaviors>
        <w:guid w:val="{77C0274F-C23A-460A-8383-F9BF396BE72C}"/>
      </w:docPartPr>
      <w:docPartBody>
        <w:p w:rsidR="00D11B85" w:rsidRDefault="005F1F75" w:rsidP="005F1F75">
          <w:pPr>
            <w:pStyle w:val="50CC2733D0E14896BBC504C6B71F91D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F75"/>
    <w:rsid w:val="003123F9"/>
    <w:rsid w:val="005757AC"/>
    <w:rsid w:val="005F1F75"/>
    <w:rsid w:val="007705B3"/>
    <w:rsid w:val="00D11B85"/>
    <w:rsid w:val="00D949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C43E44F6C54AF48491DC93C728679B">
    <w:name w:val="69C43E44F6C54AF48491DC93C728679B"/>
    <w:rsid w:val="005F1F75"/>
  </w:style>
  <w:style w:type="paragraph" w:customStyle="1" w:styleId="50CC2733D0E14896BBC504C6B71F91D0">
    <w:name w:val="50CC2733D0E14896BBC504C6B71F91D0"/>
    <w:rsid w:val="005F1F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C22E52-2753-4DC0-AA9A-ED64A9BD0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1976</TotalTime>
  <Pages>1</Pages>
  <Words>7170</Words>
  <Characters>40873</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Change management portfolio</vt:lpstr>
    </vt:vector>
  </TitlesOfParts>
  <Company/>
  <LinksUpToDate>false</LinksUpToDate>
  <CharactersWithSpaces>47948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 portfolio</dc:title>
  <dc:subject>Leading and implementing workplace change - BMSW6103</dc:subject>
  <dc:creator>Naveed</dc:creator>
  <cp:keywords/>
  <dc:description/>
  <cp:lastModifiedBy>Muhammad Muzammil Kamran</cp:lastModifiedBy>
  <cp:revision>10</cp:revision>
  <dcterms:created xsi:type="dcterms:W3CDTF">2024-07-17T18:46:00Z</dcterms:created>
  <dcterms:modified xsi:type="dcterms:W3CDTF">2024-07-21T00:52:00Z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id="XebcPI0f"/&gt;&lt;style id="http://www.zotero.org/styles/elsevier-harvard" hasBibliography="1" bibliographyStyleHasBeenSet="1"/&gt;&lt;prefs&gt;&lt;pref name="fieldType" value="Field"/&gt;&lt;/prefs&gt;&lt;/data&gt;</vt:lpwstr>
  </property>
</Properties>
</file>