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1A790" w14:textId="77777777" w:rsidR="007A1818" w:rsidRDefault="007A1818" w:rsidP="007A1818">
      <w:pPr>
        <w:pStyle w:val="Title"/>
        <w:rPr>
          <w:lang w:val="en-US"/>
        </w:rPr>
      </w:pPr>
    </w:p>
    <w:p w14:paraId="531C3D3B" w14:textId="77777777" w:rsidR="007A1818" w:rsidRDefault="007A1818" w:rsidP="007A1818">
      <w:pPr>
        <w:pStyle w:val="Title"/>
        <w:rPr>
          <w:lang w:val="en-US"/>
        </w:rPr>
      </w:pPr>
    </w:p>
    <w:p w14:paraId="77A7046B" w14:textId="07C6078C" w:rsidR="007A1818" w:rsidRPr="001A420C" w:rsidRDefault="007A1818" w:rsidP="007A1818">
      <w:pPr>
        <w:pStyle w:val="Title"/>
        <w:rPr>
          <w:lang w:val="en-US"/>
        </w:rPr>
      </w:pPr>
      <w:r w:rsidRPr="001A420C">
        <w:rPr>
          <w:lang w:val="en-US"/>
        </w:rPr>
        <w:t>BMIH6007</w:t>
      </w:r>
    </w:p>
    <w:p w14:paraId="5D61750E" w14:textId="29631AD8" w:rsidR="007A1818" w:rsidRDefault="007A1818" w:rsidP="007A1818">
      <w:pPr>
        <w:pStyle w:val="Title"/>
        <w:rPr>
          <w:lang w:val="en-US"/>
        </w:rPr>
      </w:pPr>
      <w:r w:rsidRPr="001A420C">
        <w:rPr>
          <w:lang w:val="en-US"/>
        </w:rPr>
        <w:t>International Meetings Management for the Hotel Industry</w:t>
      </w:r>
      <w:r>
        <w:rPr>
          <w:lang w:val="en-US"/>
        </w:rPr>
        <w:t xml:space="preserve"> (Report) </w:t>
      </w:r>
    </w:p>
    <w:p w14:paraId="27125666" w14:textId="77777777" w:rsidR="00C7223F" w:rsidRDefault="00C7223F" w:rsidP="00C7223F">
      <w:pPr>
        <w:rPr>
          <w:lang w:val="en-US"/>
        </w:rPr>
      </w:pPr>
    </w:p>
    <w:p w14:paraId="7CD0C27D" w14:textId="77777777" w:rsidR="00C7223F" w:rsidRDefault="00C7223F" w:rsidP="00C7223F">
      <w:pPr>
        <w:rPr>
          <w:lang w:val="en-US"/>
        </w:rPr>
      </w:pPr>
    </w:p>
    <w:p w14:paraId="2171DF93" w14:textId="77777777"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Student Name: Raducu – Viorel Ciolpan</w:t>
      </w:r>
    </w:p>
    <w:p w14:paraId="289ABD0E" w14:textId="486A6DE6"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 xml:space="preserve">Lecturer`s Name: </w:t>
      </w:r>
      <w:r w:rsidR="00B24562">
        <w:rPr>
          <w:rFonts w:eastAsiaTheme="majorEastAsia" w:cstheme="majorBidi"/>
          <w:b/>
          <w:spacing w:val="-10"/>
          <w:kern w:val="28"/>
          <w:sz w:val="40"/>
          <w:szCs w:val="40"/>
          <w:lang w:val="en-GB" w:eastAsia="zh-CN" w:bidi="th-TH"/>
        </w:rPr>
        <w:t>Kathryn Flynn</w:t>
      </w:r>
    </w:p>
    <w:p w14:paraId="535393D5" w14:textId="51BEB285"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 xml:space="preserve">Word Count: </w:t>
      </w:r>
      <w:r w:rsidR="00FC6FA5">
        <w:rPr>
          <w:rFonts w:eastAsiaTheme="majorEastAsia" w:cstheme="majorBidi"/>
          <w:b/>
          <w:spacing w:val="-10"/>
          <w:kern w:val="28"/>
          <w:sz w:val="40"/>
          <w:szCs w:val="40"/>
          <w:lang w:val="en-GB" w:eastAsia="zh-CN" w:bidi="th-TH"/>
        </w:rPr>
        <w:t>2562</w:t>
      </w:r>
    </w:p>
    <w:p w14:paraId="485B32BD" w14:textId="77777777"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Student ID: 2221478</w:t>
      </w:r>
    </w:p>
    <w:p w14:paraId="6DB646C3" w14:textId="29B7A608" w:rsidR="0062422C" w:rsidRDefault="0062422C" w:rsidP="0062422C">
      <w:r>
        <w:rPr>
          <w:rFonts w:eastAsiaTheme="majorEastAsia" w:cstheme="majorBidi"/>
          <w:b/>
          <w:spacing w:val="-10"/>
          <w:kern w:val="28"/>
          <w:sz w:val="40"/>
          <w:szCs w:val="40"/>
          <w:lang w:val="en-GB" w:eastAsia="zh-CN" w:bidi="th-TH"/>
        </w:rPr>
        <w:t xml:space="preserve">                           </w:t>
      </w:r>
      <w:r w:rsidRPr="00FF7816">
        <w:rPr>
          <w:rFonts w:eastAsiaTheme="majorEastAsia" w:cstheme="majorBidi"/>
          <w:b/>
          <w:spacing w:val="-10"/>
          <w:kern w:val="28"/>
          <w:sz w:val="40"/>
          <w:szCs w:val="40"/>
          <w:lang w:val="en-GB" w:eastAsia="zh-CN" w:bidi="th-TH"/>
        </w:rPr>
        <w:t xml:space="preserve">Date of Submission: </w:t>
      </w:r>
      <w:r w:rsidR="00B86741">
        <w:rPr>
          <w:rFonts w:eastAsiaTheme="majorEastAsia" w:cstheme="majorBidi"/>
          <w:b/>
          <w:spacing w:val="-10"/>
          <w:kern w:val="28"/>
          <w:sz w:val="40"/>
          <w:szCs w:val="40"/>
          <w:lang w:val="en-GB" w:eastAsia="zh-CN" w:bidi="th-TH"/>
        </w:rPr>
        <w:t>10/06/2025</w:t>
      </w:r>
    </w:p>
    <w:p w14:paraId="75D0C0F8" w14:textId="77777777" w:rsidR="00B7571E" w:rsidRDefault="00B7571E">
      <w:pPr>
        <w:spacing w:before="0" w:after="160" w:line="259" w:lineRule="auto"/>
        <w:jc w:val="left"/>
      </w:pPr>
    </w:p>
    <w:p w14:paraId="4D1D3864" w14:textId="77777777" w:rsidR="00B7571E" w:rsidRDefault="00B7571E">
      <w:pPr>
        <w:spacing w:before="0" w:after="160" w:line="259" w:lineRule="auto"/>
        <w:jc w:val="left"/>
      </w:pPr>
    </w:p>
    <w:p w14:paraId="7C68175A" w14:textId="77777777" w:rsidR="00B7571E" w:rsidRDefault="00B7571E">
      <w:pPr>
        <w:spacing w:before="0" w:after="160" w:line="259" w:lineRule="auto"/>
        <w:jc w:val="left"/>
      </w:pPr>
    </w:p>
    <w:p w14:paraId="0E594D6E" w14:textId="77777777" w:rsidR="00B7571E" w:rsidRDefault="00B7571E">
      <w:pPr>
        <w:spacing w:before="0" w:after="160" w:line="259" w:lineRule="auto"/>
        <w:jc w:val="left"/>
      </w:pPr>
    </w:p>
    <w:p w14:paraId="708DEC80" w14:textId="77777777" w:rsidR="00B7571E" w:rsidRDefault="00B7571E">
      <w:pPr>
        <w:spacing w:before="0" w:after="160" w:line="259" w:lineRule="auto"/>
        <w:jc w:val="left"/>
      </w:pPr>
    </w:p>
    <w:p w14:paraId="4D737190" w14:textId="77777777" w:rsidR="00B7571E" w:rsidRDefault="00B7571E" w:rsidP="00B7571E"/>
    <w:p w14:paraId="6F68F143" w14:textId="77777777" w:rsidR="00B7571E" w:rsidRDefault="00B7571E" w:rsidP="00B7571E"/>
    <w:p w14:paraId="20FAF97C" w14:textId="77777777" w:rsidR="00B7571E" w:rsidRDefault="00B7571E" w:rsidP="00B7571E"/>
    <w:p w14:paraId="143AFF60" w14:textId="77777777" w:rsidR="00B7571E" w:rsidRDefault="00B7571E" w:rsidP="00B7571E"/>
    <w:p w14:paraId="0FB6E456" w14:textId="5741D952" w:rsidR="00B7571E" w:rsidRDefault="00B7571E" w:rsidP="00B7571E">
      <w:r>
        <w:t xml:space="preserve">I acknowledge the use of Grammarly (https://www.grammarly.com/) on 20.May 2025 to check my work using the prompt(s): </w:t>
      </w:r>
    </w:p>
    <w:p w14:paraId="76627834" w14:textId="77777777" w:rsidR="00B7571E" w:rsidRDefault="00B7571E" w:rsidP="00B7571E">
      <w:pPr>
        <w:pStyle w:val="ListParagraph"/>
        <w:numPr>
          <w:ilvl w:val="0"/>
          <w:numId w:val="9"/>
        </w:numPr>
        <w:spacing w:before="0" w:after="160"/>
      </w:pPr>
      <w:r>
        <w:t xml:space="preserve">Please check the following text for readability, grammar and syntax. </w:t>
      </w:r>
    </w:p>
    <w:p w14:paraId="3AAA4F3D" w14:textId="77777777" w:rsidR="00B7571E" w:rsidRDefault="00B7571E" w:rsidP="00B7571E">
      <w:pPr>
        <w:pStyle w:val="ListParagraph"/>
        <w:ind w:left="786"/>
      </w:pPr>
    </w:p>
    <w:p w14:paraId="32AEA3D0" w14:textId="77777777" w:rsidR="00B7571E" w:rsidRDefault="00B7571E" w:rsidP="00B7571E">
      <w:pPr>
        <w:pStyle w:val="ListParagraph"/>
        <w:ind w:left="786"/>
      </w:pPr>
      <w:r>
        <w:t>I confirm that I have not presented any AI generated text as my own work. I confirm I have copies of my drafts, notes, and other resources I used before, and after the use of AI tools which I may be asked to provide in evidence.</w:t>
      </w:r>
    </w:p>
    <w:p w14:paraId="70CF356E" w14:textId="77777777" w:rsidR="00B7571E" w:rsidRDefault="00B7571E" w:rsidP="00B7571E"/>
    <w:p w14:paraId="5841B91E" w14:textId="77777777" w:rsidR="00B7571E" w:rsidRDefault="00B7571E" w:rsidP="00B7571E">
      <w:r>
        <w:t>I acknowledge the use of Google Scholar on 20.May 2025 to check my work using the prompt(s):</w:t>
      </w:r>
    </w:p>
    <w:p w14:paraId="6C678CFC" w14:textId="77777777" w:rsidR="00B7571E" w:rsidRDefault="00B7571E" w:rsidP="00B7571E">
      <w:pPr>
        <w:pStyle w:val="ListParagraph"/>
        <w:numPr>
          <w:ilvl w:val="0"/>
          <w:numId w:val="8"/>
        </w:numPr>
        <w:spacing w:before="0" w:after="160"/>
      </w:pPr>
      <w:r>
        <w:t>Please check the following text for readability, grammar and syntax.</w:t>
      </w:r>
    </w:p>
    <w:p w14:paraId="5B989EA0" w14:textId="77777777" w:rsidR="00B7571E" w:rsidRDefault="00B7571E" w:rsidP="00B7571E">
      <w:pPr>
        <w:pStyle w:val="ListParagraph"/>
        <w:ind w:left="420"/>
      </w:pPr>
    </w:p>
    <w:p w14:paraId="090A3C5E" w14:textId="77777777" w:rsidR="00B7571E" w:rsidRDefault="00B7571E" w:rsidP="00B7571E">
      <w:pPr>
        <w:pStyle w:val="ListParagraph"/>
        <w:ind w:left="420"/>
      </w:pPr>
      <w:r>
        <w:t xml:space="preserve"> I confirm that I have not presented any AI generated text as my own work. I confirm I have copies of my drafts, notes, and other resources I used before, and after the use of AI tools which I may be asked to provide in evidence.</w:t>
      </w:r>
    </w:p>
    <w:p w14:paraId="0549C109" w14:textId="12FC351A" w:rsidR="007A1818" w:rsidRDefault="007A1818">
      <w:pPr>
        <w:spacing w:before="0" w:after="160" w:line="259" w:lineRule="auto"/>
        <w:jc w:val="left"/>
      </w:pPr>
      <w:r>
        <w:br w:type="page"/>
      </w:r>
    </w:p>
    <w:sdt>
      <w:sdtPr>
        <w:rPr>
          <w:rFonts w:ascii="Times New Roman" w:eastAsiaTheme="minorEastAsia" w:hAnsi="Times New Roman" w:cstheme="minorBidi"/>
          <w:color w:val="auto"/>
          <w:kern w:val="2"/>
          <w:sz w:val="24"/>
          <w:szCs w:val="24"/>
          <w:lang w:val="en-IN" w:eastAsia="en-IN"/>
          <w14:ligatures w14:val="standardContextual"/>
        </w:rPr>
        <w:id w:val="-842012793"/>
        <w:docPartObj>
          <w:docPartGallery w:val="Table of Contents"/>
          <w:docPartUnique/>
        </w:docPartObj>
      </w:sdtPr>
      <w:sdtEndPr>
        <w:rPr>
          <w:b/>
          <w:bCs/>
        </w:rPr>
      </w:sdtEndPr>
      <w:sdtContent>
        <w:p w14:paraId="6F00622F" w14:textId="43EFF072" w:rsidR="00987B1C" w:rsidRPr="00987B1C" w:rsidRDefault="00987B1C">
          <w:pPr>
            <w:pStyle w:val="TOCHeading"/>
            <w:rPr>
              <w:rFonts w:ascii="Times New Roman" w:hAnsi="Times New Roman" w:cs="Times New Roman"/>
              <w:b/>
              <w:bCs/>
              <w:color w:val="000000" w:themeColor="text1"/>
            </w:rPr>
          </w:pPr>
          <w:r w:rsidRPr="00987B1C">
            <w:rPr>
              <w:rFonts w:ascii="Times New Roman" w:hAnsi="Times New Roman" w:cs="Times New Roman"/>
              <w:b/>
              <w:bCs/>
              <w:color w:val="000000" w:themeColor="text1"/>
            </w:rPr>
            <w:t>Table of Contents</w:t>
          </w:r>
        </w:p>
        <w:p w14:paraId="03020473" w14:textId="513A1224" w:rsidR="001543AA" w:rsidRDefault="00987B1C">
          <w:pPr>
            <w:pStyle w:val="TOC1"/>
            <w:tabs>
              <w:tab w:val="right" w:leader="dot" w:pos="9016"/>
            </w:tabs>
            <w:rPr>
              <w:rFonts w:asciiTheme="minorHAnsi" w:hAnsiTheme="minorHAnsi"/>
              <w:noProof/>
              <w:kern w:val="0"/>
              <w:sz w:val="22"/>
              <w:szCs w:val="22"/>
              <w:lang w:val="en-US" w:eastAsia="en-US"/>
              <w14:ligatures w14:val="none"/>
            </w:rPr>
          </w:pPr>
          <w:r>
            <w:fldChar w:fldCharType="begin"/>
          </w:r>
          <w:r>
            <w:instrText xml:space="preserve"> TOC \o "1-3" \h \z \u </w:instrText>
          </w:r>
          <w:r>
            <w:fldChar w:fldCharType="separate"/>
          </w:r>
          <w:hyperlink w:anchor="_Toc197792941" w:history="1">
            <w:r w:rsidR="001543AA" w:rsidRPr="00847EA6">
              <w:rPr>
                <w:rStyle w:val="Hyperlink"/>
                <w:noProof/>
              </w:rPr>
              <w:t>Introduction, Description, and Background</w:t>
            </w:r>
            <w:r w:rsidR="001543AA">
              <w:rPr>
                <w:noProof/>
                <w:webHidden/>
              </w:rPr>
              <w:tab/>
            </w:r>
            <w:r w:rsidR="001543AA">
              <w:rPr>
                <w:noProof/>
                <w:webHidden/>
              </w:rPr>
              <w:fldChar w:fldCharType="begin"/>
            </w:r>
            <w:r w:rsidR="001543AA">
              <w:rPr>
                <w:noProof/>
                <w:webHidden/>
              </w:rPr>
              <w:instrText xml:space="preserve"> PAGEREF _Toc197792941 \h </w:instrText>
            </w:r>
            <w:r w:rsidR="001543AA">
              <w:rPr>
                <w:noProof/>
                <w:webHidden/>
              </w:rPr>
            </w:r>
            <w:r w:rsidR="001543AA">
              <w:rPr>
                <w:noProof/>
                <w:webHidden/>
              </w:rPr>
              <w:fldChar w:fldCharType="separate"/>
            </w:r>
            <w:r w:rsidR="001543AA">
              <w:rPr>
                <w:noProof/>
                <w:webHidden/>
              </w:rPr>
              <w:t>3</w:t>
            </w:r>
            <w:r w:rsidR="001543AA">
              <w:rPr>
                <w:noProof/>
                <w:webHidden/>
              </w:rPr>
              <w:fldChar w:fldCharType="end"/>
            </w:r>
          </w:hyperlink>
        </w:p>
        <w:p w14:paraId="7F7162A6" w14:textId="44BD513C"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2" w:history="1">
            <w:r w:rsidRPr="00847EA6">
              <w:rPr>
                <w:rStyle w:val="Hyperlink"/>
                <w:noProof/>
              </w:rPr>
              <w:t>The Event Cycle</w:t>
            </w:r>
            <w:r>
              <w:rPr>
                <w:noProof/>
                <w:webHidden/>
              </w:rPr>
              <w:tab/>
            </w:r>
            <w:r>
              <w:rPr>
                <w:noProof/>
                <w:webHidden/>
              </w:rPr>
              <w:fldChar w:fldCharType="begin"/>
            </w:r>
            <w:r>
              <w:rPr>
                <w:noProof/>
                <w:webHidden/>
              </w:rPr>
              <w:instrText xml:space="preserve"> PAGEREF _Toc197792942 \h </w:instrText>
            </w:r>
            <w:r>
              <w:rPr>
                <w:noProof/>
                <w:webHidden/>
              </w:rPr>
            </w:r>
            <w:r>
              <w:rPr>
                <w:noProof/>
                <w:webHidden/>
              </w:rPr>
              <w:fldChar w:fldCharType="separate"/>
            </w:r>
            <w:r>
              <w:rPr>
                <w:noProof/>
                <w:webHidden/>
              </w:rPr>
              <w:t>4</w:t>
            </w:r>
            <w:r>
              <w:rPr>
                <w:noProof/>
                <w:webHidden/>
              </w:rPr>
              <w:fldChar w:fldCharType="end"/>
            </w:r>
          </w:hyperlink>
        </w:p>
        <w:p w14:paraId="3BE28753" w14:textId="46097E99"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3" w:history="1">
            <w:r w:rsidRPr="00847EA6">
              <w:rPr>
                <w:rStyle w:val="Hyperlink"/>
                <w:noProof/>
              </w:rPr>
              <w:t>Event Concept – What Delegates/Guests Will Experience</w:t>
            </w:r>
            <w:r>
              <w:rPr>
                <w:noProof/>
                <w:webHidden/>
              </w:rPr>
              <w:tab/>
            </w:r>
            <w:r>
              <w:rPr>
                <w:noProof/>
                <w:webHidden/>
              </w:rPr>
              <w:fldChar w:fldCharType="begin"/>
            </w:r>
            <w:r>
              <w:rPr>
                <w:noProof/>
                <w:webHidden/>
              </w:rPr>
              <w:instrText xml:space="preserve"> PAGEREF _Toc197792943 \h </w:instrText>
            </w:r>
            <w:r>
              <w:rPr>
                <w:noProof/>
                <w:webHidden/>
              </w:rPr>
            </w:r>
            <w:r>
              <w:rPr>
                <w:noProof/>
                <w:webHidden/>
              </w:rPr>
              <w:fldChar w:fldCharType="separate"/>
            </w:r>
            <w:r>
              <w:rPr>
                <w:noProof/>
                <w:webHidden/>
              </w:rPr>
              <w:t>5</w:t>
            </w:r>
            <w:r>
              <w:rPr>
                <w:noProof/>
                <w:webHidden/>
              </w:rPr>
              <w:fldChar w:fldCharType="end"/>
            </w:r>
          </w:hyperlink>
        </w:p>
        <w:p w14:paraId="7C6E3FDC" w14:textId="43272CA5"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4" w:history="1">
            <w:r w:rsidRPr="00847EA6">
              <w:rPr>
                <w:rStyle w:val="Hyperlink"/>
                <w:noProof/>
              </w:rPr>
              <w:t>Aim and Objectives of the Meeting / Event</w:t>
            </w:r>
            <w:r>
              <w:rPr>
                <w:noProof/>
                <w:webHidden/>
              </w:rPr>
              <w:tab/>
            </w:r>
            <w:r>
              <w:rPr>
                <w:noProof/>
                <w:webHidden/>
              </w:rPr>
              <w:fldChar w:fldCharType="begin"/>
            </w:r>
            <w:r>
              <w:rPr>
                <w:noProof/>
                <w:webHidden/>
              </w:rPr>
              <w:instrText xml:space="preserve"> PAGEREF _Toc197792944 \h </w:instrText>
            </w:r>
            <w:r>
              <w:rPr>
                <w:noProof/>
                <w:webHidden/>
              </w:rPr>
            </w:r>
            <w:r>
              <w:rPr>
                <w:noProof/>
                <w:webHidden/>
              </w:rPr>
              <w:fldChar w:fldCharType="separate"/>
            </w:r>
            <w:r>
              <w:rPr>
                <w:noProof/>
                <w:webHidden/>
              </w:rPr>
              <w:t>6</w:t>
            </w:r>
            <w:r>
              <w:rPr>
                <w:noProof/>
                <w:webHidden/>
              </w:rPr>
              <w:fldChar w:fldCharType="end"/>
            </w:r>
          </w:hyperlink>
        </w:p>
        <w:p w14:paraId="2C94CA6B" w14:textId="5D58165D"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5" w:history="1">
            <w:r w:rsidRPr="00847EA6">
              <w:rPr>
                <w:rStyle w:val="Hyperlink"/>
                <w:noProof/>
              </w:rPr>
              <w:t>Event Management – Skills and Resources Required</w:t>
            </w:r>
            <w:r>
              <w:rPr>
                <w:noProof/>
                <w:webHidden/>
              </w:rPr>
              <w:tab/>
            </w:r>
            <w:r>
              <w:rPr>
                <w:noProof/>
                <w:webHidden/>
              </w:rPr>
              <w:fldChar w:fldCharType="begin"/>
            </w:r>
            <w:r>
              <w:rPr>
                <w:noProof/>
                <w:webHidden/>
              </w:rPr>
              <w:instrText xml:space="preserve"> PAGEREF _Toc197792945 \h </w:instrText>
            </w:r>
            <w:r>
              <w:rPr>
                <w:noProof/>
                <w:webHidden/>
              </w:rPr>
            </w:r>
            <w:r>
              <w:rPr>
                <w:noProof/>
                <w:webHidden/>
              </w:rPr>
              <w:fldChar w:fldCharType="separate"/>
            </w:r>
            <w:r>
              <w:rPr>
                <w:noProof/>
                <w:webHidden/>
              </w:rPr>
              <w:t>7</w:t>
            </w:r>
            <w:r>
              <w:rPr>
                <w:noProof/>
                <w:webHidden/>
              </w:rPr>
              <w:fldChar w:fldCharType="end"/>
            </w:r>
          </w:hyperlink>
        </w:p>
        <w:p w14:paraId="63262922" w14:textId="7AC40A47"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6" w:history="1">
            <w:r w:rsidRPr="00847EA6">
              <w:rPr>
                <w:rStyle w:val="Hyperlink"/>
                <w:noProof/>
              </w:rPr>
              <w:t>Event Budget</w:t>
            </w:r>
            <w:r>
              <w:rPr>
                <w:noProof/>
                <w:webHidden/>
              </w:rPr>
              <w:tab/>
            </w:r>
            <w:r>
              <w:rPr>
                <w:noProof/>
                <w:webHidden/>
              </w:rPr>
              <w:fldChar w:fldCharType="begin"/>
            </w:r>
            <w:r>
              <w:rPr>
                <w:noProof/>
                <w:webHidden/>
              </w:rPr>
              <w:instrText xml:space="preserve"> PAGEREF _Toc197792946 \h </w:instrText>
            </w:r>
            <w:r>
              <w:rPr>
                <w:noProof/>
                <w:webHidden/>
              </w:rPr>
            </w:r>
            <w:r>
              <w:rPr>
                <w:noProof/>
                <w:webHidden/>
              </w:rPr>
              <w:fldChar w:fldCharType="separate"/>
            </w:r>
            <w:r>
              <w:rPr>
                <w:noProof/>
                <w:webHidden/>
              </w:rPr>
              <w:t>8</w:t>
            </w:r>
            <w:r>
              <w:rPr>
                <w:noProof/>
                <w:webHidden/>
              </w:rPr>
              <w:fldChar w:fldCharType="end"/>
            </w:r>
          </w:hyperlink>
        </w:p>
        <w:p w14:paraId="4A04FB61" w14:textId="5966C6C6"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7" w:history="1">
            <w:r w:rsidRPr="00847EA6">
              <w:rPr>
                <w:rStyle w:val="Hyperlink"/>
                <w:noProof/>
              </w:rPr>
              <w:t>Industry Trends, Issues, and Impacts – Relevance to The Celtic Arts Revival Festival</w:t>
            </w:r>
            <w:r>
              <w:rPr>
                <w:noProof/>
                <w:webHidden/>
              </w:rPr>
              <w:tab/>
            </w:r>
            <w:r>
              <w:rPr>
                <w:noProof/>
                <w:webHidden/>
              </w:rPr>
              <w:fldChar w:fldCharType="begin"/>
            </w:r>
            <w:r>
              <w:rPr>
                <w:noProof/>
                <w:webHidden/>
              </w:rPr>
              <w:instrText xml:space="preserve"> PAGEREF _Toc197792947 \h </w:instrText>
            </w:r>
            <w:r>
              <w:rPr>
                <w:noProof/>
                <w:webHidden/>
              </w:rPr>
            </w:r>
            <w:r>
              <w:rPr>
                <w:noProof/>
                <w:webHidden/>
              </w:rPr>
              <w:fldChar w:fldCharType="separate"/>
            </w:r>
            <w:r>
              <w:rPr>
                <w:noProof/>
                <w:webHidden/>
              </w:rPr>
              <w:t>9</w:t>
            </w:r>
            <w:r>
              <w:rPr>
                <w:noProof/>
                <w:webHidden/>
              </w:rPr>
              <w:fldChar w:fldCharType="end"/>
            </w:r>
          </w:hyperlink>
        </w:p>
        <w:p w14:paraId="3C2CA602" w14:textId="1BB853BD"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8" w:history="1">
            <w:r w:rsidRPr="00847EA6">
              <w:rPr>
                <w:rStyle w:val="Hyperlink"/>
                <w:noProof/>
              </w:rPr>
              <w:t>Situational and Cultural Considerations – SWOT Analysis</w:t>
            </w:r>
            <w:r>
              <w:rPr>
                <w:noProof/>
                <w:webHidden/>
              </w:rPr>
              <w:tab/>
            </w:r>
            <w:r>
              <w:rPr>
                <w:noProof/>
                <w:webHidden/>
              </w:rPr>
              <w:fldChar w:fldCharType="begin"/>
            </w:r>
            <w:r>
              <w:rPr>
                <w:noProof/>
                <w:webHidden/>
              </w:rPr>
              <w:instrText xml:space="preserve"> PAGEREF _Toc197792948 \h </w:instrText>
            </w:r>
            <w:r>
              <w:rPr>
                <w:noProof/>
                <w:webHidden/>
              </w:rPr>
            </w:r>
            <w:r>
              <w:rPr>
                <w:noProof/>
                <w:webHidden/>
              </w:rPr>
              <w:fldChar w:fldCharType="separate"/>
            </w:r>
            <w:r>
              <w:rPr>
                <w:noProof/>
                <w:webHidden/>
              </w:rPr>
              <w:t>10</w:t>
            </w:r>
            <w:r>
              <w:rPr>
                <w:noProof/>
                <w:webHidden/>
              </w:rPr>
              <w:fldChar w:fldCharType="end"/>
            </w:r>
          </w:hyperlink>
        </w:p>
        <w:p w14:paraId="17E9788A" w14:textId="7B8A97BE"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9" w:history="1">
            <w:r w:rsidRPr="00847EA6">
              <w:rPr>
                <w:rStyle w:val="Hyperlink"/>
                <w:noProof/>
              </w:rPr>
              <w:t>Conclusion</w:t>
            </w:r>
            <w:r>
              <w:rPr>
                <w:noProof/>
                <w:webHidden/>
              </w:rPr>
              <w:tab/>
            </w:r>
            <w:r>
              <w:rPr>
                <w:noProof/>
                <w:webHidden/>
              </w:rPr>
              <w:fldChar w:fldCharType="begin"/>
            </w:r>
            <w:r>
              <w:rPr>
                <w:noProof/>
                <w:webHidden/>
              </w:rPr>
              <w:instrText xml:space="preserve"> PAGEREF _Toc197792949 \h </w:instrText>
            </w:r>
            <w:r>
              <w:rPr>
                <w:noProof/>
                <w:webHidden/>
              </w:rPr>
            </w:r>
            <w:r>
              <w:rPr>
                <w:noProof/>
                <w:webHidden/>
              </w:rPr>
              <w:fldChar w:fldCharType="separate"/>
            </w:r>
            <w:r>
              <w:rPr>
                <w:noProof/>
                <w:webHidden/>
              </w:rPr>
              <w:t>12</w:t>
            </w:r>
            <w:r>
              <w:rPr>
                <w:noProof/>
                <w:webHidden/>
              </w:rPr>
              <w:fldChar w:fldCharType="end"/>
            </w:r>
          </w:hyperlink>
        </w:p>
        <w:p w14:paraId="72C2097E" w14:textId="1B581DB5"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50" w:history="1">
            <w:r w:rsidRPr="00847EA6">
              <w:rPr>
                <w:rStyle w:val="Hyperlink"/>
                <w:noProof/>
              </w:rPr>
              <w:t>References</w:t>
            </w:r>
            <w:r>
              <w:rPr>
                <w:noProof/>
                <w:webHidden/>
              </w:rPr>
              <w:tab/>
            </w:r>
            <w:r>
              <w:rPr>
                <w:noProof/>
                <w:webHidden/>
              </w:rPr>
              <w:fldChar w:fldCharType="begin"/>
            </w:r>
            <w:r>
              <w:rPr>
                <w:noProof/>
                <w:webHidden/>
              </w:rPr>
              <w:instrText xml:space="preserve"> PAGEREF _Toc197792950 \h </w:instrText>
            </w:r>
            <w:r>
              <w:rPr>
                <w:noProof/>
                <w:webHidden/>
              </w:rPr>
            </w:r>
            <w:r>
              <w:rPr>
                <w:noProof/>
                <w:webHidden/>
              </w:rPr>
              <w:fldChar w:fldCharType="separate"/>
            </w:r>
            <w:r>
              <w:rPr>
                <w:noProof/>
                <w:webHidden/>
              </w:rPr>
              <w:t>13</w:t>
            </w:r>
            <w:r>
              <w:rPr>
                <w:noProof/>
                <w:webHidden/>
              </w:rPr>
              <w:fldChar w:fldCharType="end"/>
            </w:r>
          </w:hyperlink>
        </w:p>
        <w:p w14:paraId="7CC38DE5" w14:textId="5B17F8B5" w:rsidR="00987B1C" w:rsidRDefault="00987B1C">
          <w:r>
            <w:rPr>
              <w:b/>
              <w:bCs/>
            </w:rPr>
            <w:fldChar w:fldCharType="end"/>
          </w:r>
        </w:p>
      </w:sdtContent>
    </w:sdt>
    <w:p w14:paraId="637C401D" w14:textId="77777777" w:rsidR="00414ACD" w:rsidRDefault="00414ACD" w:rsidP="006B7ADD">
      <w:pPr>
        <w:ind w:left="420"/>
        <w:contextualSpacing/>
        <w:rPr>
          <w:szCs w:val="28"/>
          <w:lang w:val="en-GB" w:eastAsia="zh-CN" w:bidi="th-TH"/>
        </w:rPr>
      </w:pPr>
      <w:r>
        <w:rPr>
          <w:szCs w:val="28"/>
          <w:lang w:val="en-GB" w:eastAsia="zh-CN" w:bidi="th-TH"/>
        </w:rPr>
        <w:t xml:space="preserve">  </w:t>
      </w:r>
    </w:p>
    <w:p w14:paraId="15E7FACD" w14:textId="77777777" w:rsidR="00414ACD" w:rsidRDefault="00414ACD" w:rsidP="006B7ADD">
      <w:pPr>
        <w:ind w:left="420"/>
        <w:contextualSpacing/>
        <w:rPr>
          <w:szCs w:val="28"/>
          <w:lang w:val="en-GB" w:eastAsia="zh-CN" w:bidi="th-TH"/>
        </w:rPr>
      </w:pPr>
    </w:p>
    <w:p w14:paraId="67D38D5A" w14:textId="77777777" w:rsidR="00414ACD" w:rsidRDefault="00414ACD" w:rsidP="006B7ADD">
      <w:pPr>
        <w:ind w:left="420"/>
        <w:contextualSpacing/>
        <w:rPr>
          <w:szCs w:val="28"/>
          <w:lang w:val="en-GB" w:eastAsia="zh-CN" w:bidi="th-TH"/>
        </w:rPr>
      </w:pPr>
    </w:p>
    <w:p w14:paraId="4940CC09" w14:textId="77777777" w:rsidR="00414ACD" w:rsidRDefault="00414ACD" w:rsidP="006B7ADD">
      <w:pPr>
        <w:ind w:left="420"/>
        <w:contextualSpacing/>
        <w:rPr>
          <w:szCs w:val="28"/>
          <w:lang w:val="en-GB" w:eastAsia="zh-CN" w:bidi="th-TH"/>
        </w:rPr>
      </w:pPr>
    </w:p>
    <w:p w14:paraId="1C1C1642" w14:textId="77777777" w:rsidR="00414ACD" w:rsidRDefault="00414ACD" w:rsidP="006B7ADD">
      <w:pPr>
        <w:ind w:left="420"/>
        <w:contextualSpacing/>
        <w:rPr>
          <w:szCs w:val="28"/>
          <w:lang w:val="en-GB" w:eastAsia="zh-CN" w:bidi="th-TH"/>
        </w:rPr>
      </w:pPr>
    </w:p>
    <w:p w14:paraId="048F9A40" w14:textId="77777777" w:rsidR="00414ACD" w:rsidRDefault="00414ACD" w:rsidP="006B7ADD">
      <w:pPr>
        <w:ind w:left="420"/>
        <w:contextualSpacing/>
        <w:rPr>
          <w:szCs w:val="28"/>
          <w:lang w:val="en-GB" w:eastAsia="zh-CN" w:bidi="th-TH"/>
        </w:rPr>
      </w:pPr>
    </w:p>
    <w:p w14:paraId="174F8AAE" w14:textId="77777777" w:rsidR="006B7ADD" w:rsidRPr="00FF7816" w:rsidRDefault="006B7ADD" w:rsidP="006B7ADD">
      <w:pPr>
        <w:rPr>
          <w:szCs w:val="28"/>
          <w:lang w:val="en-GB" w:eastAsia="zh-CN" w:bidi="th-TH"/>
        </w:rPr>
      </w:pPr>
    </w:p>
    <w:p w14:paraId="3950EF25" w14:textId="77777777" w:rsidR="00987B1C" w:rsidRDefault="00987B1C" w:rsidP="00987B1C">
      <w:pPr>
        <w:rPr>
          <w:rFonts w:eastAsiaTheme="majorEastAsia" w:cstheme="majorBidi"/>
          <w:sz w:val="36"/>
          <w:szCs w:val="32"/>
        </w:rPr>
      </w:pPr>
      <w:r>
        <w:br w:type="page"/>
      </w:r>
    </w:p>
    <w:p w14:paraId="76E0FF99" w14:textId="2DC70AF5" w:rsidR="00274D58" w:rsidRDefault="007A1818" w:rsidP="007A1818">
      <w:pPr>
        <w:pStyle w:val="Heading1"/>
      </w:pPr>
      <w:bookmarkStart w:id="0" w:name="_Toc197792941"/>
      <w:r>
        <w:lastRenderedPageBreak/>
        <w:t xml:space="preserve">Introduction, </w:t>
      </w:r>
      <w:r w:rsidRPr="007A1818">
        <w:t>Description</w:t>
      </w:r>
      <w:r>
        <w:t>,</w:t>
      </w:r>
      <w:r w:rsidRPr="007A1818">
        <w:t xml:space="preserve"> and Background</w:t>
      </w:r>
      <w:bookmarkEnd w:id="0"/>
      <w:r>
        <w:t xml:space="preserve"> </w:t>
      </w:r>
      <w:r w:rsidR="00987B1C">
        <w:t xml:space="preserve"> </w:t>
      </w:r>
    </w:p>
    <w:p w14:paraId="2CDEADAA" w14:textId="2E00FBD0" w:rsidR="007A1818" w:rsidRDefault="007A1818" w:rsidP="007A1818">
      <w:r>
        <w:t>The Celtic Arts Revival: A Global Cultural Exchange Festival is a proposed international arts event intended to celebrate the colourful, rich cultural heritage of Wales and provide an exciting cross-cultural initiation platform for Celtic nations. This festival seeks to celebrate the diversity and dynamism of traditional and present-day Welsh arts through exhibitions, performances and interactive workshops. Selected due to its distinct thematic profile and universality to the world, the festival represents an emerging interest in world cultural tourism and preservation of cultural heritage. It fits Wales’ broader cultural ambitions of the Croeso 2025 initiative, to support the nation’s identity, history and creative industries globally.</w:t>
      </w:r>
    </w:p>
    <w:p w14:paraId="5A612D3B" w14:textId="1017DFA8" w:rsidR="007A1818" w:rsidRDefault="007A1818" w:rsidP="007A1818">
      <w:r>
        <w:t>Specifically, the festival has been selected to respond to the needs for culturally immersive activities that will promote both learning and artistic flux. Fusing elements of live folklore music, Celtic dance, storytelling, Welsh slate carving, harp music, and knot design workshops, the festival promotes a deeper involvement with Welsh traditions, events that call for the involvement of artists in other Celtic countries, including Ireland, Scotland, Brittany, and Galicia.</w:t>
      </w:r>
    </w:p>
    <w:p w14:paraId="4A04C035" w14:textId="77FCDD1B" w:rsidR="007A1818" w:rsidRDefault="007A1818" w:rsidP="007A1818">
      <w:r>
        <w:t xml:space="preserve">The chosen place, St Fagans National Museum of History, is one of the nation’s most recognisable cultural landmarks. As an open-air museum set up to preserve and present the past and cultural life of the Welsh people, the place offers the best for that kind of festival experience. Its combination of historical architecture, open places, and accessibility makes it ideal to host both indoor and outdoor functions and can accommodate a large number of </w:t>
      </w:r>
      <w:r w:rsidR="00522539">
        <w:t>attendees and</w:t>
      </w:r>
      <w:r>
        <w:t xml:space="preserve"> can house varied program formats. </w:t>
      </w:r>
    </w:p>
    <w:p w14:paraId="111E912F" w14:textId="68E5E122" w:rsidR="007A1818" w:rsidRDefault="007A1818" w:rsidP="007A1818">
      <w:r>
        <w:t xml:space="preserve">Such a festival not only serves to celebrate cultural identity, but also to cash in on Wales’ aspirations to be a major destination for cultural tourism in Europe. In this feasibility study, we intend to assess the potential of this event to have valuable impacts on the cultural, social and economic life of the region.  </w:t>
      </w:r>
    </w:p>
    <w:p w14:paraId="0FF13C04" w14:textId="349819E7" w:rsidR="007A1818" w:rsidRDefault="007A1818">
      <w:pPr>
        <w:spacing w:before="0" w:after="160" w:line="259" w:lineRule="auto"/>
        <w:jc w:val="left"/>
      </w:pPr>
      <w:r>
        <w:br w:type="page"/>
      </w:r>
    </w:p>
    <w:p w14:paraId="4A269274" w14:textId="1961A3F9" w:rsidR="007A1818" w:rsidRDefault="007A1818" w:rsidP="007A1818">
      <w:pPr>
        <w:pStyle w:val="Heading1"/>
      </w:pPr>
      <w:bookmarkStart w:id="1" w:name="_Toc197792942"/>
      <w:r w:rsidRPr="007A1818">
        <w:lastRenderedPageBreak/>
        <w:t>The Event Cycle</w:t>
      </w:r>
      <w:bookmarkEnd w:id="1"/>
      <w:r w:rsidRPr="007A1818">
        <w:t xml:space="preserve"> </w:t>
      </w:r>
      <w:r>
        <w:t xml:space="preserve"> </w:t>
      </w:r>
    </w:p>
    <w:p w14:paraId="4BF8166B" w14:textId="3BE60F5F" w:rsidR="007A1818" w:rsidRDefault="007A1818" w:rsidP="007A1818">
      <w:r>
        <w:t>Event Cycle is the orderly stages by which an event comes to mind, is planned, delivered, and assessed. This framework is very popular in event management since it helps keep a systematic way, letting organisers stay in charge, manage resources well and reach the goals of the event. A model that gets much mention is the five main steps in Allen et al. (2011) Event Management Body of Knowledge (EMBOK): Initiation, Planning, Implementation, Event, and Closure</w:t>
      </w:r>
      <w:r w:rsidR="00D829E5">
        <w:t xml:space="preserve"> (</w:t>
      </w:r>
      <w:r w:rsidR="00D829E5" w:rsidRPr="00D829E5">
        <w:t>Jones,</w:t>
      </w:r>
      <w:r w:rsidR="00D829E5">
        <w:t xml:space="preserve"> </w:t>
      </w:r>
      <w:r w:rsidR="00D829E5" w:rsidRPr="00D829E5">
        <w:t>2020</w:t>
      </w:r>
      <w:r w:rsidR="00D829E5">
        <w:t>).</w:t>
      </w:r>
    </w:p>
    <w:p w14:paraId="77F9E39C" w14:textId="0208FDDD" w:rsidR="007A1818" w:rsidRPr="007A1818" w:rsidRDefault="007A1818" w:rsidP="007A1818">
      <w:pPr>
        <w:rPr>
          <w:b/>
          <w:bCs/>
        </w:rPr>
      </w:pPr>
      <w:r w:rsidRPr="007A1818">
        <w:rPr>
          <w:b/>
          <w:bCs/>
        </w:rPr>
        <w:t>Applying this model to The Celtic Arts Revival: A Global Cultural Exchange Festival</w:t>
      </w:r>
      <w:r>
        <w:rPr>
          <w:b/>
          <w:bCs/>
        </w:rPr>
        <w:t xml:space="preserve"> </w:t>
      </w:r>
    </w:p>
    <w:p w14:paraId="10F73F9F" w14:textId="2DBC4527" w:rsidR="007A1818" w:rsidRPr="007A1818" w:rsidRDefault="007A1818" w:rsidP="007A1818">
      <w:pPr>
        <w:pStyle w:val="ListParagraph"/>
        <w:numPr>
          <w:ilvl w:val="0"/>
          <w:numId w:val="1"/>
        </w:numPr>
      </w:pPr>
      <w:r>
        <w:t>Inception: This part deals with figuring out why and how big the festival is, which is to celebrate Welsh culture and encourage worldwide Celtic teamwork. Helpful checks, looking at who is involved, and choosing where to hold it (St Fagans National Museum of History) happen at this time</w:t>
      </w:r>
      <w:r w:rsidR="00BD08FB">
        <w:t xml:space="preserve"> (</w:t>
      </w:r>
      <w:r w:rsidR="00BD08FB" w:rsidRPr="00BD08FB">
        <w:t>Bowman, 2023</w:t>
      </w:r>
      <w:r w:rsidR="00BD08FB">
        <w:t>).</w:t>
      </w:r>
    </w:p>
    <w:p w14:paraId="74A4172B" w14:textId="3D188C3F" w:rsidR="001C6420" w:rsidRDefault="007A1818" w:rsidP="00F52EFC">
      <w:pPr>
        <w:pStyle w:val="ListParagraph"/>
        <w:numPr>
          <w:ilvl w:val="0"/>
          <w:numId w:val="1"/>
        </w:numPr>
      </w:pPr>
      <w:r>
        <w:t>Planning: Detailed arrangements are made for programming, marketing, budgeting, resource allocation, staffing, and logistics. This includes scheduling exhibitions, performances, and workshops; securing sponsorships and funding; and forming partnerships with cultural institutions across Celtic regions</w:t>
      </w:r>
      <w:r w:rsidR="001C6420">
        <w:t xml:space="preserve"> (</w:t>
      </w:r>
      <w:r w:rsidR="001C6420" w:rsidRPr="001C6420">
        <w:t>Rushton, Croucher, and Baker, 2022</w:t>
      </w:r>
      <w:r w:rsidR="001C6420">
        <w:t xml:space="preserve">). </w:t>
      </w:r>
    </w:p>
    <w:p w14:paraId="45AC8252" w14:textId="64F0601D" w:rsidR="007A1818" w:rsidRDefault="007A1818" w:rsidP="00F52EFC">
      <w:pPr>
        <w:pStyle w:val="ListParagraph"/>
        <w:numPr>
          <w:ilvl w:val="0"/>
          <w:numId w:val="1"/>
        </w:numPr>
      </w:pPr>
      <w:r>
        <w:t xml:space="preserve">Implement: </w:t>
      </w:r>
      <w:r w:rsidRPr="007A1818">
        <w:t>During this phase, operational plans are put into action. Infrastructure setup, rehearsals, vendor arrangements, marketing campaigns, and staff training are executed. Coordination with artists and facilitators helps in the smooth running of activities.</w:t>
      </w:r>
      <w:r>
        <w:t xml:space="preserve"> </w:t>
      </w:r>
    </w:p>
    <w:p w14:paraId="57AA0898" w14:textId="439322D3" w:rsidR="007A1818" w:rsidRDefault="007A1818" w:rsidP="007A1818">
      <w:pPr>
        <w:pStyle w:val="ListParagraph"/>
        <w:numPr>
          <w:ilvl w:val="0"/>
          <w:numId w:val="1"/>
        </w:numPr>
      </w:pPr>
      <w:r>
        <w:t>Event: This is the stage where all planned actions are shown to the people. Teams in charge of the event take care of the festival, making sure that every part goes as scheduled, the needs of attendees are met, and any issues that come up are handled quickly</w:t>
      </w:r>
      <w:r w:rsidR="00995642">
        <w:t xml:space="preserve"> (</w:t>
      </w:r>
      <w:r w:rsidR="00995642" w:rsidRPr="00995642">
        <w:t>Allen, Harris, and Jago, 2022</w:t>
      </w:r>
      <w:r w:rsidR="00995642">
        <w:t>).</w:t>
      </w:r>
    </w:p>
    <w:p w14:paraId="17C739AC" w14:textId="24F63196" w:rsidR="007A1818" w:rsidRDefault="007A1818" w:rsidP="007A1818">
      <w:r>
        <w:t>Dismantling equipment, settling accounts, gathering feedback from participants and stakeholders, and evaluation constitute post-event activities.</w:t>
      </w:r>
    </w:p>
    <w:p w14:paraId="08B2AE23" w14:textId="77777777" w:rsidR="00B47B44" w:rsidRDefault="00B47B44">
      <w:pPr>
        <w:spacing w:before="0" w:after="160" w:line="259" w:lineRule="auto"/>
        <w:jc w:val="left"/>
        <w:rPr>
          <w:rFonts w:eastAsiaTheme="majorEastAsia" w:cstheme="majorBidi"/>
          <w:b/>
          <w:sz w:val="36"/>
          <w:szCs w:val="32"/>
        </w:rPr>
      </w:pPr>
      <w:r>
        <w:br w:type="page"/>
      </w:r>
    </w:p>
    <w:p w14:paraId="50FC3C99" w14:textId="113DBE1A" w:rsidR="007A1818" w:rsidRDefault="00B47B44" w:rsidP="00B47B44">
      <w:pPr>
        <w:pStyle w:val="Heading1"/>
      </w:pPr>
      <w:bookmarkStart w:id="2" w:name="_Toc197792943"/>
      <w:r w:rsidRPr="00B47B44">
        <w:lastRenderedPageBreak/>
        <w:t>Event Concept – What Delegates/Guests Will Experience</w:t>
      </w:r>
      <w:bookmarkEnd w:id="2"/>
      <w:r>
        <w:t xml:space="preserve"> </w:t>
      </w:r>
    </w:p>
    <w:p w14:paraId="1B9616F1" w14:textId="2D87C836" w:rsidR="00B47B44" w:rsidRDefault="00B47B44" w:rsidP="00B47B44">
      <w:r>
        <w:t>The Celtic Arts Revival: A global cultural exchange festival provides a rich, experiential environment created to engage delegates and guests in an energetic display of Welsh/Celtic culture. Hosting its proceedings in the historically relevant environs of St Fagans National Museum of History, participants will be exposed to a crossfire of tradition and progress in the arts. As soon as they arrive at the place, the guests will be welcomed with the sound of traditional Welsh music and the performance of costumed characters, which will set the right atmosphere for the day. The venue will be subdivided into themed zones, including an exhibition area for art, craft markets, performance areas and an interactive workshop area. Traditional and contemporary Welsh paintings, sculptures and crafts will be exhibited, reflecting the evolution of cultural expression</w:t>
      </w:r>
      <w:r w:rsidR="00B21B57">
        <w:t xml:space="preserve"> (</w:t>
      </w:r>
      <w:r w:rsidR="00B21B57" w:rsidRPr="00B21B57">
        <w:t>Novia, 2023</w:t>
      </w:r>
      <w:r w:rsidR="00B21B57">
        <w:t>).</w:t>
      </w:r>
    </w:p>
    <w:p w14:paraId="3D510609" w14:textId="2959A316" w:rsidR="00B47B44" w:rsidRDefault="00B47B44" w:rsidP="00B47B44">
      <w:r>
        <w:t>Guests have a chance to explore the ancient crafts through live workshops of Celtic knot design, slate carving, and harp playing. News of what time live shows of Celtic dance, Welsh folk music, and storytelling are planned will be available all day, providing entertainment and education in one. One of the biggest highlights will be the Cultural Exchange Pavilion, where artists from Ireland, Scotland, Brittany, and Galicia will perform their take on the Celtic heritage. This space engenders conversation and cooperation to invite visitors to look for the common roots and varied representations of Celtic culture</w:t>
      </w:r>
      <w:r w:rsidR="000F4212">
        <w:t xml:space="preserve"> (</w:t>
      </w:r>
      <w:r w:rsidR="000F4212" w:rsidRPr="000F4212">
        <w:t>Wilson, 2025</w:t>
      </w:r>
      <w:r w:rsidR="000F4212">
        <w:t>).</w:t>
      </w:r>
    </w:p>
    <w:p w14:paraId="21DE2AD3" w14:textId="7E7C5C41" w:rsidR="00B47B44" w:rsidRPr="009B2671" w:rsidRDefault="00B47B44" w:rsidP="00B47B44">
      <w:pPr>
        <w:rPr>
          <w:b/>
          <w:bCs/>
        </w:rPr>
      </w:pPr>
      <w:r>
        <w:t>Food and beverage stalls will serve traditional Welsh cuisine, and curated vendor stalls will also offer handmade products from local and global artisans. International guests will receive comfortable seating areas, guided tours and interpretation support to increase accessibility and understanding. In general, the festival is supposed to be an interactive and educational one, to attract a broad audience from cultural tourists and art lovers to academics and families. Day one will be designed to provide guests with a deeper insight into Welsh culture, but also a lasting connection to the rest of the Celtic world</w:t>
      </w:r>
      <w:r w:rsidR="009B2671">
        <w:t xml:space="preserve"> (</w:t>
      </w:r>
      <w:r w:rsidR="009B2671" w:rsidRPr="009B2671">
        <w:t>O'Flynn, 2021</w:t>
      </w:r>
      <w:r w:rsidR="009B2671">
        <w:t>).</w:t>
      </w:r>
    </w:p>
    <w:p w14:paraId="4D23C946" w14:textId="77777777" w:rsidR="00B47B44" w:rsidRPr="00B47B44" w:rsidRDefault="00B47B44" w:rsidP="00B47B44"/>
    <w:p w14:paraId="1958EF2D" w14:textId="77777777" w:rsidR="00B47B44" w:rsidRDefault="00B47B44">
      <w:pPr>
        <w:spacing w:before="0" w:after="160" w:line="259" w:lineRule="auto"/>
        <w:jc w:val="left"/>
        <w:rPr>
          <w:rFonts w:eastAsiaTheme="majorEastAsia" w:cstheme="majorBidi"/>
          <w:b/>
          <w:sz w:val="36"/>
          <w:szCs w:val="32"/>
        </w:rPr>
      </w:pPr>
      <w:r>
        <w:br w:type="page"/>
      </w:r>
    </w:p>
    <w:p w14:paraId="77AD8D80" w14:textId="03DC61F9" w:rsidR="007A1818" w:rsidRDefault="00B47B44" w:rsidP="00B47B44">
      <w:pPr>
        <w:pStyle w:val="Heading1"/>
      </w:pPr>
      <w:bookmarkStart w:id="3" w:name="_Toc197792944"/>
      <w:r w:rsidRPr="00B47B44">
        <w:lastRenderedPageBreak/>
        <w:t>Aim and Objectives of the Meeting / Event</w:t>
      </w:r>
      <w:bookmarkEnd w:id="3"/>
      <w:r>
        <w:t xml:space="preserve">  </w:t>
      </w:r>
    </w:p>
    <w:p w14:paraId="14F5087E" w14:textId="0A9CE6DD" w:rsidR="00B47B44" w:rsidRDefault="00B47B44" w:rsidP="00B47B44">
      <w:r>
        <w:t>The general objective of The Celtic Arts Revival: A Global Cultural Exchange Festival is to give due importance to the cultural richness of Wales by showcasing traditional and contemporary arts, along with enhancing collaboration between the Celtic nations, which is expected to build Wales up as a leading cultural tourism destination in the world.</w:t>
      </w:r>
    </w:p>
    <w:p w14:paraId="78E639C3" w14:textId="38A75204" w:rsidR="00B47B44" w:rsidRPr="00B47B44" w:rsidRDefault="00B47B44" w:rsidP="00B47B44">
      <w:pPr>
        <w:rPr>
          <w:b/>
          <w:bCs/>
        </w:rPr>
      </w:pPr>
      <w:r w:rsidRPr="00B47B44">
        <w:rPr>
          <w:b/>
          <w:bCs/>
        </w:rPr>
        <w:t>SMART Objectives:</w:t>
      </w:r>
      <w:r>
        <w:rPr>
          <w:b/>
          <w:bCs/>
        </w:rPr>
        <w:t xml:space="preserve"> </w:t>
      </w:r>
    </w:p>
    <w:p w14:paraId="5452763C" w14:textId="572D4C2D" w:rsidR="00B47B44" w:rsidRDefault="00B47B44" w:rsidP="00B47B44">
      <w:pPr>
        <w:pStyle w:val="ListParagraph"/>
        <w:numPr>
          <w:ilvl w:val="0"/>
          <w:numId w:val="2"/>
        </w:numPr>
      </w:pPr>
      <w:r>
        <w:t>Specific: Organise a three-day international arts festival at St Fagans National Museum of History that will feature at least 40 examples of traditional and contemporary Welsh artworks and performances, as 4 others from other Celtic nations (Ireland, Scotland, Brittany and Galicia) in December 2025.</w:t>
      </w:r>
    </w:p>
    <w:p w14:paraId="5CBD2AC2" w14:textId="65647F11" w:rsidR="00B47B44" w:rsidRDefault="00B47B44" w:rsidP="00B47B44">
      <w:pPr>
        <w:pStyle w:val="ListParagraph"/>
        <w:numPr>
          <w:ilvl w:val="0"/>
          <w:numId w:val="2"/>
        </w:numPr>
      </w:pPr>
      <w:r>
        <w:t>Measurable: Exceptions must be made to reach a minimum of 5,000 attendees throughout the festival, including at least 1,000 of them being international travellers, and attract a minimum of at least 25 vendors and 20 artists /Performers for a diverse and engaging programme</w:t>
      </w:r>
      <w:r w:rsidR="00975820">
        <w:t xml:space="preserve"> (</w:t>
      </w:r>
      <w:r w:rsidR="00975820" w:rsidRPr="00975820">
        <w:t>Allen, Harris, and Jago, 2022</w:t>
      </w:r>
      <w:r w:rsidR="00975820">
        <w:t>).</w:t>
      </w:r>
    </w:p>
    <w:p w14:paraId="3315B3F6" w14:textId="233C68DB" w:rsidR="00B47B44" w:rsidRDefault="00B47B44" w:rsidP="00B47B44">
      <w:pPr>
        <w:pStyle w:val="ListParagraph"/>
        <w:numPr>
          <w:ilvl w:val="0"/>
          <w:numId w:val="2"/>
        </w:numPr>
      </w:pPr>
      <w:r>
        <w:t>Achievable: The festival will garner £150,000 in pre-event funding with the three-month pre-event plan through a mix of ticket sales, vendor fees, cultural grants and corporate sponsorships while working with cultural institutions, tourism boards and sponsors.</w:t>
      </w:r>
    </w:p>
    <w:p w14:paraId="2D918727" w14:textId="5CF4299C" w:rsidR="00B47B44" w:rsidRDefault="00B47B44" w:rsidP="00B47B44">
      <w:pPr>
        <w:pStyle w:val="ListParagraph"/>
        <w:numPr>
          <w:ilvl w:val="0"/>
          <w:numId w:val="2"/>
        </w:numPr>
      </w:pPr>
      <w:r>
        <w:t>Relevant: This event helps directly to achieve the mission of the Croeso 2025 initiative by creating a platform for the sharing of Welsh heritage around the globe as well as building cross-cultural relations with the Celtic regions.</w:t>
      </w:r>
    </w:p>
    <w:p w14:paraId="7BB79C0E" w14:textId="15666DCE" w:rsidR="00B47B44" w:rsidRDefault="00B47B44" w:rsidP="00B47B44">
      <w:pPr>
        <w:pStyle w:val="ListParagraph"/>
        <w:numPr>
          <w:ilvl w:val="0"/>
          <w:numId w:val="2"/>
        </w:numPr>
      </w:pPr>
      <w:r>
        <w:t xml:space="preserve">Time-Bound: A complete planning, marketing and operations process will be developed by November 2025 to give time for final rehearsals and quality testing before the end of December 2025, at which the festival will launch as planned.  </w:t>
      </w:r>
    </w:p>
    <w:p w14:paraId="387F0F38" w14:textId="3513BAA2" w:rsidR="00B47B44" w:rsidRPr="00B47B44" w:rsidRDefault="00B47B44" w:rsidP="00B47B44">
      <w:r>
        <w:t xml:space="preserve">SMART objectives will help guide the successful delivery of the festival; the festival will be driven to stay on task, realistic, culturally as well as economically oriented, for the development of Wales. They also give undeniable indicators of success and impact of the event. </w:t>
      </w:r>
    </w:p>
    <w:p w14:paraId="1F805272" w14:textId="77777777" w:rsidR="00B47B44" w:rsidRDefault="00B47B44">
      <w:pPr>
        <w:spacing w:before="0" w:after="160" w:line="259" w:lineRule="auto"/>
        <w:jc w:val="left"/>
        <w:rPr>
          <w:rFonts w:eastAsiaTheme="majorEastAsia" w:cstheme="majorBidi"/>
          <w:b/>
          <w:sz w:val="36"/>
          <w:szCs w:val="32"/>
        </w:rPr>
      </w:pPr>
      <w:r>
        <w:br w:type="page"/>
      </w:r>
    </w:p>
    <w:p w14:paraId="581A521F" w14:textId="020BF345" w:rsidR="007A1818" w:rsidRDefault="00B47B44" w:rsidP="00B47B44">
      <w:pPr>
        <w:pStyle w:val="Heading1"/>
      </w:pPr>
      <w:bookmarkStart w:id="4" w:name="_Toc197792945"/>
      <w:r w:rsidRPr="00B47B44">
        <w:lastRenderedPageBreak/>
        <w:t>Event Management – Skills and Resources Required</w:t>
      </w:r>
      <w:bookmarkEnd w:id="4"/>
      <w:r w:rsidRPr="00B47B44">
        <w:t xml:space="preserve"> </w:t>
      </w:r>
      <w:r>
        <w:t xml:space="preserve"> </w:t>
      </w:r>
    </w:p>
    <w:p w14:paraId="7BF6FAEA" w14:textId="6774E605" w:rsidR="00B47B44" w:rsidRDefault="00B47B44" w:rsidP="00B47B44">
      <w:r>
        <w:t>The successful circulation of The Celtic Arts Revival: A Global Cultural Exchange Festival requires a holistic and coordinated approach to event management with professional expertise contained in operational, planning and marketing domains, and a strategic allocation of resources</w:t>
      </w:r>
      <w:r w:rsidR="0024137C">
        <w:t xml:space="preserve"> (</w:t>
      </w:r>
      <w:r w:rsidR="0024137C" w:rsidRPr="0024137C">
        <w:t>Quinn, 2020</w:t>
      </w:r>
      <w:r w:rsidR="0024137C">
        <w:t>).</w:t>
      </w:r>
    </w:p>
    <w:p w14:paraId="4A51B4C6" w14:textId="6561DF28" w:rsidR="00B47B44" w:rsidRDefault="00B47B44" w:rsidP="00B47B44">
      <w:pPr>
        <w:pStyle w:val="ListParagraph"/>
        <w:numPr>
          <w:ilvl w:val="0"/>
          <w:numId w:val="3"/>
        </w:numPr>
      </w:pPr>
      <w:r>
        <w:t>Operational Activities: Some major operational requirements include: venue setup, stage and sound engineering, lighting, security, catering and crowd management. Technical experts will also be required to operate audiovisual systems for live performances and exhibitions. On-site teams need to make sure safety protocols and emergency services, as well as accessibility arrangements, are in place. Logistics staff will take care of scheduling, transporting materials, artist accommodations and vendor coordination.</w:t>
      </w:r>
    </w:p>
    <w:p w14:paraId="569DFBA2" w14:textId="2A26A7E7" w:rsidR="00B47B44" w:rsidRDefault="00B47B44" w:rsidP="00B47B44">
      <w:pPr>
        <w:pStyle w:val="ListParagraph"/>
        <w:numPr>
          <w:ilvl w:val="0"/>
          <w:numId w:val="3"/>
        </w:numPr>
      </w:pPr>
      <w:r>
        <w:t>Planning Activities: Efficient planning will necessitate veteran event managers to manage timelines, budget and stakeholder engagement, and artist /vendor contracts. Licensing, Risk Assessments and Permit Approvals all require working with cultural organisations and local authorities. Booking, communication with participants from abroad and a proper standard of health and safety will also require administrative support.</w:t>
      </w:r>
    </w:p>
    <w:p w14:paraId="0BE34D49" w14:textId="19928111" w:rsidR="00B47B44" w:rsidRDefault="00B47B44" w:rsidP="00B47B44">
      <w:pPr>
        <w:pStyle w:val="ListParagraph"/>
        <w:numPr>
          <w:ilvl w:val="0"/>
          <w:numId w:val="3"/>
        </w:numPr>
      </w:pPr>
      <w:r>
        <w:t>Marketing Activities: A good marketing team will be very crucial in advance of the festival on different platforms. Includes a complete campaign in the form of social media, digital advertisement, traditional print media and tourism partnerships. Graphic designers, content writers and public relations specialists will be required to produce promotional materials and to oversee press engagement. The accessibility of International visitors will be improved by translation and interpretation services.</w:t>
      </w:r>
    </w:p>
    <w:p w14:paraId="109BAE29" w14:textId="636FCE2A" w:rsidR="00B47B44" w:rsidRDefault="00B47B44" w:rsidP="00B47B44">
      <w:pPr>
        <w:pStyle w:val="ListParagraph"/>
        <w:numPr>
          <w:ilvl w:val="0"/>
          <w:numId w:val="3"/>
        </w:numPr>
      </w:pPr>
      <w:r>
        <w:t>Human Resources: Among them will be an Event Director, an Operations Manager, a Marketing Manager, Technical Coordinators, Workshop Facilitators, Volunteers, and the Hospitality Staff. Multilingual support staff and interpreters of the culture will enable us to accommodate a wide base of audiences and participants</w:t>
      </w:r>
      <w:r w:rsidR="00BB2742">
        <w:t xml:space="preserve"> (</w:t>
      </w:r>
      <w:r w:rsidR="00BB2742" w:rsidRPr="00BB2742">
        <w:t>Leigh, Cairncross, and Lamont,</w:t>
      </w:r>
      <w:r w:rsidR="00BB2742">
        <w:t xml:space="preserve"> </w:t>
      </w:r>
      <w:r w:rsidR="00BB2742" w:rsidRPr="00BB2742">
        <w:t>2021</w:t>
      </w:r>
      <w:r w:rsidR="00BB2742">
        <w:t>).</w:t>
      </w:r>
    </w:p>
    <w:p w14:paraId="372E69C8" w14:textId="44C0C89F" w:rsidR="00B47B44" w:rsidRDefault="00B47B44" w:rsidP="00B47B44">
      <w:r>
        <w:t xml:space="preserve">As such, a multidisciplinary team that can incorporate logistics, arts programming, marketing and stakeholder management will be a necessity. Sufficient resources, a well-structured </w:t>
      </w:r>
      <w:r>
        <w:lastRenderedPageBreak/>
        <w:t xml:space="preserve">planning framework and competent staff will ensure that the festival runs without disturbances and accomplishes its cultural and economic goals.  </w:t>
      </w:r>
    </w:p>
    <w:p w14:paraId="5E4977D0" w14:textId="2EC669AF" w:rsidR="00B47B44" w:rsidRDefault="00B47B44" w:rsidP="00B47B44">
      <w:pPr>
        <w:pStyle w:val="Heading1"/>
      </w:pPr>
      <w:bookmarkStart w:id="5" w:name="_Toc197792946"/>
      <w:r>
        <w:t>Event Budget</w:t>
      </w:r>
      <w:bookmarkEnd w:id="5"/>
      <w:r>
        <w:t xml:space="preserve"> </w:t>
      </w:r>
    </w:p>
    <w:p w14:paraId="4F34E5C9" w14:textId="020C8D8C" w:rsidR="00B47B44" w:rsidRDefault="00B47B44" w:rsidP="00B47B44">
      <w:r w:rsidRPr="00B47B44">
        <w:t xml:space="preserve">The budget for The Celtic Arts Revival: A Global Cultural Exchange Festival is to make sure that the event keeps going in a </w:t>
      </w:r>
      <w:r>
        <w:t>financially</w:t>
      </w:r>
      <w:r w:rsidRPr="00B47B44">
        <w:t xml:space="preserve"> </w:t>
      </w:r>
      <w:r>
        <w:t>sound</w:t>
      </w:r>
      <w:r w:rsidRPr="00B47B44">
        <w:t xml:space="preserve"> way while it provides quality cultural programming. A detail of the expected income and money spent will follow, with an explanation of how costs are divided and where the money comes from.</w:t>
      </w:r>
      <w:r>
        <w:t xml:space="preserve">   </w:t>
      </w:r>
    </w:p>
    <w:tbl>
      <w:tblPr>
        <w:tblStyle w:val="GridTable4-Accent6"/>
        <w:tblW w:w="6801" w:type="dxa"/>
        <w:jc w:val="center"/>
        <w:tblLook w:val="04A0" w:firstRow="1" w:lastRow="0" w:firstColumn="1" w:lastColumn="0" w:noHBand="0" w:noVBand="1"/>
      </w:tblPr>
      <w:tblGrid>
        <w:gridCol w:w="3895"/>
        <w:gridCol w:w="2906"/>
      </w:tblGrid>
      <w:tr w:rsidR="00B47B44" w:rsidRPr="00B47B44" w14:paraId="76976335" w14:textId="77777777" w:rsidTr="00B47B44">
        <w:trPr>
          <w:cnfStyle w:val="100000000000" w:firstRow="1" w:lastRow="0" w:firstColumn="0" w:lastColumn="0" w:oddVBand="0" w:evenVBand="0" w:oddHBand="0" w:evenHBand="0" w:firstRowFirstColumn="0" w:firstRowLastColumn="0" w:lastRowFirstColumn="0" w:lastRowLastColumn="0"/>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868729" w14:textId="77777777" w:rsidR="00B47B44" w:rsidRPr="00B47B44" w:rsidRDefault="00B47B44" w:rsidP="00B47B44">
            <w:pPr>
              <w:rPr>
                <w:lang w:val="en-GB"/>
              </w:rPr>
            </w:pPr>
            <w:r w:rsidRPr="00B47B44">
              <w:rPr>
                <w:lang w:val="en-GB"/>
              </w:rPr>
              <w:t>Income Sources</w:t>
            </w:r>
          </w:p>
        </w:tc>
        <w:tc>
          <w:tcPr>
            <w:tcW w:w="0" w:type="auto"/>
            <w:hideMark/>
          </w:tcPr>
          <w:p w14:paraId="45FC2EAC" w14:textId="77777777" w:rsidR="00B47B44" w:rsidRPr="00B47B44" w:rsidRDefault="00B47B44" w:rsidP="00B47B44">
            <w:pPr>
              <w:cnfStyle w:val="100000000000" w:firstRow="1" w:lastRow="0" w:firstColumn="0" w:lastColumn="0" w:oddVBand="0" w:evenVBand="0" w:oddHBand="0" w:evenHBand="0" w:firstRowFirstColumn="0" w:firstRowLastColumn="0" w:lastRowFirstColumn="0" w:lastRowLastColumn="0"/>
              <w:rPr>
                <w:lang w:val="en-GB"/>
              </w:rPr>
            </w:pPr>
            <w:r w:rsidRPr="00B47B44">
              <w:rPr>
                <w:lang w:val="en-GB"/>
              </w:rPr>
              <w:t>Estimated Amount (£)</w:t>
            </w:r>
          </w:p>
        </w:tc>
      </w:tr>
      <w:tr w:rsidR="00B47B44" w:rsidRPr="00B47B44" w14:paraId="244765D7" w14:textId="77777777" w:rsidTr="00B47B44">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C5E995" w14:textId="77777777" w:rsidR="00B47B44" w:rsidRPr="00B47B44" w:rsidRDefault="00B47B44" w:rsidP="00B47B44">
            <w:pPr>
              <w:rPr>
                <w:lang w:val="en-GB"/>
              </w:rPr>
            </w:pPr>
            <w:r w:rsidRPr="00B47B44">
              <w:rPr>
                <w:lang w:val="en-GB"/>
              </w:rPr>
              <w:t>Ticket Sales (5,000 @ £15 avg)</w:t>
            </w:r>
          </w:p>
        </w:tc>
        <w:tc>
          <w:tcPr>
            <w:tcW w:w="0" w:type="auto"/>
            <w:hideMark/>
          </w:tcPr>
          <w:p w14:paraId="4B9EC063" w14:textId="77777777" w:rsidR="00B47B44" w:rsidRPr="00B47B44" w:rsidRDefault="00B47B44" w:rsidP="00B47B44">
            <w:pPr>
              <w:cnfStyle w:val="000000100000" w:firstRow="0" w:lastRow="0" w:firstColumn="0" w:lastColumn="0" w:oddVBand="0" w:evenVBand="0" w:oddHBand="1" w:evenHBand="0" w:firstRowFirstColumn="0" w:firstRowLastColumn="0" w:lastRowFirstColumn="0" w:lastRowLastColumn="0"/>
              <w:rPr>
                <w:lang w:val="en-GB"/>
              </w:rPr>
            </w:pPr>
            <w:r w:rsidRPr="00B47B44">
              <w:rPr>
                <w:lang w:val="en-GB"/>
              </w:rPr>
              <w:t>75,000</w:t>
            </w:r>
          </w:p>
        </w:tc>
      </w:tr>
      <w:tr w:rsidR="00B47B44" w:rsidRPr="00B47B44" w14:paraId="730FAFA7" w14:textId="77777777" w:rsidTr="00B47B44">
        <w:trPr>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1AB4B5" w14:textId="77777777" w:rsidR="00B47B44" w:rsidRPr="00B47B44" w:rsidRDefault="00B47B44" w:rsidP="00B47B44">
            <w:pPr>
              <w:rPr>
                <w:lang w:val="en-GB"/>
              </w:rPr>
            </w:pPr>
            <w:r w:rsidRPr="00B47B44">
              <w:rPr>
                <w:lang w:val="en-GB"/>
              </w:rPr>
              <w:t>Government Cultural Grant</w:t>
            </w:r>
          </w:p>
        </w:tc>
        <w:tc>
          <w:tcPr>
            <w:tcW w:w="0" w:type="auto"/>
            <w:hideMark/>
          </w:tcPr>
          <w:p w14:paraId="35936829" w14:textId="77777777" w:rsidR="00B47B44" w:rsidRPr="00B47B44" w:rsidRDefault="00B47B44" w:rsidP="00B47B44">
            <w:pPr>
              <w:cnfStyle w:val="000000000000" w:firstRow="0" w:lastRow="0" w:firstColumn="0" w:lastColumn="0" w:oddVBand="0" w:evenVBand="0" w:oddHBand="0" w:evenHBand="0" w:firstRowFirstColumn="0" w:firstRowLastColumn="0" w:lastRowFirstColumn="0" w:lastRowLastColumn="0"/>
              <w:rPr>
                <w:lang w:val="en-GB"/>
              </w:rPr>
            </w:pPr>
            <w:r w:rsidRPr="00B47B44">
              <w:rPr>
                <w:lang w:val="en-GB"/>
              </w:rPr>
              <w:t>50,000</w:t>
            </w:r>
          </w:p>
        </w:tc>
      </w:tr>
      <w:tr w:rsidR="00B47B44" w:rsidRPr="00B47B44" w14:paraId="0DE83E91" w14:textId="77777777" w:rsidTr="00B47B44">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D293CD" w14:textId="77777777" w:rsidR="00B47B44" w:rsidRPr="00B47B44" w:rsidRDefault="00B47B44" w:rsidP="00B47B44">
            <w:pPr>
              <w:rPr>
                <w:lang w:val="en-GB"/>
              </w:rPr>
            </w:pPr>
            <w:r w:rsidRPr="00B47B44">
              <w:rPr>
                <w:lang w:val="en-GB"/>
              </w:rPr>
              <w:t>Corporate Sponsorships</w:t>
            </w:r>
          </w:p>
        </w:tc>
        <w:tc>
          <w:tcPr>
            <w:tcW w:w="0" w:type="auto"/>
            <w:hideMark/>
          </w:tcPr>
          <w:p w14:paraId="187CFC50" w14:textId="77777777" w:rsidR="00B47B44" w:rsidRPr="00B47B44" w:rsidRDefault="00B47B44" w:rsidP="00B47B44">
            <w:pPr>
              <w:cnfStyle w:val="000000100000" w:firstRow="0" w:lastRow="0" w:firstColumn="0" w:lastColumn="0" w:oddVBand="0" w:evenVBand="0" w:oddHBand="1" w:evenHBand="0" w:firstRowFirstColumn="0" w:firstRowLastColumn="0" w:lastRowFirstColumn="0" w:lastRowLastColumn="0"/>
              <w:rPr>
                <w:lang w:val="en-GB"/>
              </w:rPr>
            </w:pPr>
            <w:r w:rsidRPr="00B47B44">
              <w:rPr>
                <w:lang w:val="en-GB"/>
              </w:rPr>
              <w:t>30,000</w:t>
            </w:r>
          </w:p>
        </w:tc>
      </w:tr>
      <w:tr w:rsidR="00B47B44" w:rsidRPr="00B47B44" w14:paraId="41CCAFC5" w14:textId="77777777" w:rsidTr="00B47B44">
        <w:trPr>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B4E851" w14:textId="77777777" w:rsidR="00B47B44" w:rsidRPr="00B47B44" w:rsidRDefault="00B47B44" w:rsidP="00B47B44">
            <w:pPr>
              <w:rPr>
                <w:lang w:val="en-GB"/>
              </w:rPr>
            </w:pPr>
            <w:r w:rsidRPr="00B47B44">
              <w:rPr>
                <w:lang w:val="en-GB"/>
              </w:rPr>
              <w:t>Vendor Stall Fees (25 @ £500)</w:t>
            </w:r>
          </w:p>
        </w:tc>
        <w:tc>
          <w:tcPr>
            <w:tcW w:w="0" w:type="auto"/>
            <w:hideMark/>
          </w:tcPr>
          <w:p w14:paraId="34412246" w14:textId="77777777" w:rsidR="00B47B44" w:rsidRPr="00B47B44" w:rsidRDefault="00B47B44" w:rsidP="00B47B44">
            <w:pPr>
              <w:cnfStyle w:val="000000000000" w:firstRow="0" w:lastRow="0" w:firstColumn="0" w:lastColumn="0" w:oddVBand="0" w:evenVBand="0" w:oddHBand="0" w:evenHBand="0" w:firstRowFirstColumn="0" w:firstRowLastColumn="0" w:lastRowFirstColumn="0" w:lastRowLastColumn="0"/>
              <w:rPr>
                <w:lang w:val="en-GB"/>
              </w:rPr>
            </w:pPr>
            <w:r w:rsidRPr="00B47B44">
              <w:rPr>
                <w:lang w:val="en-GB"/>
              </w:rPr>
              <w:t>12,500</w:t>
            </w:r>
          </w:p>
        </w:tc>
      </w:tr>
      <w:tr w:rsidR="00B47B44" w:rsidRPr="00B47B44" w14:paraId="1F9355E5" w14:textId="77777777" w:rsidTr="00B47B44">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7FF853" w14:textId="77777777" w:rsidR="00B47B44" w:rsidRPr="00B47B44" w:rsidRDefault="00B47B44" w:rsidP="00B47B44">
            <w:pPr>
              <w:rPr>
                <w:lang w:val="en-GB"/>
              </w:rPr>
            </w:pPr>
            <w:r w:rsidRPr="00B47B44">
              <w:rPr>
                <w:lang w:val="en-GB"/>
              </w:rPr>
              <w:t>Art Sales Commission</w:t>
            </w:r>
          </w:p>
        </w:tc>
        <w:tc>
          <w:tcPr>
            <w:tcW w:w="0" w:type="auto"/>
            <w:hideMark/>
          </w:tcPr>
          <w:p w14:paraId="1C66673D" w14:textId="77777777" w:rsidR="00B47B44" w:rsidRPr="00B47B44" w:rsidRDefault="00B47B44" w:rsidP="00B47B44">
            <w:pPr>
              <w:cnfStyle w:val="000000100000" w:firstRow="0" w:lastRow="0" w:firstColumn="0" w:lastColumn="0" w:oddVBand="0" w:evenVBand="0" w:oddHBand="1" w:evenHBand="0" w:firstRowFirstColumn="0" w:firstRowLastColumn="0" w:lastRowFirstColumn="0" w:lastRowLastColumn="0"/>
              <w:rPr>
                <w:lang w:val="en-GB"/>
              </w:rPr>
            </w:pPr>
            <w:r w:rsidRPr="00B47B44">
              <w:rPr>
                <w:lang w:val="en-GB"/>
              </w:rPr>
              <w:t>7,500</w:t>
            </w:r>
          </w:p>
        </w:tc>
      </w:tr>
      <w:tr w:rsidR="00B47B44" w:rsidRPr="00B47B44" w14:paraId="6012650B" w14:textId="77777777" w:rsidTr="00B47B44">
        <w:trPr>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52F7A6" w14:textId="77777777" w:rsidR="00B47B44" w:rsidRPr="00B47B44" w:rsidRDefault="00B47B44" w:rsidP="00B47B44">
            <w:pPr>
              <w:rPr>
                <w:lang w:val="en-GB"/>
              </w:rPr>
            </w:pPr>
            <w:r w:rsidRPr="00B47B44">
              <w:rPr>
                <w:lang w:val="en-GB"/>
              </w:rPr>
              <w:t>Total Income</w:t>
            </w:r>
          </w:p>
        </w:tc>
        <w:tc>
          <w:tcPr>
            <w:tcW w:w="0" w:type="auto"/>
            <w:hideMark/>
          </w:tcPr>
          <w:p w14:paraId="73F383C0" w14:textId="77777777" w:rsidR="00B47B44" w:rsidRPr="00B47B44" w:rsidRDefault="00B47B44" w:rsidP="00B47B44">
            <w:pPr>
              <w:cnfStyle w:val="000000000000" w:firstRow="0" w:lastRow="0" w:firstColumn="0" w:lastColumn="0" w:oddVBand="0" w:evenVBand="0" w:oddHBand="0" w:evenHBand="0" w:firstRowFirstColumn="0" w:firstRowLastColumn="0" w:lastRowFirstColumn="0" w:lastRowLastColumn="0"/>
              <w:rPr>
                <w:lang w:val="en-GB"/>
              </w:rPr>
            </w:pPr>
            <w:r w:rsidRPr="00B47B44">
              <w:rPr>
                <w:b/>
                <w:bCs/>
                <w:lang w:val="en-GB"/>
              </w:rPr>
              <w:t>£175,000</w:t>
            </w:r>
          </w:p>
        </w:tc>
      </w:tr>
    </w:tbl>
    <w:p w14:paraId="3621A110" w14:textId="77777777" w:rsidR="00B47B44" w:rsidRPr="00B47B44" w:rsidRDefault="00B47B44" w:rsidP="00B47B44"/>
    <w:tbl>
      <w:tblPr>
        <w:tblStyle w:val="GridTable4-Accent5"/>
        <w:tblW w:w="6646" w:type="dxa"/>
        <w:jc w:val="center"/>
        <w:tblLook w:val="04A0" w:firstRow="1" w:lastRow="0" w:firstColumn="1" w:lastColumn="0" w:noHBand="0" w:noVBand="1"/>
      </w:tblPr>
      <w:tblGrid>
        <w:gridCol w:w="3818"/>
        <w:gridCol w:w="2828"/>
      </w:tblGrid>
      <w:tr w:rsidR="00543676" w:rsidRPr="00543676" w14:paraId="30EA0314" w14:textId="77777777" w:rsidTr="00543676">
        <w:trPr>
          <w:cnfStyle w:val="100000000000" w:firstRow="1" w:lastRow="0" w:firstColumn="0" w:lastColumn="0" w:oddVBand="0" w:evenVBand="0" w:oddHBand="0" w:evenHBand="0" w:firstRowFirstColumn="0" w:firstRowLastColumn="0" w:lastRowFirstColumn="0" w:lastRowLastColumn="0"/>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E4237F" w14:textId="77777777" w:rsidR="00543676" w:rsidRPr="00543676" w:rsidRDefault="00543676" w:rsidP="00543676">
            <w:pPr>
              <w:rPr>
                <w:lang w:val="en-GB"/>
              </w:rPr>
            </w:pPr>
            <w:r w:rsidRPr="00543676">
              <w:rPr>
                <w:lang w:val="en-GB"/>
              </w:rPr>
              <w:t>Expenditure Categories</w:t>
            </w:r>
          </w:p>
        </w:tc>
        <w:tc>
          <w:tcPr>
            <w:tcW w:w="0" w:type="auto"/>
            <w:hideMark/>
          </w:tcPr>
          <w:p w14:paraId="75329779" w14:textId="77777777" w:rsidR="00543676" w:rsidRPr="00543676" w:rsidRDefault="00543676" w:rsidP="00543676">
            <w:pPr>
              <w:cnfStyle w:val="100000000000" w:firstRow="1" w:lastRow="0" w:firstColumn="0" w:lastColumn="0" w:oddVBand="0" w:evenVBand="0" w:oddHBand="0" w:evenHBand="0" w:firstRowFirstColumn="0" w:firstRowLastColumn="0" w:lastRowFirstColumn="0" w:lastRowLastColumn="0"/>
              <w:rPr>
                <w:lang w:val="en-GB"/>
              </w:rPr>
            </w:pPr>
            <w:r w:rsidRPr="00543676">
              <w:rPr>
                <w:lang w:val="en-GB"/>
              </w:rPr>
              <w:t>Estimated Amount (£)</w:t>
            </w:r>
          </w:p>
        </w:tc>
      </w:tr>
      <w:tr w:rsidR="00543676" w:rsidRPr="00543676" w14:paraId="0E6BC934"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84F581" w14:textId="77777777" w:rsidR="00543676" w:rsidRPr="00543676" w:rsidRDefault="00543676" w:rsidP="00543676">
            <w:pPr>
              <w:rPr>
                <w:lang w:val="en-GB"/>
              </w:rPr>
            </w:pPr>
            <w:r w:rsidRPr="00543676">
              <w:rPr>
                <w:lang w:val="en-GB"/>
              </w:rPr>
              <w:t>Venue Hire &amp; Permits</w:t>
            </w:r>
          </w:p>
        </w:tc>
        <w:tc>
          <w:tcPr>
            <w:tcW w:w="0" w:type="auto"/>
            <w:hideMark/>
          </w:tcPr>
          <w:p w14:paraId="33CB042C"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20,000</w:t>
            </w:r>
          </w:p>
        </w:tc>
      </w:tr>
      <w:tr w:rsidR="00543676" w:rsidRPr="00543676" w14:paraId="4EDEE344"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1292BA" w14:textId="77777777" w:rsidR="00543676" w:rsidRPr="00543676" w:rsidRDefault="00543676" w:rsidP="00543676">
            <w:pPr>
              <w:rPr>
                <w:lang w:val="en-GB"/>
              </w:rPr>
            </w:pPr>
            <w:r w:rsidRPr="00543676">
              <w:rPr>
                <w:lang w:val="en-GB"/>
              </w:rPr>
              <w:t>Technical Equipment &amp; Setup</w:t>
            </w:r>
          </w:p>
        </w:tc>
        <w:tc>
          <w:tcPr>
            <w:tcW w:w="0" w:type="auto"/>
            <w:hideMark/>
          </w:tcPr>
          <w:p w14:paraId="5B93C44F"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30,000</w:t>
            </w:r>
          </w:p>
        </w:tc>
      </w:tr>
      <w:tr w:rsidR="00543676" w:rsidRPr="00543676" w14:paraId="20C02EDA"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C17601" w14:textId="77777777" w:rsidR="00543676" w:rsidRPr="00543676" w:rsidRDefault="00543676" w:rsidP="00543676">
            <w:pPr>
              <w:rPr>
                <w:lang w:val="en-GB"/>
              </w:rPr>
            </w:pPr>
            <w:r w:rsidRPr="00543676">
              <w:rPr>
                <w:lang w:val="en-GB"/>
              </w:rPr>
              <w:t>Marketing &amp; Promotion</w:t>
            </w:r>
          </w:p>
        </w:tc>
        <w:tc>
          <w:tcPr>
            <w:tcW w:w="0" w:type="auto"/>
            <w:hideMark/>
          </w:tcPr>
          <w:p w14:paraId="33D8D716"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25,000</w:t>
            </w:r>
          </w:p>
        </w:tc>
      </w:tr>
      <w:tr w:rsidR="00543676" w:rsidRPr="00543676" w14:paraId="0098B71A"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D21C18" w14:textId="77777777" w:rsidR="00543676" w:rsidRPr="00543676" w:rsidRDefault="00543676" w:rsidP="00543676">
            <w:pPr>
              <w:rPr>
                <w:lang w:val="en-GB"/>
              </w:rPr>
            </w:pPr>
            <w:r w:rsidRPr="00543676">
              <w:rPr>
                <w:lang w:val="en-GB"/>
              </w:rPr>
              <w:t>Staffing &amp; Volunteer Expenses</w:t>
            </w:r>
          </w:p>
        </w:tc>
        <w:tc>
          <w:tcPr>
            <w:tcW w:w="0" w:type="auto"/>
            <w:hideMark/>
          </w:tcPr>
          <w:p w14:paraId="228C6F5B"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25,000</w:t>
            </w:r>
          </w:p>
        </w:tc>
      </w:tr>
      <w:tr w:rsidR="00543676" w:rsidRPr="00543676" w14:paraId="1A7B5385"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B50708" w14:textId="77777777" w:rsidR="00543676" w:rsidRPr="00543676" w:rsidRDefault="00543676" w:rsidP="00543676">
            <w:pPr>
              <w:rPr>
                <w:lang w:val="en-GB"/>
              </w:rPr>
            </w:pPr>
            <w:r w:rsidRPr="00543676">
              <w:rPr>
                <w:lang w:val="en-GB"/>
              </w:rPr>
              <w:t>Artist Fees &amp; Accommodation</w:t>
            </w:r>
          </w:p>
        </w:tc>
        <w:tc>
          <w:tcPr>
            <w:tcW w:w="0" w:type="auto"/>
            <w:hideMark/>
          </w:tcPr>
          <w:p w14:paraId="24DBACA7"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35,000</w:t>
            </w:r>
          </w:p>
        </w:tc>
      </w:tr>
      <w:tr w:rsidR="00543676" w:rsidRPr="00543676" w14:paraId="063C01D0"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3FC86C" w14:textId="77777777" w:rsidR="00543676" w:rsidRPr="00543676" w:rsidRDefault="00543676" w:rsidP="00543676">
            <w:pPr>
              <w:rPr>
                <w:lang w:val="en-GB"/>
              </w:rPr>
            </w:pPr>
            <w:r w:rsidRPr="00543676">
              <w:rPr>
                <w:lang w:val="en-GB"/>
              </w:rPr>
              <w:lastRenderedPageBreak/>
              <w:t>Workshops &amp; Materials</w:t>
            </w:r>
          </w:p>
        </w:tc>
        <w:tc>
          <w:tcPr>
            <w:tcW w:w="0" w:type="auto"/>
            <w:hideMark/>
          </w:tcPr>
          <w:p w14:paraId="11F88611"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10,000</w:t>
            </w:r>
          </w:p>
        </w:tc>
      </w:tr>
      <w:tr w:rsidR="00543676" w:rsidRPr="00543676" w14:paraId="72D89E67" w14:textId="77777777" w:rsidTr="00543676">
        <w:trPr>
          <w:cnfStyle w:val="000000100000" w:firstRow="0" w:lastRow="0" w:firstColumn="0" w:lastColumn="0" w:oddVBand="0" w:evenVBand="0" w:oddHBand="1" w:evenHBand="0" w:firstRowFirstColumn="0" w:firstRowLastColumn="0" w:lastRowFirstColumn="0" w:lastRowLastColumn="0"/>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1E2E8D" w14:textId="77777777" w:rsidR="00543676" w:rsidRPr="00543676" w:rsidRDefault="00543676" w:rsidP="00543676">
            <w:pPr>
              <w:rPr>
                <w:lang w:val="en-GB"/>
              </w:rPr>
            </w:pPr>
            <w:r w:rsidRPr="00543676">
              <w:rPr>
                <w:lang w:val="en-GB"/>
              </w:rPr>
              <w:t>Catering &amp; Vendor Logistics</w:t>
            </w:r>
          </w:p>
        </w:tc>
        <w:tc>
          <w:tcPr>
            <w:tcW w:w="0" w:type="auto"/>
            <w:hideMark/>
          </w:tcPr>
          <w:p w14:paraId="6BECB495"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12,000</w:t>
            </w:r>
          </w:p>
        </w:tc>
      </w:tr>
      <w:tr w:rsidR="00543676" w:rsidRPr="00543676" w14:paraId="479F20F0"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41D35E" w14:textId="77777777" w:rsidR="00543676" w:rsidRPr="00543676" w:rsidRDefault="00543676" w:rsidP="00543676">
            <w:pPr>
              <w:rPr>
                <w:lang w:val="en-GB"/>
              </w:rPr>
            </w:pPr>
            <w:r w:rsidRPr="00543676">
              <w:rPr>
                <w:lang w:val="en-GB"/>
              </w:rPr>
              <w:t>Insurance &amp; Contingencies</w:t>
            </w:r>
          </w:p>
        </w:tc>
        <w:tc>
          <w:tcPr>
            <w:tcW w:w="0" w:type="auto"/>
            <w:hideMark/>
          </w:tcPr>
          <w:p w14:paraId="2756CA64"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8,000</w:t>
            </w:r>
          </w:p>
        </w:tc>
      </w:tr>
      <w:tr w:rsidR="00543676" w:rsidRPr="00543676" w14:paraId="7132CD94"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BF8362" w14:textId="77777777" w:rsidR="00543676" w:rsidRPr="00543676" w:rsidRDefault="00543676" w:rsidP="00543676">
            <w:pPr>
              <w:rPr>
                <w:lang w:val="en-GB"/>
              </w:rPr>
            </w:pPr>
            <w:r w:rsidRPr="00543676">
              <w:rPr>
                <w:lang w:val="en-GB"/>
              </w:rPr>
              <w:t>Total Expenditure</w:t>
            </w:r>
          </w:p>
        </w:tc>
        <w:tc>
          <w:tcPr>
            <w:tcW w:w="0" w:type="auto"/>
            <w:hideMark/>
          </w:tcPr>
          <w:p w14:paraId="54202B87"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b/>
                <w:bCs/>
                <w:lang w:val="en-GB"/>
              </w:rPr>
              <w:t>£165,000</w:t>
            </w:r>
          </w:p>
        </w:tc>
      </w:tr>
    </w:tbl>
    <w:p w14:paraId="5590C781" w14:textId="4939A916" w:rsidR="00543676" w:rsidRDefault="00543676" w:rsidP="00543676">
      <w:r>
        <w:t>Ticket sales will be the main source of income, complemented by grants from Welsh government arts projects and business sponsorships. The Commission on art sales and vendor fees offer ancillary revenue. Spending will centre on developing a high-quality visitor experience and providing a supporting environment for artists and performers. Technical installation and artist fees are the biggest shares, indicating the festival's depth of culture.</w:t>
      </w:r>
    </w:p>
    <w:p w14:paraId="04CD5B63" w14:textId="44189B2A" w:rsidR="007A1818" w:rsidRDefault="00543676" w:rsidP="00543676">
      <w:r>
        <w:t xml:space="preserve">With a combined projected revenue of £175,000 and costs of £165,000, the event is projected to have a surplus of £10,000. This buffer provides financial security and enables reinvestment in future events or emergency funds. This budgeting strategy supports the event's viability and sustainability.  </w:t>
      </w:r>
    </w:p>
    <w:p w14:paraId="1179FB48" w14:textId="1AA2EBF7" w:rsidR="00543676" w:rsidRDefault="00543676" w:rsidP="00543676">
      <w:pPr>
        <w:pStyle w:val="Heading1"/>
      </w:pPr>
      <w:bookmarkStart w:id="6" w:name="_Toc197792947"/>
      <w:r w:rsidRPr="00543676">
        <w:t>Industry Trends, Issues, and Impacts – Relevance to The Celtic Arts Revival Festival</w:t>
      </w:r>
      <w:bookmarkEnd w:id="6"/>
      <w:r w:rsidRPr="00543676">
        <w:t xml:space="preserve"> </w:t>
      </w:r>
      <w:r>
        <w:t xml:space="preserve"> </w:t>
      </w:r>
    </w:p>
    <w:p w14:paraId="610CADD4" w14:textId="734BAAE6" w:rsidR="00543676" w:rsidRDefault="00543676" w:rsidP="00543676">
      <w:r>
        <w:t>The world of meetings and events is undergoing significant change as the sector enters 2024, driven by rapidly advancing technology, changes in the economic landscape and ever-changing standards of the measured audiences. Such shifts are relevant in the preparation and implementation of The Celtic Arts Revival: A Global Cultural Exchange Festival</w:t>
      </w:r>
      <w:r w:rsidR="003519DC">
        <w:t xml:space="preserve"> (</w:t>
      </w:r>
      <w:r w:rsidR="003519DC" w:rsidRPr="003519DC">
        <w:t>Porath, 2023</w:t>
      </w:r>
      <w:r w:rsidR="003519DC">
        <w:t>).</w:t>
      </w:r>
    </w:p>
    <w:p w14:paraId="4043C787" w14:textId="77777777" w:rsidR="00543676" w:rsidRPr="00543676" w:rsidRDefault="00543676" w:rsidP="00543676">
      <w:pPr>
        <w:rPr>
          <w:b/>
          <w:bCs/>
        </w:rPr>
      </w:pPr>
      <w:r w:rsidRPr="00543676">
        <w:rPr>
          <w:b/>
          <w:bCs/>
        </w:rPr>
        <w:t>Key Trends:</w:t>
      </w:r>
    </w:p>
    <w:p w14:paraId="26F3632E" w14:textId="408B0046" w:rsidR="00543676" w:rsidRDefault="00543676" w:rsidP="00543676">
      <w:r>
        <w:t xml:space="preserve">In-Person Events Resurgence: Despite virtual meetings, there is plenty of preference for face-to-face events, which is evidence of the preference for face-to-face interactions and cultural immersion.  </w:t>
      </w:r>
    </w:p>
    <w:p w14:paraId="6230A643" w14:textId="77777777" w:rsidR="00543676" w:rsidRDefault="00543676" w:rsidP="00543676">
      <w:pPr>
        <w:pStyle w:val="ListParagraph"/>
        <w:numPr>
          <w:ilvl w:val="0"/>
          <w:numId w:val="5"/>
        </w:numPr>
      </w:pPr>
      <w:r>
        <w:lastRenderedPageBreak/>
        <w:t xml:space="preserve">Sustainability and Accessibility: Options for events that are environmentally friendly and easy for different audiences to experience are a higher priority, with an emphasis on inclusiveness and a reduction in the ecological footprint. </w:t>
      </w:r>
    </w:p>
    <w:p w14:paraId="6D5E0610" w14:textId="4FA748B2" w:rsidR="00543676" w:rsidRDefault="00543676" w:rsidP="00543676">
      <w:pPr>
        <w:pStyle w:val="ListParagraph"/>
        <w:numPr>
          <w:ilvl w:val="0"/>
          <w:numId w:val="5"/>
        </w:numPr>
      </w:pPr>
      <w:r>
        <w:t>Technological Integration: Adoption of things such as AI and customer virtual experience is improving event experiences, starting from personalised attendee engagement to streamlined event management.</w:t>
      </w:r>
    </w:p>
    <w:p w14:paraId="7966AD83" w14:textId="77777777" w:rsidR="00543676" w:rsidRPr="00543676" w:rsidRDefault="00543676" w:rsidP="00543676">
      <w:pPr>
        <w:rPr>
          <w:b/>
          <w:bCs/>
        </w:rPr>
      </w:pPr>
      <w:r w:rsidRPr="00543676">
        <w:rPr>
          <w:b/>
          <w:bCs/>
        </w:rPr>
        <w:t>Challenges and Impacts:</w:t>
      </w:r>
    </w:p>
    <w:p w14:paraId="0198A02F" w14:textId="139DD3F9" w:rsidR="00543676" w:rsidRDefault="00543676" w:rsidP="00543676">
      <w:pPr>
        <w:pStyle w:val="ListParagraph"/>
        <w:numPr>
          <w:ilvl w:val="0"/>
          <w:numId w:val="4"/>
        </w:numPr>
      </w:pPr>
      <w:r>
        <w:t>Rising Costs: Organisers of events are meeting increasing costs and have to plan carefully in the budgeting and value planning to ensure that the arrangements are financially viable.</w:t>
      </w:r>
    </w:p>
    <w:p w14:paraId="2BFF3559" w14:textId="30C67AC0" w:rsidR="00543676" w:rsidRDefault="00543676" w:rsidP="00543676">
      <w:pPr>
        <w:pStyle w:val="ListParagraph"/>
        <w:numPr>
          <w:ilvl w:val="0"/>
          <w:numId w:val="4"/>
        </w:numPr>
      </w:pPr>
      <w:r>
        <w:t xml:space="preserve">Venue Booking Dynamics: Venues are becoming more reluctant to hold dates when there are no firm commitments, leaving organisers having to make quick decisions and secure bookings quickly. </w:t>
      </w:r>
    </w:p>
    <w:p w14:paraId="104B5363" w14:textId="01DEB04A" w:rsidR="00543676" w:rsidRDefault="00543676" w:rsidP="00543676">
      <w:pPr>
        <w:pStyle w:val="ListParagraph"/>
        <w:numPr>
          <w:ilvl w:val="0"/>
          <w:numId w:val="4"/>
        </w:numPr>
      </w:pPr>
      <w:r>
        <w:t xml:space="preserve">Diversity and Inclusion: There is an increasing expectation for events to be seen as diverse w.r.t programming, attendance, which helps bring in a more inclusive cultural diversity. </w:t>
      </w:r>
    </w:p>
    <w:p w14:paraId="606C5EE0" w14:textId="484C74C3" w:rsidR="00543676" w:rsidRPr="00543676" w:rsidRDefault="00543676" w:rsidP="00543676">
      <w:pPr>
        <w:rPr>
          <w:b/>
          <w:bCs/>
        </w:rPr>
      </w:pPr>
      <w:r w:rsidRPr="00543676">
        <w:rPr>
          <w:b/>
          <w:bCs/>
        </w:rPr>
        <w:t>Application to The Celtic Arts Revival festival</w:t>
      </w:r>
      <w:r>
        <w:rPr>
          <w:b/>
          <w:bCs/>
        </w:rPr>
        <w:t xml:space="preserve">: </w:t>
      </w:r>
    </w:p>
    <w:p w14:paraId="55379C90" w14:textId="3A97C86C" w:rsidR="007A1818" w:rsidRDefault="00543676" w:rsidP="007A1818">
      <w:r>
        <w:t xml:space="preserve">By these trends, the festival will emphasise the practice of sustainability, including reduced waste and local artisans. All the attendees, including people with disabilities, will have an opportunity to access the efforts. Technological tools will be used to streamline the management of events and make the attendees’ experience much better. Financial planning will counter increasing costs, thereby making the festival economically sustainable. Through the inclusion of diversity, the festival will have a prolific range of these cultures, Celtic, bearing inclusiveness and cultural exchange.  </w:t>
      </w:r>
    </w:p>
    <w:p w14:paraId="09C92E78" w14:textId="6BA37C69" w:rsidR="00543676" w:rsidRDefault="00543676" w:rsidP="00543676">
      <w:pPr>
        <w:pStyle w:val="Heading1"/>
      </w:pPr>
      <w:bookmarkStart w:id="7" w:name="_Toc197792948"/>
      <w:r w:rsidRPr="00543676">
        <w:t>Situational and Cultural Considerations – SWOT Analysis</w:t>
      </w:r>
      <w:bookmarkEnd w:id="7"/>
      <w:r>
        <w:t xml:space="preserve"> </w:t>
      </w:r>
    </w:p>
    <w:p w14:paraId="5150A43C" w14:textId="77777777" w:rsidR="00543676" w:rsidRDefault="00543676" w:rsidP="00543676">
      <w:r>
        <w:t xml:space="preserve">To get an overview of the wider situational and cultural factors that impact The Celtic Arts Revival: A Global Cultural Exchange Festival, a SWOT analysis provides an informative framework. It assesses internal strengths and weaknesses, and external opportunities and threats to the planning and conduct of the event. </w:t>
      </w:r>
    </w:p>
    <w:p w14:paraId="63678144" w14:textId="64980F23" w:rsidR="00543676" w:rsidRDefault="00543676" w:rsidP="00543676">
      <w:pPr>
        <w:pStyle w:val="ListParagraph"/>
        <w:numPr>
          <w:ilvl w:val="0"/>
          <w:numId w:val="6"/>
        </w:numPr>
        <w:ind w:left="360"/>
      </w:pPr>
      <w:r>
        <w:t xml:space="preserve">Strengths: The central strength of the festival is its distinct emphasis on Welsh and more general Celtic heritage, presenting a mix of traditional and modern cultural experience. Its </w:t>
      </w:r>
      <w:r>
        <w:lastRenderedPageBreak/>
        <w:t>hosting at St Fagans National Museum of History—a symbolic, immersive setting—brings authenticity as well as educational value. Also, the event strongly supports the aims of Croeso 2025, making it a candidate for potential government support and widespread local backing.</w:t>
      </w:r>
    </w:p>
    <w:p w14:paraId="16C4EB68" w14:textId="56257BD1" w:rsidR="00543676" w:rsidRDefault="00543676" w:rsidP="00543676">
      <w:pPr>
        <w:pStyle w:val="ListParagraph"/>
        <w:numPr>
          <w:ilvl w:val="0"/>
          <w:numId w:val="6"/>
        </w:numPr>
        <w:ind w:left="360"/>
      </w:pPr>
      <w:r>
        <w:t>Weaknesses: A possible weakness is the vulnerability to weather</w:t>
      </w:r>
      <w:r w:rsidR="00D1740D">
        <w:t>,</w:t>
      </w:r>
      <w:r>
        <w:t xml:space="preserve"> since most festival activities are bound to be conducted outdoors. Also, less awareness of Welsh culture among global audiences can be a potential drawback in drawing in international visitors without the support of an intensive marketing campaign. Coordination of several Celtic countries could also add to logistical hassles and expenses</w:t>
      </w:r>
      <w:r w:rsidR="00BA0F4F">
        <w:t xml:space="preserve"> (</w:t>
      </w:r>
      <w:r w:rsidR="00BA0F4F" w:rsidRPr="00BA0F4F">
        <w:t>Heidenreich</w:t>
      </w:r>
      <w:r w:rsidR="00BA0F4F">
        <w:t xml:space="preserve"> et al, 2021). </w:t>
      </w:r>
    </w:p>
    <w:p w14:paraId="6945EBEC" w14:textId="5223A1DF" w:rsidR="00543676" w:rsidRDefault="00543676" w:rsidP="00543676">
      <w:pPr>
        <w:pStyle w:val="ListParagraph"/>
        <w:numPr>
          <w:ilvl w:val="0"/>
          <w:numId w:val="6"/>
        </w:numPr>
        <w:ind w:left="360"/>
      </w:pPr>
      <w:r>
        <w:t>Opportunities: The event can ride the increasing popularity of cultural tourism and the worldwide hunger for genuine, authentic travel experiences. Partnerships with Celtic cultural institutions and universities might make the event more attractive and accessible. Technological immersion, including virtual visits or live streaming, can extend access and international involvement.</w:t>
      </w:r>
    </w:p>
    <w:p w14:paraId="07664E5C" w14:textId="14FC2753" w:rsidR="00543676" w:rsidRDefault="00543676" w:rsidP="00543676">
      <w:pPr>
        <w:pStyle w:val="ListParagraph"/>
        <w:numPr>
          <w:ilvl w:val="0"/>
          <w:numId w:val="6"/>
        </w:numPr>
        <w:ind w:left="360"/>
      </w:pPr>
      <w:r>
        <w:t xml:space="preserve">Threats: Competition from mature European cultural festivals might affect attendance. Economic recession or </w:t>
      </w:r>
      <w:r w:rsidR="00D1740D">
        <w:t>financial</w:t>
      </w:r>
      <w:r>
        <w:t xml:space="preserve"> constraints might also limit the size or standard of the event. Political instability or disruptions, e.g., transport strikes or public health issues, might create operational threats.</w:t>
      </w:r>
    </w:p>
    <w:p w14:paraId="6DAC2615" w14:textId="7D67899A" w:rsidR="00543676" w:rsidRDefault="00543676" w:rsidP="00543676">
      <w:r>
        <w:t xml:space="preserve">With these situational and cultural conditions identified through a SWOT analysis, proactive planning is made possible. Utilising strengths and opportunities while offsetting weaknesses and threats, organisers will be able to maximise festival success, cultural authenticity, and long-term viability.   </w:t>
      </w:r>
    </w:p>
    <w:p w14:paraId="6DE62BF3" w14:textId="3230EDFB" w:rsidR="00543676" w:rsidRDefault="00543676">
      <w:pPr>
        <w:spacing w:before="0" w:after="160" w:line="259" w:lineRule="auto"/>
        <w:jc w:val="left"/>
      </w:pPr>
      <w:r>
        <w:br w:type="page"/>
      </w:r>
    </w:p>
    <w:p w14:paraId="1A2694D2" w14:textId="74E9C3D5" w:rsidR="00543676" w:rsidRDefault="00543676" w:rsidP="00543676">
      <w:pPr>
        <w:pStyle w:val="Heading1"/>
      </w:pPr>
      <w:bookmarkStart w:id="8" w:name="_Toc197792949"/>
      <w:r>
        <w:lastRenderedPageBreak/>
        <w:t>Conclusion</w:t>
      </w:r>
      <w:bookmarkEnd w:id="8"/>
      <w:r>
        <w:t xml:space="preserve"> </w:t>
      </w:r>
    </w:p>
    <w:p w14:paraId="7F0C0B96" w14:textId="1382BA69" w:rsidR="00543676" w:rsidRDefault="00D1740D" w:rsidP="00543676">
      <w:r w:rsidRPr="00D1740D">
        <w:t xml:space="preserve">This report has discussed the feasibility and strategic planning of The Celtic Arts Revival: A Global Cultural Exchange Festival, </w:t>
      </w:r>
      <w:r>
        <w:t xml:space="preserve">and </w:t>
      </w:r>
      <w:r w:rsidRPr="00D1740D">
        <w:t>its prospects of promoting Welsh heritage through international cooperation. It discussed crucial areas such as event idea, demand in the market, operational and financial planning, trends in the industry, and situational factors using tools such as SWOT analysis. The event is timed to coincide with Croeso 2025 and wider cultural tourism objectives, delivering long-term economic and social advantages. By highlighting sustainability, inclusion, and innovation, the festival has the potential to become an important cultural feature of Wales. The report provides definitive recommendations for effective delivery and impact.</w:t>
      </w:r>
      <w:r>
        <w:t xml:space="preserve">  </w:t>
      </w:r>
    </w:p>
    <w:p w14:paraId="61E021C0" w14:textId="654350C5" w:rsidR="00D1740D" w:rsidRDefault="00D1740D">
      <w:pPr>
        <w:spacing w:before="0" w:after="160" w:line="259" w:lineRule="auto"/>
        <w:jc w:val="left"/>
      </w:pPr>
    </w:p>
    <w:p w14:paraId="27D536D5" w14:textId="77777777" w:rsidR="004B41BE" w:rsidRDefault="004B41BE">
      <w:pPr>
        <w:spacing w:before="0" w:after="160" w:line="259" w:lineRule="auto"/>
        <w:jc w:val="left"/>
        <w:rPr>
          <w:rFonts w:eastAsiaTheme="majorEastAsia" w:cstheme="majorBidi"/>
          <w:b/>
          <w:sz w:val="36"/>
          <w:szCs w:val="32"/>
        </w:rPr>
      </w:pPr>
      <w:r>
        <w:br w:type="page"/>
      </w:r>
    </w:p>
    <w:p w14:paraId="17753B8E" w14:textId="627E7180" w:rsidR="00D1740D" w:rsidRDefault="00D1740D" w:rsidP="00D1740D">
      <w:pPr>
        <w:pStyle w:val="Heading1"/>
      </w:pPr>
      <w:bookmarkStart w:id="9" w:name="_Toc197792950"/>
      <w:r>
        <w:lastRenderedPageBreak/>
        <w:t>References</w:t>
      </w:r>
      <w:bookmarkEnd w:id="9"/>
      <w:r>
        <w:t xml:space="preserve"> </w:t>
      </w:r>
    </w:p>
    <w:p w14:paraId="532197D8" w14:textId="77777777" w:rsidR="00BA0F4F" w:rsidRDefault="00BA0F4F" w:rsidP="00BA0F4F">
      <w:r w:rsidRPr="00995642">
        <w:t xml:space="preserve">Allen, J., Harris, R. and Jago, L., </w:t>
      </w:r>
      <w:r>
        <w:t>(</w:t>
      </w:r>
      <w:r w:rsidRPr="00995642">
        <w:t>2022</w:t>
      </w:r>
      <w:r>
        <w:t>)</w:t>
      </w:r>
      <w:r w:rsidRPr="00995642">
        <w:t>. </w:t>
      </w:r>
      <w:r w:rsidRPr="00BA0F4F">
        <w:rPr>
          <w:i/>
          <w:iCs/>
        </w:rPr>
        <w:t>Festival &amp; special event management</w:t>
      </w:r>
      <w:r w:rsidRPr="00995642">
        <w:t>. John Wiley &amp; Sons.</w:t>
      </w:r>
      <w:r>
        <w:t xml:space="preserve"> </w:t>
      </w:r>
    </w:p>
    <w:p w14:paraId="4ACB2E35" w14:textId="77777777" w:rsidR="00BA0F4F" w:rsidRDefault="00BA0F4F" w:rsidP="00BA0F4F">
      <w:r w:rsidRPr="00683F93">
        <w:t xml:space="preserve">Allen, J., Harris, R. and Jago, L., </w:t>
      </w:r>
      <w:r>
        <w:t>(</w:t>
      </w:r>
      <w:r w:rsidRPr="00683F93">
        <w:t>2022</w:t>
      </w:r>
      <w:r>
        <w:t>)</w:t>
      </w:r>
      <w:r w:rsidRPr="00683F93">
        <w:t>. </w:t>
      </w:r>
      <w:r w:rsidRPr="00BA0F4F">
        <w:rPr>
          <w:i/>
          <w:iCs/>
        </w:rPr>
        <w:t>Festival &amp; special event management</w:t>
      </w:r>
      <w:r w:rsidRPr="00683F93">
        <w:t>. John Wiley &amp; Sons.</w:t>
      </w:r>
      <w:r>
        <w:t xml:space="preserve"> </w:t>
      </w:r>
    </w:p>
    <w:p w14:paraId="6FB880F1" w14:textId="77777777" w:rsidR="00BA0F4F" w:rsidRDefault="00BA0F4F" w:rsidP="00BA0F4F">
      <w:r w:rsidRPr="00BD08FB">
        <w:t xml:space="preserve">Bowman, M., </w:t>
      </w:r>
      <w:r>
        <w:t>(</w:t>
      </w:r>
      <w:r w:rsidRPr="00BD08FB">
        <w:t>2023</w:t>
      </w:r>
      <w:r>
        <w:t>)</w:t>
      </w:r>
      <w:r w:rsidRPr="00BD08FB">
        <w:t>. Contemporary Celtic Spirituality. In </w:t>
      </w:r>
      <w:r w:rsidRPr="00BA0F4F">
        <w:rPr>
          <w:i/>
          <w:iCs/>
        </w:rPr>
        <w:t>Belief Beyond Boundaries</w:t>
      </w:r>
      <w:r w:rsidRPr="00BD08FB">
        <w:t> (pp.</w:t>
      </w:r>
      <w:r>
        <w:t>1</w:t>
      </w:r>
      <w:r w:rsidRPr="00BD08FB">
        <w:t>-12). Routledge.</w:t>
      </w:r>
      <w:r>
        <w:t xml:space="preserve"> </w:t>
      </w:r>
    </w:p>
    <w:p w14:paraId="143787A7" w14:textId="77777777" w:rsidR="00BA0F4F" w:rsidRPr="007A1818" w:rsidRDefault="00BA0F4F" w:rsidP="00BA0F4F">
      <w:r w:rsidRPr="00BA0F4F">
        <w:rPr>
          <w:lang w:val="de-DE"/>
        </w:rPr>
        <w:t xml:space="preserve">Heidenreich, A., Buchner, M., Walz, A. and Thieken, A.H., (2021). </w:t>
      </w:r>
      <w:r w:rsidRPr="00BA0F4F">
        <w:t>How to deal with heat stress at an open-air event? Exploring visitors’ vulnerability, risk perception, and adaptive behavior with a multimethod approach. </w:t>
      </w:r>
      <w:r w:rsidRPr="00BA0F4F">
        <w:rPr>
          <w:i/>
          <w:iCs/>
        </w:rPr>
        <w:t>Weather, Climate, and Society</w:t>
      </w:r>
      <w:r w:rsidRPr="00BA0F4F">
        <w:t>, </w:t>
      </w:r>
      <w:r w:rsidRPr="00BA0F4F">
        <w:rPr>
          <w:i/>
          <w:iCs/>
        </w:rPr>
        <w:t>13</w:t>
      </w:r>
      <w:r w:rsidRPr="00BA0F4F">
        <w:t>(4), pp.</w:t>
      </w:r>
      <w:r>
        <w:t>1</w:t>
      </w:r>
      <w:r w:rsidRPr="00BA0F4F">
        <w:t>-12.</w:t>
      </w:r>
      <w:r>
        <w:t xml:space="preserve">  </w:t>
      </w:r>
    </w:p>
    <w:p w14:paraId="315BCCF0" w14:textId="77777777" w:rsidR="00BA0F4F" w:rsidRDefault="00BA0F4F" w:rsidP="00BA0F4F">
      <w:r w:rsidRPr="00D829E5">
        <w:t xml:space="preserve">Jones, L.J., </w:t>
      </w:r>
      <w:r>
        <w:t>(</w:t>
      </w:r>
      <w:r w:rsidRPr="00D829E5">
        <w:t>2020</w:t>
      </w:r>
      <w:r>
        <w:t>)</w:t>
      </w:r>
      <w:r w:rsidRPr="00D829E5">
        <w:t>. </w:t>
      </w:r>
      <w:r w:rsidRPr="00BA0F4F">
        <w:rPr>
          <w:i/>
          <w:iCs/>
        </w:rPr>
        <w:t>The Event Planning Toolkit: Your Guide to Organizing Extraordinary Meetings and Events</w:t>
      </w:r>
      <w:r w:rsidRPr="00D829E5">
        <w:t>. Rowman &amp; Littlefield.</w:t>
      </w:r>
      <w:r>
        <w:t xml:space="preserve"> </w:t>
      </w:r>
    </w:p>
    <w:p w14:paraId="29D1E0AA" w14:textId="77777777" w:rsidR="00BA0F4F" w:rsidRDefault="00BA0F4F" w:rsidP="00BA0F4F">
      <w:r w:rsidRPr="00BB2742">
        <w:t xml:space="preserve">Leigh, J., Cairncross, G. and Lamont, M., </w:t>
      </w:r>
      <w:r>
        <w:t>(</w:t>
      </w:r>
      <w:r w:rsidRPr="00BB2742">
        <w:t>2021</w:t>
      </w:r>
      <w:r>
        <w:t>)</w:t>
      </w:r>
      <w:r w:rsidRPr="00BB2742">
        <w:t>. Training for event volunteers: factors influencing event managers' resource allocation decision-making. </w:t>
      </w:r>
      <w:r w:rsidRPr="00BA0F4F">
        <w:rPr>
          <w:i/>
          <w:iCs/>
        </w:rPr>
        <w:t>International Journal of Event and Festival Management</w:t>
      </w:r>
      <w:r w:rsidRPr="00BB2742">
        <w:t>, </w:t>
      </w:r>
      <w:r w:rsidRPr="00BA0F4F">
        <w:rPr>
          <w:i/>
          <w:iCs/>
        </w:rPr>
        <w:t>12</w:t>
      </w:r>
      <w:r w:rsidRPr="00BB2742">
        <w:t>(1), pp.1-</w:t>
      </w:r>
      <w:r>
        <w:t>1</w:t>
      </w:r>
      <w:r w:rsidRPr="00BB2742">
        <w:t>5.</w:t>
      </w:r>
      <w:r>
        <w:t xml:space="preserve"> </w:t>
      </w:r>
    </w:p>
    <w:p w14:paraId="73A4AC8D" w14:textId="77777777" w:rsidR="00BA0F4F" w:rsidRDefault="00BA0F4F" w:rsidP="00BA0F4F">
      <w:r w:rsidRPr="00B21B57">
        <w:t xml:space="preserve">Novia, L., </w:t>
      </w:r>
      <w:r>
        <w:t>(</w:t>
      </w:r>
      <w:r w:rsidRPr="00B21B57">
        <w:t>2023</w:t>
      </w:r>
      <w:r>
        <w:t>)</w:t>
      </w:r>
      <w:r w:rsidRPr="00B21B57">
        <w:t>. </w:t>
      </w:r>
      <w:r w:rsidRPr="00BA0F4F">
        <w:rPr>
          <w:i/>
          <w:iCs/>
        </w:rPr>
        <w:t>Cultures around the World-Exploring the 8 Elements of Culture</w:t>
      </w:r>
      <w:r w:rsidRPr="00B21B57">
        <w:t>. Ananta Vidya.</w:t>
      </w:r>
      <w:r>
        <w:t xml:space="preserve">  </w:t>
      </w:r>
    </w:p>
    <w:p w14:paraId="0F7C926A" w14:textId="77777777" w:rsidR="00BA0F4F" w:rsidRDefault="00BA0F4F" w:rsidP="00BA0F4F">
      <w:r w:rsidRPr="009B2671">
        <w:t xml:space="preserve">O'Flynn, R., </w:t>
      </w:r>
      <w:r>
        <w:t>(</w:t>
      </w:r>
      <w:r w:rsidRPr="009B2671">
        <w:t>2021</w:t>
      </w:r>
      <w:r>
        <w:t>)</w:t>
      </w:r>
      <w:r w:rsidRPr="009B2671">
        <w:t>. Food in tourism and the role of the artisan food producer in Ireland: a phenomenological study.</w:t>
      </w:r>
      <w:r>
        <w:t xml:space="preserve"> </w:t>
      </w:r>
    </w:p>
    <w:p w14:paraId="3909A348" w14:textId="77777777" w:rsidR="00BA0F4F" w:rsidRDefault="00BA0F4F" w:rsidP="00BA0F4F">
      <w:r w:rsidRPr="006716C8">
        <w:t xml:space="preserve">Porath, U., </w:t>
      </w:r>
      <w:r>
        <w:t>(</w:t>
      </w:r>
      <w:r w:rsidRPr="006716C8">
        <w:t>2023</w:t>
      </w:r>
      <w:r>
        <w:t>)</w:t>
      </w:r>
      <w:r w:rsidRPr="006716C8">
        <w:t>. Advancing managerial evolution and resource management in contemporary business landscapes. </w:t>
      </w:r>
      <w:r w:rsidRPr="00BA0F4F">
        <w:rPr>
          <w:i/>
          <w:iCs/>
        </w:rPr>
        <w:t>Modern Economy</w:t>
      </w:r>
      <w:r w:rsidRPr="006716C8">
        <w:t>, </w:t>
      </w:r>
      <w:r w:rsidRPr="00BA0F4F">
        <w:rPr>
          <w:i/>
          <w:iCs/>
        </w:rPr>
        <w:t>14</w:t>
      </w:r>
      <w:r w:rsidRPr="006716C8">
        <w:t>(10), pp.1-10.</w:t>
      </w:r>
      <w:r>
        <w:t xml:space="preserve"> </w:t>
      </w:r>
    </w:p>
    <w:p w14:paraId="41C9D287" w14:textId="77777777" w:rsidR="00BA0F4F" w:rsidRDefault="00BA0F4F" w:rsidP="00BA0F4F">
      <w:r w:rsidRPr="0024137C">
        <w:t xml:space="preserve">Quinn, B., </w:t>
      </w:r>
      <w:r>
        <w:t>(</w:t>
      </w:r>
      <w:r w:rsidRPr="0024137C">
        <w:t>2020</w:t>
      </w:r>
      <w:r>
        <w:t>)</w:t>
      </w:r>
      <w:r w:rsidRPr="0024137C">
        <w:t>. Arts festivals and the city. </w:t>
      </w:r>
      <w:r w:rsidRPr="00BA0F4F">
        <w:rPr>
          <w:i/>
          <w:iCs/>
        </w:rPr>
        <w:t>Culture-led urban regeneration</w:t>
      </w:r>
      <w:r w:rsidRPr="0024137C">
        <w:t>, pp.</w:t>
      </w:r>
      <w:r>
        <w:t>1</w:t>
      </w:r>
      <w:r w:rsidRPr="0024137C">
        <w:t>-11.</w:t>
      </w:r>
      <w:r>
        <w:t xml:space="preserve"> </w:t>
      </w:r>
    </w:p>
    <w:p w14:paraId="769E68EB" w14:textId="77777777" w:rsidR="00BA0F4F" w:rsidRDefault="00BA0F4F" w:rsidP="00BA0F4F">
      <w:r w:rsidRPr="001C6420">
        <w:t xml:space="preserve">Rushton, A., Croucher, P. and Baker, P., </w:t>
      </w:r>
      <w:r>
        <w:t>(</w:t>
      </w:r>
      <w:r w:rsidRPr="001C6420">
        <w:t>2022</w:t>
      </w:r>
      <w:r>
        <w:t>)</w:t>
      </w:r>
      <w:r w:rsidRPr="001C6420">
        <w:t>. </w:t>
      </w:r>
      <w:r w:rsidRPr="00BA0F4F">
        <w:rPr>
          <w:i/>
          <w:iCs/>
        </w:rPr>
        <w:t>The handbook of logistics and distribution management: Understanding the supply chain</w:t>
      </w:r>
      <w:r w:rsidRPr="001C6420">
        <w:t>. Kogan Page Publishers.</w:t>
      </w:r>
      <w:r>
        <w:t xml:space="preserve"> </w:t>
      </w:r>
    </w:p>
    <w:p w14:paraId="362C0472" w14:textId="62740D79" w:rsidR="00BA0F4F" w:rsidRDefault="00BA0F4F" w:rsidP="00BA0F4F">
      <w:r w:rsidRPr="000F4212">
        <w:t xml:space="preserve">Wilson, M., </w:t>
      </w:r>
      <w:r>
        <w:t>(</w:t>
      </w:r>
      <w:r w:rsidRPr="000F4212">
        <w:t>2025</w:t>
      </w:r>
      <w:r>
        <w:t>)</w:t>
      </w:r>
      <w:r w:rsidRPr="000F4212">
        <w:t>. </w:t>
      </w:r>
      <w:r w:rsidRPr="00BA0F4F">
        <w:rPr>
          <w:i/>
          <w:iCs/>
        </w:rPr>
        <w:t>Portals into Deep Imagination: Celtic Mythology, Nature’s Year, and the Quest for Soul</w:t>
      </w:r>
      <w:r w:rsidRPr="000F4212">
        <w:t>. Aeon Books.</w:t>
      </w:r>
      <w:r>
        <w:t xml:space="preserve">    </w:t>
      </w:r>
    </w:p>
    <w:sectPr w:rsidR="00BA0F4F" w:rsidSect="007C47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56E58" w14:textId="77777777" w:rsidR="00A71392" w:rsidRDefault="00A71392" w:rsidP="007A1818">
      <w:pPr>
        <w:spacing w:before="0" w:after="0" w:line="240" w:lineRule="auto"/>
      </w:pPr>
      <w:r>
        <w:separator/>
      </w:r>
    </w:p>
  </w:endnote>
  <w:endnote w:type="continuationSeparator" w:id="0">
    <w:p w14:paraId="31B0B5F0" w14:textId="77777777" w:rsidR="00A71392" w:rsidRDefault="00A71392" w:rsidP="007A18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925627"/>
      <w:docPartObj>
        <w:docPartGallery w:val="Page Numbers (Bottom of Page)"/>
        <w:docPartUnique/>
      </w:docPartObj>
    </w:sdtPr>
    <w:sdtContent>
      <w:p w14:paraId="1D0D52E5" w14:textId="31710302" w:rsidR="00B47B44" w:rsidRDefault="00B47B44">
        <w:pPr>
          <w:pStyle w:val="Footer"/>
          <w:jc w:val="right"/>
        </w:pPr>
        <w:r>
          <w:fldChar w:fldCharType="begin"/>
        </w:r>
        <w:r>
          <w:instrText>PAGE   \* MERGEFORMAT</w:instrText>
        </w:r>
        <w:r>
          <w:fldChar w:fldCharType="separate"/>
        </w:r>
        <w:r w:rsidR="001543AA" w:rsidRPr="001543AA">
          <w:rPr>
            <w:noProof/>
            <w:lang w:val="en-GB"/>
          </w:rPr>
          <w:t>2</w:t>
        </w:r>
        <w:r>
          <w:fldChar w:fldCharType="end"/>
        </w:r>
      </w:p>
    </w:sdtContent>
  </w:sdt>
  <w:p w14:paraId="028D18D4" w14:textId="77777777" w:rsidR="00B47B44" w:rsidRDefault="00B47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90E83" w14:textId="77777777" w:rsidR="00A71392" w:rsidRDefault="00A71392" w:rsidP="007A1818">
      <w:pPr>
        <w:spacing w:before="0" w:after="0" w:line="240" w:lineRule="auto"/>
      </w:pPr>
      <w:r>
        <w:separator/>
      </w:r>
    </w:p>
  </w:footnote>
  <w:footnote w:type="continuationSeparator" w:id="0">
    <w:p w14:paraId="42B8EF15" w14:textId="77777777" w:rsidR="00A71392" w:rsidRDefault="00A71392" w:rsidP="007A181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C34C7" w14:textId="130CA8AA" w:rsidR="007A1818" w:rsidRDefault="007A1818" w:rsidP="007A1818">
    <w:pPr>
      <w:pStyle w:val="Header"/>
    </w:pPr>
    <w:r>
      <w:rPr>
        <w:noProof/>
        <w:lang w:val="en-US" w:eastAsia="en-US"/>
      </w:rPr>
      <w:drawing>
        <wp:inline distT="0" distB="0" distL="0" distR="0" wp14:anchorId="67AF402C" wp14:editId="493DBD96">
          <wp:extent cx="1943100" cy="792480"/>
          <wp:effectExtent l="0" t="0" r="0" b="0"/>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a:picLocks/>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43100" cy="792480"/>
                  </a:xfrm>
                  <a:prstGeom prst="rect">
                    <a:avLst/>
                  </a:prstGeom>
                </pic:spPr>
              </pic:pic>
            </a:graphicData>
          </a:graphic>
        </wp:inline>
      </w:drawing>
    </w:r>
  </w:p>
  <w:p w14:paraId="3AC275E4" w14:textId="77777777" w:rsidR="007A1818" w:rsidRPr="007A1818" w:rsidRDefault="007A1818" w:rsidP="007A18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97450"/>
    <w:multiLevelType w:val="hybridMultilevel"/>
    <w:tmpl w:val="0702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D663B"/>
    <w:multiLevelType w:val="hybridMultilevel"/>
    <w:tmpl w:val="7A28D7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90503C5"/>
    <w:multiLevelType w:val="hybridMultilevel"/>
    <w:tmpl w:val="ACBC24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366880"/>
    <w:multiLevelType w:val="hybridMultilevel"/>
    <w:tmpl w:val="7DBAB5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6947FB"/>
    <w:multiLevelType w:val="hybridMultilevel"/>
    <w:tmpl w:val="43EE5B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01687D"/>
    <w:multiLevelType w:val="hybridMultilevel"/>
    <w:tmpl w:val="C3C4A9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E9E5847"/>
    <w:multiLevelType w:val="hybridMultilevel"/>
    <w:tmpl w:val="E18403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16359185">
    <w:abstractNumId w:val="7"/>
  </w:num>
  <w:num w:numId="2" w16cid:durableId="1175534704">
    <w:abstractNumId w:val="3"/>
  </w:num>
  <w:num w:numId="3" w16cid:durableId="98380351">
    <w:abstractNumId w:val="8"/>
  </w:num>
  <w:num w:numId="4" w16cid:durableId="34040176">
    <w:abstractNumId w:val="4"/>
  </w:num>
  <w:num w:numId="5" w16cid:durableId="123158749">
    <w:abstractNumId w:val="2"/>
  </w:num>
  <w:num w:numId="6" w16cid:durableId="1050030268">
    <w:abstractNumId w:val="0"/>
  </w:num>
  <w:num w:numId="7" w16cid:durableId="1627618878">
    <w:abstractNumId w:val="1"/>
  </w:num>
  <w:num w:numId="8" w16cid:durableId="1562599469">
    <w:abstractNumId w:val="5"/>
  </w:num>
  <w:num w:numId="9" w16cid:durableId="15869156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1818"/>
    <w:rsid w:val="00011A89"/>
    <w:rsid w:val="000312DE"/>
    <w:rsid w:val="0004550E"/>
    <w:rsid w:val="00047E16"/>
    <w:rsid w:val="00053946"/>
    <w:rsid w:val="000724BB"/>
    <w:rsid w:val="0007662D"/>
    <w:rsid w:val="000817F4"/>
    <w:rsid w:val="00085FF8"/>
    <w:rsid w:val="00091309"/>
    <w:rsid w:val="00095666"/>
    <w:rsid w:val="000A4AAF"/>
    <w:rsid w:val="000B002E"/>
    <w:rsid w:val="000B4978"/>
    <w:rsid w:val="000C2CB1"/>
    <w:rsid w:val="000C783D"/>
    <w:rsid w:val="000E390C"/>
    <w:rsid w:val="000E3AEF"/>
    <w:rsid w:val="000F2F0C"/>
    <w:rsid w:val="000F4212"/>
    <w:rsid w:val="00110F0F"/>
    <w:rsid w:val="00122D07"/>
    <w:rsid w:val="00134371"/>
    <w:rsid w:val="001356C5"/>
    <w:rsid w:val="00143A7D"/>
    <w:rsid w:val="00147D82"/>
    <w:rsid w:val="00151C96"/>
    <w:rsid w:val="001541EF"/>
    <w:rsid w:val="001543AA"/>
    <w:rsid w:val="00160F43"/>
    <w:rsid w:val="00163E61"/>
    <w:rsid w:val="001703D2"/>
    <w:rsid w:val="00176170"/>
    <w:rsid w:val="0018157C"/>
    <w:rsid w:val="00194346"/>
    <w:rsid w:val="00195342"/>
    <w:rsid w:val="001B1A94"/>
    <w:rsid w:val="001B353F"/>
    <w:rsid w:val="001C220A"/>
    <w:rsid w:val="001C6420"/>
    <w:rsid w:val="001E0716"/>
    <w:rsid w:val="001E0D02"/>
    <w:rsid w:val="001E7AC3"/>
    <w:rsid w:val="001F1EA5"/>
    <w:rsid w:val="001F3569"/>
    <w:rsid w:val="001F54EA"/>
    <w:rsid w:val="001F72B3"/>
    <w:rsid w:val="002009EA"/>
    <w:rsid w:val="0020461C"/>
    <w:rsid w:val="002052E4"/>
    <w:rsid w:val="002214AA"/>
    <w:rsid w:val="00222B5C"/>
    <w:rsid w:val="00237ACE"/>
    <w:rsid w:val="0024137C"/>
    <w:rsid w:val="002437F6"/>
    <w:rsid w:val="00243F7B"/>
    <w:rsid w:val="00244540"/>
    <w:rsid w:val="00244635"/>
    <w:rsid w:val="00250603"/>
    <w:rsid w:val="00251873"/>
    <w:rsid w:val="00274D58"/>
    <w:rsid w:val="00286F33"/>
    <w:rsid w:val="002A0F8C"/>
    <w:rsid w:val="002A116A"/>
    <w:rsid w:val="002B5D30"/>
    <w:rsid w:val="002C7B93"/>
    <w:rsid w:val="002D24A7"/>
    <w:rsid w:val="002E490A"/>
    <w:rsid w:val="002E7F03"/>
    <w:rsid w:val="002F0FB0"/>
    <w:rsid w:val="00300B26"/>
    <w:rsid w:val="00300D15"/>
    <w:rsid w:val="003028C6"/>
    <w:rsid w:val="0030726C"/>
    <w:rsid w:val="003156C7"/>
    <w:rsid w:val="00322A26"/>
    <w:rsid w:val="00322FF4"/>
    <w:rsid w:val="00326638"/>
    <w:rsid w:val="0032797D"/>
    <w:rsid w:val="00330EA1"/>
    <w:rsid w:val="00334DAD"/>
    <w:rsid w:val="00335023"/>
    <w:rsid w:val="003378C9"/>
    <w:rsid w:val="003519B0"/>
    <w:rsid w:val="003519DC"/>
    <w:rsid w:val="0036265E"/>
    <w:rsid w:val="00374209"/>
    <w:rsid w:val="003D26D0"/>
    <w:rsid w:val="003D364B"/>
    <w:rsid w:val="003E14A3"/>
    <w:rsid w:val="003E42C0"/>
    <w:rsid w:val="00410097"/>
    <w:rsid w:val="00414ACD"/>
    <w:rsid w:val="004168EC"/>
    <w:rsid w:val="0041696C"/>
    <w:rsid w:val="00423B1F"/>
    <w:rsid w:val="00424A93"/>
    <w:rsid w:val="0042623D"/>
    <w:rsid w:val="0043167F"/>
    <w:rsid w:val="00442845"/>
    <w:rsid w:val="00444CDA"/>
    <w:rsid w:val="0045395E"/>
    <w:rsid w:val="00457BAE"/>
    <w:rsid w:val="00460507"/>
    <w:rsid w:val="004668EE"/>
    <w:rsid w:val="004764B0"/>
    <w:rsid w:val="00477595"/>
    <w:rsid w:val="004861DA"/>
    <w:rsid w:val="004938F1"/>
    <w:rsid w:val="00493C60"/>
    <w:rsid w:val="004B1D7D"/>
    <w:rsid w:val="004B41BE"/>
    <w:rsid w:val="004F0DC9"/>
    <w:rsid w:val="005012EC"/>
    <w:rsid w:val="00513C1A"/>
    <w:rsid w:val="005145E2"/>
    <w:rsid w:val="00522539"/>
    <w:rsid w:val="00543676"/>
    <w:rsid w:val="00545A90"/>
    <w:rsid w:val="00552806"/>
    <w:rsid w:val="0055610D"/>
    <w:rsid w:val="00556AA9"/>
    <w:rsid w:val="0056076C"/>
    <w:rsid w:val="00566416"/>
    <w:rsid w:val="005B3530"/>
    <w:rsid w:val="005B4CAD"/>
    <w:rsid w:val="005C1D36"/>
    <w:rsid w:val="005C3CBD"/>
    <w:rsid w:val="005C637D"/>
    <w:rsid w:val="005C6A7A"/>
    <w:rsid w:val="005C6CC2"/>
    <w:rsid w:val="005D0CC4"/>
    <w:rsid w:val="005D24CA"/>
    <w:rsid w:val="005D555E"/>
    <w:rsid w:val="005E1EBC"/>
    <w:rsid w:val="005E22A2"/>
    <w:rsid w:val="005E6F1D"/>
    <w:rsid w:val="00600FFB"/>
    <w:rsid w:val="00601EF2"/>
    <w:rsid w:val="00606F1B"/>
    <w:rsid w:val="0061268F"/>
    <w:rsid w:val="00614502"/>
    <w:rsid w:val="0061516D"/>
    <w:rsid w:val="0062422C"/>
    <w:rsid w:val="006308B9"/>
    <w:rsid w:val="00634382"/>
    <w:rsid w:val="006425C6"/>
    <w:rsid w:val="00644F0E"/>
    <w:rsid w:val="00666E15"/>
    <w:rsid w:val="006716C8"/>
    <w:rsid w:val="00672316"/>
    <w:rsid w:val="006732CA"/>
    <w:rsid w:val="00673ECB"/>
    <w:rsid w:val="00673EEB"/>
    <w:rsid w:val="0067649B"/>
    <w:rsid w:val="006771A7"/>
    <w:rsid w:val="00683F93"/>
    <w:rsid w:val="00687396"/>
    <w:rsid w:val="00697208"/>
    <w:rsid w:val="00697577"/>
    <w:rsid w:val="00697D36"/>
    <w:rsid w:val="006A1861"/>
    <w:rsid w:val="006B7ADD"/>
    <w:rsid w:val="006D005F"/>
    <w:rsid w:val="006D4480"/>
    <w:rsid w:val="006D79F6"/>
    <w:rsid w:val="006E1D91"/>
    <w:rsid w:val="00707C7B"/>
    <w:rsid w:val="0071541C"/>
    <w:rsid w:val="0071715F"/>
    <w:rsid w:val="00721F4D"/>
    <w:rsid w:val="007271B9"/>
    <w:rsid w:val="00727842"/>
    <w:rsid w:val="0073507A"/>
    <w:rsid w:val="00743D24"/>
    <w:rsid w:val="007546B2"/>
    <w:rsid w:val="00755834"/>
    <w:rsid w:val="007640EF"/>
    <w:rsid w:val="0076724B"/>
    <w:rsid w:val="007677C3"/>
    <w:rsid w:val="00781376"/>
    <w:rsid w:val="007A007C"/>
    <w:rsid w:val="007A0514"/>
    <w:rsid w:val="007A0551"/>
    <w:rsid w:val="007A1818"/>
    <w:rsid w:val="007A63EE"/>
    <w:rsid w:val="007B2D31"/>
    <w:rsid w:val="007B61CF"/>
    <w:rsid w:val="007C471D"/>
    <w:rsid w:val="007E06BB"/>
    <w:rsid w:val="007E20D1"/>
    <w:rsid w:val="007E273B"/>
    <w:rsid w:val="007F3080"/>
    <w:rsid w:val="007F323E"/>
    <w:rsid w:val="008025E5"/>
    <w:rsid w:val="00807689"/>
    <w:rsid w:val="00833CB1"/>
    <w:rsid w:val="008436F7"/>
    <w:rsid w:val="00856480"/>
    <w:rsid w:val="0086736B"/>
    <w:rsid w:val="00873232"/>
    <w:rsid w:val="00876DDC"/>
    <w:rsid w:val="00880BA4"/>
    <w:rsid w:val="00886C9E"/>
    <w:rsid w:val="00890BDD"/>
    <w:rsid w:val="008A7795"/>
    <w:rsid w:val="008B2801"/>
    <w:rsid w:val="008C26FB"/>
    <w:rsid w:val="008C5B02"/>
    <w:rsid w:val="008C7156"/>
    <w:rsid w:val="008D383F"/>
    <w:rsid w:val="008F51F7"/>
    <w:rsid w:val="008F5339"/>
    <w:rsid w:val="008F5960"/>
    <w:rsid w:val="00900454"/>
    <w:rsid w:val="00904B9A"/>
    <w:rsid w:val="0092548B"/>
    <w:rsid w:val="00931DE0"/>
    <w:rsid w:val="00932D0A"/>
    <w:rsid w:val="00935C98"/>
    <w:rsid w:val="00936B13"/>
    <w:rsid w:val="00941A54"/>
    <w:rsid w:val="00944710"/>
    <w:rsid w:val="00956B46"/>
    <w:rsid w:val="00957AEA"/>
    <w:rsid w:val="00962A22"/>
    <w:rsid w:val="0097098B"/>
    <w:rsid w:val="00975820"/>
    <w:rsid w:val="009805AA"/>
    <w:rsid w:val="009857E8"/>
    <w:rsid w:val="00987B1C"/>
    <w:rsid w:val="00993080"/>
    <w:rsid w:val="0099375E"/>
    <w:rsid w:val="00995642"/>
    <w:rsid w:val="009A3205"/>
    <w:rsid w:val="009B2671"/>
    <w:rsid w:val="009D0D00"/>
    <w:rsid w:val="009D58DD"/>
    <w:rsid w:val="009D5C47"/>
    <w:rsid w:val="009D6BA7"/>
    <w:rsid w:val="00A0053B"/>
    <w:rsid w:val="00A1677D"/>
    <w:rsid w:val="00A321F9"/>
    <w:rsid w:val="00A46373"/>
    <w:rsid w:val="00A514F9"/>
    <w:rsid w:val="00A56BE0"/>
    <w:rsid w:val="00A61896"/>
    <w:rsid w:val="00A66A1D"/>
    <w:rsid w:val="00A71392"/>
    <w:rsid w:val="00A7211B"/>
    <w:rsid w:val="00A74BE4"/>
    <w:rsid w:val="00AA1940"/>
    <w:rsid w:val="00AD73CB"/>
    <w:rsid w:val="00AF025C"/>
    <w:rsid w:val="00AF2486"/>
    <w:rsid w:val="00B02349"/>
    <w:rsid w:val="00B05AA8"/>
    <w:rsid w:val="00B21B57"/>
    <w:rsid w:val="00B24562"/>
    <w:rsid w:val="00B3209C"/>
    <w:rsid w:val="00B47254"/>
    <w:rsid w:val="00B47B44"/>
    <w:rsid w:val="00B52A0B"/>
    <w:rsid w:val="00B7571E"/>
    <w:rsid w:val="00B80AAD"/>
    <w:rsid w:val="00B8454E"/>
    <w:rsid w:val="00B85C89"/>
    <w:rsid w:val="00B86741"/>
    <w:rsid w:val="00B92233"/>
    <w:rsid w:val="00BA02D4"/>
    <w:rsid w:val="00BA0F4F"/>
    <w:rsid w:val="00BB2742"/>
    <w:rsid w:val="00BB6D2A"/>
    <w:rsid w:val="00BC0F2E"/>
    <w:rsid w:val="00BC5491"/>
    <w:rsid w:val="00BD08FB"/>
    <w:rsid w:val="00BD37F8"/>
    <w:rsid w:val="00BE14E8"/>
    <w:rsid w:val="00BE5AEA"/>
    <w:rsid w:val="00BF03F8"/>
    <w:rsid w:val="00BF42C5"/>
    <w:rsid w:val="00C000DB"/>
    <w:rsid w:val="00C0373A"/>
    <w:rsid w:val="00C07BBF"/>
    <w:rsid w:val="00C11B84"/>
    <w:rsid w:val="00C1484B"/>
    <w:rsid w:val="00C27C01"/>
    <w:rsid w:val="00C34D2F"/>
    <w:rsid w:val="00C636A3"/>
    <w:rsid w:val="00C67511"/>
    <w:rsid w:val="00C7223F"/>
    <w:rsid w:val="00C73652"/>
    <w:rsid w:val="00C73C40"/>
    <w:rsid w:val="00C814EF"/>
    <w:rsid w:val="00C8742C"/>
    <w:rsid w:val="00C91157"/>
    <w:rsid w:val="00C95629"/>
    <w:rsid w:val="00CB4FC2"/>
    <w:rsid w:val="00CC7E8E"/>
    <w:rsid w:val="00CD1D38"/>
    <w:rsid w:val="00CE124C"/>
    <w:rsid w:val="00CE1D53"/>
    <w:rsid w:val="00CE1FA4"/>
    <w:rsid w:val="00CF61FC"/>
    <w:rsid w:val="00CF63A2"/>
    <w:rsid w:val="00D1740D"/>
    <w:rsid w:val="00D231EC"/>
    <w:rsid w:val="00D532A4"/>
    <w:rsid w:val="00D5398E"/>
    <w:rsid w:val="00D64A12"/>
    <w:rsid w:val="00D65663"/>
    <w:rsid w:val="00D66DDB"/>
    <w:rsid w:val="00D66F8C"/>
    <w:rsid w:val="00D74C45"/>
    <w:rsid w:val="00D829E5"/>
    <w:rsid w:val="00D87975"/>
    <w:rsid w:val="00D9715C"/>
    <w:rsid w:val="00DA0260"/>
    <w:rsid w:val="00DB2201"/>
    <w:rsid w:val="00DB5119"/>
    <w:rsid w:val="00DC1A14"/>
    <w:rsid w:val="00DC6E63"/>
    <w:rsid w:val="00DC753E"/>
    <w:rsid w:val="00DD05D0"/>
    <w:rsid w:val="00DF0324"/>
    <w:rsid w:val="00DF47BB"/>
    <w:rsid w:val="00E0490F"/>
    <w:rsid w:val="00E27BC9"/>
    <w:rsid w:val="00E3061E"/>
    <w:rsid w:val="00E46047"/>
    <w:rsid w:val="00E507DC"/>
    <w:rsid w:val="00E53057"/>
    <w:rsid w:val="00E564DB"/>
    <w:rsid w:val="00E723D2"/>
    <w:rsid w:val="00E72878"/>
    <w:rsid w:val="00E808C0"/>
    <w:rsid w:val="00E81CEF"/>
    <w:rsid w:val="00E966D8"/>
    <w:rsid w:val="00EB1290"/>
    <w:rsid w:val="00EB736D"/>
    <w:rsid w:val="00EC53CA"/>
    <w:rsid w:val="00EC79E2"/>
    <w:rsid w:val="00ED1172"/>
    <w:rsid w:val="00EF10C6"/>
    <w:rsid w:val="00F04D09"/>
    <w:rsid w:val="00F14761"/>
    <w:rsid w:val="00F23D2B"/>
    <w:rsid w:val="00F64AC6"/>
    <w:rsid w:val="00F67562"/>
    <w:rsid w:val="00F73409"/>
    <w:rsid w:val="00F877DF"/>
    <w:rsid w:val="00FA2A83"/>
    <w:rsid w:val="00FA5BBB"/>
    <w:rsid w:val="00FA77CE"/>
    <w:rsid w:val="00FB506E"/>
    <w:rsid w:val="00FC3045"/>
    <w:rsid w:val="00FC6FA5"/>
    <w:rsid w:val="00FD1EB6"/>
    <w:rsid w:val="00FF25B5"/>
    <w:rsid w:val="00FF5A0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A917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818"/>
    <w:pPr>
      <w:spacing w:before="120" w:after="120" w:line="360" w:lineRule="auto"/>
      <w:jc w:val="both"/>
    </w:pPr>
    <w:rPr>
      <w:rFonts w:ascii="Times New Roman" w:eastAsiaTheme="minorEastAsia" w:hAnsi="Times New Roman"/>
      <w:sz w:val="24"/>
      <w:szCs w:val="24"/>
      <w:lang w:val="en-IN" w:eastAsia="en-IN"/>
    </w:rPr>
  </w:style>
  <w:style w:type="paragraph" w:styleId="Heading1">
    <w:name w:val="heading 1"/>
    <w:basedOn w:val="Normal"/>
    <w:next w:val="Normal"/>
    <w:link w:val="Heading1Char"/>
    <w:autoRedefine/>
    <w:uiPriority w:val="9"/>
    <w:qFormat/>
    <w:rsid w:val="005C3CBD"/>
    <w:pPr>
      <w:keepNext/>
      <w:keepLines/>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5C3CBD"/>
    <w:pPr>
      <w:keepNext/>
      <w:keepLines/>
      <w:outlineLvl w:val="1"/>
    </w:pPr>
    <w:rPr>
      <w:rFonts w:eastAsiaTheme="majorEastAsia" w:cstheme="majorBidi"/>
      <w:b/>
      <w:sz w:val="32"/>
      <w:szCs w:val="28"/>
    </w:rPr>
  </w:style>
  <w:style w:type="paragraph" w:styleId="Heading3">
    <w:name w:val="heading 3"/>
    <w:basedOn w:val="Normal"/>
    <w:next w:val="Normal"/>
    <w:link w:val="Heading3Char"/>
    <w:autoRedefine/>
    <w:uiPriority w:val="9"/>
    <w:unhideWhenUsed/>
    <w:qFormat/>
    <w:rsid w:val="005C3CBD"/>
    <w:pPr>
      <w:keepNext/>
      <w:keepLines/>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7A181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181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A18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A18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A181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A181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BD"/>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5C3CBD"/>
    <w:rPr>
      <w:rFonts w:ascii="Times New Roman" w:eastAsiaTheme="majorEastAsia" w:hAnsi="Times New Roman" w:cstheme="majorBidi"/>
      <w:b/>
      <w:sz w:val="32"/>
      <w:szCs w:val="28"/>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5C3CBD"/>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7A1818"/>
    <w:rPr>
      <w:rFonts w:eastAsiaTheme="majorEastAsia" w:cstheme="majorBidi"/>
      <w:i/>
      <w:iCs/>
      <w:color w:val="2F5496" w:themeColor="accent1" w:themeShade="BF"/>
      <w:sz w:val="24"/>
      <w:szCs w:val="24"/>
      <w:lang w:val="en-IN" w:eastAsia="en-IN"/>
    </w:rPr>
  </w:style>
  <w:style w:type="character" w:customStyle="1" w:styleId="Heading5Char">
    <w:name w:val="Heading 5 Char"/>
    <w:basedOn w:val="DefaultParagraphFont"/>
    <w:link w:val="Heading5"/>
    <w:uiPriority w:val="9"/>
    <w:semiHidden/>
    <w:rsid w:val="007A1818"/>
    <w:rPr>
      <w:rFonts w:eastAsiaTheme="majorEastAsia" w:cstheme="majorBidi"/>
      <w:color w:val="2F5496" w:themeColor="accent1" w:themeShade="BF"/>
      <w:sz w:val="24"/>
      <w:szCs w:val="24"/>
      <w:lang w:val="en-IN" w:eastAsia="en-IN"/>
    </w:rPr>
  </w:style>
  <w:style w:type="character" w:customStyle="1" w:styleId="Heading6Char">
    <w:name w:val="Heading 6 Char"/>
    <w:basedOn w:val="DefaultParagraphFont"/>
    <w:link w:val="Heading6"/>
    <w:uiPriority w:val="9"/>
    <w:semiHidden/>
    <w:rsid w:val="007A1818"/>
    <w:rPr>
      <w:rFonts w:eastAsiaTheme="majorEastAsia" w:cstheme="majorBidi"/>
      <w:i/>
      <w:iCs/>
      <w:color w:val="595959" w:themeColor="text1" w:themeTint="A6"/>
      <w:sz w:val="24"/>
      <w:szCs w:val="24"/>
      <w:lang w:val="en-IN" w:eastAsia="en-IN"/>
    </w:rPr>
  </w:style>
  <w:style w:type="character" w:customStyle="1" w:styleId="Heading7Char">
    <w:name w:val="Heading 7 Char"/>
    <w:basedOn w:val="DefaultParagraphFont"/>
    <w:link w:val="Heading7"/>
    <w:uiPriority w:val="9"/>
    <w:semiHidden/>
    <w:rsid w:val="007A1818"/>
    <w:rPr>
      <w:rFonts w:eastAsiaTheme="majorEastAsia" w:cstheme="majorBidi"/>
      <w:color w:val="595959" w:themeColor="text1" w:themeTint="A6"/>
      <w:sz w:val="24"/>
      <w:szCs w:val="24"/>
      <w:lang w:val="en-IN" w:eastAsia="en-IN"/>
    </w:rPr>
  </w:style>
  <w:style w:type="character" w:customStyle="1" w:styleId="Heading8Char">
    <w:name w:val="Heading 8 Char"/>
    <w:basedOn w:val="DefaultParagraphFont"/>
    <w:link w:val="Heading8"/>
    <w:uiPriority w:val="9"/>
    <w:semiHidden/>
    <w:rsid w:val="007A1818"/>
    <w:rPr>
      <w:rFonts w:eastAsiaTheme="majorEastAsia" w:cstheme="majorBidi"/>
      <w:i/>
      <w:iCs/>
      <w:color w:val="272727" w:themeColor="text1" w:themeTint="D8"/>
      <w:sz w:val="24"/>
      <w:szCs w:val="24"/>
      <w:lang w:val="en-IN" w:eastAsia="en-IN"/>
    </w:rPr>
  </w:style>
  <w:style w:type="character" w:customStyle="1" w:styleId="Heading9Char">
    <w:name w:val="Heading 9 Char"/>
    <w:basedOn w:val="DefaultParagraphFont"/>
    <w:link w:val="Heading9"/>
    <w:uiPriority w:val="9"/>
    <w:semiHidden/>
    <w:rsid w:val="007A1818"/>
    <w:rPr>
      <w:rFonts w:eastAsiaTheme="majorEastAsia" w:cstheme="majorBidi"/>
      <w:color w:val="272727" w:themeColor="text1" w:themeTint="D8"/>
      <w:sz w:val="24"/>
      <w:szCs w:val="24"/>
      <w:lang w:val="en-IN" w:eastAsia="en-IN"/>
    </w:rPr>
  </w:style>
  <w:style w:type="paragraph" w:styleId="Subtitle">
    <w:name w:val="Subtitle"/>
    <w:basedOn w:val="Normal"/>
    <w:next w:val="Normal"/>
    <w:link w:val="SubtitleChar"/>
    <w:uiPriority w:val="11"/>
    <w:qFormat/>
    <w:rsid w:val="007A181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818"/>
    <w:rPr>
      <w:rFonts w:eastAsiaTheme="majorEastAsia" w:cstheme="majorBidi"/>
      <w:color w:val="595959" w:themeColor="text1" w:themeTint="A6"/>
      <w:spacing w:val="15"/>
      <w:sz w:val="28"/>
      <w:szCs w:val="28"/>
      <w:lang w:val="en-IN" w:eastAsia="en-IN"/>
    </w:rPr>
  </w:style>
  <w:style w:type="paragraph" w:styleId="Quote">
    <w:name w:val="Quote"/>
    <w:basedOn w:val="Normal"/>
    <w:next w:val="Normal"/>
    <w:link w:val="QuoteChar"/>
    <w:uiPriority w:val="29"/>
    <w:qFormat/>
    <w:rsid w:val="007A18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1818"/>
    <w:rPr>
      <w:rFonts w:ascii="Times New Roman" w:eastAsiaTheme="minorEastAsia" w:hAnsi="Times New Roman"/>
      <w:i/>
      <w:iCs/>
      <w:color w:val="404040" w:themeColor="text1" w:themeTint="BF"/>
      <w:sz w:val="24"/>
      <w:szCs w:val="24"/>
      <w:lang w:val="en-IN" w:eastAsia="en-IN"/>
    </w:rPr>
  </w:style>
  <w:style w:type="paragraph" w:styleId="ListParagraph">
    <w:name w:val="List Paragraph"/>
    <w:basedOn w:val="Normal"/>
    <w:uiPriority w:val="34"/>
    <w:qFormat/>
    <w:rsid w:val="007A1818"/>
    <w:pPr>
      <w:ind w:left="720"/>
      <w:contextualSpacing/>
    </w:pPr>
  </w:style>
  <w:style w:type="character" w:styleId="IntenseEmphasis">
    <w:name w:val="Intense Emphasis"/>
    <w:basedOn w:val="DefaultParagraphFont"/>
    <w:uiPriority w:val="21"/>
    <w:qFormat/>
    <w:rsid w:val="007A1818"/>
    <w:rPr>
      <w:i/>
      <w:iCs/>
      <w:color w:val="2F5496" w:themeColor="accent1" w:themeShade="BF"/>
    </w:rPr>
  </w:style>
  <w:style w:type="paragraph" w:styleId="IntenseQuote">
    <w:name w:val="Intense Quote"/>
    <w:basedOn w:val="Normal"/>
    <w:next w:val="Normal"/>
    <w:link w:val="IntenseQuoteChar"/>
    <w:uiPriority w:val="30"/>
    <w:qFormat/>
    <w:rsid w:val="007A18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1818"/>
    <w:rPr>
      <w:rFonts w:ascii="Times New Roman" w:eastAsiaTheme="minorEastAsia" w:hAnsi="Times New Roman"/>
      <w:i/>
      <w:iCs/>
      <w:color w:val="2F5496" w:themeColor="accent1" w:themeShade="BF"/>
      <w:sz w:val="24"/>
      <w:szCs w:val="24"/>
      <w:lang w:val="en-IN" w:eastAsia="en-IN"/>
    </w:rPr>
  </w:style>
  <w:style w:type="character" w:styleId="IntenseReference">
    <w:name w:val="Intense Reference"/>
    <w:basedOn w:val="DefaultParagraphFont"/>
    <w:uiPriority w:val="32"/>
    <w:qFormat/>
    <w:rsid w:val="007A1818"/>
    <w:rPr>
      <w:b/>
      <w:bCs/>
      <w:smallCaps/>
      <w:color w:val="2F5496" w:themeColor="accent1" w:themeShade="BF"/>
      <w:spacing w:val="5"/>
    </w:rPr>
  </w:style>
  <w:style w:type="paragraph" w:styleId="Header">
    <w:name w:val="header"/>
    <w:basedOn w:val="Normal"/>
    <w:link w:val="HeaderChar"/>
    <w:uiPriority w:val="99"/>
    <w:unhideWhenUsed/>
    <w:rsid w:val="007A181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1818"/>
    <w:rPr>
      <w:rFonts w:ascii="Times New Roman" w:eastAsiaTheme="minorEastAsia" w:hAnsi="Times New Roman"/>
      <w:sz w:val="24"/>
      <w:szCs w:val="24"/>
      <w:lang w:val="en-IN" w:eastAsia="en-IN"/>
    </w:rPr>
  </w:style>
  <w:style w:type="paragraph" w:styleId="Footer">
    <w:name w:val="footer"/>
    <w:basedOn w:val="Normal"/>
    <w:link w:val="FooterChar"/>
    <w:uiPriority w:val="99"/>
    <w:unhideWhenUsed/>
    <w:rsid w:val="007A181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1818"/>
    <w:rPr>
      <w:rFonts w:ascii="Times New Roman" w:eastAsiaTheme="minorEastAsia" w:hAnsi="Times New Roman"/>
      <w:sz w:val="24"/>
      <w:szCs w:val="24"/>
      <w:lang w:val="en-IN" w:eastAsia="en-IN"/>
    </w:rPr>
  </w:style>
  <w:style w:type="table" w:styleId="GridTable4-Accent6">
    <w:name w:val="Grid Table 4 Accent 6"/>
    <w:basedOn w:val="TableNormal"/>
    <w:uiPriority w:val="49"/>
    <w:rsid w:val="00B47B4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54367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987B1C"/>
    <w:pPr>
      <w:spacing w:before="240" w:after="0" w:line="259" w:lineRule="auto"/>
      <w:jc w:val="left"/>
      <w:outlineLvl w:val="9"/>
    </w:pPr>
    <w:rPr>
      <w:rFonts w:asciiTheme="majorHAnsi" w:hAnsiTheme="majorHAnsi"/>
      <w:b w:val="0"/>
      <w:color w:val="2F5496" w:themeColor="accent1" w:themeShade="BF"/>
      <w:kern w:val="0"/>
      <w:sz w:val="32"/>
      <w:lang w:val="en-GB" w:eastAsia="en-GB"/>
      <w14:ligatures w14:val="none"/>
    </w:rPr>
  </w:style>
  <w:style w:type="paragraph" w:styleId="TOC1">
    <w:name w:val="toc 1"/>
    <w:basedOn w:val="Normal"/>
    <w:next w:val="Normal"/>
    <w:autoRedefine/>
    <w:uiPriority w:val="39"/>
    <w:unhideWhenUsed/>
    <w:rsid w:val="00987B1C"/>
    <w:pPr>
      <w:spacing w:after="100"/>
    </w:pPr>
  </w:style>
  <w:style w:type="character" w:styleId="Hyperlink">
    <w:name w:val="Hyperlink"/>
    <w:basedOn w:val="DefaultParagraphFont"/>
    <w:uiPriority w:val="99"/>
    <w:unhideWhenUsed/>
    <w:rsid w:val="00987B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682958">
      <w:bodyDiv w:val="1"/>
      <w:marLeft w:val="0"/>
      <w:marRight w:val="0"/>
      <w:marTop w:val="0"/>
      <w:marBottom w:val="0"/>
      <w:divBdr>
        <w:top w:val="none" w:sz="0" w:space="0" w:color="auto"/>
        <w:left w:val="none" w:sz="0" w:space="0" w:color="auto"/>
        <w:bottom w:val="none" w:sz="0" w:space="0" w:color="auto"/>
        <w:right w:val="none" w:sz="0" w:space="0" w:color="auto"/>
      </w:divBdr>
    </w:div>
    <w:div w:id="735664793">
      <w:bodyDiv w:val="1"/>
      <w:marLeft w:val="0"/>
      <w:marRight w:val="0"/>
      <w:marTop w:val="0"/>
      <w:marBottom w:val="0"/>
      <w:divBdr>
        <w:top w:val="none" w:sz="0" w:space="0" w:color="auto"/>
        <w:left w:val="none" w:sz="0" w:space="0" w:color="auto"/>
        <w:bottom w:val="none" w:sz="0" w:space="0" w:color="auto"/>
        <w:right w:val="none" w:sz="0" w:space="0" w:color="auto"/>
      </w:divBdr>
    </w:div>
    <w:div w:id="1451894243">
      <w:bodyDiv w:val="1"/>
      <w:marLeft w:val="0"/>
      <w:marRight w:val="0"/>
      <w:marTop w:val="0"/>
      <w:marBottom w:val="0"/>
      <w:divBdr>
        <w:top w:val="none" w:sz="0" w:space="0" w:color="auto"/>
        <w:left w:val="none" w:sz="0" w:space="0" w:color="auto"/>
        <w:bottom w:val="none" w:sz="0" w:space="0" w:color="auto"/>
        <w:right w:val="none" w:sz="0" w:space="0" w:color="auto"/>
      </w:divBdr>
    </w:div>
    <w:div w:id="1603024748">
      <w:bodyDiv w:val="1"/>
      <w:marLeft w:val="0"/>
      <w:marRight w:val="0"/>
      <w:marTop w:val="0"/>
      <w:marBottom w:val="0"/>
      <w:divBdr>
        <w:top w:val="none" w:sz="0" w:space="0" w:color="auto"/>
        <w:left w:val="none" w:sz="0" w:space="0" w:color="auto"/>
        <w:bottom w:val="none" w:sz="0" w:space="0" w:color="auto"/>
        <w:right w:val="none" w:sz="0" w:space="0" w:color="auto"/>
      </w:divBdr>
    </w:div>
    <w:div w:id="190698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3224</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2025-06-04T16:38:00Z</dcterms:created>
  <dcterms:modified xsi:type="dcterms:W3CDTF">2025-06-10T20:39:00Z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d99f80b6-8c56-454c-918a-88307917fb04</vt:lpwstr>
  </property>
</Properties>
</file>