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70096" w14:textId="3B4E639E" w:rsidR="001A0CC4" w:rsidRPr="001A0CC4" w:rsidRDefault="001A0CC4" w:rsidP="001A0CC4">
      <w:pPr>
        <w:spacing w:line="240" w:lineRule="auto"/>
        <w:jc w:val="right"/>
        <w:rPr>
          <w:b/>
          <w:bCs/>
          <w:sz w:val="40"/>
          <w:szCs w:val="40"/>
        </w:rPr>
      </w:pPr>
      <w:r w:rsidRPr="001A0CC4">
        <w:rPr>
          <w:rFonts w:ascii="Times New Roman" w:hAnsi="Times New Roman" w:cs="Times New Roman"/>
          <w:noProof/>
          <w:sz w:val="40"/>
          <w:szCs w:val="40"/>
        </w:rPr>
        <w:drawing>
          <wp:anchor distT="36576" distB="36576" distL="36576" distR="36576" simplePos="0" relativeHeight="251659264" behindDoc="0" locked="0" layoutInCell="1" allowOverlap="1" wp14:anchorId="4950782B" wp14:editId="41D3E922">
            <wp:simplePos x="0" y="0"/>
            <wp:positionH relativeFrom="column">
              <wp:posOffset>-685800</wp:posOffset>
            </wp:positionH>
            <wp:positionV relativeFrom="paragraph">
              <wp:posOffset>-144779</wp:posOffset>
            </wp:positionV>
            <wp:extent cx="2895600" cy="84056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43888" cy="854586"/>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1A0CC4">
        <w:rPr>
          <w:b/>
          <w:bCs/>
          <w:sz w:val="40"/>
          <w:szCs w:val="40"/>
        </w:rPr>
        <w:t>Past Peoples, Present Societies</w:t>
      </w:r>
    </w:p>
    <w:p w14:paraId="2A07412A" w14:textId="75081D08" w:rsidR="003A0FF7" w:rsidRDefault="003A0FF7" w:rsidP="003A0FF7">
      <w:pPr>
        <w:widowControl w:val="0"/>
        <w:rPr>
          <w:sz w:val="36"/>
          <w:szCs w:val="36"/>
          <w14:shadow w14:blurRad="38100" w14:dist="19050" w14:dir="2700000" w14:sx="100000" w14:sy="100000" w14:kx="0" w14:ky="0" w14:algn="tl">
            <w14:srgbClr w14:val="000000">
              <w14:alpha w14:val="61000"/>
            </w14:srgbClr>
          </w14:shadow>
          <w14:ligatures w14:val="none"/>
        </w:rPr>
      </w:pPr>
    </w:p>
    <w:p w14:paraId="38D8CD17" w14:textId="7040C1F8" w:rsidR="009E1DE1" w:rsidRPr="009E1DE1" w:rsidRDefault="009E1DE1" w:rsidP="009E1DE1">
      <w:pPr>
        <w:spacing w:line="240" w:lineRule="auto"/>
        <w:jc w:val="center"/>
        <w:rPr>
          <w:b/>
          <w:bCs/>
          <w:color w:val="FF0000"/>
          <w:sz w:val="32"/>
          <w:szCs w:val="32"/>
        </w:rPr>
      </w:pPr>
      <w:r w:rsidRPr="009E1DE1">
        <w:rPr>
          <w:b/>
          <w:bCs/>
          <w:sz w:val="32"/>
          <w:szCs w:val="32"/>
        </w:rPr>
        <w:t xml:space="preserve">Finger-rings of </w:t>
      </w:r>
      <w:proofErr w:type="spellStart"/>
      <w:r w:rsidRPr="009E1DE1">
        <w:rPr>
          <w:b/>
          <w:bCs/>
          <w:sz w:val="32"/>
          <w:szCs w:val="32"/>
        </w:rPr>
        <w:t>Enkomi</w:t>
      </w:r>
      <w:proofErr w:type="spellEnd"/>
      <w:r w:rsidRPr="009E1DE1">
        <w:rPr>
          <w:b/>
          <w:bCs/>
          <w:sz w:val="32"/>
          <w:szCs w:val="32"/>
        </w:rPr>
        <w:t>: an exploration of sensory and cognitive engagement of personal adornments in the Late Cypriot Period</w:t>
      </w:r>
    </w:p>
    <w:p w14:paraId="3D2EBCB8" w14:textId="313E29DD" w:rsidR="003A0FF7" w:rsidRPr="00C9008C" w:rsidRDefault="009E1DE1" w:rsidP="009E1DE1">
      <w:pPr>
        <w:spacing w:line="240" w:lineRule="auto"/>
        <w:jc w:val="center"/>
        <w:rPr>
          <w:b/>
          <w:bCs/>
          <w:color w:val="FF0000"/>
          <w:sz w:val="32"/>
          <w:szCs w:val="32"/>
        </w:rPr>
      </w:pPr>
      <w:r>
        <w:rPr>
          <w:b/>
          <w:bCs/>
          <w:color w:val="FF0000"/>
          <w:sz w:val="32"/>
          <w:szCs w:val="32"/>
        </w:rPr>
        <w:t>15th</w:t>
      </w:r>
      <w:r w:rsidR="00296873">
        <w:rPr>
          <w:b/>
          <w:bCs/>
          <w:color w:val="FF0000"/>
          <w:sz w:val="32"/>
          <w:szCs w:val="32"/>
        </w:rPr>
        <w:t xml:space="preserve"> November</w:t>
      </w:r>
      <w:r w:rsidR="003A0FF7" w:rsidRPr="00C9008C">
        <w:rPr>
          <w:b/>
          <w:bCs/>
          <w:color w:val="FF0000"/>
          <w:sz w:val="32"/>
          <w:szCs w:val="32"/>
        </w:rPr>
        <w:t>, Wednesday, 5pm (GMT) online</w:t>
      </w:r>
    </w:p>
    <w:p w14:paraId="4716D7C8" w14:textId="77777777" w:rsidR="003A0FF7" w:rsidRPr="009E1DE1" w:rsidRDefault="003A0FF7" w:rsidP="003A0FF7">
      <w:pPr>
        <w:pStyle w:val="NormalWeb"/>
        <w:spacing w:before="0" w:beforeAutospacing="0" w:after="0" w:afterAutospacing="0"/>
        <w:jc w:val="center"/>
        <w:rPr>
          <w:rFonts w:asciiTheme="minorHAnsi" w:hAnsiTheme="minorHAnsi" w:cstheme="minorHAnsi"/>
          <w:b/>
          <w:bCs/>
          <w:color w:val="000000"/>
          <w:sz w:val="20"/>
          <w:szCs w:val="20"/>
          <w:bdr w:val="none" w:sz="0" w:space="0" w:color="auto" w:frame="1"/>
        </w:rPr>
      </w:pPr>
    </w:p>
    <w:p w14:paraId="761BCF90" w14:textId="49262F7A" w:rsidR="003A0FF7" w:rsidRPr="001A0CC4" w:rsidRDefault="003A0FF7" w:rsidP="003A0FF7">
      <w:pPr>
        <w:pStyle w:val="NormalWeb"/>
        <w:spacing w:before="0" w:beforeAutospacing="0" w:after="0" w:afterAutospacing="0"/>
        <w:jc w:val="center"/>
        <w:rPr>
          <w:rFonts w:asciiTheme="minorHAnsi" w:hAnsiTheme="minorHAnsi" w:cstheme="minorHAnsi"/>
          <w:b/>
          <w:bCs/>
          <w:color w:val="000000"/>
          <w:sz w:val="28"/>
          <w:szCs w:val="28"/>
          <w:bdr w:val="none" w:sz="0" w:space="0" w:color="auto" w:frame="1"/>
        </w:rPr>
      </w:pPr>
      <w:r w:rsidRPr="001A0CC4">
        <w:rPr>
          <w:rFonts w:asciiTheme="minorHAnsi" w:hAnsiTheme="minorHAnsi" w:cstheme="minorHAnsi"/>
          <w:b/>
          <w:bCs/>
          <w:color w:val="000000"/>
          <w:sz w:val="28"/>
          <w:szCs w:val="28"/>
          <w:bdr w:val="none" w:sz="0" w:space="0" w:color="auto" w:frame="1"/>
        </w:rPr>
        <w:t xml:space="preserve">A talk presented by </w:t>
      </w:r>
      <w:r w:rsidR="009E1DE1">
        <w:rPr>
          <w:rFonts w:asciiTheme="minorHAnsi" w:hAnsiTheme="minorHAnsi" w:cstheme="minorHAnsi"/>
          <w:b/>
          <w:bCs/>
          <w:color w:val="000000"/>
          <w:sz w:val="28"/>
          <w:szCs w:val="28"/>
          <w:bdr w:val="none" w:sz="0" w:space="0" w:color="auto" w:frame="1"/>
        </w:rPr>
        <w:t xml:space="preserve">David Snook, University of Wales Trinity Saint David </w:t>
      </w:r>
    </w:p>
    <w:p w14:paraId="4DC3F546" w14:textId="71A56634" w:rsidR="001A0CC4" w:rsidRDefault="001A0CC4" w:rsidP="003A0FF7">
      <w:pPr>
        <w:pStyle w:val="NormalWeb"/>
        <w:spacing w:before="0" w:beforeAutospacing="0" w:after="0" w:afterAutospacing="0"/>
        <w:jc w:val="center"/>
        <w:rPr>
          <w:rFonts w:asciiTheme="minorHAnsi" w:hAnsiTheme="minorHAnsi" w:cstheme="minorHAnsi"/>
          <w:b/>
          <w:bCs/>
          <w:color w:val="000000"/>
          <w:sz w:val="40"/>
          <w:szCs w:val="40"/>
          <w:bdr w:val="none" w:sz="0" w:space="0" w:color="auto" w:frame="1"/>
        </w:rPr>
      </w:pPr>
    </w:p>
    <w:p w14:paraId="714EC8AE" w14:textId="13B2AAEF" w:rsidR="001A0CC4" w:rsidRDefault="00C53ACA" w:rsidP="003A0FF7">
      <w:pPr>
        <w:pStyle w:val="NormalWeb"/>
        <w:spacing w:before="0" w:beforeAutospacing="0" w:after="0" w:afterAutospacing="0"/>
        <w:jc w:val="center"/>
        <w:rPr>
          <w:rFonts w:asciiTheme="minorHAnsi" w:hAnsiTheme="minorHAnsi" w:cstheme="minorHAnsi"/>
          <w:b/>
          <w:bCs/>
          <w:color w:val="000000"/>
          <w:sz w:val="40"/>
          <w:szCs w:val="40"/>
          <w:bdr w:val="none" w:sz="0" w:space="0" w:color="auto" w:frame="1"/>
        </w:rPr>
      </w:pPr>
      <w:r>
        <w:rPr>
          <w:noProof/>
        </w:rPr>
        <w:drawing>
          <wp:inline distT="0" distB="0" distL="0" distR="0" wp14:anchorId="4E4EA669" wp14:editId="218EED76">
            <wp:extent cx="2773680" cy="1676400"/>
            <wp:effectExtent l="0" t="0" r="7620" b="0"/>
            <wp:docPr id="1452647363" name="Picture 1452647363" descr="finger-ring | British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ger-ring | British Museum"/>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547" t="18032" r="-1" b="21859"/>
                    <a:stretch/>
                  </pic:blipFill>
                  <pic:spPr bwMode="auto">
                    <a:xfrm>
                      <a:off x="0" y="0"/>
                      <a:ext cx="2773680" cy="16764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 xml:space="preserve"> </w:t>
      </w:r>
    </w:p>
    <w:p w14:paraId="6BA6E91D" w14:textId="77777777" w:rsidR="003A0FF7" w:rsidRPr="00296873" w:rsidRDefault="003A0FF7" w:rsidP="003A0FF7">
      <w:pPr>
        <w:pStyle w:val="NormalWeb"/>
        <w:spacing w:before="0" w:beforeAutospacing="0" w:after="0" w:afterAutospacing="0"/>
        <w:jc w:val="center"/>
        <w:rPr>
          <w:rFonts w:asciiTheme="minorHAnsi" w:hAnsiTheme="minorHAnsi" w:cstheme="minorHAnsi"/>
          <w:b/>
          <w:bCs/>
          <w:color w:val="000000"/>
          <w:bdr w:val="none" w:sz="0" w:space="0" w:color="auto" w:frame="1"/>
        </w:rPr>
      </w:pPr>
    </w:p>
    <w:p w14:paraId="6C50A34C" w14:textId="77777777" w:rsidR="00296873" w:rsidRPr="00296873" w:rsidRDefault="003A0FF7" w:rsidP="00296873">
      <w:pPr>
        <w:pStyle w:val="NormalWeb"/>
        <w:spacing w:before="0" w:beforeAutospacing="0" w:after="0" w:afterAutospacing="0"/>
        <w:rPr>
          <w:rFonts w:asciiTheme="minorHAnsi" w:hAnsiTheme="minorHAnsi" w:cstheme="minorHAnsi"/>
          <w:color w:val="000000"/>
          <w:bdr w:val="none" w:sz="0" w:space="0" w:color="auto" w:frame="1"/>
        </w:rPr>
      </w:pPr>
      <w:r w:rsidRPr="00296873">
        <w:rPr>
          <w:rFonts w:asciiTheme="minorHAnsi" w:hAnsiTheme="minorHAnsi" w:cstheme="minorHAnsi"/>
          <w:color w:val="000000"/>
          <w:u w:val="single"/>
          <w:bdr w:val="none" w:sz="0" w:space="0" w:color="auto" w:frame="1"/>
        </w:rPr>
        <w:t>Abstract</w:t>
      </w:r>
      <w:r w:rsidRPr="00296873">
        <w:rPr>
          <w:rFonts w:asciiTheme="minorHAnsi" w:hAnsiTheme="minorHAnsi" w:cstheme="minorHAnsi"/>
          <w:color w:val="000000"/>
          <w:bdr w:val="none" w:sz="0" w:space="0" w:color="auto" w:frame="1"/>
        </w:rPr>
        <w:t xml:space="preserve"> </w:t>
      </w:r>
    </w:p>
    <w:p w14:paraId="4876E5BA" w14:textId="5A63D5D6" w:rsidR="009E1DE1" w:rsidRPr="009E1DE1" w:rsidRDefault="009E1DE1" w:rsidP="009E1DE1">
      <w:pPr>
        <w:spacing w:line="240" w:lineRule="auto"/>
        <w:rPr>
          <w:rFonts w:asciiTheme="minorHAnsi" w:eastAsia="Cambria Math" w:hAnsiTheme="minorHAnsi" w:cstheme="minorHAnsi"/>
          <w:sz w:val="22"/>
          <w:szCs w:val="22"/>
        </w:rPr>
      </w:pPr>
      <w:r w:rsidRPr="009E1DE1">
        <w:rPr>
          <w:rFonts w:asciiTheme="minorHAnsi" w:eastAsia="Cambria Math" w:hAnsiTheme="minorHAnsi" w:cstheme="minorHAnsi"/>
          <w:sz w:val="22"/>
          <w:szCs w:val="22"/>
        </w:rPr>
        <w:t>This paper explores the liminality and intersectionality between the material world of the elite in Late Cypriot period, the bodily experience and expression of their culture, society, cosmology, and identity in the context of the LBA globalised system. Cyprus during the LCI-II-III underwent a period of material, cultural and economic transformation, particularly of the elites, deriving their wealth, primarily, from the production of copper, agriculture, and trade internally and with extensive links to the surrounding societies throughout the Mediterranean and the Levant.</w:t>
      </w:r>
    </w:p>
    <w:p w14:paraId="1457FD85" w14:textId="0F64D556" w:rsidR="009E1DE1" w:rsidRPr="009E1DE1" w:rsidRDefault="009E1DE1" w:rsidP="009E1DE1">
      <w:pPr>
        <w:spacing w:line="240" w:lineRule="auto"/>
        <w:rPr>
          <w:rFonts w:asciiTheme="minorHAnsi" w:eastAsia="Cambria Math" w:hAnsiTheme="minorHAnsi" w:cstheme="minorHAnsi"/>
          <w:color w:val="FF0000"/>
          <w:sz w:val="22"/>
          <w:szCs w:val="22"/>
        </w:rPr>
      </w:pPr>
      <w:r w:rsidRPr="009E1DE1">
        <w:rPr>
          <w:rFonts w:asciiTheme="minorHAnsi" w:eastAsia="Cambria Math" w:hAnsiTheme="minorHAnsi" w:cstheme="minorHAnsi"/>
          <w:sz w:val="22"/>
          <w:szCs w:val="22"/>
        </w:rPr>
        <w:t xml:space="preserve">The engagement with long-distance trade/exchange of exotic good and commodities such as Finger-rings is best evidenced at the Tombs of </w:t>
      </w:r>
      <w:proofErr w:type="spellStart"/>
      <w:r w:rsidRPr="009E1DE1">
        <w:rPr>
          <w:rFonts w:asciiTheme="minorHAnsi" w:eastAsia="Cambria Math" w:hAnsiTheme="minorHAnsi" w:cstheme="minorHAnsi"/>
          <w:sz w:val="22"/>
          <w:szCs w:val="22"/>
        </w:rPr>
        <w:t>Enkomi</w:t>
      </w:r>
      <w:proofErr w:type="spellEnd"/>
      <w:r w:rsidRPr="009E1DE1">
        <w:rPr>
          <w:rFonts w:asciiTheme="minorHAnsi" w:eastAsia="Cambria Math" w:hAnsiTheme="minorHAnsi" w:cstheme="minorHAnsi"/>
          <w:sz w:val="22"/>
          <w:szCs w:val="22"/>
        </w:rPr>
        <w:t xml:space="preserve">. A large proportion of these goods represents a snapshot of the material and cultural lifecycle of the elites who lived and engaged in this transformative and complex period.  The material focus of this paper will touch on the funerary assemblages from </w:t>
      </w:r>
      <w:proofErr w:type="spellStart"/>
      <w:r w:rsidRPr="009E1DE1">
        <w:rPr>
          <w:rFonts w:asciiTheme="minorHAnsi" w:eastAsia="Cambria Math" w:hAnsiTheme="minorHAnsi" w:cstheme="minorHAnsi"/>
          <w:sz w:val="22"/>
          <w:szCs w:val="22"/>
        </w:rPr>
        <w:t>Enkomi</w:t>
      </w:r>
      <w:proofErr w:type="spellEnd"/>
      <w:r w:rsidRPr="009E1DE1">
        <w:rPr>
          <w:rFonts w:asciiTheme="minorHAnsi" w:eastAsia="Cambria Math" w:hAnsiTheme="minorHAnsi" w:cstheme="minorHAnsi"/>
          <w:sz w:val="22"/>
          <w:szCs w:val="22"/>
        </w:rPr>
        <w:t xml:space="preserve">.  </w:t>
      </w:r>
    </w:p>
    <w:p w14:paraId="0EA58ED7" w14:textId="77777777" w:rsidR="009E1DE1" w:rsidRPr="009E1DE1" w:rsidRDefault="009E1DE1" w:rsidP="009E1DE1">
      <w:pPr>
        <w:spacing w:line="240" w:lineRule="auto"/>
        <w:rPr>
          <w:rFonts w:asciiTheme="minorHAnsi" w:eastAsia="Cambria Math" w:hAnsiTheme="minorHAnsi" w:cstheme="minorHAnsi"/>
          <w:sz w:val="22"/>
          <w:szCs w:val="22"/>
        </w:rPr>
      </w:pPr>
      <w:proofErr w:type="spellStart"/>
      <w:r w:rsidRPr="009E1DE1">
        <w:rPr>
          <w:rFonts w:asciiTheme="minorHAnsi" w:eastAsia="Cambria Math" w:hAnsiTheme="minorHAnsi" w:cstheme="minorHAnsi"/>
          <w:sz w:val="22"/>
          <w:szCs w:val="22"/>
        </w:rPr>
        <w:t>Enkomi</w:t>
      </w:r>
      <w:proofErr w:type="spellEnd"/>
      <w:r w:rsidRPr="009E1DE1">
        <w:rPr>
          <w:rFonts w:asciiTheme="minorHAnsi" w:eastAsia="Cambria Math" w:hAnsiTheme="minorHAnsi" w:cstheme="minorHAnsi"/>
          <w:sz w:val="22"/>
          <w:szCs w:val="22"/>
        </w:rPr>
        <w:t>, was a planned city with a vibrant cultural and economic life. The perceptible desire for precious metals such as gold and silver, in the form of personal adornment are considered through Turner’s (1980) theory of the symbolic communication through the body which acts as a physical canvass and a medium between the mental and physical world through haptic and cognitive engagement. It considers whether this symbolic communication was the cultural and cosmological glue, where power structures were contested, and perpetuated and a link formulated that enabled the network of individuals within the cultural unit, to act as an agent of change. These ideas are referred to as the Second Skin and Human-Material Entanglement theory.</w:t>
      </w:r>
    </w:p>
    <w:p w14:paraId="19F715EE" w14:textId="371109A7" w:rsidR="003A0FF7" w:rsidRDefault="003A0FF7" w:rsidP="003A0FF7">
      <w:pPr>
        <w:pStyle w:val="NormalWeb"/>
        <w:spacing w:before="0" w:beforeAutospacing="0" w:after="0" w:afterAutospacing="0"/>
        <w:rPr>
          <w:rFonts w:asciiTheme="minorHAnsi" w:hAnsiTheme="minorHAnsi" w:cstheme="minorHAnsi"/>
          <w:color w:val="000000"/>
          <w:bdr w:val="none" w:sz="0" w:space="0" w:color="auto" w:frame="1"/>
        </w:rPr>
      </w:pPr>
    </w:p>
    <w:p w14:paraId="455DCEB4" w14:textId="0C9FA06A" w:rsidR="001A0CC4" w:rsidRPr="00643793" w:rsidRDefault="003A0FF7" w:rsidP="00DC7DB2">
      <w:pPr>
        <w:pStyle w:val="NormalWeb"/>
        <w:spacing w:before="0" w:beforeAutospacing="0" w:after="0" w:afterAutospacing="0"/>
        <w:jc w:val="center"/>
        <w:rPr>
          <w:rFonts w:asciiTheme="minorHAnsi" w:hAnsiTheme="minorHAnsi" w:cstheme="minorHAnsi"/>
          <w:b/>
          <w:bCs/>
          <w:color w:val="FF0000"/>
          <w:bdr w:val="none" w:sz="0" w:space="0" w:color="auto" w:frame="1"/>
        </w:rPr>
      </w:pPr>
      <w:r w:rsidRPr="001A0CC4">
        <w:rPr>
          <w:rFonts w:asciiTheme="minorHAnsi" w:hAnsiTheme="minorHAnsi" w:cstheme="minorHAnsi"/>
          <w:b/>
          <w:bCs/>
          <w:color w:val="FF0000"/>
          <w:bdr w:val="none" w:sz="0" w:space="0" w:color="auto" w:frame="1"/>
        </w:rPr>
        <w:t>Tickets</w:t>
      </w:r>
      <w:r w:rsidR="00DC7DB2">
        <w:rPr>
          <w:rFonts w:asciiTheme="minorHAnsi" w:hAnsiTheme="minorHAnsi" w:cstheme="minorHAnsi"/>
          <w:b/>
          <w:bCs/>
          <w:color w:val="FF0000"/>
          <w:bdr w:val="none" w:sz="0" w:space="0" w:color="auto" w:frame="1"/>
        </w:rPr>
        <w:t xml:space="preserve"> and links</w:t>
      </w:r>
      <w:r w:rsidRPr="001A0CC4">
        <w:rPr>
          <w:rFonts w:asciiTheme="minorHAnsi" w:hAnsiTheme="minorHAnsi" w:cstheme="minorHAnsi"/>
          <w:b/>
          <w:bCs/>
          <w:color w:val="FF0000"/>
          <w:bdr w:val="none" w:sz="0" w:space="0" w:color="auto" w:frame="1"/>
        </w:rPr>
        <w:t xml:space="preserve"> available on </w:t>
      </w:r>
      <w:r w:rsidRPr="00DC7DB2">
        <w:rPr>
          <w:rFonts w:asciiTheme="minorHAnsi" w:hAnsiTheme="minorHAnsi" w:cstheme="minorHAnsi"/>
          <w:b/>
          <w:bCs/>
          <w:color w:val="FF0000"/>
          <w:sz w:val="28"/>
          <w:szCs w:val="28"/>
          <w:bdr w:val="none" w:sz="0" w:space="0" w:color="auto" w:frame="1"/>
        </w:rPr>
        <w:t>Eventbrite</w:t>
      </w:r>
      <w:r w:rsidR="001A0CC4" w:rsidRPr="00DC7DB2">
        <w:rPr>
          <w:rFonts w:asciiTheme="minorHAnsi" w:hAnsiTheme="minorHAnsi" w:cstheme="minorHAnsi"/>
          <w:b/>
          <w:bCs/>
          <w:color w:val="FF0000"/>
          <w:sz w:val="28"/>
          <w:szCs w:val="28"/>
          <w:bdr w:val="none" w:sz="0" w:space="0" w:color="auto" w:frame="1"/>
        </w:rPr>
        <w:t xml:space="preserve"> (Past Peoples, Present Societies)</w:t>
      </w:r>
      <w:r w:rsidR="001A0CC4" w:rsidRPr="001A0CC4">
        <w:rPr>
          <w:rFonts w:asciiTheme="minorHAnsi" w:hAnsiTheme="minorHAnsi" w:cstheme="minorHAnsi"/>
          <w:b/>
          <w:bCs/>
          <w:color w:val="FF0000"/>
          <w:bdr w:val="none" w:sz="0" w:space="0" w:color="auto" w:frame="1"/>
        </w:rPr>
        <w:t xml:space="preserve"> </w:t>
      </w:r>
      <w:r w:rsidRPr="001A0CC4">
        <w:rPr>
          <w:rFonts w:asciiTheme="minorHAnsi" w:hAnsiTheme="minorHAnsi" w:cstheme="minorHAnsi"/>
          <w:b/>
          <w:bCs/>
          <w:color w:val="FF0000"/>
          <w:bdr w:val="none" w:sz="0" w:space="0" w:color="auto" w:frame="1"/>
        </w:rPr>
        <w:t xml:space="preserve"> </w:t>
      </w:r>
      <w:r w:rsidR="00DC7DB2">
        <w:rPr>
          <w:rFonts w:asciiTheme="minorHAnsi" w:hAnsiTheme="minorHAnsi" w:cstheme="minorHAnsi"/>
          <w:b/>
          <w:bCs/>
          <w:color w:val="FF0000"/>
          <w:bdr w:val="none" w:sz="0" w:space="0" w:color="auto" w:frame="1"/>
        </w:rPr>
        <w:t xml:space="preserve">or </w:t>
      </w:r>
      <w:r w:rsidRPr="001A0CC4">
        <w:rPr>
          <w:rFonts w:asciiTheme="minorHAnsi" w:hAnsiTheme="minorHAnsi" w:cstheme="minorHAnsi"/>
          <w:b/>
          <w:bCs/>
          <w:color w:val="FF0000"/>
          <w:bdr w:val="none" w:sz="0" w:space="0" w:color="auto" w:frame="1"/>
        </w:rPr>
        <w:t>through</w:t>
      </w:r>
      <w:r w:rsidR="001A0CC4" w:rsidRPr="001A0CC4">
        <w:rPr>
          <w:rFonts w:asciiTheme="minorHAnsi" w:hAnsiTheme="minorHAnsi" w:cstheme="minorHAnsi"/>
          <w:b/>
          <w:bCs/>
          <w:color w:val="FF0000"/>
          <w:bdr w:val="none" w:sz="0" w:space="0" w:color="auto" w:frame="1"/>
        </w:rPr>
        <w:t xml:space="preserve"> email to</w:t>
      </w:r>
      <w:r w:rsidR="00DC7DB2">
        <w:rPr>
          <w:rFonts w:asciiTheme="minorHAnsi" w:hAnsiTheme="minorHAnsi" w:cstheme="minorHAnsi"/>
          <w:b/>
          <w:bCs/>
          <w:color w:val="FF0000"/>
          <w:bdr w:val="none" w:sz="0" w:space="0" w:color="auto" w:frame="1"/>
        </w:rPr>
        <w:t xml:space="preserve"> </w:t>
      </w:r>
      <w:hyperlink r:id="rId6" w:history="1">
        <w:r w:rsidR="00643793" w:rsidRPr="00A04E1D">
          <w:rPr>
            <w:rStyle w:val="Hyperlink"/>
            <w:rFonts w:asciiTheme="minorHAnsi" w:hAnsiTheme="minorHAnsi" w:cstheme="minorHAnsi"/>
            <w:b/>
            <w:bCs/>
            <w:sz w:val="28"/>
            <w:szCs w:val="28"/>
            <w:bdr w:val="none" w:sz="0" w:space="0" w:color="auto" w:frame="1"/>
          </w:rPr>
          <w:t>1811607@student.uwtsd.ac.uk</w:t>
        </w:r>
      </w:hyperlink>
      <w:r w:rsidR="00643793">
        <w:rPr>
          <w:rFonts w:asciiTheme="minorHAnsi" w:hAnsiTheme="minorHAnsi" w:cstheme="minorHAnsi"/>
          <w:b/>
          <w:bCs/>
          <w:color w:val="FF0000"/>
          <w:sz w:val="28"/>
          <w:szCs w:val="28"/>
          <w:bdr w:val="none" w:sz="0" w:space="0" w:color="auto" w:frame="1"/>
        </w:rPr>
        <w:t xml:space="preserve"> </w:t>
      </w:r>
      <w:r w:rsidR="00643793" w:rsidRPr="00643793">
        <w:rPr>
          <w:rFonts w:asciiTheme="minorHAnsi" w:hAnsiTheme="minorHAnsi" w:cstheme="minorHAnsi"/>
          <w:b/>
          <w:bCs/>
          <w:color w:val="FF0000"/>
          <w:bdr w:val="none" w:sz="0" w:space="0" w:color="auto" w:frame="1"/>
        </w:rPr>
        <w:t xml:space="preserve">(Please use </w:t>
      </w:r>
      <w:r w:rsidR="00643793">
        <w:rPr>
          <w:rFonts w:asciiTheme="minorHAnsi" w:hAnsiTheme="minorHAnsi" w:cstheme="minorHAnsi"/>
          <w:b/>
          <w:bCs/>
          <w:color w:val="FF0000"/>
          <w:bdr w:val="none" w:sz="0" w:space="0" w:color="auto" w:frame="1"/>
        </w:rPr>
        <w:t>S</w:t>
      </w:r>
      <w:r w:rsidR="00643793" w:rsidRPr="00643793">
        <w:rPr>
          <w:rFonts w:asciiTheme="minorHAnsi" w:hAnsiTheme="minorHAnsi" w:cstheme="minorHAnsi"/>
          <w:b/>
          <w:bCs/>
          <w:color w:val="FF0000"/>
          <w:bdr w:val="none" w:sz="0" w:space="0" w:color="auto" w:frame="1"/>
        </w:rPr>
        <w:t>ubject: TICKETS PPPS)</w:t>
      </w:r>
    </w:p>
    <w:sectPr w:rsidR="001A0CC4" w:rsidRPr="006437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FF7"/>
    <w:rsid w:val="001A0CC4"/>
    <w:rsid w:val="00296873"/>
    <w:rsid w:val="003A0FF7"/>
    <w:rsid w:val="00643793"/>
    <w:rsid w:val="009E1DE1"/>
    <w:rsid w:val="00BB77E9"/>
    <w:rsid w:val="00C53ACA"/>
    <w:rsid w:val="00C9008C"/>
    <w:rsid w:val="00CC4873"/>
    <w:rsid w:val="00DB7459"/>
    <w:rsid w:val="00DC7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A355D"/>
  <w15:chartTrackingRefBased/>
  <w15:docId w15:val="{32C58113-8B9D-4C32-8175-8495C1AA6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FF7"/>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FF7"/>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character" w:styleId="Hyperlink">
    <w:name w:val="Hyperlink"/>
    <w:basedOn w:val="DefaultParagraphFont"/>
    <w:uiPriority w:val="99"/>
    <w:unhideWhenUsed/>
    <w:rsid w:val="00643793"/>
    <w:rPr>
      <w:color w:val="0563C1" w:themeColor="hyperlink"/>
      <w:u w:val="single"/>
    </w:rPr>
  </w:style>
  <w:style w:type="character" w:styleId="UnresolvedMention">
    <w:name w:val="Unresolved Mention"/>
    <w:basedOn w:val="DefaultParagraphFont"/>
    <w:uiPriority w:val="99"/>
    <w:semiHidden/>
    <w:unhideWhenUsed/>
    <w:rsid w:val="006437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717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811607@student.uwtsd.ac.uk" TargetMode="Externa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321</Words>
  <Characters>1840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Graham (1704698)</dc:creator>
  <cp:keywords/>
  <dc:description/>
  <cp:lastModifiedBy>Cathy Graham</cp:lastModifiedBy>
  <cp:revision>3</cp:revision>
  <dcterms:created xsi:type="dcterms:W3CDTF">2023-10-26T09:36:00Z</dcterms:created>
  <dcterms:modified xsi:type="dcterms:W3CDTF">2023-10-26T09:43:00Z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157aa404-9302-49c3-8fab-61e7934856f9</vt:lpwstr>
  </property>
</Properties>
</file>