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0EA93" w14:textId="77777777" w:rsidR="008837FE" w:rsidRPr="0048389D" w:rsidRDefault="008837FE" w:rsidP="008837FE">
      <w:pPr>
        <w:rPr>
          <w:b/>
          <w:bCs/>
        </w:rPr>
      </w:pPr>
      <w:bookmarkStart w:id="0" w:name="_Hlk216557515"/>
      <w:bookmarkEnd w:id="0"/>
      <w:r w:rsidRPr="0048389D">
        <w:rPr>
          <w:noProof/>
        </w:rPr>
        <w:drawing>
          <wp:inline distT="0" distB="0" distL="0" distR="0" wp14:anchorId="102E4BCD" wp14:editId="5B1EBB22">
            <wp:extent cx="2273300" cy="914400"/>
            <wp:effectExtent l="0" t="0" r="0" b="0"/>
            <wp:docPr id="1426454011"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4" descr="UWTSD logo with na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7241" cy="915985"/>
                    </a:xfrm>
                    <a:prstGeom prst="rect">
                      <a:avLst/>
                    </a:prstGeom>
                    <a:noFill/>
                    <a:ln>
                      <a:noFill/>
                    </a:ln>
                  </pic:spPr>
                </pic:pic>
              </a:graphicData>
            </a:graphic>
          </wp:inline>
        </w:drawing>
      </w:r>
    </w:p>
    <w:p w14:paraId="3703DB13" w14:textId="77777777" w:rsidR="008837FE" w:rsidRPr="0048389D" w:rsidRDefault="008837FE" w:rsidP="008837FE">
      <w:pPr>
        <w:rPr>
          <w:b/>
          <w:bCs/>
        </w:rPr>
      </w:pPr>
    </w:p>
    <w:p w14:paraId="29F8414B" w14:textId="77777777" w:rsidR="008837FE" w:rsidRPr="0048389D" w:rsidRDefault="008837FE" w:rsidP="008837FE">
      <w:pPr>
        <w:rPr>
          <w:b/>
          <w:bCs/>
        </w:rPr>
      </w:pPr>
    </w:p>
    <w:p w14:paraId="33EDA879" w14:textId="77777777" w:rsidR="008837FE" w:rsidRPr="0048389D" w:rsidRDefault="008837FE" w:rsidP="008837FE">
      <w:pPr>
        <w:rPr>
          <w:b/>
          <w:bCs/>
        </w:rPr>
      </w:pPr>
    </w:p>
    <w:p w14:paraId="3F64F5B6" w14:textId="77777777" w:rsidR="008837FE" w:rsidRDefault="008837FE" w:rsidP="008837FE">
      <w:pPr>
        <w:jc w:val="center"/>
        <w:rPr>
          <w:sz w:val="44"/>
          <w:szCs w:val="44"/>
        </w:rPr>
      </w:pPr>
    </w:p>
    <w:p w14:paraId="1F331319" w14:textId="77777777" w:rsidR="008837FE" w:rsidRPr="0048389D" w:rsidRDefault="008837FE" w:rsidP="008837FE">
      <w:pPr>
        <w:jc w:val="center"/>
        <w:rPr>
          <w:sz w:val="44"/>
          <w:szCs w:val="44"/>
        </w:rPr>
      </w:pPr>
      <w:r>
        <w:rPr>
          <w:sz w:val="44"/>
          <w:szCs w:val="44"/>
        </w:rPr>
        <w:t>M</w:t>
      </w:r>
      <w:r w:rsidRPr="0048389D">
        <w:rPr>
          <w:sz w:val="44"/>
          <w:szCs w:val="44"/>
        </w:rPr>
        <w:t xml:space="preserve">BA </w:t>
      </w:r>
      <w:r>
        <w:rPr>
          <w:sz w:val="44"/>
          <w:szCs w:val="44"/>
        </w:rPr>
        <w:t xml:space="preserve">INTERNATIONAL </w:t>
      </w:r>
      <w:r w:rsidRPr="0048389D">
        <w:rPr>
          <w:sz w:val="44"/>
          <w:szCs w:val="44"/>
        </w:rPr>
        <w:t>BUSINESS</w:t>
      </w:r>
    </w:p>
    <w:p w14:paraId="0570609B" w14:textId="564292CB" w:rsidR="008837FE" w:rsidRDefault="007F1B5D" w:rsidP="008837FE">
      <w:pPr>
        <w:jc w:val="center"/>
        <w:rPr>
          <w:sz w:val="44"/>
          <w:szCs w:val="44"/>
        </w:rPr>
      </w:pPr>
      <w:bookmarkStart w:id="1" w:name="_heading=h.30j0zll"/>
      <w:bookmarkEnd w:id="1"/>
      <w:r>
        <w:rPr>
          <w:sz w:val="44"/>
          <w:szCs w:val="44"/>
        </w:rPr>
        <w:t>Financial</w:t>
      </w:r>
      <w:r w:rsidR="008837FE">
        <w:rPr>
          <w:sz w:val="44"/>
          <w:szCs w:val="44"/>
        </w:rPr>
        <w:t xml:space="preserve"> Management</w:t>
      </w:r>
    </w:p>
    <w:p w14:paraId="4336C877" w14:textId="77777777" w:rsidR="008837FE" w:rsidRDefault="008837FE" w:rsidP="008837FE">
      <w:pPr>
        <w:jc w:val="center"/>
        <w:rPr>
          <w:sz w:val="44"/>
          <w:szCs w:val="44"/>
        </w:rPr>
      </w:pPr>
    </w:p>
    <w:p w14:paraId="30F63672" w14:textId="77777777" w:rsidR="0061666A" w:rsidRDefault="0061666A" w:rsidP="008837FE">
      <w:pPr>
        <w:jc w:val="center"/>
        <w:rPr>
          <w:sz w:val="44"/>
          <w:szCs w:val="44"/>
        </w:rPr>
      </w:pPr>
    </w:p>
    <w:p w14:paraId="66349894" w14:textId="77777777" w:rsidR="0061666A" w:rsidRDefault="0061666A" w:rsidP="008837FE">
      <w:pPr>
        <w:jc w:val="center"/>
        <w:rPr>
          <w:sz w:val="44"/>
          <w:szCs w:val="44"/>
        </w:rPr>
      </w:pPr>
    </w:p>
    <w:p w14:paraId="3936C978" w14:textId="36398691" w:rsidR="007F1B5D" w:rsidRPr="0061666A" w:rsidRDefault="007F1B5D" w:rsidP="000F5EB8">
      <w:pPr>
        <w:jc w:val="center"/>
        <w:rPr>
          <w:sz w:val="28"/>
          <w:szCs w:val="28"/>
        </w:rPr>
      </w:pPr>
      <w:r w:rsidRPr="0061666A">
        <w:rPr>
          <w:sz w:val="28"/>
          <w:szCs w:val="28"/>
        </w:rPr>
        <w:t xml:space="preserve">Strategic CFO </w:t>
      </w:r>
      <w:r w:rsidR="007747CF" w:rsidRPr="0061666A">
        <w:rPr>
          <w:sz w:val="28"/>
          <w:szCs w:val="28"/>
        </w:rPr>
        <w:t>c</w:t>
      </w:r>
      <w:r w:rsidRPr="0061666A">
        <w:rPr>
          <w:sz w:val="28"/>
          <w:szCs w:val="28"/>
        </w:rPr>
        <w:t xml:space="preserve">hallenge: Saving a </w:t>
      </w:r>
      <w:r w:rsidR="007747CF" w:rsidRPr="0061666A">
        <w:rPr>
          <w:sz w:val="28"/>
          <w:szCs w:val="28"/>
        </w:rPr>
        <w:t>f</w:t>
      </w:r>
      <w:r w:rsidRPr="0061666A">
        <w:rPr>
          <w:sz w:val="28"/>
          <w:szCs w:val="28"/>
        </w:rPr>
        <w:t xml:space="preserve">ailing </w:t>
      </w:r>
      <w:r w:rsidR="007747CF" w:rsidRPr="0061666A">
        <w:rPr>
          <w:sz w:val="28"/>
          <w:szCs w:val="28"/>
        </w:rPr>
        <w:t>g</w:t>
      </w:r>
      <w:r w:rsidRPr="0061666A">
        <w:rPr>
          <w:sz w:val="28"/>
          <w:szCs w:val="28"/>
        </w:rPr>
        <w:t xml:space="preserve">lobal </w:t>
      </w:r>
      <w:r w:rsidR="007747CF" w:rsidRPr="0061666A">
        <w:rPr>
          <w:sz w:val="28"/>
          <w:szCs w:val="28"/>
        </w:rPr>
        <w:t>f</w:t>
      </w:r>
      <w:r w:rsidRPr="0061666A">
        <w:rPr>
          <w:sz w:val="28"/>
          <w:szCs w:val="28"/>
        </w:rPr>
        <w:t>irm</w:t>
      </w:r>
    </w:p>
    <w:p w14:paraId="146B6D43" w14:textId="32692260" w:rsidR="000F5EB8" w:rsidRPr="0061666A" w:rsidRDefault="000F5EB8" w:rsidP="000F5EB8">
      <w:pPr>
        <w:jc w:val="center"/>
        <w:rPr>
          <w:sz w:val="28"/>
          <w:szCs w:val="28"/>
        </w:rPr>
      </w:pPr>
      <w:r w:rsidRPr="0061666A">
        <w:rPr>
          <w:sz w:val="28"/>
          <w:szCs w:val="28"/>
        </w:rPr>
        <w:t xml:space="preserve">An </w:t>
      </w:r>
      <w:r w:rsidR="007747CF" w:rsidRPr="0061666A">
        <w:rPr>
          <w:sz w:val="28"/>
          <w:szCs w:val="28"/>
        </w:rPr>
        <w:t>a</w:t>
      </w:r>
      <w:r w:rsidRPr="0061666A">
        <w:rPr>
          <w:sz w:val="28"/>
          <w:szCs w:val="28"/>
        </w:rPr>
        <w:t xml:space="preserve">nalysis of </w:t>
      </w:r>
      <w:r w:rsidR="0061666A" w:rsidRPr="0061666A">
        <w:rPr>
          <w:sz w:val="28"/>
          <w:szCs w:val="28"/>
        </w:rPr>
        <w:t>f</w:t>
      </w:r>
      <w:r w:rsidRPr="0061666A">
        <w:rPr>
          <w:sz w:val="28"/>
          <w:szCs w:val="28"/>
        </w:rPr>
        <w:t xml:space="preserve">inancial </w:t>
      </w:r>
      <w:r w:rsidR="0061666A" w:rsidRPr="0061666A">
        <w:rPr>
          <w:sz w:val="28"/>
          <w:szCs w:val="28"/>
        </w:rPr>
        <w:t>p</w:t>
      </w:r>
      <w:r w:rsidRPr="0061666A">
        <w:rPr>
          <w:sz w:val="28"/>
          <w:szCs w:val="28"/>
        </w:rPr>
        <w:t xml:space="preserve">erformance and </w:t>
      </w:r>
      <w:r w:rsidR="0061666A" w:rsidRPr="0061666A">
        <w:rPr>
          <w:sz w:val="28"/>
          <w:szCs w:val="28"/>
        </w:rPr>
        <w:t>m</w:t>
      </w:r>
      <w:r w:rsidRPr="0061666A">
        <w:rPr>
          <w:sz w:val="28"/>
          <w:szCs w:val="28"/>
        </w:rPr>
        <w:t>anagement at General Electronics</w:t>
      </w:r>
    </w:p>
    <w:p w14:paraId="15850A22" w14:textId="77777777" w:rsidR="008837FE" w:rsidRDefault="008837FE" w:rsidP="008837FE">
      <w:pPr>
        <w:jc w:val="center"/>
        <w:rPr>
          <w:sz w:val="44"/>
          <w:szCs w:val="44"/>
        </w:rPr>
      </w:pPr>
    </w:p>
    <w:p w14:paraId="2BE273AC" w14:textId="77777777" w:rsidR="008837FE" w:rsidRDefault="008837FE" w:rsidP="008837FE">
      <w:pPr>
        <w:spacing w:line="480" w:lineRule="auto"/>
        <w:jc w:val="center"/>
      </w:pPr>
    </w:p>
    <w:p w14:paraId="297C659A" w14:textId="77777777" w:rsidR="008837FE" w:rsidRPr="0048389D" w:rsidRDefault="008837FE" w:rsidP="008837FE"/>
    <w:p w14:paraId="24528FCD" w14:textId="77777777" w:rsidR="008837FE" w:rsidRPr="0048389D" w:rsidRDefault="008837FE" w:rsidP="008837FE"/>
    <w:p w14:paraId="0E63708F" w14:textId="5789A76A" w:rsidR="008837FE" w:rsidRDefault="008837FE" w:rsidP="008837FE">
      <w:pPr>
        <w:rPr>
          <w:iCs/>
        </w:rPr>
      </w:pPr>
      <w:r w:rsidRPr="0048389D">
        <w:rPr>
          <w:i/>
        </w:rPr>
        <w:t>Lect</w:t>
      </w:r>
      <w:r>
        <w:rPr>
          <w:i/>
        </w:rPr>
        <w:t>ure</w:t>
      </w:r>
      <w:r w:rsidRPr="0048389D">
        <w:rPr>
          <w:i/>
        </w:rPr>
        <w:t xml:space="preserve">r: </w:t>
      </w:r>
      <w:r w:rsidRPr="0048389D">
        <w:rPr>
          <w:iCs/>
        </w:rPr>
        <w:t xml:space="preserve">Dr. </w:t>
      </w:r>
      <w:r w:rsidR="00A83917">
        <w:rPr>
          <w:iCs/>
        </w:rPr>
        <w:t>Shengfeng Mei</w:t>
      </w:r>
    </w:p>
    <w:p w14:paraId="17E1E38F" w14:textId="01C0FF11" w:rsidR="008837FE" w:rsidRPr="0048389D" w:rsidRDefault="008837FE" w:rsidP="008837FE">
      <w:pPr>
        <w:rPr>
          <w:i/>
        </w:rPr>
      </w:pPr>
      <w:r>
        <w:rPr>
          <w:i/>
        </w:rPr>
        <w:t>Module</w:t>
      </w:r>
      <w:r w:rsidRPr="0048389D">
        <w:rPr>
          <w:i/>
        </w:rPr>
        <w:t xml:space="preserve"> code: </w:t>
      </w:r>
      <w:r w:rsidRPr="0048389D">
        <w:rPr>
          <w:iCs/>
        </w:rPr>
        <w:t>LC</w:t>
      </w:r>
      <w:r>
        <w:rPr>
          <w:iCs/>
        </w:rPr>
        <w:t>MB70</w:t>
      </w:r>
      <w:r w:rsidR="007747CF">
        <w:rPr>
          <w:iCs/>
        </w:rPr>
        <w:t>02</w:t>
      </w:r>
    </w:p>
    <w:p w14:paraId="4FE3B4F9" w14:textId="77777777" w:rsidR="008837FE" w:rsidRPr="0048389D" w:rsidRDefault="008837FE" w:rsidP="008837FE">
      <w:pPr>
        <w:rPr>
          <w:iCs/>
        </w:rPr>
      </w:pPr>
      <w:r w:rsidRPr="0048389D">
        <w:rPr>
          <w:i/>
        </w:rPr>
        <w:t xml:space="preserve">Student name: </w:t>
      </w:r>
      <w:r>
        <w:rPr>
          <w:iCs/>
        </w:rPr>
        <w:t>Cristian Stoleru</w:t>
      </w:r>
    </w:p>
    <w:p w14:paraId="6DA28DFE" w14:textId="77777777" w:rsidR="008837FE" w:rsidRDefault="008837FE" w:rsidP="008837FE">
      <w:r w:rsidRPr="0048389D">
        <w:rPr>
          <w:i/>
        </w:rPr>
        <w:t xml:space="preserve">Student ID: </w:t>
      </w:r>
      <w:r w:rsidRPr="0048389D">
        <w:rPr>
          <w:iCs/>
        </w:rPr>
        <w:t>221</w:t>
      </w:r>
      <w:r w:rsidRPr="00621BF1">
        <w:rPr>
          <w:iCs/>
        </w:rPr>
        <w:t>5119</w:t>
      </w:r>
    </w:p>
    <w:p w14:paraId="78F04075" w14:textId="77777777" w:rsidR="00C425C7" w:rsidRPr="00C425C7" w:rsidRDefault="00C425C7" w:rsidP="00C425C7"/>
    <w:sdt>
      <w:sdtPr>
        <w:id w:val="-1678100381"/>
        <w:docPartObj>
          <w:docPartGallery w:val="Table of Contents"/>
          <w:docPartUnique/>
        </w:docPartObj>
      </w:sdtPr>
      <w:sdtContent>
        <w:p w14:paraId="33E5C004" w14:textId="77777777" w:rsidR="00C425C7" w:rsidRPr="00C425C7" w:rsidRDefault="00C425C7" w:rsidP="00C425C7">
          <w:pPr>
            <w:rPr>
              <w:b/>
              <w:bCs/>
            </w:rPr>
          </w:pPr>
          <w:r w:rsidRPr="00C425C7">
            <w:rPr>
              <w:b/>
              <w:bCs/>
            </w:rPr>
            <w:t>Table of Contents</w:t>
          </w:r>
        </w:p>
        <w:p w14:paraId="10042881" w14:textId="68780478" w:rsidR="00C425C7" w:rsidRPr="00C425C7" w:rsidRDefault="00C425C7" w:rsidP="00C425C7">
          <w:pPr>
            <w:rPr>
              <w:noProof/>
            </w:rPr>
          </w:pPr>
          <w:r w:rsidRPr="00C425C7">
            <w:fldChar w:fldCharType="begin"/>
          </w:r>
          <w:r w:rsidRPr="00C425C7">
            <w:instrText xml:space="preserve"> TOC \o "1-3" \h \z \u </w:instrText>
          </w:r>
          <w:r w:rsidRPr="00C425C7">
            <w:fldChar w:fldCharType="separate"/>
          </w:r>
          <w:hyperlink r:id="rId6" w:anchor="_Toc216554265" w:history="1">
            <w:r w:rsidRPr="00C425C7">
              <w:rPr>
                <w:rStyle w:val="Hyperlink"/>
                <w:noProof/>
              </w:rPr>
              <w:t>Strategic CFO Challenge: Saving a Failing Global Firm</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_Toc216554265 \h </w:instrText>
            </w:r>
            <w:r w:rsidRPr="00C425C7">
              <w:rPr>
                <w:rStyle w:val="Hyperlink"/>
                <w:noProof/>
                <w:webHidden/>
              </w:rPr>
            </w:r>
            <w:r w:rsidRPr="00C425C7">
              <w:rPr>
                <w:rStyle w:val="Hyperlink"/>
                <w:noProof/>
                <w:webHidden/>
              </w:rPr>
              <w:fldChar w:fldCharType="separate"/>
            </w:r>
            <w:r w:rsidR="00D2642B">
              <w:rPr>
                <w:rStyle w:val="Hyperlink"/>
                <w:noProof/>
                <w:webHidden/>
              </w:rPr>
              <w:t>3</w:t>
            </w:r>
            <w:r w:rsidRPr="00C425C7">
              <w:rPr>
                <w:rStyle w:val="Hyperlink"/>
                <w:noProof/>
                <w:webHidden/>
              </w:rPr>
              <w:fldChar w:fldCharType="end"/>
            </w:r>
          </w:hyperlink>
        </w:p>
        <w:p w14:paraId="0A92A88B" w14:textId="2B5F3C79" w:rsidR="00C425C7" w:rsidRPr="00C425C7" w:rsidRDefault="00C425C7" w:rsidP="00C425C7">
          <w:pPr>
            <w:rPr>
              <w:noProof/>
            </w:rPr>
          </w:pPr>
          <w:hyperlink r:id="rId7" w:anchor="_Toc216554266" w:history="1">
            <w:r w:rsidRPr="00C425C7">
              <w:rPr>
                <w:rStyle w:val="Hyperlink"/>
                <w:noProof/>
              </w:rPr>
              <w:t>Introduction</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_Toc216554266 \h </w:instrText>
            </w:r>
            <w:r w:rsidRPr="00C425C7">
              <w:rPr>
                <w:rStyle w:val="Hyperlink"/>
                <w:noProof/>
                <w:webHidden/>
              </w:rPr>
            </w:r>
            <w:r w:rsidRPr="00C425C7">
              <w:rPr>
                <w:rStyle w:val="Hyperlink"/>
                <w:noProof/>
                <w:webHidden/>
              </w:rPr>
              <w:fldChar w:fldCharType="separate"/>
            </w:r>
            <w:r w:rsidR="00D2642B">
              <w:rPr>
                <w:rStyle w:val="Hyperlink"/>
                <w:noProof/>
                <w:webHidden/>
              </w:rPr>
              <w:t>3</w:t>
            </w:r>
            <w:r w:rsidRPr="00C425C7">
              <w:rPr>
                <w:rStyle w:val="Hyperlink"/>
                <w:noProof/>
                <w:webHidden/>
              </w:rPr>
              <w:fldChar w:fldCharType="end"/>
            </w:r>
          </w:hyperlink>
        </w:p>
        <w:p w14:paraId="3758A182" w14:textId="2E1D01AA" w:rsidR="00C425C7" w:rsidRPr="00C425C7" w:rsidRDefault="00C425C7" w:rsidP="00C425C7">
          <w:pPr>
            <w:rPr>
              <w:noProof/>
            </w:rPr>
          </w:pPr>
          <w:hyperlink r:id="rId8" w:anchor="_Toc216554267" w:history="1">
            <w:r w:rsidRPr="00C425C7">
              <w:rPr>
                <w:rStyle w:val="Hyperlink"/>
                <w:noProof/>
              </w:rPr>
              <w:t>Section 1: Financial Health Check</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_Toc216554267 \h </w:instrText>
            </w:r>
            <w:r w:rsidRPr="00C425C7">
              <w:rPr>
                <w:rStyle w:val="Hyperlink"/>
                <w:noProof/>
                <w:webHidden/>
              </w:rPr>
            </w:r>
            <w:r w:rsidRPr="00C425C7">
              <w:rPr>
                <w:rStyle w:val="Hyperlink"/>
                <w:noProof/>
                <w:webHidden/>
              </w:rPr>
              <w:fldChar w:fldCharType="separate"/>
            </w:r>
            <w:r w:rsidR="00D2642B">
              <w:rPr>
                <w:rStyle w:val="Hyperlink"/>
                <w:noProof/>
                <w:webHidden/>
              </w:rPr>
              <w:t>3</w:t>
            </w:r>
            <w:r w:rsidRPr="00C425C7">
              <w:rPr>
                <w:rStyle w:val="Hyperlink"/>
                <w:noProof/>
                <w:webHidden/>
              </w:rPr>
              <w:fldChar w:fldCharType="end"/>
            </w:r>
          </w:hyperlink>
        </w:p>
        <w:p w14:paraId="5E38B6DD" w14:textId="0401C4FC" w:rsidR="00C425C7" w:rsidRPr="00C425C7" w:rsidRDefault="00C425C7" w:rsidP="00C425C7">
          <w:pPr>
            <w:rPr>
              <w:noProof/>
            </w:rPr>
          </w:pPr>
          <w:hyperlink r:id="rId9" w:anchor="_Toc216554268" w:history="1">
            <w:r w:rsidRPr="00C425C7">
              <w:rPr>
                <w:rStyle w:val="Hyperlink"/>
                <w:noProof/>
              </w:rPr>
              <w:t>1.1</w:t>
            </w:r>
            <w:r w:rsidRPr="00C425C7">
              <w:rPr>
                <w:rStyle w:val="Hyperlink"/>
                <w:noProof/>
              </w:rPr>
              <w:tab/>
              <w:t>Full Ratio Analysis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_Toc216554268 \h </w:instrText>
            </w:r>
            <w:r w:rsidRPr="00C425C7">
              <w:rPr>
                <w:rStyle w:val="Hyperlink"/>
                <w:noProof/>
                <w:webHidden/>
              </w:rPr>
            </w:r>
            <w:r w:rsidRPr="00C425C7">
              <w:rPr>
                <w:rStyle w:val="Hyperlink"/>
                <w:noProof/>
                <w:webHidden/>
              </w:rPr>
              <w:fldChar w:fldCharType="separate"/>
            </w:r>
            <w:r w:rsidR="00D2642B">
              <w:rPr>
                <w:rStyle w:val="Hyperlink"/>
                <w:noProof/>
                <w:webHidden/>
              </w:rPr>
              <w:t>4</w:t>
            </w:r>
            <w:r w:rsidRPr="00C425C7">
              <w:rPr>
                <w:rStyle w:val="Hyperlink"/>
                <w:noProof/>
                <w:webHidden/>
              </w:rPr>
              <w:fldChar w:fldCharType="end"/>
            </w:r>
          </w:hyperlink>
        </w:p>
        <w:p w14:paraId="40CC36CB" w14:textId="29579486" w:rsidR="00C425C7" w:rsidRPr="00C425C7" w:rsidRDefault="00C425C7" w:rsidP="00C425C7">
          <w:pPr>
            <w:rPr>
              <w:noProof/>
            </w:rPr>
          </w:pPr>
          <w:hyperlink r:id="rId10" w:anchor="_Toc216554269" w:history="1">
            <w:r w:rsidRPr="00C425C7">
              <w:rPr>
                <w:rStyle w:val="Hyperlink"/>
                <w:noProof/>
              </w:rPr>
              <w:t>1.2</w:t>
            </w:r>
            <w:r w:rsidRPr="00C425C7">
              <w:rPr>
                <w:rStyle w:val="Hyperlink"/>
                <w:noProof/>
              </w:rPr>
              <w:tab/>
              <w:t>Critical Analysis of Trends, Strengths, and Threats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_Toc216554269 \h </w:instrText>
            </w:r>
            <w:r w:rsidRPr="00C425C7">
              <w:rPr>
                <w:rStyle w:val="Hyperlink"/>
                <w:noProof/>
                <w:webHidden/>
              </w:rPr>
            </w:r>
            <w:r w:rsidRPr="00C425C7">
              <w:rPr>
                <w:rStyle w:val="Hyperlink"/>
                <w:noProof/>
                <w:webHidden/>
              </w:rPr>
              <w:fldChar w:fldCharType="separate"/>
            </w:r>
            <w:r w:rsidR="00D2642B">
              <w:rPr>
                <w:rStyle w:val="Hyperlink"/>
                <w:noProof/>
                <w:webHidden/>
              </w:rPr>
              <w:t>4</w:t>
            </w:r>
            <w:r w:rsidRPr="00C425C7">
              <w:rPr>
                <w:rStyle w:val="Hyperlink"/>
                <w:noProof/>
                <w:webHidden/>
              </w:rPr>
              <w:fldChar w:fldCharType="end"/>
            </w:r>
          </w:hyperlink>
        </w:p>
        <w:p w14:paraId="755EE2E8" w14:textId="63C2E65E" w:rsidR="00C425C7" w:rsidRPr="00C425C7" w:rsidRDefault="00C425C7" w:rsidP="00C425C7">
          <w:pPr>
            <w:rPr>
              <w:noProof/>
            </w:rPr>
          </w:pPr>
          <w:hyperlink r:id="rId11" w:anchor="_Toc216554270" w:history="1">
            <w:r w:rsidRPr="00C425C7">
              <w:rPr>
                <w:rStyle w:val="Hyperlink"/>
                <w:noProof/>
              </w:rPr>
              <w:t>1.3</w:t>
            </w:r>
            <w:r w:rsidRPr="00C425C7">
              <w:rPr>
                <w:rStyle w:val="Hyperlink"/>
                <w:noProof/>
              </w:rPr>
              <w:tab/>
              <w:t>Corporate Failure Prediction: Altman Z-Score</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_Toc216554270 \h </w:instrText>
            </w:r>
            <w:r w:rsidRPr="00C425C7">
              <w:rPr>
                <w:rStyle w:val="Hyperlink"/>
                <w:noProof/>
                <w:webHidden/>
              </w:rPr>
            </w:r>
            <w:r w:rsidRPr="00C425C7">
              <w:rPr>
                <w:rStyle w:val="Hyperlink"/>
                <w:noProof/>
                <w:webHidden/>
              </w:rPr>
              <w:fldChar w:fldCharType="separate"/>
            </w:r>
            <w:r w:rsidR="00D2642B">
              <w:rPr>
                <w:rStyle w:val="Hyperlink"/>
                <w:noProof/>
                <w:webHidden/>
              </w:rPr>
              <w:t>7</w:t>
            </w:r>
            <w:r w:rsidRPr="00C425C7">
              <w:rPr>
                <w:rStyle w:val="Hyperlink"/>
                <w:noProof/>
                <w:webHidden/>
              </w:rPr>
              <w:fldChar w:fldCharType="end"/>
            </w:r>
          </w:hyperlink>
        </w:p>
        <w:p w14:paraId="5433E454" w14:textId="452D65E0" w:rsidR="00C425C7" w:rsidRPr="00C425C7" w:rsidRDefault="00C425C7" w:rsidP="00C425C7">
          <w:pPr>
            <w:rPr>
              <w:noProof/>
            </w:rPr>
          </w:pPr>
          <w:hyperlink r:id="rId12" w:anchor="_Toc216554271" w:history="1">
            <w:r w:rsidRPr="00C425C7">
              <w:rPr>
                <w:rStyle w:val="Hyperlink"/>
                <w:noProof/>
              </w:rPr>
              <w:t>2</w:t>
            </w:r>
            <w:r w:rsidRPr="00C425C7">
              <w:rPr>
                <w:rStyle w:val="Hyperlink"/>
                <w:noProof/>
              </w:rPr>
              <w:tab/>
              <w:t>Section 2: Working Capital Management Analysis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_Toc216554271 \h </w:instrText>
            </w:r>
            <w:r w:rsidRPr="00C425C7">
              <w:rPr>
                <w:rStyle w:val="Hyperlink"/>
                <w:noProof/>
                <w:webHidden/>
              </w:rPr>
            </w:r>
            <w:r w:rsidRPr="00C425C7">
              <w:rPr>
                <w:rStyle w:val="Hyperlink"/>
                <w:noProof/>
                <w:webHidden/>
              </w:rPr>
              <w:fldChar w:fldCharType="separate"/>
            </w:r>
            <w:r w:rsidR="00D2642B">
              <w:rPr>
                <w:rStyle w:val="Hyperlink"/>
                <w:noProof/>
                <w:webHidden/>
              </w:rPr>
              <w:t>9</w:t>
            </w:r>
            <w:r w:rsidRPr="00C425C7">
              <w:rPr>
                <w:rStyle w:val="Hyperlink"/>
                <w:noProof/>
                <w:webHidden/>
              </w:rPr>
              <w:fldChar w:fldCharType="end"/>
            </w:r>
          </w:hyperlink>
        </w:p>
        <w:p w14:paraId="65CB42B4" w14:textId="0E653784" w:rsidR="00C425C7" w:rsidRPr="00C425C7" w:rsidRDefault="00C425C7" w:rsidP="00C425C7">
          <w:pPr>
            <w:rPr>
              <w:noProof/>
            </w:rPr>
          </w:pPr>
          <w:hyperlink r:id="rId13" w:anchor="_Toc216554272" w:history="1">
            <w:r w:rsidRPr="00C425C7">
              <w:rPr>
                <w:rStyle w:val="Hyperlink"/>
                <w:noProof/>
              </w:rPr>
              <w:t>2.1</w:t>
            </w:r>
            <w:r w:rsidRPr="00C425C7">
              <w:rPr>
                <w:rStyle w:val="Hyperlink"/>
                <w:noProof/>
              </w:rPr>
              <w:tab/>
              <w:t>Cash Conversion Cycle (CCC) Assessment</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_Toc216554272 \h </w:instrText>
            </w:r>
            <w:r w:rsidRPr="00C425C7">
              <w:rPr>
                <w:rStyle w:val="Hyperlink"/>
                <w:noProof/>
                <w:webHidden/>
              </w:rPr>
            </w:r>
            <w:r w:rsidRPr="00C425C7">
              <w:rPr>
                <w:rStyle w:val="Hyperlink"/>
                <w:noProof/>
                <w:webHidden/>
              </w:rPr>
              <w:fldChar w:fldCharType="separate"/>
            </w:r>
            <w:r w:rsidR="00D2642B">
              <w:rPr>
                <w:rStyle w:val="Hyperlink"/>
                <w:noProof/>
                <w:webHidden/>
              </w:rPr>
              <w:t>9</w:t>
            </w:r>
            <w:r w:rsidRPr="00C425C7">
              <w:rPr>
                <w:rStyle w:val="Hyperlink"/>
                <w:noProof/>
                <w:webHidden/>
              </w:rPr>
              <w:fldChar w:fldCharType="end"/>
            </w:r>
          </w:hyperlink>
        </w:p>
        <w:p w14:paraId="41CAEB93" w14:textId="5B6F86E7" w:rsidR="00C425C7" w:rsidRPr="00C425C7" w:rsidRDefault="00C425C7" w:rsidP="00C425C7">
          <w:pPr>
            <w:rPr>
              <w:noProof/>
            </w:rPr>
          </w:pPr>
          <w:hyperlink r:id="rId14" w:anchor="_Toc216554273" w:history="1">
            <w:r w:rsidRPr="00C425C7">
              <w:rPr>
                <w:rStyle w:val="Hyperlink"/>
                <w:noProof/>
              </w:rPr>
              <w:t>2.2</w:t>
            </w:r>
            <w:r w:rsidRPr="00C425C7">
              <w:rPr>
                <w:rStyle w:val="Hyperlink"/>
                <w:noProof/>
              </w:rPr>
              <w:tab/>
              <w:t>Recommendations for Liquidity Improvement</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_Toc216554273 \h </w:instrText>
            </w:r>
            <w:r w:rsidRPr="00C425C7">
              <w:rPr>
                <w:rStyle w:val="Hyperlink"/>
                <w:noProof/>
                <w:webHidden/>
              </w:rPr>
            </w:r>
            <w:r w:rsidRPr="00C425C7">
              <w:rPr>
                <w:rStyle w:val="Hyperlink"/>
                <w:noProof/>
                <w:webHidden/>
              </w:rPr>
              <w:fldChar w:fldCharType="separate"/>
            </w:r>
            <w:r w:rsidR="00D2642B">
              <w:rPr>
                <w:rStyle w:val="Hyperlink"/>
                <w:noProof/>
                <w:webHidden/>
              </w:rPr>
              <w:t>11</w:t>
            </w:r>
            <w:r w:rsidRPr="00C425C7">
              <w:rPr>
                <w:rStyle w:val="Hyperlink"/>
                <w:noProof/>
                <w:webHidden/>
              </w:rPr>
              <w:fldChar w:fldCharType="end"/>
            </w:r>
          </w:hyperlink>
        </w:p>
        <w:p w14:paraId="20BC4DBB" w14:textId="24537556" w:rsidR="00C425C7" w:rsidRPr="00C425C7" w:rsidRDefault="00C425C7" w:rsidP="00C425C7">
          <w:pPr>
            <w:rPr>
              <w:noProof/>
            </w:rPr>
          </w:pPr>
          <w:hyperlink r:id="rId15" w:anchor="_Toc216554274" w:history="1">
            <w:r w:rsidRPr="00C425C7">
              <w:rPr>
                <w:rStyle w:val="Hyperlink"/>
                <w:noProof/>
              </w:rPr>
              <w:t>2.3</w:t>
            </w:r>
            <w:r w:rsidRPr="00C425C7">
              <w:rPr>
                <w:rStyle w:val="Hyperlink"/>
                <w:noProof/>
              </w:rPr>
              <w:tab/>
              <w:t>Short-term vs. Long-term Financing Strategy</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_Toc216554274 \h </w:instrText>
            </w:r>
            <w:r w:rsidRPr="00C425C7">
              <w:rPr>
                <w:rStyle w:val="Hyperlink"/>
                <w:noProof/>
                <w:webHidden/>
              </w:rPr>
            </w:r>
            <w:r w:rsidRPr="00C425C7">
              <w:rPr>
                <w:rStyle w:val="Hyperlink"/>
                <w:noProof/>
                <w:webHidden/>
              </w:rPr>
              <w:fldChar w:fldCharType="separate"/>
            </w:r>
            <w:r w:rsidR="00D2642B">
              <w:rPr>
                <w:rStyle w:val="Hyperlink"/>
                <w:noProof/>
                <w:webHidden/>
              </w:rPr>
              <w:t>12</w:t>
            </w:r>
            <w:r w:rsidRPr="00C425C7">
              <w:rPr>
                <w:rStyle w:val="Hyperlink"/>
                <w:noProof/>
                <w:webHidden/>
              </w:rPr>
              <w:fldChar w:fldCharType="end"/>
            </w:r>
          </w:hyperlink>
        </w:p>
        <w:p w14:paraId="72FEC4EA" w14:textId="30DB9A45" w:rsidR="00C425C7" w:rsidRPr="00C425C7" w:rsidRDefault="00C425C7" w:rsidP="00C425C7">
          <w:pPr>
            <w:rPr>
              <w:noProof/>
            </w:rPr>
          </w:pPr>
          <w:hyperlink r:id="rId16" w:anchor="_Toc216554275" w:history="1">
            <w:r w:rsidRPr="00C425C7">
              <w:rPr>
                <w:rStyle w:val="Hyperlink"/>
                <w:noProof/>
              </w:rPr>
              <w:t>3</w:t>
            </w:r>
            <w:r w:rsidRPr="00C425C7">
              <w:rPr>
                <w:rStyle w:val="Hyperlink"/>
                <w:noProof/>
              </w:rPr>
              <w:tab/>
              <w:t>Section 3: Strategic Financial Restructuring Plan</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_Toc216554275 \h </w:instrText>
            </w:r>
            <w:r w:rsidRPr="00C425C7">
              <w:rPr>
                <w:rStyle w:val="Hyperlink"/>
                <w:noProof/>
                <w:webHidden/>
              </w:rPr>
            </w:r>
            <w:r w:rsidRPr="00C425C7">
              <w:rPr>
                <w:rStyle w:val="Hyperlink"/>
                <w:noProof/>
                <w:webHidden/>
              </w:rPr>
              <w:fldChar w:fldCharType="separate"/>
            </w:r>
            <w:r w:rsidR="00D2642B">
              <w:rPr>
                <w:rStyle w:val="Hyperlink"/>
                <w:noProof/>
                <w:webHidden/>
              </w:rPr>
              <w:t>12</w:t>
            </w:r>
            <w:r w:rsidRPr="00C425C7">
              <w:rPr>
                <w:rStyle w:val="Hyperlink"/>
                <w:noProof/>
                <w:webHidden/>
              </w:rPr>
              <w:fldChar w:fldCharType="end"/>
            </w:r>
          </w:hyperlink>
        </w:p>
        <w:p w14:paraId="32D537E0" w14:textId="4724AC97" w:rsidR="00C425C7" w:rsidRPr="00C425C7" w:rsidRDefault="00C425C7" w:rsidP="00C425C7">
          <w:pPr>
            <w:rPr>
              <w:noProof/>
            </w:rPr>
          </w:pPr>
          <w:hyperlink r:id="rId17" w:anchor="_Toc216554276" w:history="1">
            <w:r w:rsidRPr="00C425C7">
              <w:rPr>
                <w:rStyle w:val="Hyperlink"/>
                <w:noProof/>
              </w:rPr>
              <w:t>3.1</w:t>
            </w:r>
            <w:r w:rsidRPr="00C425C7">
              <w:rPr>
                <w:rStyle w:val="Hyperlink"/>
                <w:noProof/>
              </w:rPr>
              <w:tab/>
              <w:t>Recommended Restructuring Options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_Toc216554276 \h </w:instrText>
            </w:r>
            <w:r w:rsidRPr="00C425C7">
              <w:rPr>
                <w:rStyle w:val="Hyperlink"/>
                <w:noProof/>
                <w:webHidden/>
              </w:rPr>
            </w:r>
            <w:r w:rsidRPr="00C425C7">
              <w:rPr>
                <w:rStyle w:val="Hyperlink"/>
                <w:noProof/>
                <w:webHidden/>
              </w:rPr>
              <w:fldChar w:fldCharType="separate"/>
            </w:r>
            <w:r w:rsidR="00D2642B">
              <w:rPr>
                <w:rStyle w:val="Hyperlink"/>
                <w:noProof/>
                <w:webHidden/>
              </w:rPr>
              <w:t>12</w:t>
            </w:r>
            <w:r w:rsidRPr="00C425C7">
              <w:rPr>
                <w:rStyle w:val="Hyperlink"/>
                <w:noProof/>
                <w:webHidden/>
              </w:rPr>
              <w:fldChar w:fldCharType="end"/>
            </w:r>
          </w:hyperlink>
        </w:p>
        <w:p w14:paraId="38CD5162" w14:textId="7F0D4F66" w:rsidR="00C425C7" w:rsidRPr="00C425C7" w:rsidRDefault="00C425C7" w:rsidP="00C425C7">
          <w:pPr>
            <w:rPr>
              <w:noProof/>
            </w:rPr>
          </w:pPr>
          <w:hyperlink r:id="rId18" w:anchor="_Toc216554277" w:history="1">
            <w:r w:rsidRPr="00C425C7">
              <w:rPr>
                <w:rStyle w:val="Hyperlink"/>
                <w:noProof/>
              </w:rPr>
              <w:t>3.2</w:t>
            </w:r>
            <w:r w:rsidRPr="00C425C7">
              <w:rPr>
                <w:rStyle w:val="Hyperlink"/>
                <w:noProof/>
              </w:rPr>
              <w:tab/>
              <w:t>Impact on Shareholder Value, Debt Structure, and Flexibility</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_Toc216554277 \h </w:instrText>
            </w:r>
            <w:r w:rsidRPr="00C425C7">
              <w:rPr>
                <w:rStyle w:val="Hyperlink"/>
                <w:noProof/>
                <w:webHidden/>
              </w:rPr>
            </w:r>
            <w:r w:rsidRPr="00C425C7">
              <w:rPr>
                <w:rStyle w:val="Hyperlink"/>
                <w:noProof/>
                <w:webHidden/>
              </w:rPr>
              <w:fldChar w:fldCharType="separate"/>
            </w:r>
            <w:r w:rsidR="00D2642B">
              <w:rPr>
                <w:rStyle w:val="Hyperlink"/>
                <w:noProof/>
                <w:webHidden/>
              </w:rPr>
              <w:t>13</w:t>
            </w:r>
            <w:r w:rsidRPr="00C425C7">
              <w:rPr>
                <w:rStyle w:val="Hyperlink"/>
                <w:noProof/>
                <w:webHidden/>
              </w:rPr>
              <w:fldChar w:fldCharType="end"/>
            </w:r>
          </w:hyperlink>
        </w:p>
        <w:p w14:paraId="37B8019B" w14:textId="2E63716E" w:rsidR="00C425C7" w:rsidRPr="00C425C7" w:rsidRDefault="00C425C7" w:rsidP="00C425C7">
          <w:pPr>
            <w:rPr>
              <w:noProof/>
            </w:rPr>
          </w:pPr>
          <w:hyperlink r:id="rId19" w:anchor="_Toc216554278" w:history="1">
            <w:r w:rsidRPr="00C425C7">
              <w:rPr>
                <w:rStyle w:val="Hyperlink"/>
                <w:noProof/>
              </w:rPr>
              <w:t>4</w:t>
            </w:r>
            <w:r w:rsidRPr="00C425C7">
              <w:rPr>
                <w:rStyle w:val="Hyperlink"/>
                <w:noProof/>
              </w:rPr>
              <w:tab/>
              <w:t>Section 4: Investment Appraisal and Capital Budgeting</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_Toc216554278 \h </w:instrText>
            </w:r>
            <w:r w:rsidRPr="00C425C7">
              <w:rPr>
                <w:rStyle w:val="Hyperlink"/>
                <w:noProof/>
                <w:webHidden/>
              </w:rPr>
            </w:r>
            <w:r w:rsidRPr="00C425C7">
              <w:rPr>
                <w:rStyle w:val="Hyperlink"/>
                <w:noProof/>
                <w:webHidden/>
              </w:rPr>
              <w:fldChar w:fldCharType="separate"/>
            </w:r>
            <w:r w:rsidR="00D2642B">
              <w:rPr>
                <w:rStyle w:val="Hyperlink"/>
                <w:noProof/>
                <w:webHidden/>
              </w:rPr>
              <w:t>14</w:t>
            </w:r>
            <w:r w:rsidRPr="00C425C7">
              <w:rPr>
                <w:rStyle w:val="Hyperlink"/>
                <w:noProof/>
                <w:webHidden/>
              </w:rPr>
              <w:fldChar w:fldCharType="end"/>
            </w:r>
          </w:hyperlink>
        </w:p>
        <w:p w14:paraId="29226B74" w14:textId="72D89C53" w:rsidR="00C425C7" w:rsidRPr="00C425C7" w:rsidRDefault="00C425C7" w:rsidP="00C425C7">
          <w:pPr>
            <w:rPr>
              <w:noProof/>
            </w:rPr>
          </w:pPr>
          <w:hyperlink r:id="rId20" w:anchor="_Toc216554279" w:history="1">
            <w:r w:rsidRPr="00C425C7">
              <w:rPr>
                <w:rStyle w:val="Hyperlink"/>
                <w:noProof/>
              </w:rPr>
              <w:t>4.1</w:t>
            </w:r>
            <w:r w:rsidRPr="00C425C7">
              <w:rPr>
                <w:rStyle w:val="Hyperlink"/>
                <w:noProof/>
              </w:rPr>
              <w:tab/>
              <w:t>Evaluation of Investment Projects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_Toc216554279 \h </w:instrText>
            </w:r>
            <w:r w:rsidRPr="00C425C7">
              <w:rPr>
                <w:rStyle w:val="Hyperlink"/>
                <w:noProof/>
                <w:webHidden/>
              </w:rPr>
            </w:r>
            <w:r w:rsidRPr="00C425C7">
              <w:rPr>
                <w:rStyle w:val="Hyperlink"/>
                <w:noProof/>
                <w:webHidden/>
              </w:rPr>
              <w:fldChar w:fldCharType="separate"/>
            </w:r>
            <w:r w:rsidR="00D2642B">
              <w:rPr>
                <w:rStyle w:val="Hyperlink"/>
                <w:noProof/>
                <w:webHidden/>
              </w:rPr>
              <w:t>14</w:t>
            </w:r>
            <w:r w:rsidRPr="00C425C7">
              <w:rPr>
                <w:rStyle w:val="Hyperlink"/>
                <w:noProof/>
                <w:webHidden/>
              </w:rPr>
              <w:fldChar w:fldCharType="end"/>
            </w:r>
          </w:hyperlink>
        </w:p>
        <w:p w14:paraId="28811A4F" w14:textId="35A6BBD6" w:rsidR="00C425C7" w:rsidRPr="00C425C7" w:rsidRDefault="00C425C7" w:rsidP="00C425C7">
          <w:pPr>
            <w:rPr>
              <w:noProof/>
            </w:rPr>
          </w:pPr>
          <w:hyperlink r:id="rId21" w:anchor="_Toc216554280" w:history="1">
            <w:r w:rsidRPr="00C425C7">
              <w:rPr>
                <w:rStyle w:val="Hyperlink"/>
                <w:noProof/>
              </w:rPr>
              <w:t>4.2</w:t>
            </w:r>
            <w:r w:rsidRPr="00C425C7">
              <w:rPr>
                <w:rStyle w:val="Hyperlink"/>
                <w:noProof/>
              </w:rPr>
              <w:tab/>
              <w:t>Capital Rationing Recommendation</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_Toc216554280 \h </w:instrText>
            </w:r>
            <w:r w:rsidRPr="00C425C7">
              <w:rPr>
                <w:rStyle w:val="Hyperlink"/>
                <w:noProof/>
                <w:webHidden/>
              </w:rPr>
            </w:r>
            <w:r w:rsidRPr="00C425C7">
              <w:rPr>
                <w:rStyle w:val="Hyperlink"/>
                <w:noProof/>
                <w:webHidden/>
              </w:rPr>
              <w:fldChar w:fldCharType="separate"/>
            </w:r>
            <w:r w:rsidR="00D2642B">
              <w:rPr>
                <w:rStyle w:val="Hyperlink"/>
                <w:noProof/>
                <w:webHidden/>
              </w:rPr>
              <w:t>15</w:t>
            </w:r>
            <w:r w:rsidRPr="00C425C7">
              <w:rPr>
                <w:rStyle w:val="Hyperlink"/>
                <w:noProof/>
                <w:webHidden/>
              </w:rPr>
              <w:fldChar w:fldCharType="end"/>
            </w:r>
          </w:hyperlink>
        </w:p>
        <w:p w14:paraId="7BDB0204" w14:textId="633FCCF0" w:rsidR="00C425C7" w:rsidRPr="00C425C7" w:rsidRDefault="00C425C7" w:rsidP="00C425C7">
          <w:pPr>
            <w:rPr>
              <w:noProof/>
            </w:rPr>
          </w:pPr>
          <w:hyperlink r:id="rId22" w:anchor="_Toc216554281" w:history="1">
            <w:r w:rsidRPr="00C425C7">
              <w:rPr>
                <w:rStyle w:val="Hyperlink"/>
                <w:noProof/>
              </w:rPr>
              <w:t>4.3</w:t>
            </w:r>
            <w:r w:rsidRPr="00C425C7">
              <w:rPr>
                <w:rStyle w:val="Hyperlink"/>
                <w:noProof/>
              </w:rPr>
              <w:tab/>
              <w:t>Justification and Risk Analysis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_Toc216554281 \h </w:instrText>
            </w:r>
            <w:r w:rsidRPr="00C425C7">
              <w:rPr>
                <w:rStyle w:val="Hyperlink"/>
                <w:noProof/>
                <w:webHidden/>
              </w:rPr>
            </w:r>
            <w:r w:rsidRPr="00C425C7">
              <w:rPr>
                <w:rStyle w:val="Hyperlink"/>
                <w:noProof/>
                <w:webHidden/>
              </w:rPr>
              <w:fldChar w:fldCharType="separate"/>
            </w:r>
            <w:r w:rsidR="00D2642B">
              <w:rPr>
                <w:rStyle w:val="Hyperlink"/>
                <w:noProof/>
                <w:webHidden/>
              </w:rPr>
              <w:t>16</w:t>
            </w:r>
            <w:r w:rsidRPr="00C425C7">
              <w:rPr>
                <w:rStyle w:val="Hyperlink"/>
                <w:noProof/>
                <w:webHidden/>
              </w:rPr>
              <w:fldChar w:fldCharType="end"/>
            </w:r>
          </w:hyperlink>
        </w:p>
        <w:p w14:paraId="1BE951EF" w14:textId="754F398A" w:rsidR="00C425C7" w:rsidRPr="00C425C7" w:rsidRDefault="00C425C7" w:rsidP="00C425C7">
          <w:pPr>
            <w:rPr>
              <w:noProof/>
            </w:rPr>
          </w:pPr>
          <w:hyperlink r:id="rId23" w:anchor="_Toc216554282" w:history="1">
            <w:r w:rsidRPr="00C425C7">
              <w:rPr>
                <w:rStyle w:val="Hyperlink"/>
                <w:noProof/>
              </w:rPr>
              <w:t>5</w:t>
            </w:r>
            <w:r w:rsidRPr="00C425C7">
              <w:rPr>
                <w:rStyle w:val="Hyperlink"/>
                <w:noProof/>
              </w:rPr>
              <w:tab/>
              <w:t>Conclusion</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_Toc216554282 \h </w:instrText>
            </w:r>
            <w:r w:rsidRPr="00C425C7">
              <w:rPr>
                <w:rStyle w:val="Hyperlink"/>
                <w:noProof/>
                <w:webHidden/>
              </w:rPr>
            </w:r>
            <w:r w:rsidRPr="00C425C7">
              <w:rPr>
                <w:rStyle w:val="Hyperlink"/>
                <w:noProof/>
                <w:webHidden/>
              </w:rPr>
              <w:fldChar w:fldCharType="separate"/>
            </w:r>
            <w:r w:rsidR="00D2642B">
              <w:rPr>
                <w:rStyle w:val="Hyperlink"/>
                <w:noProof/>
                <w:webHidden/>
              </w:rPr>
              <w:t>16</w:t>
            </w:r>
            <w:r w:rsidRPr="00C425C7">
              <w:rPr>
                <w:rStyle w:val="Hyperlink"/>
                <w:noProof/>
                <w:webHidden/>
              </w:rPr>
              <w:fldChar w:fldCharType="end"/>
            </w:r>
          </w:hyperlink>
        </w:p>
        <w:p w14:paraId="60F908AD" w14:textId="14FFB12A" w:rsidR="00C425C7" w:rsidRPr="00C425C7" w:rsidRDefault="00C425C7" w:rsidP="00C425C7">
          <w:pPr>
            <w:rPr>
              <w:noProof/>
            </w:rPr>
          </w:pPr>
          <w:hyperlink r:id="rId24" w:anchor="_Toc216554283" w:history="1">
            <w:r w:rsidRPr="00C425C7">
              <w:rPr>
                <w:rStyle w:val="Hyperlink"/>
                <w:noProof/>
              </w:rPr>
              <w:t>6</w:t>
            </w:r>
            <w:r w:rsidRPr="00C425C7">
              <w:rPr>
                <w:rStyle w:val="Hyperlink"/>
                <w:noProof/>
              </w:rPr>
              <w:tab/>
              <w:t>References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_Toc216554283 \h </w:instrText>
            </w:r>
            <w:r w:rsidRPr="00C425C7">
              <w:rPr>
                <w:rStyle w:val="Hyperlink"/>
                <w:noProof/>
                <w:webHidden/>
              </w:rPr>
            </w:r>
            <w:r w:rsidRPr="00C425C7">
              <w:rPr>
                <w:rStyle w:val="Hyperlink"/>
                <w:noProof/>
                <w:webHidden/>
              </w:rPr>
              <w:fldChar w:fldCharType="separate"/>
            </w:r>
            <w:r w:rsidR="00D2642B">
              <w:rPr>
                <w:rStyle w:val="Hyperlink"/>
                <w:noProof/>
                <w:webHidden/>
              </w:rPr>
              <w:t>18</w:t>
            </w:r>
            <w:r w:rsidRPr="00C425C7">
              <w:rPr>
                <w:rStyle w:val="Hyperlink"/>
                <w:noProof/>
                <w:webHidden/>
              </w:rPr>
              <w:fldChar w:fldCharType="end"/>
            </w:r>
          </w:hyperlink>
        </w:p>
        <w:p w14:paraId="4CCEC04B" w14:textId="16E41DEF" w:rsidR="00C425C7" w:rsidRPr="00C425C7" w:rsidRDefault="00C425C7" w:rsidP="00C425C7">
          <w:pPr>
            <w:rPr>
              <w:noProof/>
            </w:rPr>
          </w:pPr>
          <w:hyperlink r:id="rId25" w:anchor="_Toc216554284" w:history="1">
            <w:r w:rsidRPr="00C425C7">
              <w:rPr>
                <w:rStyle w:val="Hyperlink"/>
                <w:noProof/>
              </w:rPr>
              <w:t>7</w:t>
            </w:r>
            <w:r w:rsidRPr="00C425C7">
              <w:rPr>
                <w:rStyle w:val="Hyperlink"/>
                <w:noProof/>
              </w:rPr>
              <w:tab/>
              <w:t>Appendices</w:t>
            </w:r>
            <w:r w:rsidRPr="00C425C7">
              <w:rPr>
                <w:rStyle w:val="Hyperlink"/>
                <w:noProof/>
                <w:webHidden/>
              </w:rPr>
              <w:tab/>
            </w:r>
            <w:r w:rsidRPr="00C425C7">
              <w:rPr>
                <w:rStyle w:val="Hyperlink"/>
                <w:noProof/>
                <w:webHidden/>
              </w:rPr>
              <w:fldChar w:fldCharType="begin"/>
            </w:r>
            <w:r w:rsidRPr="00C425C7">
              <w:rPr>
                <w:rStyle w:val="Hyperlink"/>
                <w:noProof/>
                <w:webHidden/>
              </w:rPr>
              <w:instrText xml:space="preserve"> PAGEREF _Toc216554284 \h </w:instrText>
            </w:r>
            <w:r w:rsidRPr="00C425C7">
              <w:rPr>
                <w:rStyle w:val="Hyperlink"/>
                <w:noProof/>
                <w:webHidden/>
              </w:rPr>
            </w:r>
            <w:r w:rsidRPr="00C425C7">
              <w:rPr>
                <w:rStyle w:val="Hyperlink"/>
                <w:noProof/>
                <w:webHidden/>
              </w:rPr>
              <w:fldChar w:fldCharType="separate"/>
            </w:r>
            <w:r w:rsidR="00D2642B">
              <w:rPr>
                <w:rStyle w:val="Hyperlink"/>
                <w:noProof/>
                <w:webHidden/>
              </w:rPr>
              <w:t>21</w:t>
            </w:r>
            <w:r w:rsidRPr="00C425C7">
              <w:rPr>
                <w:rStyle w:val="Hyperlink"/>
                <w:noProof/>
                <w:webHidden/>
              </w:rPr>
              <w:fldChar w:fldCharType="end"/>
            </w:r>
          </w:hyperlink>
        </w:p>
        <w:p w14:paraId="32B3E938" w14:textId="77777777" w:rsidR="00C425C7" w:rsidRPr="00C425C7" w:rsidRDefault="00C425C7" w:rsidP="00C425C7">
          <w:r w:rsidRPr="00C425C7">
            <w:fldChar w:fldCharType="end"/>
          </w:r>
        </w:p>
      </w:sdtContent>
    </w:sdt>
    <w:p w14:paraId="3B06D95E" w14:textId="77777777" w:rsidR="00C425C7" w:rsidRPr="00C425C7" w:rsidRDefault="00C425C7" w:rsidP="00C425C7"/>
    <w:p w14:paraId="10CDC4B1" w14:textId="77777777" w:rsidR="00C425C7" w:rsidRPr="00C425C7" w:rsidRDefault="00C425C7" w:rsidP="00C425C7"/>
    <w:p w14:paraId="40FF7019" w14:textId="77777777" w:rsidR="00C425C7" w:rsidRPr="00C425C7" w:rsidRDefault="00C425C7" w:rsidP="00C425C7"/>
    <w:p w14:paraId="227C58F5" w14:textId="77777777" w:rsidR="00C425C7" w:rsidRPr="00C425C7" w:rsidRDefault="00C425C7" w:rsidP="00C425C7"/>
    <w:p w14:paraId="176D7BBC" w14:textId="77777777" w:rsidR="00C425C7" w:rsidRPr="00C425C7" w:rsidRDefault="00C425C7" w:rsidP="00C425C7"/>
    <w:p w14:paraId="5E308EC5" w14:textId="77777777" w:rsidR="00C425C7" w:rsidRPr="00C425C7" w:rsidRDefault="00C425C7" w:rsidP="00C425C7"/>
    <w:p w14:paraId="11DCB578" w14:textId="77777777" w:rsidR="00C425C7" w:rsidRPr="00C425C7" w:rsidRDefault="00C425C7" w:rsidP="00C425C7">
      <w:pPr>
        <w:rPr>
          <w:b/>
          <w:bCs/>
        </w:rPr>
      </w:pPr>
      <w:bookmarkStart w:id="2" w:name="_Toc216554265"/>
      <w:r w:rsidRPr="00C425C7">
        <w:rPr>
          <w:b/>
          <w:bCs/>
        </w:rPr>
        <w:t>Strategic CFO Challenge: Saving a Failing Global Firm</w:t>
      </w:r>
      <w:bookmarkEnd w:id="2"/>
    </w:p>
    <w:p w14:paraId="5B2A8858" w14:textId="77777777" w:rsidR="00C425C7" w:rsidRPr="00C425C7" w:rsidRDefault="00C425C7" w:rsidP="00C425C7">
      <w:pPr>
        <w:rPr>
          <w:b/>
          <w:bCs/>
        </w:rPr>
      </w:pPr>
      <w:bookmarkStart w:id="3" w:name="_Toc216554266"/>
      <w:r w:rsidRPr="00C425C7">
        <w:rPr>
          <w:b/>
          <w:bCs/>
        </w:rPr>
        <w:t>Introduction</w:t>
      </w:r>
      <w:bookmarkEnd w:id="3"/>
    </w:p>
    <w:p w14:paraId="09BD8A50" w14:textId="77777777" w:rsidR="00C425C7" w:rsidRPr="00C425C7" w:rsidRDefault="00C425C7" w:rsidP="009E3B0E">
      <w:pPr>
        <w:ind w:firstLine="720"/>
        <w:jc w:val="both"/>
      </w:pPr>
      <w:r w:rsidRPr="00C425C7">
        <w:t>As the new Chief Financial Officer of General Electronic (GE), this report is about the existential crisis of our firm. We are in the competitive consumer electronics business, high levels of technological obsolescence, intense price competition around the world and weak supply chains. After five years of plunging financial performance, the Board has presented me with an urgent briefing: identify some of the causes of our financial distress and recommend a data-founded turnaround plan. This plan must be economically viable, globally viable and ethical bearing in mind of our fiduciary duty of all stakeholders e.g. employees, suppliers, customers etc.</w:t>
      </w:r>
    </w:p>
    <w:p w14:paraId="476FD995" w14:textId="77777777" w:rsidR="00C425C7" w:rsidRPr="00C425C7" w:rsidRDefault="00C425C7" w:rsidP="009E3B0E">
      <w:pPr>
        <w:ind w:firstLine="720"/>
        <w:jc w:val="both"/>
      </w:pPr>
      <w:r w:rsidRPr="00C425C7">
        <w:t>The challenge is profound. The information indicates that GE is caught in a spiralling circle of dangerous drops in sales, vanishing profitability, and a desperate liquidity impasse that jeopardizes our solvency. Only a Superficial and cost reduction would not do the trick; this cycle has to be broken by a profound and structural change. This report shall start with a Financial Health Check, through different ratio analysis and accepted models like the Altman Z-Score, to achieve a clean baseline of our precarious position. This diagnosis is then succeeded by the concretized examination of our critical Working Capital Management failures and the spotting of the operational inefficiencies strangling our corporate cash flow.</w:t>
      </w:r>
    </w:p>
    <w:p w14:paraId="28FAFDA6" w14:textId="77777777" w:rsidR="00C425C7" w:rsidRPr="00C425C7" w:rsidRDefault="00C425C7" w:rsidP="009E3B0E">
      <w:pPr>
        <w:ind w:firstLine="720"/>
        <w:jc w:val="both"/>
      </w:pPr>
      <w:r w:rsidRPr="00C425C7">
        <w:t>On the basis of this diagnosis, a radical Strategic Restructuring Plan will be suggested that is aimed at radically re-shaping the business, to de-leverage our dangerously over-extended balance sheet and to refocus limited resources on our ultimate value-creating activities. Lastly, there is an Investment Appraisal of the growth prospects of the future which is done with strict capital rationing on a realistic constraint, which brings the report to a close. The combining analysis leads to a final Board action recommendation, creating a consistent and rational direction toward the survival of GE and future recovery to prosperity and market leadership.</w:t>
      </w:r>
    </w:p>
    <w:p w14:paraId="3FE19EF3" w14:textId="77777777" w:rsidR="00C425C7" w:rsidRPr="00C425C7" w:rsidRDefault="00C425C7" w:rsidP="00C425C7"/>
    <w:p w14:paraId="4D9B9B5B" w14:textId="77777777" w:rsidR="00C425C7" w:rsidRPr="00C425C7" w:rsidRDefault="00C425C7" w:rsidP="00C425C7">
      <w:pPr>
        <w:rPr>
          <w:b/>
          <w:bCs/>
        </w:rPr>
      </w:pPr>
      <w:bookmarkStart w:id="4" w:name="_Toc216554267"/>
      <w:r w:rsidRPr="00C425C7">
        <w:rPr>
          <w:b/>
          <w:bCs/>
        </w:rPr>
        <w:t>Section 1: Financial Health Check</w:t>
      </w:r>
      <w:bookmarkEnd w:id="4"/>
    </w:p>
    <w:p w14:paraId="65A3CC0C" w14:textId="77777777" w:rsidR="00C425C7" w:rsidRDefault="00C425C7" w:rsidP="0061666A">
      <w:pPr>
        <w:ind w:firstLine="720"/>
        <w:jc w:val="both"/>
      </w:pPr>
      <w:r w:rsidRPr="00C425C7">
        <w:t>The basic step of any corporate turnaround is an unflinching and objective diagnosis of the condition of the company, free of historical prejudices or internal politics. This section provides a detailed analysis of General Electronics financial statements between 2020 and 2024 to identify key trends, critically assess the causes, and measure the increasing risk profile of the firm in addition. The detailed calculation of all the metrics can be found in Appendix A and B.</w:t>
      </w:r>
    </w:p>
    <w:p w14:paraId="286D4C53" w14:textId="77777777" w:rsidR="0061666A" w:rsidRPr="00C425C7" w:rsidRDefault="0061666A" w:rsidP="0061666A">
      <w:pPr>
        <w:jc w:val="both"/>
      </w:pPr>
    </w:p>
    <w:p w14:paraId="57D7C7F7" w14:textId="77777777" w:rsidR="00C425C7" w:rsidRPr="00C425C7" w:rsidRDefault="00C425C7" w:rsidP="00C425C7">
      <w:pPr>
        <w:rPr>
          <w:b/>
          <w:bCs/>
        </w:rPr>
      </w:pPr>
      <w:r w:rsidRPr="00C425C7">
        <w:rPr>
          <w:b/>
          <w:bCs/>
        </w:rPr>
        <w:lastRenderedPageBreak/>
        <w:t xml:space="preserve"> </w:t>
      </w:r>
      <w:bookmarkStart w:id="5" w:name="_Toc216554268"/>
      <w:r w:rsidRPr="00C425C7">
        <w:rPr>
          <w:b/>
          <w:bCs/>
        </w:rPr>
        <w:t>Full Ratio Analysis</w:t>
      </w:r>
      <w:bookmarkEnd w:id="5"/>
    </w:p>
    <w:p w14:paraId="0C1F463F" w14:textId="77777777" w:rsidR="00C425C7" w:rsidRPr="00C425C7" w:rsidRDefault="00C425C7" w:rsidP="0061666A">
      <w:pPr>
        <w:ind w:firstLine="720"/>
        <w:jc w:val="both"/>
      </w:pPr>
      <w:r w:rsidRPr="00C425C7">
        <w:t>A complete ratio analysis gives a multi-dimensional picture about the company's performance into the important arena of profitability, liquidity, efficiency, and solvency. The results, based on the given financial statements, are summarised below.</w:t>
      </w:r>
    </w:p>
    <w:p w14:paraId="26D68780" w14:textId="77777777" w:rsidR="00C425C7" w:rsidRPr="00C425C7" w:rsidRDefault="00C425C7" w:rsidP="00C425C7">
      <w:r w:rsidRPr="00C425C7">
        <w:rPr>
          <w:b/>
          <w:bCs/>
        </w:rPr>
        <w:t>Table 1: Key Financial Ratios for General Electronics (2020-2024)</w:t>
      </w:r>
      <w:r w:rsidRPr="00C425C7">
        <w:br/>
      </w:r>
      <w:r w:rsidRPr="00C425C7">
        <w:rPr>
          <w:i/>
          <w:iCs/>
        </w:rPr>
        <w:t>(This summary table is derived from the detailed calculations in Appendix A)</w:t>
      </w:r>
    </w:p>
    <w:tbl>
      <w:tblPr>
        <w:tblStyle w:val="TableGrid"/>
        <w:tblW w:w="0" w:type="auto"/>
        <w:tblLook w:val="04A0" w:firstRow="1" w:lastRow="0" w:firstColumn="1" w:lastColumn="0" w:noHBand="0" w:noVBand="1"/>
      </w:tblPr>
      <w:tblGrid>
        <w:gridCol w:w="1490"/>
        <w:gridCol w:w="2235"/>
        <w:gridCol w:w="1133"/>
        <w:gridCol w:w="1170"/>
        <w:gridCol w:w="996"/>
        <w:gridCol w:w="996"/>
        <w:gridCol w:w="996"/>
      </w:tblGrid>
      <w:tr w:rsidR="00C425C7" w:rsidRPr="00C425C7" w14:paraId="3F32203A" w14:textId="77777777">
        <w:tc>
          <w:tcPr>
            <w:tcW w:w="1465" w:type="dxa"/>
            <w:tcBorders>
              <w:top w:val="single" w:sz="4" w:space="0" w:color="auto"/>
              <w:left w:val="single" w:sz="4" w:space="0" w:color="auto"/>
              <w:bottom w:val="single" w:sz="4" w:space="0" w:color="auto"/>
              <w:right w:val="single" w:sz="4" w:space="0" w:color="auto"/>
            </w:tcBorders>
            <w:hideMark/>
          </w:tcPr>
          <w:p w14:paraId="0F18FE36" w14:textId="77777777" w:rsidR="00C425C7" w:rsidRPr="00C425C7" w:rsidRDefault="00C425C7" w:rsidP="00C425C7">
            <w:pPr>
              <w:spacing w:after="160" w:line="278" w:lineRule="auto"/>
              <w:rPr>
                <w:b/>
                <w:bCs/>
              </w:rPr>
            </w:pPr>
            <w:r w:rsidRPr="00C425C7">
              <w:rPr>
                <w:b/>
                <w:bCs/>
              </w:rPr>
              <w:t>Ratio Category</w:t>
            </w:r>
          </w:p>
        </w:tc>
        <w:tc>
          <w:tcPr>
            <w:tcW w:w="2358" w:type="dxa"/>
            <w:tcBorders>
              <w:top w:val="single" w:sz="4" w:space="0" w:color="auto"/>
              <w:left w:val="single" w:sz="4" w:space="0" w:color="auto"/>
              <w:bottom w:val="single" w:sz="4" w:space="0" w:color="auto"/>
              <w:right w:val="single" w:sz="4" w:space="0" w:color="auto"/>
            </w:tcBorders>
            <w:hideMark/>
          </w:tcPr>
          <w:p w14:paraId="4CDD26BF" w14:textId="77777777" w:rsidR="00C425C7" w:rsidRPr="00C425C7" w:rsidRDefault="00C425C7" w:rsidP="00C425C7">
            <w:pPr>
              <w:spacing w:after="160" w:line="278" w:lineRule="auto"/>
              <w:rPr>
                <w:b/>
                <w:bCs/>
              </w:rPr>
            </w:pPr>
            <w:r w:rsidRPr="00C425C7">
              <w:rPr>
                <w:b/>
                <w:bCs/>
              </w:rPr>
              <w:t>Ratio Name</w:t>
            </w:r>
          </w:p>
        </w:tc>
        <w:tc>
          <w:tcPr>
            <w:tcW w:w="1134" w:type="dxa"/>
            <w:tcBorders>
              <w:top w:val="single" w:sz="4" w:space="0" w:color="auto"/>
              <w:left w:val="single" w:sz="4" w:space="0" w:color="auto"/>
              <w:bottom w:val="single" w:sz="4" w:space="0" w:color="auto"/>
              <w:right w:val="single" w:sz="4" w:space="0" w:color="auto"/>
            </w:tcBorders>
            <w:hideMark/>
          </w:tcPr>
          <w:p w14:paraId="5B245204" w14:textId="77777777" w:rsidR="00C425C7" w:rsidRPr="00C425C7" w:rsidRDefault="00C425C7" w:rsidP="00C425C7">
            <w:pPr>
              <w:spacing w:after="160" w:line="278" w:lineRule="auto"/>
              <w:rPr>
                <w:b/>
                <w:bCs/>
              </w:rPr>
            </w:pPr>
            <w:r w:rsidRPr="00C425C7">
              <w:rPr>
                <w:b/>
                <w:bCs/>
              </w:rPr>
              <w:t>2024</w:t>
            </w:r>
          </w:p>
        </w:tc>
        <w:tc>
          <w:tcPr>
            <w:tcW w:w="1191" w:type="dxa"/>
            <w:tcBorders>
              <w:top w:val="single" w:sz="4" w:space="0" w:color="auto"/>
              <w:left w:val="single" w:sz="4" w:space="0" w:color="auto"/>
              <w:bottom w:val="single" w:sz="4" w:space="0" w:color="auto"/>
              <w:right w:val="single" w:sz="4" w:space="0" w:color="auto"/>
            </w:tcBorders>
            <w:hideMark/>
          </w:tcPr>
          <w:p w14:paraId="1B6B3B1F" w14:textId="77777777" w:rsidR="00C425C7" w:rsidRPr="00C425C7" w:rsidRDefault="00C425C7" w:rsidP="00C425C7">
            <w:pPr>
              <w:spacing w:after="160" w:line="278" w:lineRule="auto"/>
              <w:rPr>
                <w:b/>
                <w:bCs/>
              </w:rPr>
            </w:pPr>
            <w:r w:rsidRPr="00C425C7">
              <w:rPr>
                <w:b/>
                <w:bCs/>
              </w:rPr>
              <w:t>2023</w:t>
            </w:r>
          </w:p>
        </w:tc>
        <w:tc>
          <w:tcPr>
            <w:tcW w:w="0" w:type="auto"/>
            <w:tcBorders>
              <w:top w:val="single" w:sz="4" w:space="0" w:color="auto"/>
              <w:left w:val="single" w:sz="4" w:space="0" w:color="auto"/>
              <w:bottom w:val="single" w:sz="4" w:space="0" w:color="auto"/>
              <w:right w:val="single" w:sz="4" w:space="0" w:color="auto"/>
            </w:tcBorders>
            <w:hideMark/>
          </w:tcPr>
          <w:p w14:paraId="7BC7DBAA" w14:textId="77777777" w:rsidR="00C425C7" w:rsidRPr="00C425C7" w:rsidRDefault="00C425C7" w:rsidP="00C425C7">
            <w:pPr>
              <w:spacing w:after="160" w:line="278" w:lineRule="auto"/>
              <w:rPr>
                <w:b/>
                <w:bCs/>
              </w:rPr>
            </w:pPr>
            <w:r w:rsidRPr="00C425C7">
              <w:rPr>
                <w:b/>
                <w:bCs/>
              </w:rPr>
              <w:t>2022</w:t>
            </w:r>
          </w:p>
        </w:tc>
        <w:tc>
          <w:tcPr>
            <w:tcW w:w="0" w:type="auto"/>
            <w:tcBorders>
              <w:top w:val="single" w:sz="4" w:space="0" w:color="auto"/>
              <w:left w:val="single" w:sz="4" w:space="0" w:color="auto"/>
              <w:bottom w:val="single" w:sz="4" w:space="0" w:color="auto"/>
              <w:right w:val="single" w:sz="4" w:space="0" w:color="auto"/>
            </w:tcBorders>
            <w:hideMark/>
          </w:tcPr>
          <w:p w14:paraId="3D430CEF" w14:textId="77777777" w:rsidR="00C425C7" w:rsidRPr="00C425C7" w:rsidRDefault="00C425C7" w:rsidP="00C425C7">
            <w:pPr>
              <w:spacing w:after="160" w:line="278" w:lineRule="auto"/>
              <w:rPr>
                <w:b/>
                <w:bCs/>
              </w:rPr>
            </w:pPr>
            <w:r w:rsidRPr="00C425C7">
              <w:rPr>
                <w:b/>
                <w:bCs/>
              </w:rPr>
              <w:t>2021</w:t>
            </w:r>
          </w:p>
        </w:tc>
        <w:tc>
          <w:tcPr>
            <w:tcW w:w="0" w:type="auto"/>
            <w:tcBorders>
              <w:top w:val="single" w:sz="4" w:space="0" w:color="auto"/>
              <w:left w:val="single" w:sz="4" w:space="0" w:color="auto"/>
              <w:bottom w:val="single" w:sz="4" w:space="0" w:color="auto"/>
              <w:right w:val="single" w:sz="4" w:space="0" w:color="auto"/>
            </w:tcBorders>
            <w:hideMark/>
          </w:tcPr>
          <w:p w14:paraId="5053F02F" w14:textId="77777777" w:rsidR="00C425C7" w:rsidRPr="00C425C7" w:rsidRDefault="00C425C7" w:rsidP="00C425C7">
            <w:pPr>
              <w:spacing w:after="160" w:line="278" w:lineRule="auto"/>
              <w:rPr>
                <w:b/>
                <w:bCs/>
              </w:rPr>
            </w:pPr>
            <w:r w:rsidRPr="00C425C7">
              <w:rPr>
                <w:b/>
                <w:bCs/>
              </w:rPr>
              <w:t>2020</w:t>
            </w:r>
          </w:p>
        </w:tc>
      </w:tr>
      <w:tr w:rsidR="00C425C7" w:rsidRPr="00C425C7" w14:paraId="2022C1F9" w14:textId="77777777">
        <w:tc>
          <w:tcPr>
            <w:tcW w:w="1465" w:type="dxa"/>
            <w:tcBorders>
              <w:top w:val="single" w:sz="4" w:space="0" w:color="auto"/>
              <w:left w:val="single" w:sz="4" w:space="0" w:color="auto"/>
              <w:bottom w:val="single" w:sz="4" w:space="0" w:color="auto"/>
              <w:right w:val="single" w:sz="4" w:space="0" w:color="auto"/>
            </w:tcBorders>
            <w:hideMark/>
          </w:tcPr>
          <w:p w14:paraId="010B3328" w14:textId="77777777" w:rsidR="00C425C7" w:rsidRPr="00C425C7" w:rsidRDefault="00C425C7" w:rsidP="00C425C7">
            <w:pPr>
              <w:spacing w:after="160" w:line="278" w:lineRule="auto"/>
            </w:pPr>
            <w:r w:rsidRPr="00C425C7">
              <w:rPr>
                <w:b/>
                <w:bCs/>
              </w:rPr>
              <w:t>Profitability</w:t>
            </w:r>
          </w:p>
        </w:tc>
        <w:tc>
          <w:tcPr>
            <w:tcW w:w="2358" w:type="dxa"/>
            <w:tcBorders>
              <w:top w:val="single" w:sz="4" w:space="0" w:color="auto"/>
              <w:left w:val="single" w:sz="4" w:space="0" w:color="auto"/>
              <w:bottom w:val="single" w:sz="4" w:space="0" w:color="auto"/>
              <w:right w:val="single" w:sz="4" w:space="0" w:color="auto"/>
            </w:tcBorders>
            <w:hideMark/>
          </w:tcPr>
          <w:p w14:paraId="25B63018" w14:textId="77777777" w:rsidR="00C425C7" w:rsidRPr="00C425C7" w:rsidRDefault="00C425C7" w:rsidP="00C425C7">
            <w:pPr>
              <w:spacing w:after="160" w:line="278" w:lineRule="auto"/>
            </w:pPr>
            <w:r w:rsidRPr="00C425C7">
              <w:t>Gross Profit Margin</w:t>
            </w:r>
          </w:p>
        </w:tc>
        <w:tc>
          <w:tcPr>
            <w:tcW w:w="1134" w:type="dxa"/>
            <w:tcBorders>
              <w:top w:val="single" w:sz="4" w:space="0" w:color="auto"/>
              <w:left w:val="single" w:sz="4" w:space="0" w:color="auto"/>
              <w:bottom w:val="single" w:sz="4" w:space="0" w:color="auto"/>
              <w:right w:val="single" w:sz="4" w:space="0" w:color="auto"/>
            </w:tcBorders>
            <w:hideMark/>
          </w:tcPr>
          <w:p w14:paraId="595FC2CA" w14:textId="77777777" w:rsidR="00C425C7" w:rsidRPr="00C425C7" w:rsidRDefault="00C425C7" w:rsidP="00C425C7">
            <w:pPr>
              <w:spacing w:after="160" w:line="278" w:lineRule="auto"/>
            </w:pPr>
            <w:r w:rsidRPr="00C425C7">
              <w:t>28.87%</w:t>
            </w:r>
          </w:p>
        </w:tc>
        <w:tc>
          <w:tcPr>
            <w:tcW w:w="1191" w:type="dxa"/>
            <w:tcBorders>
              <w:top w:val="single" w:sz="4" w:space="0" w:color="auto"/>
              <w:left w:val="single" w:sz="4" w:space="0" w:color="auto"/>
              <w:bottom w:val="single" w:sz="4" w:space="0" w:color="auto"/>
              <w:right w:val="single" w:sz="4" w:space="0" w:color="auto"/>
            </w:tcBorders>
            <w:hideMark/>
          </w:tcPr>
          <w:p w14:paraId="49C09BF5" w14:textId="77777777" w:rsidR="00C425C7" w:rsidRPr="00C425C7" w:rsidRDefault="00C425C7" w:rsidP="00C425C7">
            <w:pPr>
              <w:spacing w:after="160" w:line="278" w:lineRule="auto"/>
            </w:pPr>
            <w:r w:rsidRPr="00C425C7">
              <w:t>23.20%</w:t>
            </w:r>
          </w:p>
        </w:tc>
        <w:tc>
          <w:tcPr>
            <w:tcW w:w="0" w:type="auto"/>
            <w:tcBorders>
              <w:top w:val="single" w:sz="4" w:space="0" w:color="auto"/>
              <w:left w:val="single" w:sz="4" w:space="0" w:color="auto"/>
              <w:bottom w:val="single" w:sz="4" w:space="0" w:color="auto"/>
              <w:right w:val="single" w:sz="4" w:space="0" w:color="auto"/>
            </w:tcBorders>
            <w:hideMark/>
          </w:tcPr>
          <w:p w14:paraId="7D2BDC9E" w14:textId="77777777" w:rsidR="00C425C7" w:rsidRPr="00C425C7" w:rsidRDefault="00C425C7" w:rsidP="00C425C7">
            <w:pPr>
              <w:spacing w:after="160" w:line="278" w:lineRule="auto"/>
            </w:pPr>
            <w:r w:rsidRPr="00C425C7">
              <w:t>28.06%</w:t>
            </w:r>
          </w:p>
        </w:tc>
        <w:tc>
          <w:tcPr>
            <w:tcW w:w="0" w:type="auto"/>
            <w:tcBorders>
              <w:top w:val="single" w:sz="4" w:space="0" w:color="auto"/>
              <w:left w:val="single" w:sz="4" w:space="0" w:color="auto"/>
              <w:bottom w:val="single" w:sz="4" w:space="0" w:color="auto"/>
              <w:right w:val="single" w:sz="4" w:space="0" w:color="auto"/>
            </w:tcBorders>
            <w:hideMark/>
          </w:tcPr>
          <w:p w14:paraId="16BB98B4" w14:textId="77777777" w:rsidR="00C425C7" w:rsidRPr="00C425C7" w:rsidRDefault="00C425C7" w:rsidP="00C425C7">
            <w:pPr>
              <w:spacing w:after="160" w:line="278" w:lineRule="auto"/>
            </w:pPr>
            <w:r w:rsidRPr="00C425C7">
              <w:t>28.76%</w:t>
            </w:r>
          </w:p>
        </w:tc>
        <w:tc>
          <w:tcPr>
            <w:tcW w:w="0" w:type="auto"/>
            <w:tcBorders>
              <w:top w:val="single" w:sz="4" w:space="0" w:color="auto"/>
              <w:left w:val="single" w:sz="4" w:space="0" w:color="auto"/>
              <w:bottom w:val="single" w:sz="4" w:space="0" w:color="auto"/>
              <w:right w:val="single" w:sz="4" w:space="0" w:color="auto"/>
            </w:tcBorders>
            <w:hideMark/>
          </w:tcPr>
          <w:p w14:paraId="35DDFC3F" w14:textId="77777777" w:rsidR="00C425C7" w:rsidRPr="00C425C7" w:rsidRDefault="00C425C7" w:rsidP="00C425C7">
            <w:pPr>
              <w:spacing w:after="160" w:line="278" w:lineRule="auto"/>
            </w:pPr>
            <w:r w:rsidRPr="00C425C7">
              <w:t>28.68%</w:t>
            </w:r>
          </w:p>
        </w:tc>
      </w:tr>
      <w:tr w:rsidR="00C425C7" w:rsidRPr="00C425C7" w14:paraId="59461967" w14:textId="77777777">
        <w:tc>
          <w:tcPr>
            <w:tcW w:w="1465" w:type="dxa"/>
            <w:tcBorders>
              <w:top w:val="single" w:sz="4" w:space="0" w:color="auto"/>
              <w:left w:val="single" w:sz="4" w:space="0" w:color="auto"/>
              <w:bottom w:val="single" w:sz="4" w:space="0" w:color="auto"/>
              <w:right w:val="single" w:sz="4" w:space="0" w:color="auto"/>
            </w:tcBorders>
            <w:hideMark/>
          </w:tcPr>
          <w:p w14:paraId="70783310" w14:textId="77777777" w:rsidR="00C425C7" w:rsidRPr="00C425C7" w:rsidRDefault="00C425C7" w:rsidP="00C425C7">
            <w:pPr>
              <w:spacing w:after="160" w:line="278" w:lineRule="auto"/>
            </w:pPr>
          </w:p>
        </w:tc>
        <w:tc>
          <w:tcPr>
            <w:tcW w:w="2358" w:type="dxa"/>
            <w:tcBorders>
              <w:top w:val="single" w:sz="4" w:space="0" w:color="auto"/>
              <w:left w:val="single" w:sz="4" w:space="0" w:color="auto"/>
              <w:bottom w:val="single" w:sz="4" w:space="0" w:color="auto"/>
              <w:right w:val="single" w:sz="4" w:space="0" w:color="auto"/>
            </w:tcBorders>
            <w:hideMark/>
          </w:tcPr>
          <w:p w14:paraId="4E4BE333" w14:textId="77777777" w:rsidR="00C425C7" w:rsidRPr="00C425C7" w:rsidRDefault="00C425C7" w:rsidP="00C425C7">
            <w:pPr>
              <w:spacing w:after="160" w:line="278" w:lineRule="auto"/>
            </w:pPr>
            <w:r w:rsidRPr="00C425C7">
              <w:t>Operating Profit Margin</w:t>
            </w:r>
          </w:p>
        </w:tc>
        <w:tc>
          <w:tcPr>
            <w:tcW w:w="1134" w:type="dxa"/>
            <w:tcBorders>
              <w:top w:val="single" w:sz="4" w:space="0" w:color="auto"/>
              <w:left w:val="single" w:sz="4" w:space="0" w:color="auto"/>
              <w:bottom w:val="single" w:sz="4" w:space="0" w:color="auto"/>
              <w:right w:val="single" w:sz="4" w:space="0" w:color="auto"/>
            </w:tcBorders>
            <w:hideMark/>
          </w:tcPr>
          <w:p w14:paraId="5057F511" w14:textId="77777777" w:rsidR="00C425C7" w:rsidRPr="00C425C7" w:rsidRDefault="00C425C7" w:rsidP="00C425C7">
            <w:pPr>
              <w:spacing w:after="160" w:line="278" w:lineRule="auto"/>
            </w:pPr>
            <w:r w:rsidRPr="00C425C7">
              <w:t>-3.87%</w:t>
            </w:r>
          </w:p>
        </w:tc>
        <w:tc>
          <w:tcPr>
            <w:tcW w:w="1191" w:type="dxa"/>
            <w:tcBorders>
              <w:top w:val="single" w:sz="4" w:space="0" w:color="auto"/>
              <w:left w:val="single" w:sz="4" w:space="0" w:color="auto"/>
              <w:bottom w:val="single" w:sz="4" w:space="0" w:color="auto"/>
              <w:right w:val="single" w:sz="4" w:space="0" w:color="auto"/>
            </w:tcBorders>
            <w:hideMark/>
          </w:tcPr>
          <w:p w14:paraId="59616956" w14:textId="77777777" w:rsidR="00C425C7" w:rsidRPr="00C425C7" w:rsidRDefault="00C425C7" w:rsidP="00C425C7">
            <w:pPr>
              <w:spacing w:after="160" w:line="278" w:lineRule="auto"/>
            </w:pPr>
            <w:r w:rsidRPr="00C425C7">
              <w:t>-20.29%</w:t>
            </w:r>
          </w:p>
        </w:tc>
        <w:tc>
          <w:tcPr>
            <w:tcW w:w="0" w:type="auto"/>
            <w:tcBorders>
              <w:top w:val="single" w:sz="4" w:space="0" w:color="auto"/>
              <w:left w:val="single" w:sz="4" w:space="0" w:color="auto"/>
              <w:bottom w:val="single" w:sz="4" w:space="0" w:color="auto"/>
              <w:right w:val="single" w:sz="4" w:space="0" w:color="auto"/>
            </w:tcBorders>
            <w:hideMark/>
          </w:tcPr>
          <w:p w14:paraId="0912F21F" w14:textId="77777777" w:rsidR="00C425C7" w:rsidRPr="00C425C7" w:rsidRDefault="00C425C7" w:rsidP="00C425C7">
            <w:pPr>
              <w:spacing w:after="160" w:line="278" w:lineRule="auto"/>
            </w:pPr>
            <w:r w:rsidRPr="00C425C7">
              <w:t>2.68%</w:t>
            </w:r>
          </w:p>
        </w:tc>
        <w:tc>
          <w:tcPr>
            <w:tcW w:w="0" w:type="auto"/>
            <w:tcBorders>
              <w:top w:val="single" w:sz="4" w:space="0" w:color="auto"/>
              <w:left w:val="single" w:sz="4" w:space="0" w:color="auto"/>
              <w:bottom w:val="single" w:sz="4" w:space="0" w:color="auto"/>
              <w:right w:val="single" w:sz="4" w:space="0" w:color="auto"/>
            </w:tcBorders>
            <w:hideMark/>
          </w:tcPr>
          <w:p w14:paraId="36DF35A0" w14:textId="77777777" w:rsidR="00C425C7" w:rsidRPr="00C425C7" w:rsidRDefault="00C425C7" w:rsidP="00C425C7">
            <w:pPr>
              <w:spacing w:after="160" w:line="278" w:lineRule="auto"/>
            </w:pPr>
            <w:r w:rsidRPr="00C425C7">
              <w:t>3.87%</w:t>
            </w:r>
          </w:p>
        </w:tc>
        <w:tc>
          <w:tcPr>
            <w:tcW w:w="0" w:type="auto"/>
            <w:tcBorders>
              <w:top w:val="single" w:sz="4" w:space="0" w:color="auto"/>
              <w:left w:val="single" w:sz="4" w:space="0" w:color="auto"/>
              <w:bottom w:val="single" w:sz="4" w:space="0" w:color="auto"/>
              <w:right w:val="single" w:sz="4" w:space="0" w:color="auto"/>
            </w:tcBorders>
            <w:hideMark/>
          </w:tcPr>
          <w:p w14:paraId="2C1914F7" w14:textId="77777777" w:rsidR="00C425C7" w:rsidRPr="00C425C7" w:rsidRDefault="00C425C7" w:rsidP="00C425C7">
            <w:pPr>
              <w:spacing w:after="160" w:line="278" w:lineRule="auto"/>
            </w:pPr>
            <w:r w:rsidRPr="00C425C7">
              <w:t>6.06%</w:t>
            </w:r>
          </w:p>
        </w:tc>
      </w:tr>
      <w:tr w:rsidR="00C425C7" w:rsidRPr="00C425C7" w14:paraId="4045D9B0" w14:textId="77777777">
        <w:tc>
          <w:tcPr>
            <w:tcW w:w="1465" w:type="dxa"/>
            <w:tcBorders>
              <w:top w:val="single" w:sz="4" w:space="0" w:color="auto"/>
              <w:left w:val="single" w:sz="4" w:space="0" w:color="auto"/>
              <w:bottom w:val="single" w:sz="4" w:space="0" w:color="auto"/>
              <w:right w:val="single" w:sz="4" w:space="0" w:color="auto"/>
            </w:tcBorders>
            <w:hideMark/>
          </w:tcPr>
          <w:p w14:paraId="71495DCE" w14:textId="77777777" w:rsidR="00C425C7" w:rsidRPr="00C425C7" w:rsidRDefault="00C425C7" w:rsidP="00C425C7">
            <w:pPr>
              <w:spacing w:after="160" w:line="278" w:lineRule="auto"/>
            </w:pPr>
          </w:p>
        </w:tc>
        <w:tc>
          <w:tcPr>
            <w:tcW w:w="2358" w:type="dxa"/>
            <w:tcBorders>
              <w:top w:val="single" w:sz="4" w:space="0" w:color="auto"/>
              <w:left w:val="single" w:sz="4" w:space="0" w:color="auto"/>
              <w:bottom w:val="single" w:sz="4" w:space="0" w:color="auto"/>
              <w:right w:val="single" w:sz="4" w:space="0" w:color="auto"/>
            </w:tcBorders>
            <w:hideMark/>
          </w:tcPr>
          <w:p w14:paraId="26A09C6D" w14:textId="77777777" w:rsidR="00C425C7" w:rsidRPr="00C425C7" w:rsidRDefault="00C425C7" w:rsidP="00C425C7">
            <w:pPr>
              <w:spacing w:after="160" w:line="278" w:lineRule="auto"/>
            </w:pPr>
            <w:r w:rsidRPr="00C425C7">
              <w:t>Net Profit Margin</w:t>
            </w:r>
          </w:p>
        </w:tc>
        <w:tc>
          <w:tcPr>
            <w:tcW w:w="1134" w:type="dxa"/>
            <w:tcBorders>
              <w:top w:val="single" w:sz="4" w:space="0" w:color="auto"/>
              <w:left w:val="single" w:sz="4" w:space="0" w:color="auto"/>
              <w:bottom w:val="single" w:sz="4" w:space="0" w:color="auto"/>
              <w:right w:val="single" w:sz="4" w:space="0" w:color="auto"/>
            </w:tcBorders>
            <w:hideMark/>
          </w:tcPr>
          <w:p w14:paraId="7A9DCD59" w14:textId="77777777" w:rsidR="00C425C7" w:rsidRPr="00C425C7" w:rsidRDefault="00C425C7" w:rsidP="00C425C7">
            <w:pPr>
              <w:spacing w:after="160" w:line="278" w:lineRule="auto"/>
            </w:pPr>
            <w:r w:rsidRPr="00C425C7">
              <w:t>-6.09%</w:t>
            </w:r>
          </w:p>
        </w:tc>
        <w:tc>
          <w:tcPr>
            <w:tcW w:w="1191" w:type="dxa"/>
            <w:tcBorders>
              <w:top w:val="single" w:sz="4" w:space="0" w:color="auto"/>
              <w:left w:val="single" w:sz="4" w:space="0" w:color="auto"/>
              <w:bottom w:val="single" w:sz="4" w:space="0" w:color="auto"/>
              <w:right w:val="single" w:sz="4" w:space="0" w:color="auto"/>
            </w:tcBorders>
            <w:hideMark/>
          </w:tcPr>
          <w:p w14:paraId="12DBC1AD" w14:textId="77777777" w:rsidR="00C425C7" w:rsidRPr="00C425C7" w:rsidRDefault="00C425C7" w:rsidP="00C425C7">
            <w:pPr>
              <w:spacing w:after="160" w:line="278" w:lineRule="auto"/>
            </w:pPr>
            <w:r w:rsidRPr="00C425C7">
              <w:t>-23.36%</w:t>
            </w:r>
          </w:p>
        </w:tc>
        <w:tc>
          <w:tcPr>
            <w:tcW w:w="0" w:type="auto"/>
            <w:tcBorders>
              <w:top w:val="single" w:sz="4" w:space="0" w:color="auto"/>
              <w:left w:val="single" w:sz="4" w:space="0" w:color="auto"/>
              <w:bottom w:val="single" w:sz="4" w:space="0" w:color="auto"/>
              <w:right w:val="single" w:sz="4" w:space="0" w:color="auto"/>
            </w:tcBorders>
            <w:hideMark/>
          </w:tcPr>
          <w:p w14:paraId="13A1C485" w14:textId="77777777" w:rsidR="00C425C7" w:rsidRPr="00C425C7" w:rsidRDefault="00C425C7" w:rsidP="00C425C7">
            <w:pPr>
              <w:spacing w:after="160" w:line="278" w:lineRule="auto"/>
            </w:pPr>
            <w:r w:rsidRPr="00C425C7">
              <w:t>0.07%</w:t>
            </w:r>
          </w:p>
        </w:tc>
        <w:tc>
          <w:tcPr>
            <w:tcW w:w="0" w:type="auto"/>
            <w:tcBorders>
              <w:top w:val="single" w:sz="4" w:space="0" w:color="auto"/>
              <w:left w:val="single" w:sz="4" w:space="0" w:color="auto"/>
              <w:bottom w:val="single" w:sz="4" w:space="0" w:color="auto"/>
              <w:right w:val="single" w:sz="4" w:space="0" w:color="auto"/>
            </w:tcBorders>
            <w:hideMark/>
          </w:tcPr>
          <w:p w14:paraId="3FFCDE69" w14:textId="77777777" w:rsidR="00C425C7" w:rsidRPr="00C425C7" w:rsidRDefault="00C425C7" w:rsidP="00C425C7">
            <w:pPr>
              <w:spacing w:after="160" w:line="278" w:lineRule="auto"/>
            </w:pPr>
            <w:r w:rsidRPr="00C425C7">
              <w:t>0.88%</w:t>
            </w:r>
          </w:p>
        </w:tc>
        <w:tc>
          <w:tcPr>
            <w:tcW w:w="0" w:type="auto"/>
            <w:tcBorders>
              <w:top w:val="single" w:sz="4" w:space="0" w:color="auto"/>
              <w:left w:val="single" w:sz="4" w:space="0" w:color="auto"/>
              <w:bottom w:val="single" w:sz="4" w:space="0" w:color="auto"/>
              <w:right w:val="single" w:sz="4" w:space="0" w:color="auto"/>
            </w:tcBorders>
            <w:hideMark/>
          </w:tcPr>
          <w:p w14:paraId="62ED2F8B" w14:textId="77777777" w:rsidR="00C425C7" w:rsidRPr="00C425C7" w:rsidRDefault="00C425C7" w:rsidP="00C425C7">
            <w:pPr>
              <w:spacing w:after="160" w:line="278" w:lineRule="auto"/>
            </w:pPr>
            <w:r w:rsidRPr="00C425C7">
              <w:t>6.28%</w:t>
            </w:r>
          </w:p>
        </w:tc>
      </w:tr>
      <w:tr w:rsidR="00C425C7" w:rsidRPr="00C425C7" w14:paraId="322611B2" w14:textId="77777777">
        <w:tc>
          <w:tcPr>
            <w:tcW w:w="1465" w:type="dxa"/>
            <w:tcBorders>
              <w:top w:val="single" w:sz="4" w:space="0" w:color="auto"/>
              <w:left w:val="single" w:sz="4" w:space="0" w:color="auto"/>
              <w:bottom w:val="single" w:sz="4" w:space="0" w:color="auto"/>
              <w:right w:val="single" w:sz="4" w:space="0" w:color="auto"/>
            </w:tcBorders>
            <w:hideMark/>
          </w:tcPr>
          <w:p w14:paraId="52BD07E2" w14:textId="77777777" w:rsidR="00C425C7" w:rsidRPr="00C425C7" w:rsidRDefault="00C425C7" w:rsidP="00C425C7">
            <w:pPr>
              <w:spacing w:after="160" w:line="278" w:lineRule="auto"/>
            </w:pPr>
          </w:p>
        </w:tc>
        <w:tc>
          <w:tcPr>
            <w:tcW w:w="2358" w:type="dxa"/>
            <w:tcBorders>
              <w:top w:val="single" w:sz="4" w:space="0" w:color="auto"/>
              <w:left w:val="single" w:sz="4" w:space="0" w:color="auto"/>
              <w:bottom w:val="single" w:sz="4" w:space="0" w:color="auto"/>
              <w:right w:val="single" w:sz="4" w:space="0" w:color="auto"/>
            </w:tcBorders>
            <w:hideMark/>
          </w:tcPr>
          <w:p w14:paraId="38E445DD" w14:textId="77777777" w:rsidR="00C425C7" w:rsidRPr="00C425C7" w:rsidRDefault="00C425C7" w:rsidP="00C425C7">
            <w:pPr>
              <w:spacing w:after="160" w:line="278" w:lineRule="auto"/>
            </w:pPr>
            <w:r w:rsidRPr="00C425C7">
              <w:t>Return on Equity (ROE)</w:t>
            </w:r>
          </w:p>
        </w:tc>
        <w:tc>
          <w:tcPr>
            <w:tcW w:w="1134" w:type="dxa"/>
            <w:tcBorders>
              <w:top w:val="single" w:sz="4" w:space="0" w:color="auto"/>
              <w:left w:val="single" w:sz="4" w:space="0" w:color="auto"/>
              <w:bottom w:val="single" w:sz="4" w:space="0" w:color="auto"/>
              <w:right w:val="single" w:sz="4" w:space="0" w:color="auto"/>
            </w:tcBorders>
            <w:hideMark/>
          </w:tcPr>
          <w:p w14:paraId="2859042E" w14:textId="77777777" w:rsidR="00C425C7" w:rsidRPr="00C425C7" w:rsidRDefault="00C425C7" w:rsidP="00C425C7">
            <w:pPr>
              <w:spacing w:after="160" w:line="278" w:lineRule="auto"/>
            </w:pPr>
            <w:r w:rsidRPr="00C425C7">
              <w:t>-15.69%</w:t>
            </w:r>
          </w:p>
        </w:tc>
        <w:tc>
          <w:tcPr>
            <w:tcW w:w="1191" w:type="dxa"/>
            <w:tcBorders>
              <w:top w:val="single" w:sz="4" w:space="0" w:color="auto"/>
              <w:left w:val="single" w:sz="4" w:space="0" w:color="auto"/>
              <w:bottom w:val="single" w:sz="4" w:space="0" w:color="auto"/>
              <w:right w:val="single" w:sz="4" w:space="0" w:color="auto"/>
            </w:tcBorders>
            <w:hideMark/>
          </w:tcPr>
          <w:p w14:paraId="7A022AD4" w14:textId="77777777" w:rsidR="00C425C7" w:rsidRPr="00C425C7" w:rsidRDefault="00C425C7" w:rsidP="00C425C7">
            <w:pPr>
              <w:spacing w:after="160" w:line="278" w:lineRule="auto"/>
            </w:pPr>
            <w:r w:rsidRPr="00C425C7">
              <w:t>-54.91%</w:t>
            </w:r>
          </w:p>
        </w:tc>
        <w:tc>
          <w:tcPr>
            <w:tcW w:w="0" w:type="auto"/>
            <w:tcBorders>
              <w:top w:val="single" w:sz="4" w:space="0" w:color="auto"/>
              <w:left w:val="single" w:sz="4" w:space="0" w:color="auto"/>
              <w:bottom w:val="single" w:sz="4" w:space="0" w:color="auto"/>
              <w:right w:val="single" w:sz="4" w:space="0" w:color="auto"/>
            </w:tcBorders>
            <w:hideMark/>
          </w:tcPr>
          <w:p w14:paraId="40320A37" w14:textId="77777777" w:rsidR="00C425C7" w:rsidRPr="00C425C7" w:rsidRDefault="00C425C7" w:rsidP="00C425C7">
            <w:pPr>
              <w:spacing w:after="160" w:line="278" w:lineRule="auto"/>
            </w:pPr>
            <w:r w:rsidRPr="00C425C7">
              <w:t>0.15%</w:t>
            </w:r>
          </w:p>
        </w:tc>
        <w:tc>
          <w:tcPr>
            <w:tcW w:w="0" w:type="auto"/>
            <w:tcBorders>
              <w:top w:val="single" w:sz="4" w:space="0" w:color="auto"/>
              <w:left w:val="single" w:sz="4" w:space="0" w:color="auto"/>
              <w:bottom w:val="single" w:sz="4" w:space="0" w:color="auto"/>
              <w:right w:val="single" w:sz="4" w:space="0" w:color="auto"/>
            </w:tcBorders>
            <w:hideMark/>
          </w:tcPr>
          <w:p w14:paraId="5ABEBBEB" w14:textId="77777777" w:rsidR="00C425C7" w:rsidRPr="00C425C7" w:rsidRDefault="00C425C7" w:rsidP="00C425C7">
            <w:pPr>
              <w:spacing w:after="160" w:line="278" w:lineRule="auto"/>
            </w:pPr>
            <w:r w:rsidRPr="00C425C7">
              <w:t>1.92%</w:t>
            </w:r>
          </w:p>
        </w:tc>
        <w:tc>
          <w:tcPr>
            <w:tcW w:w="0" w:type="auto"/>
            <w:tcBorders>
              <w:top w:val="single" w:sz="4" w:space="0" w:color="auto"/>
              <w:left w:val="single" w:sz="4" w:space="0" w:color="auto"/>
              <w:bottom w:val="single" w:sz="4" w:space="0" w:color="auto"/>
              <w:right w:val="single" w:sz="4" w:space="0" w:color="auto"/>
            </w:tcBorders>
            <w:hideMark/>
          </w:tcPr>
          <w:p w14:paraId="623BFB57" w14:textId="77777777" w:rsidR="00C425C7" w:rsidRPr="00C425C7" w:rsidRDefault="00C425C7" w:rsidP="00C425C7">
            <w:pPr>
              <w:spacing w:after="160" w:line="278" w:lineRule="auto"/>
            </w:pPr>
            <w:r w:rsidRPr="00C425C7">
              <w:t>12.31%</w:t>
            </w:r>
          </w:p>
        </w:tc>
      </w:tr>
      <w:tr w:rsidR="00C425C7" w:rsidRPr="00C425C7" w14:paraId="2DE0FE9F" w14:textId="77777777">
        <w:tc>
          <w:tcPr>
            <w:tcW w:w="1465" w:type="dxa"/>
            <w:tcBorders>
              <w:top w:val="single" w:sz="4" w:space="0" w:color="auto"/>
              <w:left w:val="single" w:sz="4" w:space="0" w:color="auto"/>
              <w:bottom w:val="single" w:sz="4" w:space="0" w:color="auto"/>
              <w:right w:val="single" w:sz="4" w:space="0" w:color="auto"/>
            </w:tcBorders>
            <w:hideMark/>
          </w:tcPr>
          <w:p w14:paraId="7981B260" w14:textId="77777777" w:rsidR="00C425C7" w:rsidRPr="00C425C7" w:rsidRDefault="00C425C7" w:rsidP="00C425C7">
            <w:pPr>
              <w:spacing w:after="160" w:line="278" w:lineRule="auto"/>
            </w:pPr>
            <w:r w:rsidRPr="00C425C7">
              <w:rPr>
                <w:b/>
                <w:bCs/>
              </w:rPr>
              <w:t>Liquidity</w:t>
            </w:r>
          </w:p>
        </w:tc>
        <w:tc>
          <w:tcPr>
            <w:tcW w:w="2358" w:type="dxa"/>
            <w:tcBorders>
              <w:top w:val="single" w:sz="4" w:space="0" w:color="auto"/>
              <w:left w:val="single" w:sz="4" w:space="0" w:color="auto"/>
              <w:bottom w:val="single" w:sz="4" w:space="0" w:color="auto"/>
              <w:right w:val="single" w:sz="4" w:space="0" w:color="auto"/>
            </w:tcBorders>
            <w:hideMark/>
          </w:tcPr>
          <w:p w14:paraId="7FA50F79" w14:textId="77777777" w:rsidR="00C425C7" w:rsidRPr="00C425C7" w:rsidRDefault="00C425C7" w:rsidP="00C425C7">
            <w:pPr>
              <w:spacing w:after="160" w:line="278" w:lineRule="auto"/>
            </w:pPr>
            <w:r w:rsidRPr="00C425C7">
              <w:t>Current Ratio</w:t>
            </w:r>
          </w:p>
        </w:tc>
        <w:tc>
          <w:tcPr>
            <w:tcW w:w="1134" w:type="dxa"/>
            <w:tcBorders>
              <w:top w:val="single" w:sz="4" w:space="0" w:color="auto"/>
              <w:left w:val="single" w:sz="4" w:space="0" w:color="auto"/>
              <w:bottom w:val="single" w:sz="4" w:space="0" w:color="auto"/>
              <w:right w:val="single" w:sz="4" w:space="0" w:color="auto"/>
            </w:tcBorders>
            <w:hideMark/>
          </w:tcPr>
          <w:p w14:paraId="7A4F85DF" w14:textId="77777777" w:rsidR="00C425C7" w:rsidRPr="00C425C7" w:rsidRDefault="00C425C7" w:rsidP="00C425C7">
            <w:pPr>
              <w:spacing w:after="160" w:line="278" w:lineRule="auto"/>
            </w:pPr>
            <w:r w:rsidRPr="00C425C7">
              <w:t>1.53</w:t>
            </w:r>
          </w:p>
        </w:tc>
        <w:tc>
          <w:tcPr>
            <w:tcW w:w="1191" w:type="dxa"/>
            <w:tcBorders>
              <w:top w:val="single" w:sz="4" w:space="0" w:color="auto"/>
              <w:left w:val="single" w:sz="4" w:space="0" w:color="auto"/>
              <w:bottom w:val="single" w:sz="4" w:space="0" w:color="auto"/>
              <w:right w:val="single" w:sz="4" w:space="0" w:color="auto"/>
            </w:tcBorders>
            <w:hideMark/>
          </w:tcPr>
          <w:p w14:paraId="57CFB206" w14:textId="77777777" w:rsidR="00C425C7" w:rsidRPr="00C425C7" w:rsidRDefault="00C425C7" w:rsidP="00C425C7">
            <w:pPr>
              <w:spacing w:after="160" w:line="278" w:lineRule="auto"/>
            </w:pPr>
            <w:r w:rsidRPr="00C425C7">
              <w:t>1.61</w:t>
            </w:r>
          </w:p>
        </w:tc>
        <w:tc>
          <w:tcPr>
            <w:tcW w:w="0" w:type="auto"/>
            <w:tcBorders>
              <w:top w:val="single" w:sz="4" w:space="0" w:color="auto"/>
              <w:left w:val="single" w:sz="4" w:space="0" w:color="auto"/>
              <w:bottom w:val="single" w:sz="4" w:space="0" w:color="auto"/>
              <w:right w:val="single" w:sz="4" w:space="0" w:color="auto"/>
            </w:tcBorders>
            <w:hideMark/>
          </w:tcPr>
          <w:p w14:paraId="55ED6D51" w14:textId="77777777" w:rsidR="00C425C7" w:rsidRPr="00C425C7" w:rsidRDefault="00C425C7" w:rsidP="00C425C7">
            <w:pPr>
              <w:spacing w:after="160" w:line="278" w:lineRule="auto"/>
            </w:pPr>
            <w:r w:rsidRPr="00C425C7">
              <w:t>1.56</w:t>
            </w:r>
          </w:p>
        </w:tc>
        <w:tc>
          <w:tcPr>
            <w:tcW w:w="0" w:type="auto"/>
            <w:tcBorders>
              <w:top w:val="single" w:sz="4" w:space="0" w:color="auto"/>
              <w:left w:val="single" w:sz="4" w:space="0" w:color="auto"/>
              <w:bottom w:val="single" w:sz="4" w:space="0" w:color="auto"/>
              <w:right w:val="single" w:sz="4" w:space="0" w:color="auto"/>
            </w:tcBorders>
            <w:hideMark/>
          </w:tcPr>
          <w:p w14:paraId="10878DCD" w14:textId="77777777" w:rsidR="00C425C7" w:rsidRPr="00C425C7" w:rsidRDefault="00C425C7" w:rsidP="00C425C7">
            <w:pPr>
              <w:spacing w:after="160" w:line="278" w:lineRule="auto"/>
            </w:pPr>
            <w:r w:rsidRPr="00C425C7">
              <w:t>1.56</w:t>
            </w:r>
          </w:p>
        </w:tc>
        <w:tc>
          <w:tcPr>
            <w:tcW w:w="0" w:type="auto"/>
            <w:tcBorders>
              <w:top w:val="single" w:sz="4" w:space="0" w:color="auto"/>
              <w:left w:val="single" w:sz="4" w:space="0" w:color="auto"/>
              <w:bottom w:val="single" w:sz="4" w:space="0" w:color="auto"/>
              <w:right w:val="single" w:sz="4" w:space="0" w:color="auto"/>
            </w:tcBorders>
            <w:hideMark/>
          </w:tcPr>
          <w:p w14:paraId="3B57AEFD" w14:textId="77777777" w:rsidR="00C425C7" w:rsidRPr="00C425C7" w:rsidRDefault="00C425C7" w:rsidP="00C425C7">
            <w:pPr>
              <w:spacing w:after="160" w:line="278" w:lineRule="auto"/>
            </w:pPr>
            <w:r w:rsidRPr="00C425C7">
              <w:t>1.82</w:t>
            </w:r>
          </w:p>
        </w:tc>
      </w:tr>
      <w:tr w:rsidR="00C425C7" w:rsidRPr="00C425C7" w14:paraId="5E9DEED9" w14:textId="77777777">
        <w:tc>
          <w:tcPr>
            <w:tcW w:w="1465" w:type="dxa"/>
            <w:tcBorders>
              <w:top w:val="single" w:sz="4" w:space="0" w:color="auto"/>
              <w:left w:val="single" w:sz="4" w:space="0" w:color="auto"/>
              <w:bottom w:val="single" w:sz="4" w:space="0" w:color="auto"/>
              <w:right w:val="single" w:sz="4" w:space="0" w:color="auto"/>
            </w:tcBorders>
            <w:hideMark/>
          </w:tcPr>
          <w:p w14:paraId="2B94E404" w14:textId="77777777" w:rsidR="00C425C7" w:rsidRPr="00C425C7" w:rsidRDefault="00C425C7" w:rsidP="00C425C7">
            <w:pPr>
              <w:spacing w:after="160" w:line="278" w:lineRule="auto"/>
            </w:pPr>
          </w:p>
        </w:tc>
        <w:tc>
          <w:tcPr>
            <w:tcW w:w="2358" w:type="dxa"/>
            <w:tcBorders>
              <w:top w:val="single" w:sz="4" w:space="0" w:color="auto"/>
              <w:left w:val="single" w:sz="4" w:space="0" w:color="auto"/>
              <w:bottom w:val="single" w:sz="4" w:space="0" w:color="auto"/>
              <w:right w:val="single" w:sz="4" w:space="0" w:color="auto"/>
            </w:tcBorders>
            <w:hideMark/>
          </w:tcPr>
          <w:p w14:paraId="09FC4785" w14:textId="77777777" w:rsidR="00C425C7" w:rsidRPr="00C425C7" w:rsidRDefault="00C425C7" w:rsidP="00C425C7">
            <w:pPr>
              <w:spacing w:after="160" w:line="278" w:lineRule="auto"/>
            </w:pPr>
            <w:r w:rsidRPr="00C425C7">
              <w:t>Quick Ratio (Acid-Test)</w:t>
            </w:r>
          </w:p>
        </w:tc>
        <w:tc>
          <w:tcPr>
            <w:tcW w:w="1134" w:type="dxa"/>
            <w:tcBorders>
              <w:top w:val="single" w:sz="4" w:space="0" w:color="auto"/>
              <w:left w:val="single" w:sz="4" w:space="0" w:color="auto"/>
              <w:bottom w:val="single" w:sz="4" w:space="0" w:color="auto"/>
              <w:right w:val="single" w:sz="4" w:space="0" w:color="auto"/>
            </w:tcBorders>
            <w:hideMark/>
          </w:tcPr>
          <w:p w14:paraId="2E507988" w14:textId="77777777" w:rsidR="00C425C7" w:rsidRPr="00C425C7" w:rsidRDefault="00C425C7" w:rsidP="00C425C7">
            <w:pPr>
              <w:spacing w:after="160" w:line="278" w:lineRule="auto"/>
            </w:pPr>
            <w:r w:rsidRPr="00C425C7">
              <w:t>1.03</w:t>
            </w:r>
          </w:p>
        </w:tc>
        <w:tc>
          <w:tcPr>
            <w:tcW w:w="1191" w:type="dxa"/>
            <w:tcBorders>
              <w:top w:val="single" w:sz="4" w:space="0" w:color="auto"/>
              <w:left w:val="single" w:sz="4" w:space="0" w:color="auto"/>
              <w:bottom w:val="single" w:sz="4" w:space="0" w:color="auto"/>
              <w:right w:val="single" w:sz="4" w:space="0" w:color="auto"/>
            </w:tcBorders>
            <w:hideMark/>
          </w:tcPr>
          <w:p w14:paraId="6053236E" w14:textId="77777777" w:rsidR="00C425C7" w:rsidRPr="00C425C7" w:rsidRDefault="00C425C7" w:rsidP="00C425C7">
            <w:pPr>
              <w:spacing w:after="160" w:line="278" w:lineRule="auto"/>
            </w:pPr>
            <w:r w:rsidRPr="00C425C7">
              <w:t>1.06</w:t>
            </w:r>
          </w:p>
        </w:tc>
        <w:tc>
          <w:tcPr>
            <w:tcW w:w="0" w:type="auto"/>
            <w:tcBorders>
              <w:top w:val="single" w:sz="4" w:space="0" w:color="auto"/>
              <w:left w:val="single" w:sz="4" w:space="0" w:color="auto"/>
              <w:bottom w:val="single" w:sz="4" w:space="0" w:color="auto"/>
              <w:right w:val="single" w:sz="4" w:space="0" w:color="auto"/>
            </w:tcBorders>
            <w:hideMark/>
          </w:tcPr>
          <w:p w14:paraId="708328AC" w14:textId="77777777" w:rsidR="00C425C7" w:rsidRPr="00C425C7" w:rsidRDefault="00C425C7" w:rsidP="00C425C7">
            <w:pPr>
              <w:spacing w:after="160" w:line="278" w:lineRule="auto"/>
            </w:pPr>
            <w:r w:rsidRPr="00C425C7">
              <w:t>0.91</w:t>
            </w:r>
          </w:p>
        </w:tc>
        <w:tc>
          <w:tcPr>
            <w:tcW w:w="0" w:type="auto"/>
            <w:tcBorders>
              <w:top w:val="single" w:sz="4" w:space="0" w:color="auto"/>
              <w:left w:val="single" w:sz="4" w:space="0" w:color="auto"/>
              <w:bottom w:val="single" w:sz="4" w:space="0" w:color="auto"/>
              <w:right w:val="single" w:sz="4" w:space="0" w:color="auto"/>
            </w:tcBorders>
            <w:hideMark/>
          </w:tcPr>
          <w:p w14:paraId="72BC3608" w14:textId="77777777" w:rsidR="00C425C7" w:rsidRPr="00C425C7" w:rsidRDefault="00C425C7" w:rsidP="00C425C7">
            <w:pPr>
              <w:spacing w:after="160" w:line="278" w:lineRule="auto"/>
            </w:pPr>
            <w:r w:rsidRPr="00C425C7">
              <w:t>0.93</w:t>
            </w:r>
          </w:p>
        </w:tc>
        <w:tc>
          <w:tcPr>
            <w:tcW w:w="0" w:type="auto"/>
            <w:tcBorders>
              <w:top w:val="single" w:sz="4" w:space="0" w:color="auto"/>
              <w:left w:val="single" w:sz="4" w:space="0" w:color="auto"/>
              <w:bottom w:val="single" w:sz="4" w:space="0" w:color="auto"/>
              <w:right w:val="single" w:sz="4" w:space="0" w:color="auto"/>
            </w:tcBorders>
            <w:hideMark/>
          </w:tcPr>
          <w:p w14:paraId="3971D24F" w14:textId="77777777" w:rsidR="00C425C7" w:rsidRPr="00C425C7" w:rsidRDefault="00C425C7" w:rsidP="00C425C7">
            <w:pPr>
              <w:spacing w:after="160" w:line="278" w:lineRule="auto"/>
            </w:pPr>
            <w:r w:rsidRPr="00C425C7">
              <w:t>1.15</w:t>
            </w:r>
          </w:p>
        </w:tc>
      </w:tr>
      <w:tr w:rsidR="00C425C7" w:rsidRPr="00C425C7" w14:paraId="68D4698C" w14:textId="77777777">
        <w:tc>
          <w:tcPr>
            <w:tcW w:w="1465" w:type="dxa"/>
            <w:tcBorders>
              <w:top w:val="single" w:sz="4" w:space="0" w:color="auto"/>
              <w:left w:val="single" w:sz="4" w:space="0" w:color="auto"/>
              <w:bottom w:val="single" w:sz="4" w:space="0" w:color="auto"/>
              <w:right w:val="single" w:sz="4" w:space="0" w:color="auto"/>
            </w:tcBorders>
            <w:hideMark/>
          </w:tcPr>
          <w:p w14:paraId="6BE0E5FA" w14:textId="77777777" w:rsidR="00C425C7" w:rsidRPr="00C425C7" w:rsidRDefault="00C425C7" w:rsidP="00C425C7">
            <w:pPr>
              <w:spacing w:after="160" w:line="278" w:lineRule="auto"/>
            </w:pPr>
            <w:r w:rsidRPr="00C425C7">
              <w:rPr>
                <w:b/>
                <w:bCs/>
              </w:rPr>
              <w:t>Efficiency</w:t>
            </w:r>
          </w:p>
        </w:tc>
        <w:tc>
          <w:tcPr>
            <w:tcW w:w="2358" w:type="dxa"/>
            <w:tcBorders>
              <w:top w:val="single" w:sz="4" w:space="0" w:color="auto"/>
              <w:left w:val="single" w:sz="4" w:space="0" w:color="auto"/>
              <w:bottom w:val="single" w:sz="4" w:space="0" w:color="auto"/>
              <w:right w:val="single" w:sz="4" w:space="0" w:color="auto"/>
            </w:tcBorders>
            <w:hideMark/>
          </w:tcPr>
          <w:p w14:paraId="2DE39E49" w14:textId="77777777" w:rsidR="00C425C7" w:rsidRPr="00C425C7" w:rsidRDefault="00C425C7" w:rsidP="00C425C7">
            <w:pPr>
              <w:spacing w:after="160" w:line="278" w:lineRule="auto"/>
            </w:pPr>
            <w:r w:rsidRPr="00C425C7">
              <w:t>Days Inventory O/S (DIO)</w:t>
            </w:r>
          </w:p>
        </w:tc>
        <w:tc>
          <w:tcPr>
            <w:tcW w:w="1134" w:type="dxa"/>
            <w:tcBorders>
              <w:top w:val="single" w:sz="4" w:space="0" w:color="auto"/>
              <w:left w:val="single" w:sz="4" w:space="0" w:color="auto"/>
              <w:bottom w:val="single" w:sz="4" w:space="0" w:color="auto"/>
              <w:right w:val="single" w:sz="4" w:space="0" w:color="auto"/>
            </w:tcBorders>
            <w:hideMark/>
          </w:tcPr>
          <w:p w14:paraId="103C10BE" w14:textId="77777777" w:rsidR="00C425C7" w:rsidRPr="00C425C7" w:rsidRDefault="00C425C7" w:rsidP="00C425C7">
            <w:pPr>
              <w:spacing w:after="160" w:line="278" w:lineRule="auto"/>
            </w:pPr>
            <w:r w:rsidRPr="00C425C7">
              <w:t>103.1</w:t>
            </w:r>
          </w:p>
        </w:tc>
        <w:tc>
          <w:tcPr>
            <w:tcW w:w="1191" w:type="dxa"/>
            <w:tcBorders>
              <w:top w:val="single" w:sz="4" w:space="0" w:color="auto"/>
              <w:left w:val="single" w:sz="4" w:space="0" w:color="auto"/>
              <w:bottom w:val="single" w:sz="4" w:space="0" w:color="auto"/>
              <w:right w:val="single" w:sz="4" w:space="0" w:color="auto"/>
            </w:tcBorders>
            <w:hideMark/>
          </w:tcPr>
          <w:p w14:paraId="6B5B01AB" w14:textId="77777777" w:rsidR="00C425C7" w:rsidRPr="00C425C7" w:rsidRDefault="00C425C7" w:rsidP="00C425C7">
            <w:pPr>
              <w:spacing w:after="160" w:line="278" w:lineRule="auto"/>
            </w:pPr>
            <w:r w:rsidRPr="00C425C7">
              <w:t>99.8</w:t>
            </w:r>
          </w:p>
        </w:tc>
        <w:tc>
          <w:tcPr>
            <w:tcW w:w="0" w:type="auto"/>
            <w:tcBorders>
              <w:top w:val="single" w:sz="4" w:space="0" w:color="auto"/>
              <w:left w:val="single" w:sz="4" w:space="0" w:color="auto"/>
              <w:bottom w:val="single" w:sz="4" w:space="0" w:color="auto"/>
              <w:right w:val="single" w:sz="4" w:space="0" w:color="auto"/>
            </w:tcBorders>
            <w:hideMark/>
          </w:tcPr>
          <w:p w14:paraId="1D5BE340" w14:textId="77777777" w:rsidR="00C425C7" w:rsidRPr="00C425C7" w:rsidRDefault="00C425C7" w:rsidP="00C425C7">
            <w:pPr>
              <w:spacing w:after="160" w:line="278" w:lineRule="auto"/>
            </w:pPr>
            <w:r w:rsidRPr="00C425C7">
              <w:t>131.0</w:t>
            </w:r>
          </w:p>
        </w:tc>
        <w:tc>
          <w:tcPr>
            <w:tcW w:w="0" w:type="auto"/>
            <w:tcBorders>
              <w:top w:val="single" w:sz="4" w:space="0" w:color="auto"/>
              <w:left w:val="single" w:sz="4" w:space="0" w:color="auto"/>
              <w:bottom w:val="single" w:sz="4" w:space="0" w:color="auto"/>
              <w:right w:val="single" w:sz="4" w:space="0" w:color="auto"/>
            </w:tcBorders>
            <w:hideMark/>
          </w:tcPr>
          <w:p w14:paraId="6929D7E7" w14:textId="77777777" w:rsidR="00C425C7" w:rsidRPr="00C425C7" w:rsidRDefault="00C425C7" w:rsidP="00C425C7">
            <w:pPr>
              <w:spacing w:after="160" w:line="278" w:lineRule="auto"/>
            </w:pPr>
            <w:r w:rsidRPr="00C425C7">
              <w:t>114.5</w:t>
            </w:r>
          </w:p>
        </w:tc>
        <w:tc>
          <w:tcPr>
            <w:tcW w:w="0" w:type="auto"/>
            <w:tcBorders>
              <w:top w:val="single" w:sz="4" w:space="0" w:color="auto"/>
              <w:left w:val="single" w:sz="4" w:space="0" w:color="auto"/>
              <w:bottom w:val="single" w:sz="4" w:space="0" w:color="auto"/>
              <w:right w:val="single" w:sz="4" w:space="0" w:color="auto"/>
            </w:tcBorders>
            <w:hideMark/>
          </w:tcPr>
          <w:p w14:paraId="054CA7F7" w14:textId="77777777" w:rsidR="00C425C7" w:rsidRPr="00C425C7" w:rsidRDefault="00C425C7" w:rsidP="00C425C7">
            <w:pPr>
              <w:spacing w:after="160" w:line="278" w:lineRule="auto"/>
            </w:pPr>
            <w:r w:rsidRPr="00C425C7">
              <w:t>100.2</w:t>
            </w:r>
          </w:p>
        </w:tc>
      </w:tr>
      <w:tr w:rsidR="00C425C7" w:rsidRPr="00C425C7" w14:paraId="020436E3" w14:textId="77777777">
        <w:tc>
          <w:tcPr>
            <w:tcW w:w="1465" w:type="dxa"/>
            <w:tcBorders>
              <w:top w:val="single" w:sz="4" w:space="0" w:color="auto"/>
              <w:left w:val="single" w:sz="4" w:space="0" w:color="auto"/>
              <w:bottom w:val="single" w:sz="4" w:space="0" w:color="auto"/>
              <w:right w:val="single" w:sz="4" w:space="0" w:color="auto"/>
            </w:tcBorders>
            <w:hideMark/>
          </w:tcPr>
          <w:p w14:paraId="37E21041" w14:textId="77777777" w:rsidR="00C425C7" w:rsidRPr="00C425C7" w:rsidRDefault="00C425C7" w:rsidP="00C425C7">
            <w:pPr>
              <w:spacing w:after="160" w:line="278" w:lineRule="auto"/>
            </w:pPr>
          </w:p>
        </w:tc>
        <w:tc>
          <w:tcPr>
            <w:tcW w:w="2358" w:type="dxa"/>
            <w:tcBorders>
              <w:top w:val="single" w:sz="4" w:space="0" w:color="auto"/>
              <w:left w:val="single" w:sz="4" w:space="0" w:color="auto"/>
              <w:bottom w:val="single" w:sz="4" w:space="0" w:color="auto"/>
              <w:right w:val="single" w:sz="4" w:space="0" w:color="auto"/>
            </w:tcBorders>
            <w:hideMark/>
          </w:tcPr>
          <w:p w14:paraId="769652C5" w14:textId="77777777" w:rsidR="00C425C7" w:rsidRPr="00C425C7" w:rsidRDefault="00C425C7" w:rsidP="00C425C7">
            <w:pPr>
              <w:spacing w:after="160" w:line="278" w:lineRule="auto"/>
            </w:pPr>
            <w:r w:rsidRPr="00C425C7">
              <w:t>Days Sales O/S (DSO)</w:t>
            </w:r>
          </w:p>
        </w:tc>
        <w:tc>
          <w:tcPr>
            <w:tcW w:w="1134" w:type="dxa"/>
            <w:tcBorders>
              <w:top w:val="single" w:sz="4" w:space="0" w:color="auto"/>
              <w:left w:val="single" w:sz="4" w:space="0" w:color="auto"/>
              <w:bottom w:val="single" w:sz="4" w:space="0" w:color="auto"/>
              <w:right w:val="single" w:sz="4" w:space="0" w:color="auto"/>
            </w:tcBorders>
            <w:hideMark/>
          </w:tcPr>
          <w:p w14:paraId="7FF24281" w14:textId="77777777" w:rsidR="00C425C7" w:rsidRPr="00C425C7" w:rsidRDefault="00C425C7" w:rsidP="00C425C7">
            <w:pPr>
              <w:spacing w:after="160" w:line="278" w:lineRule="auto"/>
            </w:pPr>
            <w:r w:rsidRPr="00C425C7">
              <w:t>105.5</w:t>
            </w:r>
          </w:p>
        </w:tc>
        <w:tc>
          <w:tcPr>
            <w:tcW w:w="1191" w:type="dxa"/>
            <w:tcBorders>
              <w:top w:val="single" w:sz="4" w:space="0" w:color="auto"/>
              <w:left w:val="single" w:sz="4" w:space="0" w:color="auto"/>
              <w:bottom w:val="single" w:sz="4" w:space="0" w:color="auto"/>
              <w:right w:val="single" w:sz="4" w:space="0" w:color="auto"/>
            </w:tcBorders>
            <w:hideMark/>
          </w:tcPr>
          <w:p w14:paraId="0BEE4148" w14:textId="77777777" w:rsidR="00C425C7" w:rsidRPr="00C425C7" w:rsidRDefault="00C425C7" w:rsidP="00C425C7">
            <w:pPr>
              <w:spacing w:after="160" w:line="278" w:lineRule="auto"/>
            </w:pPr>
            <w:r w:rsidRPr="00C425C7">
              <w:t>97.4</w:t>
            </w:r>
          </w:p>
        </w:tc>
        <w:tc>
          <w:tcPr>
            <w:tcW w:w="0" w:type="auto"/>
            <w:tcBorders>
              <w:top w:val="single" w:sz="4" w:space="0" w:color="auto"/>
              <w:left w:val="single" w:sz="4" w:space="0" w:color="auto"/>
              <w:bottom w:val="single" w:sz="4" w:space="0" w:color="auto"/>
              <w:right w:val="single" w:sz="4" w:space="0" w:color="auto"/>
            </w:tcBorders>
            <w:hideMark/>
          </w:tcPr>
          <w:p w14:paraId="4E4B28B8" w14:textId="77777777" w:rsidR="00C425C7" w:rsidRPr="00C425C7" w:rsidRDefault="00C425C7" w:rsidP="00C425C7">
            <w:pPr>
              <w:spacing w:after="160" w:line="278" w:lineRule="auto"/>
            </w:pPr>
            <w:r w:rsidRPr="00C425C7">
              <w:t>75.5</w:t>
            </w:r>
          </w:p>
        </w:tc>
        <w:tc>
          <w:tcPr>
            <w:tcW w:w="0" w:type="auto"/>
            <w:tcBorders>
              <w:top w:val="single" w:sz="4" w:space="0" w:color="auto"/>
              <w:left w:val="single" w:sz="4" w:space="0" w:color="auto"/>
              <w:bottom w:val="single" w:sz="4" w:space="0" w:color="auto"/>
              <w:right w:val="single" w:sz="4" w:space="0" w:color="auto"/>
            </w:tcBorders>
            <w:hideMark/>
          </w:tcPr>
          <w:p w14:paraId="3465F236" w14:textId="77777777" w:rsidR="00C425C7" w:rsidRPr="00C425C7" w:rsidRDefault="00C425C7" w:rsidP="00C425C7">
            <w:pPr>
              <w:spacing w:after="160" w:line="278" w:lineRule="auto"/>
            </w:pPr>
            <w:r w:rsidRPr="00C425C7">
              <w:t>78.4</w:t>
            </w:r>
          </w:p>
        </w:tc>
        <w:tc>
          <w:tcPr>
            <w:tcW w:w="0" w:type="auto"/>
            <w:tcBorders>
              <w:top w:val="single" w:sz="4" w:space="0" w:color="auto"/>
              <w:left w:val="single" w:sz="4" w:space="0" w:color="auto"/>
              <w:bottom w:val="single" w:sz="4" w:space="0" w:color="auto"/>
              <w:right w:val="single" w:sz="4" w:space="0" w:color="auto"/>
            </w:tcBorders>
            <w:hideMark/>
          </w:tcPr>
          <w:p w14:paraId="4609D384" w14:textId="77777777" w:rsidR="00C425C7" w:rsidRPr="00C425C7" w:rsidRDefault="00C425C7" w:rsidP="00C425C7">
            <w:pPr>
              <w:spacing w:after="160" w:line="278" w:lineRule="auto"/>
            </w:pPr>
            <w:r w:rsidRPr="00C425C7">
              <w:t>76.8</w:t>
            </w:r>
          </w:p>
        </w:tc>
      </w:tr>
      <w:tr w:rsidR="00C425C7" w:rsidRPr="00C425C7" w14:paraId="100E896A" w14:textId="77777777">
        <w:tc>
          <w:tcPr>
            <w:tcW w:w="1465" w:type="dxa"/>
            <w:tcBorders>
              <w:top w:val="single" w:sz="4" w:space="0" w:color="auto"/>
              <w:left w:val="single" w:sz="4" w:space="0" w:color="auto"/>
              <w:bottom w:val="single" w:sz="4" w:space="0" w:color="auto"/>
              <w:right w:val="single" w:sz="4" w:space="0" w:color="auto"/>
            </w:tcBorders>
            <w:hideMark/>
          </w:tcPr>
          <w:p w14:paraId="76BA6453" w14:textId="77777777" w:rsidR="00C425C7" w:rsidRPr="00C425C7" w:rsidRDefault="00C425C7" w:rsidP="00C425C7">
            <w:pPr>
              <w:spacing w:after="160" w:line="278" w:lineRule="auto"/>
            </w:pPr>
            <w:r w:rsidRPr="00C425C7">
              <w:rPr>
                <w:b/>
                <w:bCs/>
              </w:rPr>
              <w:t>Gearing</w:t>
            </w:r>
          </w:p>
        </w:tc>
        <w:tc>
          <w:tcPr>
            <w:tcW w:w="2358" w:type="dxa"/>
            <w:tcBorders>
              <w:top w:val="single" w:sz="4" w:space="0" w:color="auto"/>
              <w:left w:val="single" w:sz="4" w:space="0" w:color="auto"/>
              <w:bottom w:val="single" w:sz="4" w:space="0" w:color="auto"/>
              <w:right w:val="single" w:sz="4" w:space="0" w:color="auto"/>
            </w:tcBorders>
            <w:hideMark/>
          </w:tcPr>
          <w:p w14:paraId="67A7B764" w14:textId="77777777" w:rsidR="00C425C7" w:rsidRPr="00C425C7" w:rsidRDefault="00C425C7" w:rsidP="00C425C7">
            <w:pPr>
              <w:spacing w:after="160" w:line="278" w:lineRule="auto"/>
            </w:pPr>
            <w:r w:rsidRPr="00C425C7">
              <w:t>Debt to Equity Ratio</w:t>
            </w:r>
          </w:p>
        </w:tc>
        <w:tc>
          <w:tcPr>
            <w:tcW w:w="1134" w:type="dxa"/>
            <w:tcBorders>
              <w:top w:val="single" w:sz="4" w:space="0" w:color="auto"/>
              <w:left w:val="single" w:sz="4" w:space="0" w:color="auto"/>
              <w:bottom w:val="single" w:sz="4" w:space="0" w:color="auto"/>
              <w:right w:val="single" w:sz="4" w:space="0" w:color="auto"/>
            </w:tcBorders>
            <w:hideMark/>
          </w:tcPr>
          <w:p w14:paraId="2833762F" w14:textId="77777777" w:rsidR="00C425C7" w:rsidRPr="00C425C7" w:rsidRDefault="00C425C7" w:rsidP="00C425C7">
            <w:pPr>
              <w:spacing w:after="160" w:line="278" w:lineRule="auto"/>
            </w:pPr>
            <w:r w:rsidRPr="00C425C7">
              <w:t>111.20%</w:t>
            </w:r>
          </w:p>
        </w:tc>
        <w:tc>
          <w:tcPr>
            <w:tcW w:w="1191" w:type="dxa"/>
            <w:tcBorders>
              <w:top w:val="single" w:sz="4" w:space="0" w:color="auto"/>
              <w:left w:val="single" w:sz="4" w:space="0" w:color="auto"/>
              <w:bottom w:val="single" w:sz="4" w:space="0" w:color="auto"/>
              <w:right w:val="single" w:sz="4" w:space="0" w:color="auto"/>
            </w:tcBorders>
            <w:hideMark/>
          </w:tcPr>
          <w:p w14:paraId="5949B068" w14:textId="77777777" w:rsidR="00C425C7" w:rsidRPr="00C425C7" w:rsidRDefault="00C425C7" w:rsidP="00C425C7">
            <w:pPr>
              <w:spacing w:after="160" w:line="278" w:lineRule="auto"/>
            </w:pPr>
            <w:r w:rsidRPr="00C425C7">
              <w:t>98.90%</w:t>
            </w:r>
          </w:p>
        </w:tc>
        <w:tc>
          <w:tcPr>
            <w:tcW w:w="0" w:type="auto"/>
            <w:tcBorders>
              <w:top w:val="single" w:sz="4" w:space="0" w:color="auto"/>
              <w:left w:val="single" w:sz="4" w:space="0" w:color="auto"/>
              <w:bottom w:val="single" w:sz="4" w:space="0" w:color="auto"/>
              <w:right w:val="single" w:sz="4" w:space="0" w:color="auto"/>
            </w:tcBorders>
            <w:hideMark/>
          </w:tcPr>
          <w:p w14:paraId="7B015C9F" w14:textId="77777777" w:rsidR="00C425C7" w:rsidRPr="00C425C7" w:rsidRDefault="00C425C7" w:rsidP="00C425C7">
            <w:pPr>
              <w:spacing w:after="160" w:line="278" w:lineRule="auto"/>
            </w:pPr>
            <w:r w:rsidRPr="00C425C7">
              <w:t>87.84%</w:t>
            </w:r>
          </w:p>
        </w:tc>
        <w:tc>
          <w:tcPr>
            <w:tcW w:w="0" w:type="auto"/>
            <w:tcBorders>
              <w:top w:val="single" w:sz="4" w:space="0" w:color="auto"/>
              <w:left w:val="single" w:sz="4" w:space="0" w:color="auto"/>
              <w:bottom w:val="single" w:sz="4" w:space="0" w:color="auto"/>
              <w:right w:val="single" w:sz="4" w:space="0" w:color="auto"/>
            </w:tcBorders>
            <w:hideMark/>
          </w:tcPr>
          <w:p w14:paraId="7E4B2D9A" w14:textId="77777777" w:rsidR="00C425C7" w:rsidRPr="00C425C7" w:rsidRDefault="00C425C7" w:rsidP="00C425C7">
            <w:pPr>
              <w:spacing w:after="160" w:line="278" w:lineRule="auto"/>
            </w:pPr>
            <w:r w:rsidRPr="00C425C7">
              <w:t>84.94%</w:t>
            </w:r>
          </w:p>
        </w:tc>
        <w:tc>
          <w:tcPr>
            <w:tcW w:w="0" w:type="auto"/>
            <w:tcBorders>
              <w:top w:val="single" w:sz="4" w:space="0" w:color="auto"/>
              <w:left w:val="single" w:sz="4" w:space="0" w:color="auto"/>
              <w:bottom w:val="single" w:sz="4" w:space="0" w:color="auto"/>
              <w:right w:val="single" w:sz="4" w:space="0" w:color="auto"/>
            </w:tcBorders>
            <w:hideMark/>
          </w:tcPr>
          <w:p w14:paraId="2521783D" w14:textId="77777777" w:rsidR="00C425C7" w:rsidRPr="00C425C7" w:rsidRDefault="00C425C7" w:rsidP="00C425C7">
            <w:pPr>
              <w:spacing w:after="160" w:line="278" w:lineRule="auto"/>
            </w:pPr>
            <w:r w:rsidRPr="00C425C7">
              <w:t>62.88%</w:t>
            </w:r>
          </w:p>
        </w:tc>
      </w:tr>
      <w:tr w:rsidR="00C425C7" w:rsidRPr="00C425C7" w14:paraId="0088189B" w14:textId="77777777">
        <w:tc>
          <w:tcPr>
            <w:tcW w:w="1465" w:type="dxa"/>
            <w:tcBorders>
              <w:top w:val="single" w:sz="4" w:space="0" w:color="auto"/>
              <w:left w:val="single" w:sz="4" w:space="0" w:color="auto"/>
              <w:bottom w:val="single" w:sz="4" w:space="0" w:color="auto"/>
              <w:right w:val="single" w:sz="4" w:space="0" w:color="auto"/>
            </w:tcBorders>
            <w:hideMark/>
          </w:tcPr>
          <w:p w14:paraId="18BA6567" w14:textId="77777777" w:rsidR="00C425C7" w:rsidRPr="00C425C7" w:rsidRDefault="00C425C7" w:rsidP="00C425C7">
            <w:pPr>
              <w:spacing w:after="160" w:line="278" w:lineRule="auto"/>
            </w:pPr>
            <w:r w:rsidRPr="00C425C7">
              <w:rPr>
                <w:b/>
                <w:bCs/>
              </w:rPr>
              <w:t>Investment</w:t>
            </w:r>
          </w:p>
        </w:tc>
        <w:tc>
          <w:tcPr>
            <w:tcW w:w="2358" w:type="dxa"/>
            <w:tcBorders>
              <w:top w:val="single" w:sz="4" w:space="0" w:color="auto"/>
              <w:left w:val="single" w:sz="4" w:space="0" w:color="auto"/>
              <w:bottom w:val="single" w:sz="4" w:space="0" w:color="auto"/>
              <w:right w:val="single" w:sz="4" w:space="0" w:color="auto"/>
            </w:tcBorders>
            <w:hideMark/>
          </w:tcPr>
          <w:p w14:paraId="41D0D53E" w14:textId="77777777" w:rsidR="00C425C7" w:rsidRPr="00C425C7" w:rsidRDefault="00C425C7" w:rsidP="00C425C7">
            <w:pPr>
              <w:spacing w:after="160" w:line="278" w:lineRule="auto"/>
            </w:pPr>
            <w:r w:rsidRPr="00C425C7">
              <w:t>Earnings Per Share (EPS) (£)</w:t>
            </w:r>
          </w:p>
        </w:tc>
        <w:tc>
          <w:tcPr>
            <w:tcW w:w="1134" w:type="dxa"/>
            <w:tcBorders>
              <w:top w:val="single" w:sz="4" w:space="0" w:color="auto"/>
              <w:left w:val="single" w:sz="4" w:space="0" w:color="auto"/>
              <w:bottom w:val="single" w:sz="4" w:space="0" w:color="auto"/>
              <w:right w:val="single" w:sz="4" w:space="0" w:color="auto"/>
            </w:tcBorders>
            <w:hideMark/>
          </w:tcPr>
          <w:p w14:paraId="0391878A" w14:textId="77777777" w:rsidR="00C425C7" w:rsidRPr="00C425C7" w:rsidRDefault="00C425C7" w:rsidP="00C425C7">
            <w:pPr>
              <w:spacing w:after="160" w:line="278" w:lineRule="auto"/>
            </w:pPr>
            <w:r w:rsidRPr="00C425C7">
              <w:t>-1.85</w:t>
            </w:r>
          </w:p>
        </w:tc>
        <w:tc>
          <w:tcPr>
            <w:tcW w:w="1191" w:type="dxa"/>
            <w:tcBorders>
              <w:top w:val="single" w:sz="4" w:space="0" w:color="auto"/>
              <w:left w:val="single" w:sz="4" w:space="0" w:color="auto"/>
              <w:bottom w:val="single" w:sz="4" w:space="0" w:color="auto"/>
              <w:right w:val="single" w:sz="4" w:space="0" w:color="auto"/>
            </w:tcBorders>
            <w:hideMark/>
          </w:tcPr>
          <w:p w14:paraId="01096EB6" w14:textId="77777777" w:rsidR="00C425C7" w:rsidRPr="00C425C7" w:rsidRDefault="00C425C7" w:rsidP="00C425C7">
            <w:pPr>
              <w:spacing w:after="160" w:line="278" w:lineRule="auto"/>
            </w:pPr>
            <w:r w:rsidRPr="00C425C7">
              <w:t>-7.64</w:t>
            </w:r>
          </w:p>
        </w:tc>
        <w:tc>
          <w:tcPr>
            <w:tcW w:w="0" w:type="auto"/>
            <w:tcBorders>
              <w:top w:val="single" w:sz="4" w:space="0" w:color="auto"/>
              <w:left w:val="single" w:sz="4" w:space="0" w:color="auto"/>
              <w:bottom w:val="single" w:sz="4" w:space="0" w:color="auto"/>
              <w:right w:val="single" w:sz="4" w:space="0" w:color="auto"/>
            </w:tcBorders>
            <w:hideMark/>
          </w:tcPr>
          <w:p w14:paraId="61E8EAB9" w14:textId="77777777" w:rsidR="00C425C7" w:rsidRPr="00C425C7" w:rsidRDefault="00C425C7" w:rsidP="00C425C7">
            <w:pPr>
              <w:spacing w:after="160" w:line="278" w:lineRule="auto"/>
            </w:pPr>
            <w:r w:rsidRPr="00C425C7">
              <w:t>0.03</w:t>
            </w:r>
          </w:p>
        </w:tc>
        <w:tc>
          <w:tcPr>
            <w:tcW w:w="0" w:type="auto"/>
            <w:tcBorders>
              <w:top w:val="single" w:sz="4" w:space="0" w:color="auto"/>
              <w:left w:val="single" w:sz="4" w:space="0" w:color="auto"/>
              <w:bottom w:val="single" w:sz="4" w:space="0" w:color="auto"/>
              <w:right w:val="single" w:sz="4" w:space="0" w:color="auto"/>
            </w:tcBorders>
            <w:hideMark/>
          </w:tcPr>
          <w:p w14:paraId="3F81944C" w14:textId="77777777" w:rsidR="00C425C7" w:rsidRPr="00C425C7" w:rsidRDefault="00C425C7" w:rsidP="00C425C7">
            <w:pPr>
              <w:spacing w:after="160" w:line="278" w:lineRule="auto"/>
            </w:pPr>
            <w:r w:rsidRPr="00C425C7">
              <w:t>0.39</w:t>
            </w:r>
          </w:p>
        </w:tc>
        <w:tc>
          <w:tcPr>
            <w:tcW w:w="0" w:type="auto"/>
            <w:tcBorders>
              <w:top w:val="single" w:sz="4" w:space="0" w:color="auto"/>
              <w:left w:val="single" w:sz="4" w:space="0" w:color="auto"/>
              <w:bottom w:val="single" w:sz="4" w:space="0" w:color="auto"/>
              <w:right w:val="single" w:sz="4" w:space="0" w:color="auto"/>
            </w:tcBorders>
            <w:hideMark/>
          </w:tcPr>
          <w:p w14:paraId="69230BC9" w14:textId="77777777" w:rsidR="00C425C7" w:rsidRPr="00C425C7" w:rsidRDefault="00C425C7" w:rsidP="00C425C7">
            <w:pPr>
              <w:spacing w:after="160" w:line="278" w:lineRule="auto"/>
            </w:pPr>
            <w:r w:rsidRPr="00C425C7">
              <w:t>2.78</w:t>
            </w:r>
          </w:p>
        </w:tc>
      </w:tr>
    </w:tbl>
    <w:p w14:paraId="0024AC15" w14:textId="77777777" w:rsidR="00C425C7" w:rsidRPr="00C425C7" w:rsidRDefault="00C425C7" w:rsidP="00C425C7"/>
    <w:p w14:paraId="19EA56D5" w14:textId="77777777" w:rsidR="00C425C7" w:rsidRPr="00C425C7" w:rsidRDefault="00C425C7" w:rsidP="00C425C7">
      <w:pPr>
        <w:rPr>
          <w:b/>
          <w:bCs/>
        </w:rPr>
      </w:pPr>
      <w:r w:rsidRPr="00C425C7">
        <w:rPr>
          <w:b/>
          <w:bCs/>
        </w:rPr>
        <w:t xml:space="preserve"> </w:t>
      </w:r>
      <w:bookmarkStart w:id="6" w:name="_Toc216554269"/>
      <w:r w:rsidRPr="00C425C7">
        <w:rPr>
          <w:b/>
          <w:bCs/>
        </w:rPr>
        <w:t>Critical Analysis of Trends, Strengths, and Threats</w:t>
      </w:r>
      <w:bookmarkEnd w:id="6"/>
    </w:p>
    <w:p w14:paraId="4E11E701" w14:textId="77777777" w:rsidR="00C425C7" w:rsidRPr="00C425C7" w:rsidRDefault="00C425C7" w:rsidP="0061666A">
      <w:pPr>
        <w:ind w:firstLine="720"/>
        <w:jc w:val="both"/>
      </w:pPr>
      <w:r w:rsidRPr="00C425C7">
        <w:t>The data in Table 1 shows that a company is in precipitous decline. A comprehensive review suggests that there are no obvious financial strengths left to build on; the threats are many, interrelated and serious, requiring immediate and systemic intervention.</w:t>
      </w:r>
    </w:p>
    <w:p w14:paraId="1FD7F997" w14:textId="77777777" w:rsidR="00C425C7" w:rsidRPr="00C425C7" w:rsidRDefault="00C425C7" w:rsidP="00AD74A1">
      <w:pPr>
        <w:ind w:firstLine="720"/>
        <w:jc w:val="both"/>
      </w:pPr>
      <w:r w:rsidRPr="00C425C7">
        <w:rPr>
          <w:b/>
          <w:bCs/>
        </w:rPr>
        <w:lastRenderedPageBreak/>
        <w:t>Profitability Collapse:</w:t>
      </w:r>
      <w:r w:rsidRPr="00C425C7">
        <w:t> The most disturbing tendency is the catastrophic drop of profitability. The Operating Profit Margin that is a critical calculation of the health of the core business of a firm before the dilutive effect of financing and taxation has declined to a respectable 6.06 in 2020, then to a very low of -20.29 in 2023, and finally to a recovery, albeit minor, but still a very negative -3.87 in 2024. This is not a cyclical downturn; it is a structural failure of the business model. One can find the smoking gun in the 2023 cash flow statement: a stunning impairment of goodwill of £49 billion. This is not merely an accounting adjustment, but rather an admission without doubt that a large acquisition in the past, then presumably at the peak of the market, simply has not delivered the expected synergies or returns. This implies inefficient strategic decision-making and incompetent due diligence on the top of the organization. Other than this one off (but huge) occasion, the gradual decrease in margins hints at stiff price competition among less cumbersome market players, failure to manage surging operating costs, or both, and an underlying inability to realized profit through sales. The comparatively stabilized Gross Profit Margin is rather an indication of a problem that is not related to direct production costs, as much as it is a failure of goodwill impairment in £49 billion in the year 2023.</w:t>
      </w:r>
    </w:p>
    <w:p w14:paraId="3B8EE2BC" w14:textId="55569DF1" w:rsidR="00C425C7" w:rsidRPr="00C425C7" w:rsidRDefault="00C425C7" w:rsidP="00C425C7">
      <w:r w:rsidRPr="00C425C7">
        <w:rPr>
          <w:noProof/>
        </w:rPr>
        <w:drawing>
          <wp:inline distT="0" distB="0" distL="0" distR="0" wp14:anchorId="4CA3BDA5" wp14:editId="33B05437">
            <wp:extent cx="4410075" cy="2809875"/>
            <wp:effectExtent l="0" t="0" r="9525" b="9525"/>
            <wp:docPr id="1656944577" name="Picture 8" descr="A graph of 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44577" name="Picture 8" descr="A graph of a graph with red and blue line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10075" cy="2809875"/>
                    </a:xfrm>
                    <a:prstGeom prst="rect">
                      <a:avLst/>
                    </a:prstGeom>
                    <a:noFill/>
                    <a:ln>
                      <a:noFill/>
                    </a:ln>
                  </pic:spPr>
                </pic:pic>
              </a:graphicData>
            </a:graphic>
          </wp:inline>
        </w:drawing>
      </w:r>
    </w:p>
    <w:p w14:paraId="585EC6FF" w14:textId="77777777" w:rsidR="00C425C7" w:rsidRPr="00C425C7" w:rsidRDefault="00C425C7" w:rsidP="00AD74A1">
      <w:pPr>
        <w:ind w:firstLine="720"/>
        <w:jc w:val="both"/>
      </w:pPr>
      <w:r w:rsidRPr="00C425C7">
        <w:t>As indicated in Figure 1, collapsing margins are directly correlated with the impairment of the goodwill that did not work out in 2023 of £49 billion. This is not a new change but a concession of a significant, unsuccessful purchase, which has to mean poor strategy and due diligence. In addition to this, a reduction in margins is a clear indication of very stiff competition and skyrocketing prices, which is a case of being unable to make a profit.</w:t>
      </w:r>
    </w:p>
    <w:p w14:paraId="28975DFB" w14:textId="77777777" w:rsidR="00C425C7" w:rsidRPr="00C425C7" w:rsidRDefault="00C425C7" w:rsidP="00AD74A1">
      <w:pPr>
        <w:ind w:firstLine="720"/>
        <w:jc w:val="both"/>
      </w:pPr>
      <w:r w:rsidRPr="00C425C7">
        <w:rPr>
          <w:b/>
          <w:bCs/>
        </w:rPr>
        <w:t>Liquidity Squeeze:</w:t>
      </w:r>
      <w:r w:rsidRPr="00C425C7">
        <w:t xml:space="preserve"> At first glance, the Current Ratio is misleadingly smooth, floating in the relative position of an apparently healthy 1.5. This is however a dangerous misinterpretation of the actual liquidity status of the company. The fixed balance sheet ratio may obscure the active existence of cash flow. A comparison of Consolidated Cash </w:t>
      </w:r>
      <w:r w:rsidRPr="00C425C7">
        <w:lastRenderedPageBreak/>
        <w:t>Flow Statement indicates that the company has a net cash burn of £23.99 billion in 2023 and £15.97 in 2024. This is losing the company cash at a rate that is going to render it insolvent in the foreseeable future unless it is checked. The Current Assets behind the Current Ratio are also deteriorating since a large part of them has been locked up in </w:t>
      </w:r>
      <w:r w:rsidRPr="00C425C7">
        <w:rPr>
          <w:b/>
          <w:bCs/>
        </w:rPr>
        <w:t>slow-moving inventory</w:t>
      </w:r>
      <w:r w:rsidRPr="00C425C7">
        <w:t> that may not be converted back to cash at the book value. The Quick Ratio, but wisely eliminating the inventory, raises a far more stern warning. GE also had insufficient liquid assets to fund its short-term obligations even then and thus this dropped below the critical threshold of 1.0 in 2022 and 2021. This was a definite foreshadowing of the current crisis that seemingly went unnoticed.</w:t>
      </w:r>
    </w:p>
    <w:p w14:paraId="51FD35E8" w14:textId="77777777" w:rsidR="00C425C7" w:rsidRPr="00C425C7" w:rsidRDefault="00C425C7" w:rsidP="001C36BA">
      <w:pPr>
        <w:ind w:firstLine="720"/>
        <w:jc w:val="both"/>
      </w:pPr>
      <w:r w:rsidRPr="00C425C7">
        <w:rPr>
          <w:b/>
          <w:bCs/>
        </w:rPr>
        <w:t>Operational Efficiency Decline:</w:t>
      </w:r>
      <w:r w:rsidRPr="00C425C7">
        <w:t> The underlying working operational problem that has led to the liquidity crisis is the severe and aggravating decline in working capital efficiency. The Days Sales Outstanding (DSO) which was at a manageable level in 2020 with a value of 76.8 days has now grown into a frightening 105.5 days in 2024. Practically, we are about a month behind where we were 5 years ago in gathering cash of our sales. This can be an attempt to shamelessly sustain declining sales with offer of excessively generous credit conditions to channel members and large customers, in effect, purchasing revenue, at the expense of cash flow. Otherwise, there is a possibility that it is a declining customer base, which is financially strained itself. In any case, it puts a huge sum of money of receivables. To add to this, the Days Inventory Outstanding (DIO) has been relentlessly high reaching a catastrophic 131 days in 2022. This implies a severe mismatch between when we manufacture and when we actually sell our products, and that will lead to lots of capital being held up in warehouses, and the possibility that inventory is going to be outdated in our fast-paced technological sector.</w:t>
      </w:r>
    </w:p>
    <w:p w14:paraId="7A09E94F" w14:textId="77777777" w:rsidR="00C425C7" w:rsidRPr="00C425C7" w:rsidRDefault="00C425C7" w:rsidP="001C36BA">
      <w:pPr>
        <w:ind w:firstLine="720"/>
        <w:jc w:val="both"/>
      </w:pPr>
      <w:r w:rsidRPr="00C425C7">
        <w:rPr>
          <w:b/>
          <w:bCs/>
        </w:rPr>
        <w:t>Spiralling Gearing and Financial Risk:</w:t>
      </w:r>
      <w:r w:rsidRPr="00C425C7">
        <w:t> Solvency of the company directly is in danger of increasing leverage. The Debt-to-Equity ratio has almost doubled from the manageable 62.88% in 2020, to the highly precarious 111.20% in 2024. This means that creditors now have a greater claim over the company's assets than the shareholders, a dangerous situation. This is a result of a devastating dual effect: equity is being systematically destroyed by a series of consecutive years of massive net losses wiping out retained earnings and debt is simultaneously increasing as desperate attempts are made to draw on lines of credit simply to fund day-to-day operations. This increased leverage results in a violently increased financial risk, and we are highly sensitive to even minor business shocks or interest rate increases. It makes our cost of capital increased significantly making any potential recovery more difficult and expensive as noted on Modigliani &amp; Miller theory (1958) theories on the costs of financial distress.</w:t>
      </w:r>
    </w:p>
    <w:p w14:paraId="69486858" w14:textId="429B788A" w:rsidR="00C425C7" w:rsidRPr="00C425C7" w:rsidRDefault="00C425C7" w:rsidP="00C425C7">
      <w:pPr>
        <w:rPr>
          <w:b/>
          <w:bCs/>
        </w:rPr>
      </w:pPr>
      <w:r w:rsidRPr="00C425C7">
        <w:rPr>
          <w:b/>
          <w:bCs/>
        </w:rPr>
        <w:t>)</w:t>
      </w:r>
    </w:p>
    <w:p w14:paraId="19D7E07F" w14:textId="29C1DC8E" w:rsidR="00C425C7" w:rsidRPr="00C425C7" w:rsidRDefault="00C425C7" w:rsidP="00C425C7">
      <w:r w:rsidRPr="00C425C7">
        <w:rPr>
          <w:noProof/>
        </w:rPr>
        <w:lastRenderedPageBreak/>
        <w:drawing>
          <wp:inline distT="0" distB="0" distL="0" distR="0" wp14:anchorId="40AF526F" wp14:editId="0E9B862B">
            <wp:extent cx="3390900" cy="3390900"/>
            <wp:effectExtent l="0" t="0" r="0" b="0"/>
            <wp:docPr id="923030065" name="Picture 7" descr="A graph with blue and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30065" name="Picture 7" descr="A graph with blue and red line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90900" cy="3390900"/>
                    </a:xfrm>
                    <a:prstGeom prst="rect">
                      <a:avLst/>
                    </a:prstGeom>
                    <a:noFill/>
                    <a:ln>
                      <a:noFill/>
                    </a:ln>
                  </pic:spPr>
                </pic:pic>
              </a:graphicData>
            </a:graphic>
          </wp:inline>
        </w:drawing>
      </w:r>
    </w:p>
    <w:p w14:paraId="09CC2A87" w14:textId="08E6EBA1" w:rsidR="00C425C7" w:rsidRPr="00C425C7" w:rsidRDefault="00C425C7" w:rsidP="0064040F">
      <w:pPr>
        <w:jc w:val="both"/>
        <w:rPr>
          <w:b/>
          <w:bCs/>
          <w:lang w:val="en-US"/>
        </w:rPr>
      </w:pPr>
      <w:r w:rsidRPr="00C425C7">
        <w:rPr>
          <w:b/>
          <w:bCs/>
          <w:i/>
          <w:iCs/>
          <w:lang w:val="en-US"/>
        </w:rPr>
        <w:t>“Note: In the calculation of </w:t>
      </w:r>
      <m:oMath>
        <m:sSub>
          <m:sSubPr>
            <m:ctrlPr>
              <w:rPr>
                <w:rFonts w:ascii="Cambria Math" w:hAnsi="Cambria Math"/>
                <w:b/>
                <w:bCs/>
                <w:lang w:val="en-US"/>
              </w:rPr>
            </m:ctrlPr>
          </m:sSubPr>
          <m:e>
            <m:r>
              <m:rPr>
                <m:sty m:val="bi"/>
              </m:rPr>
              <w:rPr>
                <w:rFonts w:ascii="Cambria Math" w:hAnsi="Cambria Math"/>
                <w:lang w:val="en-US"/>
              </w:rPr>
              <m:t>X</m:t>
            </m:r>
          </m:e>
          <m:sub>
            <m:r>
              <m:rPr>
                <m:sty m:val="bi"/>
              </m:rPr>
              <w:rPr>
                <w:rFonts w:ascii="Cambria Math" w:hAnsi="Cambria Math"/>
                <w:lang w:val="en-US"/>
              </w:rPr>
              <m:t>4</m:t>
            </m:r>
          </m:sub>
        </m:sSub>
      </m:oMath>
      <w:r w:rsidRPr="00C425C7">
        <w:rPr>
          <w:b/>
          <w:bCs/>
          <w:lang w:val="en-US"/>
        </w:rPr>
        <w:t xml:space="preserve"> </w:t>
      </w:r>
      <w:r w:rsidRPr="00C425C7">
        <w:rPr>
          <w:b/>
          <w:bCs/>
          <w:i/>
          <w:iCs/>
          <w:lang w:val="en-US"/>
        </w:rPr>
        <w:t>(Market Value of Equity / Total Liabilities), the Book Value of Equity has been used as a proxy due to the unavailability of market capitalization data”</w:t>
      </w:r>
    </w:p>
    <w:p w14:paraId="78882DF8" w14:textId="77777777" w:rsidR="00C425C7" w:rsidRPr="00C425C7" w:rsidRDefault="00C425C7" w:rsidP="0064040F">
      <w:pPr>
        <w:ind w:firstLine="720"/>
        <w:jc w:val="both"/>
      </w:pPr>
      <w:r w:rsidRPr="00C425C7">
        <w:t>Figure 2 shows a perilous 'jaws of death' scenario: sustained losses erode shareholders' equity while debt rises to fund cash deficits, threatening negative equity Such a volatile expansion of leverage intensifies the financial risk, which becomes difficult to recover, as described in this theory by Modigliani and Miller (1958) regarding financial distress costs.</w:t>
      </w:r>
    </w:p>
    <w:p w14:paraId="1B587463" w14:textId="77777777" w:rsidR="00C425C7" w:rsidRPr="00C425C7" w:rsidRDefault="00C425C7" w:rsidP="0064040F">
      <w:pPr>
        <w:ind w:firstLine="720"/>
        <w:jc w:val="both"/>
      </w:pPr>
      <w:r w:rsidRPr="00C425C7">
        <w:rPr>
          <w:b/>
          <w:bCs/>
        </w:rPr>
        <w:t>Shareholder Value Destruction:</w:t>
      </w:r>
      <w:r w:rsidRPr="00C425C7">
        <w:t> The whole of this multi-faceted failure can be encapsulated in this single phrase: The destruction of shareholder value. The Earnings Per Share (EPS) has fallen from a healthy profit rate of £2.78 in 2020 to a horrendous loss of -£7.64 in 2023 and -£1.85 in 2024. Return on Equity (ROE), the key metric of how well management is utilizing the capital of shareholders to generate profit has declined from a positive 12.31% to a whopping -54.91% in 2023. This is not merely under-performance; it is a complete failure in stewardship as well as a classic breach of the fiduciary responsibility owed to the owners of the company.</w:t>
      </w:r>
    </w:p>
    <w:p w14:paraId="2B75C605" w14:textId="77777777" w:rsidR="00C425C7" w:rsidRPr="00C425C7" w:rsidRDefault="00C425C7" w:rsidP="0064040F">
      <w:pPr>
        <w:ind w:firstLine="720"/>
        <w:jc w:val="both"/>
        <w:rPr>
          <w:b/>
          <w:bCs/>
        </w:rPr>
      </w:pPr>
      <w:bookmarkStart w:id="7" w:name="_Toc216554270"/>
      <w:r w:rsidRPr="00C425C7">
        <w:rPr>
          <w:b/>
          <w:bCs/>
        </w:rPr>
        <w:t>Corporate Failure Prediction: Altman Z-Score</w:t>
      </w:r>
      <w:bookmarkEnd w:id="7"/>
    </w:p>
    <w:p w14:paraId="603A6F4D" w14:textId="77777777" w:rsidR="00C425C7" w:rsidRPr="00C425C7" w:rsidRDefault="00C425C7" w:rsidP="0064040F">
      <w:pPr>
        <w:ind w:firstLine="720"/>
        <w:jc w:val="both"/>
      </w:pPr>
      <w:r w:rsidRPr="00C425C7">
        <w:t>To quantify the increasing threat of bankruptcy, the Altman Z-Score model was applied. This empirically tested model developed by Edward Altman in 1968, predicts the likelihood of bankruptcy for a company by means of a weighted combination of financial ratios over a two-year horizon. The model is especially relevant for a manufacturing-oriented firm such as General Electronics.</w:t>
      </w:r>
    </w:p>
    <w:p w14:paraId="3CCCD3BC" w14:textId="77777777" w:rsidR="00C425C7" w:rsidRPr="00C425C7" w:rsidRDefault="00C425C7" w:rsidP="00C425C7">
      <w:r w:rsidRPr="00C425C7">
        <w:rPr>
          <w:b/>
          <w:bCs/>
        </w:rPr>
        <w:lastRenderedPageBreak/>
        <w:t>Formula:</w:t>
      </w:r>
      <w:r w:rsidRPr="00C425C7">
        <w:t> Z = 1.2(X₁) + 1.4(X₂) + 3.3(X₃) + 0.6(X₄) + 1.0(X₅)</w:t>
      </w:r>
    </w:p>
    <w:p w14:paraId="18E3A951" w14:textId="77777777" w:rsidR="00C425C7" w:rsidRPr="00C425C7" w:rsidRDefault="00C425C7" w:rsidP="00C425C7">
      <w:r w:rsidRPr="00C425C7">
        <w:rPr>
          <w:b/>
          <w:bCs/>
        </w:rPr>
        <w:t>Table 2: Altman Z-Score Results for General Electronics (2020-2024)</w:t>
      </w:r>
      <w:r w:rsidRPr="00C425C7">
        <w:br/>
      </w:r>
      <w:r w:rsidRPr="00C425C7">
        <w:rPr>
          <w:i/>
          <w:iCs/>
        </w:rPr>
        <w:t>(Full calculations are located in Appendix B)</w:t>
      </w:r>
    </w:p>
    <w:tbl>
      <w:tblPr>
        <w:tblStyle w:val="TableGrid"/>
        <w:tblW w:w="8963" w:type="dxa"/>
        <w:tblLook w:val="04A0" w:firstRow="1" w:lastRow="0" w:firstColumn="1" w:lastColumn="0" w:noHBand="0" w:noVBand="1"/>
      </w:tblPr>
      <w:tblGrid>
        <w:gridCol w:w="1515"/>
        <w:gridCol w:w="2513"/>
        <w:gridCol w:w="4935"/>
      </w:tblGrid>
      <w:tr w:rsidR="00C425C7" w:rsidRPr="00C425C7" w14:paraId="38B89532" w14:textId="77777777">
        <w:trPr>
          <w:trHeight w:val="514"/>
        </w:trPr>
        <w:tc>
          <w:tcPr>
            <w:tcW w:w="0" w:type="auto"/>
            <w:tcBorders>
              <w:top w:val="single" w:sz="4" w:space="0" w:color="auto"/>
              <w:left w:val="single" w:sz="4" w:space="0" w:color="auto"/>
              <w:bottom w:val="single" w:sz="4" w:space="0" w:color="auto"/>
              <w:right w:val="single" w:sz="4" w:space="0" w:color="auto"/>
            </w:tcBorders>
            <w:hideMark/>
          </w:tcPr>
          <w:p w14:paraId="70E34FFB" w14:textId="77777777" w:rsidR="00C425C7" w:rsidRPr="00C425C7" w:rsidRDefault="00C425C7" w:rsidP="00C425C7">
            <w:pPr>
              <w:spacing w:after="160" w:line="278" w:lineRule="auto"/>
              <w:rPr>
                <w:b/>
                <w:bCs/>
              </w:rPr>
            </w:pPr>
            <w:r w:rsidRPr="00C425C7">
              <w:rPr>
                <w:b/>
                <w:bCs/>
              </w:rPr>
              <w:t>Year</w:t>
            </w:r>
          </w:p>
        </w:tc>
        <w:tc>
          <w:tcPr>
            <w:tcW w:w="0" w:type="auto"/>
            <w:tcBorders>
              <w:top w:val="single" w:sz="4" w:space="0" w:color="auto"/>
              <w:left w:val="single" w:sz="4" w:space="0" w:color="auto"/>
              <w:bottom w:val="single" w:sz="4" w:space="0" w:color="auto"/>
              <w:right w:val="single" w:sz="4" w:space="0" w:color="auto"/>
            </w:tcBorders>
            <w:hideMark/>
          </w:tcPr>
          <w:p w14:paraId="5B803BEE" w14:textId="77777777" w:rsidR="00C425C7" w:rsidRPr="00C425C7" w:rsidRDefault="00C425C7" w:rsidP="00C425C7">
            <w:pPr>
              <w:spacing w:after="160" w:line="278" w:lineRule="auto"/>
              <w:rPr>
                <w:b/>
                <w:bCs/>
              </w:rPr>
            </w:pPr>
            <w:r w:rsidRPr="00C425C7">
              <w:rPr>
                <w:b/>
                <w:bCs/>
              </w:rPr>
              <w:t>Z-SCORE</w:t>
            </w:r>
          </w:p>
        </w:tc>
        <w:tc>
          <w:tcPr>
            <w:tcW w:w="0" w:type="auto"/>
            <w:tcBorders>
              <w:top w:val="single" w:sz="4" w:space="0" w:color="auto"/>
              <w:left w:val="single" w:sz="4" w:space="0" w:color="auto"/>
              <w:bottom w:val="single" w:sz="4" w:space="0" w:color="auto"/>
              <w:right w:val="single" w:sz="4" w:space="0" w:color="auto"/>
            </w:tcBorders>
            <w:hideMark/>
          </w:tcPr>
          <w:p w14:paraId="6187FB17" w14:textId="77777777" w:rsidR="00C425C7" w:rsidRPr="00C425C7" w:rsidRDefault="00C425C7" w:rsidP="00C425C7">
            <w:pPr>
              <w:spacing w:after="160" w:line="278" w:lineRule="auto"/>
              <w:rPr>
                <w:b/>
                <w:bCs/>
              </w:rPr>
            </w:pPr>
            <w:r w:rsidRPr="00C425C7">
              <w:rPr>
                <w:b/>
                <w:bCs/>
              </w:rPr>
              <w:t>Interpretation Zone</w:t>
            </w:r>
          </w:p>
        </w:tc>
      </w:tr>
      <w:tr w:rsidR="00C425C7" w:rsidRPr="00C425C7" w14:paraId="53C5EDA2" w14:textId="77777777">
        <w:trPr>
          <w:trHeight w:val="529"/>
        </w:trPr>
        <w:tc>
          <w:tcPr>
            <w:tcW w:w="0" w:type="auto"/>
            <w:tcBorders>
              <w:top w:val="single" w:sz="4" w:space="0" w:color="auto"/>
              <w:left w:val="single" w:sz="4" w:space="0" w:color="auto"/>
              <w:bottom w:val="single" w:sz="4" w:space="0" w:color="auto"/>
              <w:right w:val="single" w:sz="4" w:space="0" w:color="auto"/>
            </w:tcBorders>
            <w:hideMark/>
          </w:tcPr>
          <w:p w14:paraId="1C4071F6" w14:textId="77777777" w:rsidR="00C425C7" w:rsidRPr="00C425C7" w:rsidRDefault="00C425C7" w:rsidP="00C425C7">
            <w:pPr>
              <w:spacing w:after="160" w:line="278" w:lineRule="auto"/>
            </w:pPr>
            <w:r w:rsidRPr="00C425C7">
              <w:rPr>
                <w:b/>
                <w:bCs/>
              </w:rPr>
              <w:t>2024</w:t>
            </w:r>
          </w:p>
        </w:tc>
        <w:tc>
          <w:tcPr>
            <w:tcW w:w="0" w:type="auto"/>
            <w:tcBorders>
              <w:top w:val="single" w:sz="4" w:space="0" w:color="auto"/>
              <w:left w:val="single" w:sz="4" w:space="0" w:color="auto"/>
              <w:bottom w:val="single" w:sz="4" w:space="0" w:color="auto"/>
              <w:right w:val="single" w:sz="4" w:space="0" w:color="auto"/>
            </w:tcBorders>
            <w:hideMark/>
          </w:tcPr>
          <w:p w14:paraId="6F60B930" w14:textId="77777777" w:rsidR="00C425C7" w:rsidRPr="00C425C7" w:rsidRDefault="00C425C7" w:rsidP="00C425C7">
            <w:pPr>
              <w:spacing w:after="160" w:line="278" w:lineRule="auto"/>
            </w:pPr>
            <w:r w:rsidRPr="00C425C7">
              <w:rPr>
                <w:b/>
                <w:bCs/>
              </w:rPr>
              <w:t>2.83</w:t>
            </w:r>
          </w:p>
        </w:tc>
        <w:tc>
          <w:tcPr>
            <w:tcW w:w="0" w:type="auto"/>
            <w:tcBorders>
              <w:top w:val="single" w:sz="4" w:space="0" w:color="auto"/>
              <w:left w:val="single" w:sz="4" w:space="0" w:color="auto"/>
              <w:bottom w:val="single" w:sz="4" w:space="0" w:color="auto"/>
              <w:right w:val="single" w:sz="4" w:space="0" w:color="auto"/>
            </w:tcBorders>
            <w:hideMark/>
          </w:tcPr>
          <w:p w14:paraId="6CAD69EF" w14:textId="77777777" w:rsidR="00C425C7" w:rsidRPr="00C425C7" w:rsidRDefault="00C425C7" w:rsidP="00C425C7">
            <w:pPr>
              <w:spacing w:after="160" w:line="278" w:lineRule="auto"/>
            </w:pPr>
            <w:r w:rsidRPr="00C425C7">
              <w:rPr>
                <w:b/>
                <w:bCs/>
              </w:rPr>
              <w:t>Grey Zone (Caution)</w:t>
            </w:r>
          </w:p>
        </w:tc>
      </w:tr>
      <w:tr w:rsidR="00C425C7" w:rsidRPr="00C425C7" w14:paraId="3442D208" w14:textId="77777777">
        <w:trPr>
          <w:trHeight w:val="514"/>
        </w:trPr>
        <w:tc>
          <w:tcPr>
            <w:tcW w:w="0" w:type="auto"/>
            <w:tcBorders>
              <w:top w:val="single" w:sz="4" w:space="0" w:color="auto"/>
              <w:left w:val="single" w:sz="4" w:space="0" w:color="auto"/>
              <w:bottom w:val="single" w:sz="4" w:space="0" w:color="auto"/>
              <w:right w:val="single" w:sz="4" w:space="0" w:color="auto"/>
            </w:tcBorders>
            <w:hideMark/>
          </w:tcPr>
          <w:p w14:paraId="6B3A4AC6" w14:textId="77777777" w:rsidR="00C425C7" w:rsidRPr="00C425C7" w:rsidRDefault="00C425C7" w:rsidP="00C425C7">
            <w:pPr>
              <w:spacing w:after="160" w:line="278" w:lineRule="auto"/>
            </w:pPr>
            <w:r w:rsidRPr="00C425C7">
              <w:rPr>
                <w:b/>
                <w:bCs/>
              </w:rPr>
              <w:t>2023</w:t>
            </w:r>
          </w:p>
        </w:tc>
        <w:tc>
          <w:tcPr>
            <w:tcW w:w="0" w:type="auto"/>
            <w:tcBorders>
              <w:top w:val="single" w:sz="4" w:space="0" w:color="auto"/>
              <w:left w:val="single" w:sz="4" w:space="0" w:color="auto"/>
              <w:bottom w:val="single" w:sz="4" w:space="0" w:color="auto"/>
              <w:right w:val="single" w:sz="4" w:space="0" w:color="auto"/>
            </w:tcBorders>
            <w:hideMark/>
          </w:tcPr>
          <w:p w14:paraId="36536F7D" w14:textId="77777777" w:rsidR="00C425C7" w:rsidRPr="00C425C7" w:rsidRDefault="00C425C7" w:rsidP="00C425C7">
            <w:pPr>
              <w:spacing w:after="160" w:line="278" w:lineRule="auto"/>
            </w:pPr>
            <w:r w:rsidRPr="00C425C7">
              <w:rPr>
                <w:b/>
                <w:bCs/>
              </w:rPr>
              <w:t>2.21</w:t>
            </w:r>
          </w:p>
        </w:tc>
        <w:tc>
          <w:tcPr>
            <w:tcW w:w="0" w:type="auto"/>
            <w:tcBorders>
              <w:top w:val="single" w:sz="4" w:space="0" w:color="auto"/>
              <w:left w:val="single" w:sz="4" w:space="0" w:color="auto"/>
              <w:bottom w:val="single" w:sz="4" w:space="0" w:color="auto"/>
              <w:right w:val="single" w:sz="4" w:space="0" w:color="auto"/>
            </w:tcBorders>
            <w:hideMark/>
          </w:tcPr>
          <w:p w14:paraId="39E8D511" w14:textId="77777777" w:rsidR="00C425C7" w:rsidRPr="00C425C7" w:rsidRDefault="00C425C7" w:rsidP="00C425C7">
            <w:pPr>
              <w:spacing w:after="160" w:line="278" w:lineRule="auto"/>
            </w:pPr>
            <w:r w:rsidRPr="00C425C7">
              <w:rPr>
                <w:b/>
                <w:bCs/>
              </w:rPr>
              <w:t>Grey Zone (Caution)</w:t>
            </w:r>
          </w:p>
        </w:tc>
      </w:tr>
      <w:tr w:rsidR="00C425C7" w:rsidRPr="00C425C7" w14:paraId="39C72736" w14:textId="77777777">
        <w:trPr>
          <w:trHeight w:val="514"/>
        </w:trPr>
        <w:tc>
          <w:tcPr>
            <w:tcW w:w="0" w:type="auto"/>
            <w:tcBorders>
              <w:top w:val="single" w:sz="4" w:space="0" w:color="auto"/>
              <w:left w:val="single" w:sz="4" w:space="0" w:color="auto"/>
              <w:bottom w:val="single" w:sz="4" w:space="0" w:color="auto"/>
              <w:right w:val="single" w:sz="4" w:space="0" w:color="auto"/>
            </w:tcBorders>
            <w:hideMark/>
          </w:tcPr>
          <w:p w14:paraId="0280431E" w14:textId="77777777" w:rsidR="00C425C7" w:rsidRPr="00C425C7" w:rsidRDefault="00C425C7" w:rsidP="00C425C7">
            <w:pPr>
              <w:spacing w:after="160" w:line="278" w:lineRule="auto"/>
            </w:pPr>
            <w:r w:rsidRPr="00C425C7">
              <w:rPr>
                <w:b/>
                <w:bCs/>
              </w:rPr>
              <w:t>2022</w:t>
            </w:r>
          </w:p>
        </w:tc>
        <w:tc>
          <w:tcPr>
            <w:tcW w:w="0" w:type="auto"/>
            <w:tcBorders>
              <w:top w:val="single" w:sz="4" w:space="0" w:color="auto"/>
              <w:left w:val="single" w:sz="4" w:space="0" w:color="auto"/>
              <w:bottom w:val="single" w:sz="4" w:space="0" w:color="auto"/>
              <w:right w:val="single" w:sz="4" w:space="0" w:color="auto"/>
            </w:tcBorders>
            <w:hideMark/>
          </w:tcPr>
          <w:p w14:paraId="0D9B90F2" w14:textId="77777777" w:rsidR="00C425C7" w:rsidRPr="00C425C7" w:rsidRDefault="00C425C7" w:rsidP="00C425C7">
            <w:pPr>
              <w:spacing w:after="160" w:line="278" w:lineRule="auto"/>
            </w:pPr>
            <w:r w:rsidRPr="00C425C7">
              <w:rPr>
                <w:b/>
                <w:bCs/>
              </w:rPr>
              <w:t>3.80</w:t>
            </w:r>
          </w:p>
        </w:tc>
        <w:tc>
          <w:tcPr>
            <w:tcW w:w="0" w:type="auto"/>
            <w:tcBorders>
              <w:top w:val="single" w:sz="4" w:space="0" w:color="auto"/>
              <w:left w:val="single" w:sz="4" w:space="0" w:color="auto"/>
              <w:bottom w:val="single" w:sz="4" w:space="0" w:color="auto"/>
              <w:right w:val="single" w:sz="4" w:space="0" w:color="auto"/>
            </w:tcBorders>
            <w:hideMark/>
          </w:tcPr>
          <w:p w14:paraId="24144C7D" w14:textId="77777777" w:rsidR="00C425C7" w:rsidRPr="00C425C7" w:rsidRDefault="00C425C7" w:rsidP="00C425C7">
            <w:pPr>
              <w:spacing w:after="160" w:line="278" w:lineRule="auto"/>
            </w:pPr>
            <w:r w:rsidRPr="00C425C7">
              <w:rPr>
                <w:b/>
                <w:bCs/>
              </w:rPr>
              <w:t>Safe Zone</w:t>
            </w:r>
          </w:p>
        </w:tc>
      </w:tr>
      <w:tr w:rsidR="00C425C7" w:rsidRPr="00C425C7" w14:paraId="40938881" w14:textId="77777777">
        <w:trPr>
          <w:trHeight w:val="514"/>
        </w:trPr>
        <w:tc>
          <w:tcPr>
            <w:tcW w:w="0" w:type="auto"/>
            <w:tcBorders>
              <w:top w:val="single" w:sz="4" w:space="0" w:color="auto"/>
              <w:left w:val="single" w:sz="4" w:space="0" w:color="auto"/>
              <w:bottom w:val="single" w:sz="4" w:space="0" w:color="auto"/>
              <w:right w:val="single" w:sz="4" w:space="0" w:color="auto"/>
            </w:tcBorders>
            <w:hideMark/>
          </w:tcPr>
          <w:p w14:paraId="28380741" w14:textId="77777777" w:rsidR="00C425C7" w:rsidRPr="00C425C7" w:rsidRDefault="00C425C7" w:rsidP="00C425C7">
            <w:pPr>
              <w:spacing w:after="160" w:line="278" w:lineRule="auto"/>
            </w:pPr>
            <w:r w:rsidRPr="00C425C7">
              <w:rPr>
                <w:b/>
                <w:bCs/>
              </w:rPr>
              <w:t>2021</w:t>
            </w:r>
          </w:p>
        </w:tc>
        <w:tc>
          <w:tcPr>
            <w:tcW w:w="0" w:type="auto"/>
            <w:tcBorders>
              <w:top w:val="single" w:sz="4" w:space="0" w:color="auto"/>
              <w:left w:val="single" w:sz="4" w:space="0" w:color="auto"/>
              <w:bottom w:val="single" w:sz="4" w:space="0" w:color="auto"/>
              <w:right w:val="single" w:sz="4" w:space="0" w:color="auto"/>
            </w:tcBorders>
            <w:hideMark/>
          </w:tcPr>
          <w:p w14:paraId="087B0AC7" w14:textId="77777777" w:rsidR="00C425C7" w:rsidRPr="00C425C7" w:rsidRDefault="00C425C7" w:rsidP="00C425C7">
            <w:pPr>
              <w:spacing w:after="160" w:line="278" w:lineRule="auto"/>
            </w:pPr>
            <w:r w:rsidRPr="00C425C7">
              <w:rPr>
                <w:b/>
                <w:bCs/>
              </w:rPr>
              <w:t>4.04</w:t>
            </w:r>
          </w:p>
        </w:tc>
        <w:tc>
          <w:tcPr>
            <w:tcW w:w="0" w:type="auto"/>
            <w:tcBorders>
              <w:top w:val="single" w:sz="4" w:space="0" w:color="auto"/>
              <w:left w:val="single" w:sz="4" w:space="0" w:color="auto"/>
              <w:bottom w:val="single" w:sz="4" w:space="0" w:color="auto"/>
              <w:right w:val="single" w:sz="4" w:space="0" w:color="auto"/>
            </w:tcBorders>
            <w:hideMark/>
          </w:tcPr>
          <w:p w14:paraId="735936AD" w14:textId="77777777" w:rsidR="00C425C7" w:rsidRPr="00C425C7" w:rsidRDefault="00C425C7" w:rsidP="00C425C7">
            <w:pPr>
              <w:spacing w:after="160" w:line="278" w:lineRule="auto"/>
            </w:pPr>
            <w:r w:rsidRPr="00C425C7">
              <w:rPr>
                <w:b/>
                <w:bCs/>
              </w:rPr>
              <w:t>Safe Zone</w:t>
            </w:r>
          </w:p>
        </w:tc>
      </w:tr>
      <w:tr w:rsidR="00C425C7" w:rsidRPr="00C425C7" w14:paraId="77CAC4F7" w14:textId="77777777">
        <w:trPr>
          <w:trHeight w:val="529"/>
        </w:trPr>
        <w:tc>
          <w:tcPr>
            <w:tcW w:w="0" w:type="auto"/>
            <w:tcBorders>
              <w:top w:val="single" w:sz="4" w:space="0" w:color="auto"/>
              <w:left w:val="single" w:sz="4" w:space="0" w:color="auto"/>
              <w:bottom w:val="single" w:sz="4" w:space="0" w:color="auto"/>
              <w:right w:val="single" w:sz="4" w:space="0" w:color="auto"/>
            </w:tcBorders>
            <w:hideMark/>
          </w:tcPr>
          <w:p w14:paraId="76E887DD" w14:textId="77777777" w:rsidR="00C425C7" w:rsidRPr="00C425C7" w:rsidRDefault="00C425C7" w:rsidP="00C425C7">
            <w:pPr>
              <w:spacing w:after="160" w:line="278" w:lineRule="auto"/>
            </w:pPr>
            <w:r w:rsidRPr="00C425C7">
              <w:rPr>
                <w:b/>
                <w:bCs/>
              </w:rPr>
              <w:t>2020</w:t>
            </w:r>
          </w:p>
        </w:tc>
        <w:tc>
          <w:tcPr>
            <w:tcW w:w="0" w:type="auto"/>
            <w:tcBorders>
              <w:top w:val="single" w:sz="4" w:space="0" w:color="auto"/>
              <w:left w:val="single" w:sz="4" w:space="0" w:color="auto"/>
              <w:bottom w:val="single" w:sz="4" w:space="0" w:color="auto"/>
              <w:right w:val="single" w:sz="4" w:space="0" w:color="auto"/>
            </w:tcBorders>
            <w:hideMark/>
          </w:tcPr>
          <w:p w14:paraId="51B122AB" w14:textId="77777777" w:rsidR="00C425C7" w:rsidRPr="00C425C7" w:rsidRDefault="00C425C7" w:rsidP="00C425C7">
            <w:pPr>
              <w:spacing w:after="160" w:line="278" w:lineRule="auto"/>
            </w:pPr>
            <w:r w:rsidRPr="00C425C7">
              <w:rPr>
                <w:b/>
                <w:bCs/>
              </w:rPr>
              <w:t>4.55</w:t>
            </w:r>
          </w:p>
        </w:tc>
        <w:tc>
          <w:tcPr>
            <w:tcW w:w="0" w:type="auto"/>
            <w:tcBorders>
              <w:top w:val="single" w:sz="4" w:space="0" w:color="auto"/>
              <w:left w:val="single" w:sz="4" w:space="0" w:color="auto"/>
              <w:bottom w:val="single" w:sz="4" w:space="0" w:color="auto"/>
              <w:right w:val="single" w:sz="4" w:space="0" w:color="auto"/>
            </w:tcBorders>
            <w:hideMark/>
          </w:tcPr>
          <w:p w14:paraId="138BDDDB" w14:textId="77777777" w:rsidR="00C425C7" w:rsidRPr="00C425C7" w:rsidRDefault="00C425C7" w:rsidP="00C425C7">
            <w:pPr>
              <w:spacing w:after="160" w:line="278" w:lineRule="auto"/>
            </w:pPr>
            <w:r w:rsidRPr="00C425C7">
              <w:rPr>
                <w:b/>
                <w:bCs/>
              </w:rPr>
              <w:t>Safe Zone</w:t>
            </w:r>
          </w:p>
        </w:tc>
      </w:tr>
    </w:tbl>
    <w:p w14:paraId="38F33097" w14:textId="77777777" w:rsidR="00C425C7" w:rsidRPr="00C425C7" w:rsidRDefault="00C425C7" w:rsidP="00C425C7">
      <w:r w:rsidRPr="00C425C7">
        <w:rPr>
          <w:b/>
          <w:bCs/>
        </w:rPr>
        <w:t>Analysis of Z-Score:</w:t>
      </w:r>
      <w:r w:rsidRPr="00C425C7">
        <w:br/>
        <w:t xml:space="preserve">The path of the Z-Score is an extreme quantitative validation of the qualitative analysis. GE has plummeted from a very "Safe" score of a 4.55 in 2020, way above the 2.99 threshold, into the "Grey Zone" (1.81 &lt; Z &lt; 2.99) for the two previous years. </w:t>
      </w:r>
    </w:p>
    <w:p w14:paraId="649BEA3E" w14:textId="6EADF1FD" w:rsidR="00C425C7" w:rsidRPr="00C425C7" w:rsidRDefault="00C425C7" w:rsidP="00C425C7">
      <w:pPr>
        <w:rPr>
          <w:b/>
          <w:bCs/>
        </w:rPr>
      </w:pPr>
    </w:p>
    <w:p w14:paraId="4C76411D" w14:textId="646FC8E1" w:rsidR="00C425C7" w:rsidRPr="00C425C7" w:rsidRDefault="00C425C7" w:rsidP="00C425C7">
      <w:pPr>
        <w:rPr>
          <w:b/>
          <w:bCs/>
        </w:rPr>
      </w:pPr>
      <w:r w:rsidRPr="00C425C7">
        <w:rPr>
          <w:b/>
          <w:noProof/>
        </w:rPr>
        <w:drawing>
          <wp:inline distT="0" distB="0" distL="0" distR="0" wp14:anchorId="20FA50F5" wp14:editId="7F76DE55">
            <wp:extent cx="3486150" cy="3457575"/>
            <wp:effectExtent l="0" t="0" r="0" b="9525"/>
            <wp:docPr id="582383562" name="Picture 6" descr="A graph with numbers and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83562" name="Picture 6" descr="A graph with numbers and a blue line&#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86150" cy="3457575"/>
                    </a:xfrm>
                    <a:prstGeom prst="rect">
                      <a:avLst/>
                    </a:prstGeom>
                    <a:noFill/>
                    <a:ln>
                      <a:noFill/>
                    </a:ln>
                  </pic:spPr>
                </pic:pic>
              </a:graphicData>
            </a:graphic>
          </wp:inline>
        </w:drawing>
      </w:r>
    </w:p>
    <w:p w14:paraId="6FACC149" w14:textId="77777777" w:rsidR="00C425C7" w:rsidRPr="00C425C7" w:rsidRDefault="00C425C7" w:rsidP="006061F0">
      <w:pPr>
        <w:ind w:firstLine="720"/>
        <w:jc w:val="both"/>
      </w:pPr>
      <w:r w:rsidRPr="00C425C7">
        <w:t>Figure 3 charts the decline, showing the Z-Score breaching the 'Safe Zone' after 2022 and heading towards the 'Distress Zone'. The trend makes distress a matter of when, not if, without immediate intervention. The Z-Score is a clear, objective, and urgent call for Board action.</w:t>
      </w:r>
    </w:p>
    <w:p w14:paraId="517FFFDC" w14:textId="77777777" w:rsidR="00C425C7" w:rsidRPr="00C425C7" w:rsidRDefault="00C425C7" w:rsidP="006061F0">
      <w:pPr>
        <w:ind w:firstLine="720"/>
        <w:jc w:val="both"/>
      </w:pPr>
      <w:r w:rsidRPr="00C425C7">
        <w:lastRenderedPageBreak/>
        <w:t>The score of 2.21 in 2023 constituted a severe warning, and though the 2.83 in 2024 reflects a small improvement (probably due to the lack of the massive impairment charge), the score is still clearly in a zone that indicates a material and elevated likelihood of bankruptcy.</w:t>
      </w:r>
    </w:p>
    <w:p w14:paraId="36877BF4" w14:textId="77777777" w:rsidR="00C425C7" w:rsidRPr="00C425C7" w:rsidRDefault="00C425C7" w:rsidP="006061F0">
      <w:pPr>
        <w:ind w:firstLine="720"/>
        <w:jc w:val="both"/>
      </w:pPr>
      <w:r w:rsidRPr="00C425C7">
        <w:t>The main causes of this fall have been the collapse in the core profitability component (X3), which went abruptly negative, and the deterioration of the solvency component (X4), which has nearly halved since 2020. the company is not in the "Distress Zone" (Z &lt; 1.81), yet, the pace, at which the decline is taking place is the most crucial. The drop of more than 2.3 points is extremely fast in 5 years. The trend cannot be denied and reflects the fact that in case no radical and immediate action is taken then there will be a shift to the distress category, but not whether, but when. Here, it is essential to note the constraints of models like this one - they assume the work on past accounting data and cannot predict the effectiveness of external shocks and the effectiveness of future strategies. However, Z-Score as a diagnostic tool provides an objective, clear and eminent call to action by the Board.</w:t>
      </w:r>
    </w:p>
    <w:p w14:paraId="06AB221A" w14:textId="77777777" w:rsidR="00C425C7" w:rsidRPr="00C425C7" w:rsidRDefault="00C425C7" w:rsidP="006061F0">
      <w:pPr>
        <w:jc w:val="both"/>
        <w:rPr>
          <w:b/>
          <w:bCs/>
        </w:rPr>
      </w:pPr>
      <w:bookmarkStart w:id="8" w:name="_Toc216554271"/>
      <w:r w:rsidRPr="00C425C7">
        <w:rPr>
          <w:b/>
          <w:bCs/>
        </w:rPr>
        <w:t>Section 2: Working Capital Management Analysis</w:t>
      </w:r>
      <w:bookmarkEnd w:id="8"/>
    </w:p>
    <w:p w14:paraId="6E47E67B" w14:textId="77777777" w:rsidR="00C425C7" w:rsidRPr="00C425C7" w:rsidRDefault="00C425C7" w:rsidP="006061F0">
      <w:pPr>
        <w:ind w:firstLine="720"/>
        <w:jc w:val="both"/>
      </w:pPr>
      <w:r w:rsidRPr="00C425C7">
        <w:t>The financial health check disclosed a dire liquidity crisis, which originates in the severe liquidity wastefulness, the biggest danger of being upon GE in the shortest time achievable. This section further details how the company addressed the working capital management by quantifying the problem based on the Cash Conversion Cycle and proposing definite and actionable changes to restart the cash moving back to health.</w:t>
      </w:r>
    </w:p>
    <w:p w14:paraId="5761EEE0" w14:textId="77777777" w:rsidR="00C425C7" w:rsidRPr="00C425C7" w:rsidRDefault="00C425C7" w:rsidP="006061F0">
      <w:pPr>
        <w:jc w:val="both"/>
        <w:rPr>
          <w:b/>
          <w:bCs/>
        </w:rPr>
      </w:pPr>
      <w:r w:rsidRPr="00C425C7">
        <w:rPr>
          <w:b/>
          <w:bCs/>
        </w:rPr>
        <w:t xml:space="preserve"> </w:t>
      </w:r>
      <w:bookmarkStart w:id="9" w:name="_Toc216554272"/>
      <w:r w:rsidRPr="00C425C7">
        <w:rPr>
          <w:b/>
          <w:bCs/>
        </w:rPr>
        <w:t>Cash Conversion Cycle (CCC) Assessment</w:t>
      </w:r>
      <w:bookmarkEnd w:id="9"/>
    </w:p>
    <w:p w14:paraId="6315DA52" w14:textId="77777777" w:rsidR="00C425C7" w:rsidRDefault="00C425C7" w:rsidP="006061F0">
      <w:pPr>
        <w:ind w:firstLine="720"/>
        <w:jc w:val="both"/>
      </w:pPr>
      <w:r w:rsidRPr="00C425C7">
        <w:t>Cash Conversion Cycle or CCC is a very significant measure that indicates the number of days that the company takes to alter its investment in inventory and other assets to cash through sales. A long or lengthening CCC is a sign of a wide funding gap that will need to be filled through debt or equity, which will put pressure on the balance sheet.</w:t>
      </w:r>
    </w:p>
    <w:p w14:paraId="6FA95918" w14:textId="77777777" w:rsidR="00DA39FD" w:rsidRDefault="00DA39FD" w:rsidP="006061F0">
      <w:pPr>
        <w:ind w:firstLine="720"/>
        <w:jc w:val="both"/>
      </w:pPr>
    </w:p>
    <w:p w14:paraId="00118CE2" w14:textId="77777777" w:rsidR="00DA39FD" w:rsidRDefault="00DA39FD" w:rsidP="006061F0">
      <w:pPr>
        <w:ind w:firstLine="720"/>
        <w:jc w:val="both"/>
      </w:pPr>
    </w:p>
    <w:p w14:paraId="59B10435" w14:textId="77777777" w:rsidR="00DA39FD" w:rsidRDefault="00DA39FD" w:rsidP="006061F0">
      <w:pPr>
        <w:ind w:firstLine="720"/>
        <w:jc w:val="both"/>
      </w:pPr>
    </w:p>
    <w:p w14:paraId="205FA581" w14:textId="77777777" w:rsidR="00DA39FD" w:rsidRDefault="00DA39FD" w:rsidP="006061F0">
      <w:pPr>
        <w:ind w:firstLine="720"/>
        <w:jc w:val="both"/>
      </w:pPr>
    </w:p>
    <w:p w14:paraId="2BEDE3BB" w14:textId="77777777" w:rsidR="000C424E" w:rsidRDefault="000C424E" w:rsidP="006061F0">
      <w:pPr>
        <w:ind w:firstLine="720"/>
        <w:jc w:val="both"/>
      </w:pPr>
    </w:p>
    <w:p w14:paraId="04CC637F" w14:textId="77777777" w:rsidR="000C424E" w:rsidRDefault="000C424E" w:rsidP="006061F0">
      <w:pPr>
        <w:ind w:firstLine="720"/>
        <w:jc w:val="both"/>
      </w:pPr>
    </w:p>
    <w:p w14:paraId="5C5A334F" w14:textId="77777777" w:rsidR="00DA39FD" w:rsidRPr="00C425C7" w:rsidRDefault="00DA39FD" w:rsidP="006061F0">
      <w:pPr>
        <w:ind w:firstLine="720"/>
        <w:jc w:val="both"/>
      </w:pPr>
    </w:p>
    <w:p w14:paraId="5865588D" w14:textId="77777777" w:rsidR="00C425C7" w:rsidRPr="00C425C7" w:rsidRDefault="00C425C7" w:rsidP="00C425C7">
      <w:r w:rsidRPr="00C425C7">
        <w:rPr>
          <w:b/>
          <w:bCs/>
        </w:rPr>
        <w:lastRenderedPageBreak/>
        <w:t>Table 3: Cash Conversion Cycle (CCC) for General Electronics (2020-2024)</w:t>
      </w:r>
      <w:r w:rsidRPr="00C425C7">
        <w:br/>
      </w:r>
      <w:r w:rsidRPr="00C425C7">
        <w:rPr>
          <w:i/>
          <w:iCs/>
        </w:rPr>
        <w:t>(Full calculations are located in Appendix C)</w:t>
      </w:r>
    </w:p>
    <w:tbl>
      <w:tblPr>
        <w:tblStyle w:val="TableGrid"/>
        <w:tblW w:w="8979" w:type="dxa"/>
        <w:tblLook w:val="04A0" w:firstRow="1" w:lastRow="0" w:firstColumn="1" w:lastColumn="0" w:noHBand="0" w:noVBand="1"/>
      </w:tblPr>
      <w:tblGrid>
        <w:gridCol w:w="4288"/>
        <w:gridCol w:w="939"/>
        <w:gridCol w:w="938"/>
        <w:gridCol w:w="938"/>
        <w:gridCol w:w="938"/>
        <w:gridCol w:w="938"/>
      </w:tblGrid>
      <w:tr w:rsidR="00C425C7" w:rsidRPr="00C425C7" w14:paraId="68903A9D" w14:textId="77777777">
        <w:trPr>
          <w:trHeight w:val="547"/>
        </w:trPr>
        <w:tc>
          <w:tcPr>
            <w:tcW w:w="0" w:type="auto"/>
            <w:tcBorders>
              <w:top w:val="single" w:sz="4" w:space="0" w:color="auto"/>
              <w:left w:val="single" w:sz="4" w:space="0" w:color="auto"/>
              <w:bottom w:val="single" w:sz="4" w:space="0" w:color="auto"/>
              <w:right w:val="single" w:sz="4" w:space="0" w:color="auto"/>
            </w:tcBorders>
            <w:hideMark/>
          </w:tcPr>
          <w:p w14:paraId="4302EE1E" w14:textId="77777777" w:rsidR="00C425C7" w:rsidRPr="00C425C7" w:rsidRDefault="00C425C7" w:rsidP="00C425C7">
            <w:pPr>
              <w:spacing w:after="160" w:line="278" w:lineRule="auto"/>
              <w:rPr>
                <w:b/>
                <w:bCs/>
              </w:rPr>
            </w:pPr>
            <w:r w:rsidRPr="00C425C7">
              <w:rPr>
                <w:b/>
                <w:bCs/>
              </w:rPr>
              <w:t>Component (in Days)</w:t>
            </w:r>
          </w:p>
        </w:tc>
        <w:tc>
          <w:tcPr>
            <w:tcW w:w="0" w:type="auto"/>
            <w:tcBorders>
              <w:top w:val="single" w:sz="4" w:space="0" w:color="auto"/>
              <w:left w:val="single" w:sz="4" w:space="0" w:color="auto"/>
              <w:bottom w:val="single" w:sz="4" w:space="0" w:color="auto"/>
              <w:right w:val="single" w:sz="4" w:space="0" w:color="auto"/>
            </w:tcBorders>
            <w:hideMark/>
          </w:tcPr>
          <w:p w14:paraId="6275C705" w14:textId="77777777" w:rsidR="00C425C7" w:rsidRPr="00C425C7" w:rsidRDefault="00C425C7" w:rsidP="00C425C7">
            <w:pPr>
              <w:spacing w:after="160" w:line="278" w:lineRule="auto"/>
              <w:rPr>
                <w:b/>
                <w:bCs/>
              </w:rPr>
            </w:pPr>
            <w:r w:rsidRPr="00C425C7">
              <w:rPr>
                <w:b/>
                <w:bCs/>
              </w:rPr>
              <w:t>2024</w:t>
            </w:r>
          </w:p>
        </w:tc>
        <w:tc>
          <w:tcPr>
            <w:tcW w:w="0" w:type="auto"/>
            <w:tcBorders>
              <w:top w:val="single" w:sz="4" w:space="0" w:color="auto"/>
              <w:left w:val="single" w:sz="4" w:space="0" w:color="auto"/>
              <w:bottom w:val="single" w:sz="4" w:space="0" w:color="auto"/>
              <w:right w:val="single" w:sz="4" w:space="0" w:color="auto"/>
            </w:tcBorders>
            <w:hideMark/>
          </w:tcPr>
          <w:p w14:paraId="5B60E7A7" w14:textId="77777777" w:rsidR="00C425C7" w:rsidRPr="00C425C7" w:rsidRDefault="00C425C7" w:rsidP="00C425C7">
            <w:pPr>
              <w:spacing w:after="160" w:line="278" w:lineRule="auto"/>
              <w:rPr>
                <w:b/>
                <w:bCs/>
              </w:rPr>
            </w:pPr>
            <w:r w:rsidRPr="00C425C7">
              <w:rPr>
                <w:b/>
                <w:bCs/>
              </w:rPr>
              <w:t>2023</w:t>
            </w:r>
          </w:p>
        </w:tc>
        <w:tc>
          <w:tcPr>
            <w:tcW w:w="0" w:type="auto"/>
            <w:tcBorders>
              <w:top w:val="single" w:sz="4" w:space="0" w:color="auto"/>
              <w:left w:val="single" w:sz="4" w:space="0" w:color="auto"/>
              <w:bottom w:val="single" w:sz="4" w:space="0" w:color="auto"/>
              <w:right w:val="single" w:sz="4" w:space="0" w:color="auto"/>
            </w:tcBorders>
            <w:hideMark/>
          </w:tcPr>
          <w:p w14:paraId="2FA3CD88" w14:textId="77777777" w:rsidR="00C425C7" w:rsidRPr="00C425C7" w:rsidRDefault="00C425C7" w:rsidP="00C425C7">
            <w:pPr>
              <w:spacing w:after="160" w:line="278" w:lineRule="auto"/>
              <w:rPr>
                <w:b/>
                <w:bCs/>
              </w:rPr>
            </w:pPr>
            <w:r w:rsidRPr="00C425C7">
              <w:rPr>
                <w:b/>
                <w:bCs/>
              </w:rPr>
              <w:t>2022</w:t>
            </w:r>
          </w:p>
        </w:tc>
        <w:tc>
          <w:tcPr>
            <w:tcW w:w="0" w:type="auto"/>
            <w:tcBorders>
              <w:top w:val="single" w:sz="4" w:space="0" w:color="auto"/>
              <w:left w:val="single" w:sz="4" w:space="0" w:color="auto"/>
              <w:bottom w:val="single" w:sz="4" w:space="0" w:color="auto"/>
              <w:right w:val="single" w:sz="4" w:space="0" w:color="auto"/>
            </w:tcBorders>
            <w:hideMark/>
          </w:tcPr>
          <w:p w14:paraId="3A10A868" w14:textId="77777777" w:rsidR="00C425C7" w:rsidRPr="00C425C7" w:rsidRDefault="00C425C7" w:rsidP="00C425C7">
            <w:pPr>
              <w:spacing w:after="160" w:line="278" w:lineRule="auto"/>
              <w:rPr>
                <w:b/>
                <w:bCs/>
              </w:rPr>
            </w:pPr>
            <w:r w:rsidRPr="00C425C7">
              <w:rPr>
                <w:b/>
                <w:bCs/>
              </w:rPr>
              <w:t>2021</w:t>
            </w:r>
          </w:p>
        </w:tc>
        <w:tc>
          <w:tcPr>
            <w:tcW w:w="0" w:type="auto"/>
            <w:tcBorders>
              <w:top w:val="single" w:sz="4" w:space="0" w:color="auto"/>
              <w:left w:val="single" w:sz="4" w:space="0" w:color="auto"/>
              <w:bottom w:val="single" w:sz="4" w:space="0" w:color="auto"/>
              <w:right w:val="single" w:sz="4" w:space="0" w:color="auto"/>
            </w:tcBorders>
            <w:hideMark/>
          </w:tcPr>
          <w:p w14:paraId="2C197AFE" w14:textId="77777777" w:rsidR="00C425C7" w:rsidRPr="00C425C7" w:rsidRDefault="00C425C7" w:rsidP="00C425C7">
            <w:pPr>
              <w:spacing w:after="160" w:line="278" w:lineRule="auto"/>
              <w:rPr>
                <w:b/>
                <w:bCs/>
              </w:rPr>
            </w:pPr>
            <w:r w:rsidRPr="00C425C7">
              <w:rPr>
                <w:b/>
                <w:bCs/>
              </w:rPr>
              <w:t>2020</w:t>
            </w:r>
          </w:p>
        </w:tc>
      </w:tr>
      <w:tr w:rsidR="00C425C7" w:rsidRPr="00C425C7" w14:paraId="3FD4B341" w14:textId="77777777">
        <w:trPr>
          <w:trHeight w:val="547"/>
        </w:trPr>
        <w:tc>
          <w:tcPr>
            <w:tcW w:w="0" w:type="auto"/>
            <w:tcBorders>
              <w:top w:val="single" w:sz="4" w:space="0" w:color="auto"/>
              <w:left w:val="single" w:sz="4" w:space="0" w:color="auto"/>
              <w:bottom w:val="single" w:sz="4" w:space="0" w:color="auto"/>
              <w:right w:val="single" w:sz="4" w:space="0" w:color="auto"/>
            </w:tcBorders>
            <w:hideMark/>
          </w:tcPr>
          <w:p w14:paraId="002578CC" w14:textId="77777777" w:rsidR="00C425C7" w:rsidRPr="00C425C7" w:rsidRDefault="00C425C7" w:rsidP="00C425C7">
            <w:pPr>
              <w:spacing w:after="160" w:line="278" w:lineRule="auto"/>
            </w:pPr>
            <w:r w:rsidRPr="00C425C7">
              <w:t>Days Inventory Outstanding (DIO)</w:t>
            </w:r>
          </w:p>
        </w:tc>
        <w:tc>
          <w:tcPr>
            <w:tcW w:w="0" w:type="auto"/>
            <w:tcBorders>
              <w:top w:val="single" w:sz="4" w:space="0" w:color="auto"/>
              <w:left w:val="single" w:sz="4" w:space="0" w:color="auto"/>
              <w:bottom w:val="single" w:sz="4" w:space="0" w:color="auto"/>
              <w:right w:val="single" w:sz="4" w:space="0" w:color="auto"/>
            </w:tcBorders>
            <w:hideMark/>
          </w:tcPr>
          <w:p w14:paraId="3897E2D5" w14:textId="77777777" w:rsidR="00C425C7" w:rsidRPr="00C425C7" w:rsidRDefault="00C425C7" w:rsidP="00C425C7">
            <w:pPr>
              <w:spacing w:after="160" w:line="278" w:lineRule="auto"/>
            </w:pPr>
            <w:r w:rsidRPr="00C425C7">
              <w:t>103.1</w:t>
            </w:r>
          </w:p>
        </w:tc>
        <w:tc>
          <w:tcPr>
            <w:tcW w:w="0" w:type="auto"/>
            <w:tcBorders>
              <w:top w:val="single" w:sz="4" w:space="0" w:color="auto"/>
              <w:left w:val="single" w:sz="4" w:space="0" w:color="auto"/>
              <w:bottom w:val="single" w:sz="4" w:space="0" w:color="auto"/>
              <w:right w:val="single" w:sz="4" w:space="0" w:color="auto"/>
            </w:tcBorders>
            <w:hideMark/>
          </w:tcPr>
          <w:p w14:paraId="35E5CC1D" w14:textId="77777777" w:rsidR="00C425C7" w:rsidRPr="00C425C7" w:rsidRDefault="00C425C7" w:rsidP="00C425C7">
            <w:pPr>
              <w:spacing w:after="160" w:line="278" w:lineRule="auto"/>
            </w:pPr>
            <w:r w:rsidRPr="00C425C7">
              <w:t>99.8</w:t>
            </w:r>
          </w:p>
        </w:tc>
        <w:tc>
          <w:tcPr>
            <w:tcW w:w="0" w:type="auto"/>
            <w:tcBorders>
              <w:top w:val="single" w:sz="4" w:space="0" w:color="auto"/>
              <w:left w:val="single" w:sz="4" w:space="0" w:color="auto"/>
              <w:bottom w:val="single" w:sz="4" w:space="0" w:color="auto"/>
              <w:right w:val="single" w:sz="4" w:space="0" w:color="auto"/>
            </w:tcBorders>
            <w:hideMark/>
          </w:tcPr>
          <w:p w14:paraId="4BD44861" w14:textId="77777777" w:rsidR="00C425C7" w:rsidRPr="00C425C7" w:rsidRDefault="00C425C7" w:rsidP="00C425C7">
            <w:pPr>
              <w:spacing w:after="160" w:line="278" w:lineRule="auto"/>
            </w:pPr>
            <w:r w:rsidRPr="00C425C7">
              <w:t>131.0</w:t>
            </w:r>
          </w:p>
        </w:tc>
        <w:tc>
          <w:tcPr>
            <w:tcW w:w="0" w:type="auto"/>
            <w:tcBorders>
              <w:top w:val="single" w:sz="4" w:space="0" w:color="auto"/>
              <w:left w:val="single" w:sz="4" w:space="0" w:color="auto"/>
              <w:bottom w:val="single" w:sz="4" w:space="0" w:color="auto"/>
              <w:right w:val="single" w:sz="4" w:space="0" w:color="auto"/>
            </w:tcBorders>
            <w:hideMark/>
          </w:tcPr>
          <w:p w14:paraId="29E994E5" w14:textId="77777777" w:rsidR="00C425C7" w:rsidRPr="00C425C7" w:rsidRDefault="00C425C7" w:rsidP="00C425C7">
            <w:pPr>
              <w:spacing w:after="160" w:line="278" w:lineRule="auto"/>
            </w:pPr>
            <w:r w:rsidRPr="00C425C7">
              <w:t>114.5</w:t>
            </w:r>
          </w:p>
        </w:tc>
        <w:tc>
          <w:tcPr>
            <w:tcW w:w="0" w:type="auto"/>
            <w:tcBorders>
              <w:top w:val="single" w:sz="4" w:space="0" w:color="auto"/>
              <w:left w:val="single" w:sz="4" w:space="0" w:color="auto"/>
              <w:bottom w:val="single" w:sz="4" w:space="0" w:color="auto"/>
              <w:right w:val="single" w:sz="4" w:space="0" w:color="auto"/>
            </w:tcBorders>
            <w:hideMark/>
          </w:tcPr>
          <w:p w14:paraId="0101DF00" w14:textId="77777777" w:rsidR="00C425C7" w:rsidRPr="00C425C7" w:rsidRDefault="00C425C7" w:rsidP="00C425C7">
            <w:pPr>
              <w:spacing w:after="160" w:line="278" w:lineRule="auto"/>
            </w:pPr>
            <w:r w:rsidRPr="00C425C7">
              <w:t>100.2</w:t>
            </w:r>
          </w:p>
        </w:tc>
      </w:tr>
      <w:tr w:rsidR="00C425C7" w:rsidRPr="00C425C7" w14:paraId="31C75CE3" w14:textId="77777777">
        <w:trPr>
          <w:trHeight w:val="547"/>
        </w:trPr>
        <w:tc>
          <w:tcPr>
            <w:tcW w:w="0" w:type="auto"/>
            <w:tcBorders>
              <w:top w:val="single" w:sz="4" w:space="0" w:color="auto"/>
              <w:left w:val="single" w:sz="4" w:space="0" w:color="auto"/>
              <w:bottom w:val="single" w:sz="4" w:space="0" w:color="auto"/>
              <w:right w:val="single" w:sz="4" w:space="0" w:color="auto"/>
            </w:tcBorders>
            <w:hideMark/>
          </w:tcPr>
          <w:p w14:paraId="5DED9D8E" w14:textId="77777777" w:rsidR="00C425C7" w:rsidRPr="00C425C7" w:rsidRDefault="00C425C7" w:rsidP="00C425C7">
            <w:pPr>
              <w:spacing w:after="160" w:line="278" w:lineRule="auto"/>
            </w:pPr>
            <w:r w:rsidRPr="00C425C7">
              <w:t>Days Sales Outstanding (DSO)</w:t>
            </w:r>
          </w:p>
        </w:tc>
        <w:tc>
          <w:tcPr>
            <w:tcW w:w="0" w:type="auto"/>
            <w:tcBorders>
              <w:top w:val="single" w:sz="4" w:space="0" w:color="auto"/>
              <w:left w:val="single" w:sz="4" w:space="0" w:color="auto"/>
              <w:bottom w:val="single" w:sz="4" w:space="0" w:color="auto"/>
              <w:right w:val="single" w:sz="4" w:space="0" w:color="auto"/>
            </w:tcBorders>
            <w:hideMark/>
          </w:tcPr>
          <w:p w14:paraId="7FC226D3" w14:textId="77777777" w:rsidR="00C425C7" w:rsidRPr="00C425C7" w:rsidRDefault="00C425C7" w:rsidP="00C425C7">
            <w:pPr>
              <w:spacing w:after="160" w:line="278" w:lineRule="auto"/>
            </w:pPr>
            <w:r w:rsidRPr="00C425C7">
              <w:t>105.5</w:t>
            </w:r>
          </w:p>
        </w:tc>
        <w:tc>
          <w:tcPr>
            <w:tcW w:w="0" w:type="auto"/>
            <w:tcBorders>
              <w:top w:val="single" w:sz="4" w:space="0" w:color="auto"/>
              <w:left w:val="single" w:sz="4" w:space="0" w:color="auto"/>
              <w:bottom w:val="single" w:sz="4" w:space="0" w:color="auto"/>
              <w:right w:val="single" w:sz="4" w:space="0" w:color="auto"/>
            </w:tcBorders>
            <w:hideMark/>
          </w:tcPr>
          <w:p w14:paraId="56586F7A" w14:textId="77777777" w:rsidR="00C425C7" w:rsidRPr="00C425C7" w:rsidRDefault="00C425C7" w:rsidP="00C425C7">
            <w:pPr>
              <w:spacing w:after="160" w:line="278" w:lineRule="auto"/>
            </w:pPr>
            <w:r w:rsidRPr="00C425C7">
              <w:t>97.4</w:t>
            </w:r>
          </w:p>
        </w:tc>
        <w:tc>
          <w:tcPr>
            <w:tcW w:w="0" w:type="auto"/>
            <w:tcBorders>
              <w:top w:val="single" w:sz="4" w:space="0" w:color="auto"/>
              <w:left w:val="single" w:sz="4" w:space="0" w:color="auto"/>
              <w:bottom w:val="single" w:sz="4" w:space="0" w:color="auto"/>
              <w:right w:val="single" w:sz="4" w:space="0" w:color="auto"/>
            </w:tcBorders>
            <w:hideMark/>
          </w:tcPr>
          <w:p w14:paraId="19B97ADB" w14:textId="77777777" w:rsidR="00C425C7" w:rsidRPr="00C425C7" w:rsidRDefault="00C425C7" w:rsidP="00C425C7">
            <w:pPr>
              <w:spacing w:after="160" w:line="278" w:lineRule="auto"/>
            </w:pPr>
            <w:r w:rsidRPr="00C425C7">
              <w:t>75.5</w:t>
            </w:r>
          </w:p>
        </w:tc>
        <w:tc>
          <w:tcPr>
            <w:tcW w:w="0" w:type="auto"/>
            <w:tcBorders>
              <w:top w:val="single" w:sz="4" w:space="0" w:color="auto"/>
              <w:left w:val="single" w:sz="4" w:space="0" w:color="auto"/>
              <w:bottom w:val="single" w:sz="4" w:space="0" w:color="auto"/>
              <w:right w:val="single" w:sz="4" w:space="0" w:color="auto"/>
            </w:tcBorders>
            <w:hideMark/>
          </w:tcPr>
          <w:p w14:paraId="7BAAEDBC" w14:textId="77777777" w:rsidR="00C425C7" w:rsidRPr="00C425C7" w:rsidRDefault="00C425C7" w:rsidP="00C425C7">
            <w:pPr>
              <w:spacing w:after="160" w:line="278" w:lineRule="auto"/>
            </w:pPr>
            <w:r w:rsidRPr="00C425C7">
              <w:t>78.4</w:t>
            </w:r>
          </w:p>
        </w:tc>
        <w:tc>
          <w:tcPr>
            <w:tcW w:w="0" w:type="auto"/>
            <w:tcBorders>
              <w:top w:val="single" w:sz="4" w:space="0" w:color="auto"/>
              <w:left w:val="single" w:sz="4" w:space="0" w:color="auto"/>
              <w:bottom w:val="single" w:sz="4" w:space="0" w:color="auto"/>
              <w:right w:val="single" w:sz="4" w:space="0" w:color="auto"/>
            </w:tcBorders>
            <w:hideMark/>
          </w:tcPr>
          <w:p w14:paraId="676F3EC1" w14:textId="77777777" w:rsidR="00C425C7" w:rsidRPr="00C425C7" w:rsidRDefault="00C425C7" w:rsidP="00C425C7">
            <w:pPr>
              <w:spacing w:after="160" w:line="278" w:lineRule="auto"/>
            </w:pPr>
            <w:r w:rsidRPr="00C425C7">
              <w:t>76.8</w:t>
            </w:r>
          </w:p>
        </w:tc>
      </w:tr>
      <w:tr w:rsidR="00C425C7" w:rsidRPr="00C425C7" w14:paraId="2FD6C6EF" w14:textId="77777777">
        <w:trPr>
          <w:trHeight w:val="547"/>
        </w:trPr>
        <w:tc>
          <w:tcPr>
            <w:tcW w:w="0" w:type="auto"/>
            <w:tcBorders>
              <w:top w:val="single" w:sz="4" w:space="0" w:color="auto"/>
              <w:left w:val="single" w:sz="4" w:space="0" w:color="auto"/>
              <w:bottom w:val="single" w:sz="4" w:space="0" w:color="auto"/>
              <w:right w:val="single" w:sz="4" w:space="0" w:color="auto"/>
            </w:tcBorders>
            <w:hideMark/>
          </w:tcPr>
          <w:p w14:paraId="48434416" w14:textId="77777777" w:rsidR="00C425C7" w:rsidRPr="00C425C7" w:rsidRDefault="00C425C7" w:rsidP="00C425C7">
            <w:pPr>
              <w:spacing w:after="160" w:line="278" w:lineRule="auto"/>
            </w:pPr>
            <w:r w:rsidRPr="00C425C7">
              <w:t>Days Payable Outstanding (DPO)</w:t>
            </w:r>
          </w:p>
        </w:tc>
        <w:tc>
          <w:tcPr>
            <w:tcW w:w="0" w:type="auto"/>
            <w:tcBorders>
              <w:top w:val="single" w:sz="4" w:space="0" w:color="auto"/>
              <w:left w:val="single" w:sz="4" w:space="0" w:color="auto"/>
              <w:bottom w:val="single" w:sz="4" w:space="0" w:color="auto"/>
              <w:right w:val="single" w:sz="4" w:space="0" w:color="auto"/>
            </w:tcBorders>
            <w:hideMark/>
          </w:tcPr>
          <w:p w14:paraId="5797CEBE" w14:textId="77777777" w:rsidR="00C425C7" w:rsidRPr="00C425C7" w:rsidRDefault="00C425C7" w:rsidP="00C425C7">
            <w:pPr>
              <w:spacing w:after="160" w:line="278" w:lineRule="auto"/>
            </w:pPr>
            <w:r w:rsidRPr="00C425C7">
              <w:t>93.3</w:t>
            </w:r>
          </w:p>
        </w:tc>
        <w:tc>
          <w:tcPr>
            <w:tcW w:w="0" w:type="auto"/>
            <w:tcBorders>
              <w:top w:val="single" w:sz="4" w:space="0" w:color="auto"/>
              <w:left w:val="single" w:sz="4" w:space="0" w:color="auto"/>
              <w:bottom w:val="single" w:sz="4" w:space="0" w:color="auto"/>
              <w:right w:val="single" w:sz="4" w:space="0" w:color="auto"/>
            </w:tcBorders>
            <w:hideMark/>
          </w:tcPr>
          <w:p w14:paraId="75E32530" w14:textId="77777777" w:rsidR="00C425C7" w:rsidRPr="00C425C7" w:rsidRDefault="00C425C7" w:rsidP="00C425C7">
            <w:pPr>
              <w:spacing w:after="160" w:line="278" w:lineRule="auto"/>
            </w:pPr>
            <w:r w:rsidRPr="00C425C7">
              <w:t>64.6</w:t>
            </w:r>
          </w:p>
        </w:tc>
        <w:tc>
          <w:tcPr>
            <w:tcW w:w="0" w:type="auto"/>
            <w:tcBorders>
              <w:top w:val="single" w:sz="4" w:space="0" w:color="auto"/>
              <w:left w:val="single" w:sz="4" w:space="0" w:color="auto"/>
              <w:bottom w:val="single" w:sz="4" w:space="0" w:color="auto"/>
              <w:right w:val="single" w:sz="4" w:space="0" w:color="auto"/>
            </w:tcBorders>
            <w:hideMark/>
          </w:tcPr>
          <w:p w14:paraId="26169E4C" w14:textId="77777777" w:rsidR="00C425C7" w:rsidRPr="00C425C7" w:rsidRDefault="00C425C7" w:rsidP="00C425C7">
            <w:pPr>
              <w:spacing w:after="160" w:line="278" w:lineRule="auto"/>
            </w:pPr>
            <w:r w:rsidRPr="00C425C7">
              <w:t>66.5</w:t>
            </w:r>
          </w:p>
        </w:tc>
        <w:tc>
          <w:tcPr>
            <w:tcW w:w="0" w:type="auto"/>
            <w:tcBorders>
              <w:top w:val="single" w:sz="4" w:space="0" w:color="auto"/>
              <w:left w:val="single" w:sz="4" w:space="0" w:color="auto"/>
              <w:bottom w:val="single" w:sz="4" w:space="0" w:color="auto"/>
              <w:right w:val="single" w:sz="4" w:space="0" w:color="auto"/>
            </w:tcBorders>
            <w:hideMark/>
          </w:tcPr>
          <w:p w14:paraId="4CC386D3" w14:textId="77777777" w:rsidR="00C425C7" w:rsidRPr="00C425C7" w:rsidRDefault="00C425C7" w:rsidP="00C425C7">
            <w:pPr>
              <w:spacing w:after="160" w:line="278" w:lineRule="auto"/>
            </w:pPr>
            <w:r w:rsidRPr="00C425C7">
              <w:t>74.9</w:t>
            </w:r>
          </w:p>
        </w:tc>
        <w:tc>
          <w:tcPr>
            <w:tcW w:w="0" w:type="auto"/>
            <w:tcBorders>
              <w:top w:val="single" w:sz="4" w:space="0" w:color="auto"/>
              <w:left w:val="single" w:sz="4" w:space="0" w:color="auto"/>
              <w:bottom w:val="single" w:sz="4" w:space="0" w:color="auto"/>
              <w:right w:val="single" w:sz="4" w:space="0" w:color="auto"/>
            </w:tcBorders>
            <w:hideMark/>
          </w:tcPr>
          <w:p w14:paraId="041835DB" w14:textId="77777777" w:rsidR="00C425C7" w:rsidRPr="00C425C7" w:rsidRDefault="00C425C7" w:rsidP="00C425C7">
            <w:pPr>
              <w:spacing w:after="160" w:line="278" w:lineRule="auto"/>
            </w:pPr>
            <w:r w:rsidRPr="00C425C7">
              <w:t>69.1</w:t>
            </w:r>
          </w:p>
        </w:tc>
      </w:tr>
      <w:tr w:rsidR="00C425C7" w:rsidRPr="00C425C7" w14:paraId="07E74E3A" w14:textId="77777777">
        <w:trPr>
          <w:trHeight w:val="531"/>
        </w:trPr>
        <w:tc>
          <w:tcPr>
            <w:tcW w:w="0" w:type="auto"/>
            <w:tcBorders>
              <w:top w:val="single" w:sz="4" w:space="0" w:color="auto"/>
              <w:left w:val="single" w:sz="4" w:space="0" w:color="auto"/>
              <w:bottom w:val="single" w:sz="4" w:space="0" w:color="auto"/>
              <w:right w:val="single" w:sz="4" w:space="0" w:color="auto"/>
            </w:tcBorders>
            <w:hideMark/>
          </w:tcPr>
          <w:p w14:paraId="5D9A9763" w14:textId="77777777" w:rsidR="00C425C7" w:rsidRPr="00C425C7" w:rsidRDefault="00C425C7" w:rsidP="00C425C7">
            <w:pPr>
              <w:spacing w:after="160" w:line="278" w:lineRule="auto"/>
            </w:pPr>
            <w:r w:rsidRPr="00C425C7">
              <w:rPr>
                <w:b/>
                <w:bCs/>
              </w:rPr>
              <w:t>Cash Conversion Cycle (CCC)</w:t>
            </w:r>
          </w:p>
        </w:tc>
        <w:tc>
          <w:tcPr>
            <w:tcW w:w="0" w:type="auto"/>
            <w:tcBorders>
              <w:top w:val="single" w:sz="4" w:space="0" w:color="auto"/>
              <w:left w:val="single" w:sz="4" w:space="0" w:color="auto"/>
              <w:bottom w:val="single" w:sz="4" w:space="0" w:color="auto"/>
              <w:right w:val="single" w:sz="4" w:space="0" w:color="auto"/>
            </w:tcBorders>
            <w:hideMark/>
          </w:tcPr>
          <w:p w14:paraId="0EAEA5A2" w14:textId="77777777" w:rsidR="00C425C7" w:rsidRPr="00C425C7" w:rsidRDefault="00C425C7" w:rsidP="00C425C7">
            <w:pPr>
              <w:spacing w:after="160" w:line="278" w:lineRule="auto"/>
            </w:pPr>
            <w:r w:rsidRPr="00C425C7">
              <w:rPr>
                <w:b/>
                <w:bCs/>
              </w:rPr>
              <w:t>115.3</w:t>
            </w:r>
          </w:p>
        </w:tc>
        <w:tc>
          <w:tcPr>
            <w:tcW w:w="0" w:type="auto"/>
            <w:tcBorders>
              <w:top w:val="single" w:sz="4" w:space="0" w:color="auto"/>
              <w:left w:val="single" w:sz="4" w:space="0" w:color="auto"/>
              <w:bottom w:val="single" w:sz="4" w:space="0" w:color="auto"/>
              <w:right w:val="single" w:sz="4" w:space="0" w:color="auto"/>
            </w:tcBorders>
            <w:hideMark/>
          </w:tcPr>
          <w:p w14:paraId="5D14E435" w14:textId="77777777" w:rsidR="00C425C7" w:rsidRPr="00C425C7" w:rsidRDefault="00C425C7" w:rsidP="00C425C7">
            <w:pPr>
              <w:spacing w:after="160" w:line="278" w:lineRule="auto"/>
            </w:pPr>
            <w:r w:rsidRPr="00C425C7">
              <w:rPr>
                <w:b/>
                <w:bCs/>
              </w:rPr>
              <w:t>132.6</w:t>
            </w:r>
          </w:p>
        </w:tc>
        <w:tc>
          <w:tcPr>
            <w:tcW w:w="0" w:type="auto"/>
            <w:tcBorders>
              <w:top w:val="single" w:sz="4" w:space="0" w:color="auto"/>
              <w:left w:val="single" w:sz="4" w:space="0" w:color="auto"/>
              <w:bottom w:val="single" w:sz="4" w:space="0" w:color="auto"/>
              <w:right w:val="single" w:sz="4" w:space="0" w:color="auto"/>
            </w:tcBorders>
            <w:hideMark/>
          </w:tcPr>
          <w:p w14:paraId="0583B37A" w14:textId="77777777" w:rsidR="00C425C7" w:rsidRPr="00C425C7" w:rsidRDefault="00C425C7" w:rsidP="00C425C7">
            <w:pPr>
              <w:spacing w:after="160" w:line="278" w:lineRule="auto"/>
            </w:pPr>
            <w:r w:rsidRPr="00C425C7">
              <w:rPr>
                <w:b/>
                <w:bCs/>
              </w:rPr>
              <w:t>140.0</w:t>
            </w:r>
          </w:p>
        </w:tc>
        <w:tc>
          <w:tcPr>
            <w:tcW w:w="0" w:type="auto"/>
            <w:tcBorders>
              <w:top w:val="single" w:sz="4" w:space="0" w:color="auto"/>
              <w:left w:val="single" w:sz="4" w:space="0" w:color="auto"/>
              <w:bottom w:val="single" w:sz="4" w:space="0" w:color="auto"/>
              <w:right w:val="single" w:sz="4" w:space="0" w:color="auto"/>
            </w:tcBorders>
            <w:hideMark/>
          </w:tcPr>
          <w:p w14:paraId="28890A37" w14:textId="77777777" w:rsidR="00C425C7" w:rsidRPr="00C425C7" w:rsidRDefault="00C425C7" w:rsidP="00C425C7">
            <w:pPr>
              <w:spacing w:after="160" w:line="278" w:lineRule="auto"/>
            </w:pPr>
            <w:r w:rsidRPr="00C425C7">
              <w:rPr>
                <w:b/>
                <w:bCs/>
              </w:rPr>
              <w:t>118.0</w:t>
            </w:r>
          </w:p>
        </w:tc>
        <w:tc>
          <w:tcPr>
            <w:tcW w:w="0" w:type="auto"/>
            <w:tcBorders>
              <w:top w:val="single" w:sz="4" w:space="0" w:color="auto"/>
              <w:left w:val="single" w:sz="4" w:space="0" w:color="auto"/>
              <w:bottom w:val="single" w:sz="4" w:space="0" w:color="auto"/>
              <w:right w:val="single" w:sz="4" w:space="0" w:color="auto"/>
            </w:tcBorders>
            <w:hideMark/>
          </w:tcPr>
          <w:p w14:paraId="2C59B0FB" w14:textId="77777777" w:rsidR="00C425C7" w:rsidRPr="00C425C7" w:rsidRDefault="00C425C7" w:rsidP="00C425C7">
            <w:pPr>
              <w:spacing w:after="160" w:line="278" w:lineRule="auto"/>
            </w:pPr>
            <w:r w:rsidRPr="00C425C7">
              <w:rPr>
                <w:b/>
                <w:bCs/>
              </w:rPr>
              <w:t>107.9</w:t>
            </w:r>
          </w:p>
        </w:tc>
      </w:tr>
    </w:tbl>
    <w:p w14:paraId="4FB0ADA8" w14:textId="77777777" w:rsidR="00C425C7" w:rsidRPr="00C425C7" w:rsidRDefault="00C425C7" w:rsidP="00C425C7">
      <w:pPr>
        <w:rPr>
          <w:b/>
          <w:bCs/>
        </w:rPr>
      </w:pPr>
    </w:p>
    <w:p w14:paraId="4802F4C6" w14:textId="77777777" w:rsidR="00C425C7" w:rsidRPr="00C425C7" w:rsidRDefault="00C425C7" w:rsidP="00C425C7">
      <w:pPr>
        <w:rPr>
          <w:b/>
          <w:bCs/>
        </w:rPr>
      </w:pPr>
    </w:p>
    <w:p w14:paraId="34753B9A" w14:textId="77777777" w:rsidR="00C425C7" w:rsidRPr="00C425C7" w:rsidRDefault="00C425C7" w:rsidP="00C425C7">
      <w:pPr>
        <w:rPr>
          <w:b/>
          <w:bCs/>
        </w:rPr>
      </w:pPr>
    </w:p>
    <w:p w14:paraId="107C5D76" w14:textId="2F5A811A" w:rsidR="00C425C7" w:rsidRPr="00C425C7" w:rsidRDefault="00C425C7" w:rsidP="00C425C7">
      <w:pPr>
        <w:rPr>
          <w:b/>
          <w:bCs/>
        </w:rPr>
      </w:pPr>
    </w:p>
    <w:p w14:paraId="0E1A3B88" w14:textId="36254E08" w:rsidR="00C425C7" w:rsidRPr="00C425C7" w:rsidRDefault="00C425C7" w:rsidP="00C425C7">
      <w:pPr>
        <w:rPr>
          <w:b/>
          <w:bCs/>
        </w:rPr>
      </w:pPr>
      <w:r w:rsidRPr="00C425C7">
        <w:rPr>
          <w:b/>
          <w:noProof/>
        </w:rPr>
        <w:drawing>
          <wp:inline distT="0" distB="0" distL="0" distR="0" wp14:anchorId="3E00784F" wp14:editId="0E3C645C">
            <wp:extent cx="4000500" cy="3009900"/>
            <wp:effectExtent l="0" t="0" r="0" b="0"/>
            <wp:docPr id="1091564985" name="Picture 5"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564985" name="Picture 5" descr="A graph with numbers and a line&#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00500" cy="3009900"/>
                    </a:xfrm>
                    <a:prstGeom prst="rect">
                      <a:avLst/>
                    </a:prstGeom>
                    <a:noFill/>
                    <a:ln>
                      <a:noFill/>
                    </a:ln>
                  </pic:spPr>
                </pic:pic>
              </a:graphicData>
            </a:graphic>
          </wp:inline>
        </w:drawing>
      </w:r>
    </w:p>
    <w:p w14:paraId="1F6A84B5" w14:textId="77777777" w:rsidR="00C425C7" w:rsidRPr="00C425C7" w:rsidRDefault="00C425C7" w:rsidP="006061F0">
      <w:pPr>
        <w:rPr>
          <w:b/>
          <w:bCs/>
        </w:rPr>
      </w:pPr>
      <w:r w:rsidRPr="00C425C7">
        <w:rPr>
          <w:b/>
          <w:bCs/>
        </w:rPr>
        <w:t>Analysis of CCC:</w:t>
      </w:r>
      <w:r w:rsidRPr="00C425C7">
        <w:br/>
        <w:t>The opinion of the CCC analysis gives a deep-seated and increasing inefficiency at the heart of the operations of GE. This is with highest levels of 140 days in 2022 and directly compared with bloated inventory levels (DIO of 131 days). It represents a virtual collapse of sales forecasting and inventory management leaving billions of capitals unused and at the edge of writing them down.</w:t>
      </w:r>
    </w:p>
    <w:p w14:paraId="5471E55A" w14:textId="4C4AD033" w:rsidR="00C425C7" w:rsidRPr="00C425C7" w:rsidRDefault="00C425C7" w:rsidP="006061F0">
      <w:pPr>
        <w:ind w:firstLine="720"/>
        <w:jc w:val="both"/>
      </w:pPr>
      <w:r w:rsidRPr="00C425C7">
        <w:t xml:space="preserve">Critically, the following decline of the CCC to 115.3 days in 2024 does not represent the effect of recovery, but rather an indicator of greater distress. This seemingly positive change is almost solely attributable to the drastic rise in Days Payable </w:t>
      </w:r>
      <w:r w:rsidRPr="00C425C7">
        <w:lastRenderedPageBreak/>
        <w:t xml:space="preserve">Outstanding (DPO) which has risen by an average of 69 days in 2020-2023 all the way to 93.3 days in 2024. This depicts that GE is not becoming efficient, it is just delaying payments to its suppliers. This is known as stretching payables, a </w:t>
      </w:r>
      <w:r w:rsidR="006061F0" w:rsidRPr="00C425C7">
        <w:t>short-term</w:t>
      </w:r>
      <w:r w:rsidRPr="00C425C7">
        <w:t xml:space="preserve"> unsustainable cash hoarding technique that has the dire side-effect of damaging, critical supplier relationships, threatening to disrupt our supply chain as suppliers would demand cash on delivery, and which on our corporate reputation. As Deloof (2003) showed, although effective working capital management will help increase profitability, engaging in certain strategies, such as stretching payables, may be symptomatic of extreme financial duress and turn out to be a self-fulfilling prophecy of failure.</w:t>
      </w:r>
    </w:p>
    <w:p w14:paraId="3078801E" w14:textId="75E402CB" w:rsidR="00C425C7" w:rsidRPr="00C425C7" w:rsidRDefault="00C425C7" w:rsidP="006061F0">
      <w:pPr>
        <w:jc w:val="both"/>
        <w:rPr>
          <w:b/>
          <w:bCs/>
        </w:rPr>
      </w:pPr>
      <w:r w:rsidRPr="00C425C7">
        <w:rPr>
          <w:b/>
          <w:bCs/>
        </w:rPr>
        <w:t xml:space="preserve"> </w:t>
      </w:r>
      <w:bookmarkStart w:id="10" w:name="_Toc216554273"/>
      <w:r w:rsidR="006061F0">
        <w:rPr>
          <w:b/>
          <w:bCs/>
        </w:rPr>
        <w:tab/>
      </w:r>
      <w:r w:rsidRPr="00C425C7">
        <w:rPr>
          <w:b/>
          <w:bCs/>
        </w:rPr>
        <w:t>Recommendations for Liquidity Improvement</w:t>
      </w:r>
      <w:bookmarkEnd w:id="10"/>
    </w:p>
    <w:p w14:paraId="19D7D13F" w14:textId="77777777" w:rsidR="00C425C7" w:rsidRPr="00C425C7" w:rsidRDefault="00C425C7" w:rsidP="006061F0">
      <w:pPr>
        <w:ind w:firstLine="720"/>
        <w:jc w:val="both"/>
      </w:pPr>
      <w:r w:rsidRPr="00C425C7">
        <w:t>Urgent, aggressive, and systematic changes to working capital management are urgently needed as part of change to burn the cash and regain operational stability. I suggest a three-pronged, immediate strategy to tackle the problem - it is:</w:t>
      </w:r>
    </w:p>
    <w:p w14:paraId="07832945" w14:textId="50CA0415" w:rsidR="00C425C7" w:rsidRPr="00C425C7" w:rsidRDefault="00C425C7" w:rsidP="006061F0">
      <w:pPr>
        <w:ind w:firstLine="720"/>
        <w:jc w:val="both"/>
      </w:pPr>
      <w:r w:rsidRPr="00C425C7">
        <w:rPr>
          <w:b/>
          <w:bCs/>
        </w:rPr>
        <w:t>Inventory Management Overhaul:</w:t>
      </w:r>
      <w:r w:rsidRPr="00C425C7">
        <w:t xml:space="preserve"> The chronically high DIO should be tackled immediately. I propose the implementation of a phased Just-In-Time (JIT) inventory system for key production lines in order to reduce raw material holdings and cut down warehousing costs. Furthermore, we have to invest in advanced demand forecasting analytics, taking advantage of artificial intelligence (AI) and machine learning, </w:t>
      </w:r>
      <w:r w:rsidR="006061F0" w:rsidRPr="00C425C7">
        <w:t>and better</w:t>
      </w:r>
      <w:r w:rsidRPr="00C425C7">
        <w:t xml:space="preserve"> match production needs / real-time sales data. An immediate task is to form a task force to provide a full inventory audit, identifying all obsolete and slow-moving stock and preparing a plan for its liquidation, even at a heavy discount, to provide an immediate cash windfall and free up valuable warehouse space.</w:t>
      </w:r>
    </w:p>
    <w:p w14:paraId="4DD2E534" w14:textId="50F5053A" w:rsidR="00C425C7" w:rsidRPr="00C425C7" w:rsidRDefault="00C425C7" w:rsidP="006061F0">
      <w:pPr>
        <w:ind w:firstLine="720"/>
        <w:jc w:val="both"/>
      </w:pPr>
      <w:r w:rsidRPr="00C425C7">
        <w:rPr>
          <w:b/>
          <w:bCs/>
        </w:rPr>
        <w:t>Disciplined Receivables Management:</w:t>
      </w:r>
      <w:r w:rsidRPr="00C425C7">
        <w:t xml:space="preserve"> The uncontrolled growth in DSO is to be reversed. The development and strict implementation of a new, firm-wide credit policy also </w:t>
      </w:r>
      <w:r w:rsidR="006061F0" w:rsidRPr="00C425C7">
        <w:t>have</w:t>
      </w:r>
      <w:r w:rsidRPr="00C425C7">
        <w:t xml:space="preserve"> to be developed, which utilizes advanced credit scoring models of new customers to reduce default risk. To our current customers, we will incorporate a structure system of early payment discounts (e.g. 2% discount in case of payment made within 10 days) to entice quick cash collection. An internal collections team will be resourced and empowered to be as vigorous as possible in its collection of overdue accounts with specific protocols of escalation. This is not </w:t>
      </w:r>
      <w:r w:rsidR="00014DB5" w:rsidRPr="00C425C7">
        <w:t>simply</w:t>
      </w:r>
      <w:r w:rsidRPr="00C425C7">
        <w:t xml:space="preserve"> a matter of gathering cash, but of restoring fiscal discipline in our business interactions and sending a message to the market that we are becoming stronger in our ways.</w:t>
      </w:r>
    </w:p>
    <w:p w14:paraId="2EAFCB04" w14:textId="77777777" w:rsidR="00C425C7" w:rsidRPr="00C425C7" w:rsidRDefault="00C425C7" w:rsidP="005E0BEA">
      <w:pPr>
        <w:ind w:firstLine="720"/>
        <w:jc w:val="both"/>
      </w:pPr>
      <w:r w:rsidRPr="00C425C7">
        <w:rPr>
          <w:b/>
          <w:bCs/>
        </w:rPr>
        <w:t>Strategic Payables Management:</w:t>
      </w:r>
      <w:r w:rsidRPr="00C425C7">
        <w:t xml:space="preserve"> We need to abandon the disastrous and unprofessional practice of unilaterally stretching payables. Instead, I would recommend that I be the one to initiate the process by taking a formal role in meeting with our major strategic suppliers with a view to renegotiating payment terms in a broader partnership dialogue. Parallel to this, we will research and apply the concept of supply chain financing (or reverse factoring). This new solution has seen our suppliers receive the balance </w:t>
      </w:r>
      <w:r w:rsidRPr="00C425C7">
        <w:lastRenderedPageBreak/>
        <w:t>earlier at a small discount at a partner bank, with us retaining (or even extending) our terms with the bank. This maintains important supplier relationships and provides stability of the supply chain whilst still optimising our corporate cash flow.</w:t>
      </w:r>
    </w:p>
    <w:p w14:paraId="290C2B1A" w14:textId="5162875F" w:rsidR="00C425C7" w:rsidRPr="00C425C7" w:rsidRDefault="00C425C7" w:rsidP="006061F0">
      <w:pPr>
        <w:jc w:val="both"/>
        <w:rPr>
          <w:b/>
          <w:bCs/>
        </w:rPr>
      </w:pPr>
      <w:r w:rsidRPr="00C425C7">
        <w:rPr>
          <w:b/>
          <w:bCs/>
        </w:rPr>
        <w:t xml:space="preserve"> </w:t>
      </w:r>
      <w:bookmarkStart w:id="11" w:name="_Toc216554274"/>
      <w:r w:rsidR="005E0BEA">
        <w:rPr>
          <w:b/>
          <w:bCs/>
        </w:rPr>
        <w:tab/>
      </w:r>
      <w:r w:rsidRPr="00C425C7">
        <w:rPr>
          <w:b/>
          <w:bCs/>
        </w:rPr>
        <w:t>Short-term vs. Long-term Financing Strategy</w:t>
      </w:r>
      <w:bookmarkEnd w:id="11"/>
    </w:p>
    <w:p w14:paraId="52DE4555" w14:textId="77777777" w:rsidR="00C425C7" w:rsidRPr="00C425C7" w:rsidRDefault="00C425C7" w:rsidP="005E0BEA">
      <w:pPr>
        <w:ind w:firstLine="720"/>
        <w:jc w:val="both"/>
      </w:pPr>
      <w:r w:rsidRPr="00C425C7">
        <w:t>The company's current financing strategy is reactive, unsustainable and dangerous. The balance sheet indicates a huge and growing dependence on short-term " Lines of credit" (£37 billion outstanding in 2024). This puts GE at high refinancing risk; if our lenders lose confidence and will not roll over this debt, the company faces immediate insolvency. Furthermore, this debt is likely to have high variable interest rates, as well as restrictive covenants which constrain our strategic flexibility and ability to invest.</w:t>
      </w:r>
    </w:p>
    <w:p w14:paraId="3416B342" w14:textId="594D080F" w:rsidR="00C425C7" w:rsidRDefault="00C425C7" w:rsidP="005E0BEA">
      <w:pPr>
        <w:ind w:firstLine="720"/>
        <w:jc w:val="both"/>
      </w:pPr>
      <w:r w:rsidRPr="00C425C7">
        <w:t xml:space="preserve">The problems identified - structural unprofitability, failed acquisitions and deep operational inefficiencies - are not temporary cyclical problems. Therefore, a short-term financing fix is entirely unsuitable. A sustainable turnaround can only be built on a stable and long-term capital base. According to the pecking order theory of financing hierarchy, first articulated by Myers and Majluf (1984) firms tend to prefer internal financing followed by debt and as a last resort, external equity. GE's internal funds (retained earnings) are exhausted and negative. Its high gearing is such that issuing new debt is very risky and incredibly expensive. Therefore, we have come to the end of the pecking order. The logical, and indeed only, viable next step is a substantial injection of new equity capital. This will provide the permanent capital needed to absorb losses, fund the restructuring and provide the stable foundation to the future without the constant and unnerving pressure of </w:t>
      </w:r>
      <w:r w:rsidR="005E0BEA" w:rsidRPr="00C425C7">
        <w:t>short-term</w:t>
      </w:r>
      <w:r w:rsidRPr="00C425C7">
        <w:t xml:space="preserve"> debt renewals.</w:t>
      </w:r>
    </w:p>
    <w:p w14:paraId="27D9919A" w14:textId="77777777" w:rsidR="005F0E57" w:rsidRDefault="005F0E57" w:rsidP="005E0BEA">
      <w:pPr>
        <w:ind w:firstLine="720"/>
        <w:jc w:val="both"/>
      </w:pPr>
    </w:p>
    <w:p w14:paraId="6403F12D" w14:textId="77777777" w:rsidR="005F0E57" w:rsidRPr="00C425C7" w:rsidRDefault="005F0E57" w:rsidP="005E0BEA">
      <w:pPr>
        <w:ind w:firstLine="720"/>
        <w:jc w:val="both"/>
      </w:pPr>
    </w:p>
    <w:p w14:paraId="65E7BB99" w14:textId="77777777" w:rsidR="00C425C7" w:rsidRPr="00C425C7" w:rsidRDefault="00C425C7" w:rsidP="005E0BEA">
      <w:pPr>
        <w:ind w:firstLine="720"/>
        <w:jc w:val="both"/>
        <w:rPr>
          <w:b/>
          <w:bCs/>
        </w:rPr>
      </w:pPr>
      <w:bookmarkStart w:id="12" w:name="_Toc216554275"/>
      <w:r w:rsidRPr="00C425C7">
        <w:rPr>
          <w:b/>
          <w:bCs/>
        </w:rPr>
        <w:t>Section 3: Strategic Financial Restructuring Plan</w:t>
      </w:r>
      <w:bookmarkEnd w:id="12"/>
      <w:r w:rsidRPr="00C425C7">
        <w:rPr>
          <w:b/>
          <w:bCs/>
        </w:rPr>
        <w:t>.</w:t>
      </w:r>
    </w:p>
    <w:p w14:paraId="0614C782" w14:textId="7B3B1AB0" w:rsidR="00C425C7" w:rsidRPr="00C425C7" w:rsidRDefault="00C425C7" w:rsidP="006061F0">
      <w:pPr>
        <w:jc w:val="both"/>
        <w:rPr>
          <w:b/>
          <w:bCs/>
        </w:rPr>
      </w:pPr>
      <w:r w:rsidRPr="00C425C7">
        <w:rPr>
          <w:b/>
          <w:bCs/>
        </w:rPr>
        <w:t xml:space="preserve"> </w:t>
      </w:r>
      <w:bookmarkStart w:id="13" w:name="_Toc216554276"/>
      <w:r w:rsidR="005E0BEA">
        <w:rPr>
          <w:b/>
          <w:bCs/>
        </w:rPr>
        <w:tab/>
      </w:r>
      <w:r w:rsidRPr="00C425C7">
        <w:rPr>
          <w:b/>
          <w:bCs/>
        </w:rPr>
        <w:t>Recommended Restructuring Options</w:t>
      </w:r>
      <w:bookmarkEnd w:id="13"/>
    </w:p>
    <w:p w14:paraId="6636816B" w14:textId="77777777" w:rsidR="00C425C7" w:rsidRPr="00C425C7" w:rsidRDefault="00C425C7" w:rsidP="005E0BEA">
      <w:pPr>
        <w:ind w:firstLine="720"/>
        <w:jc w:val="both"/>
      </w:pPr>
      <w:r w:rsidRPr="00C425C7">
        <w:t>I propose an integrated, three-part restructuring plan to be executed in parallel, as each element is mutually reinforcing:</w:t>
      </w:r>
    </w:p>
    <w:p w14:paraId="540FD2BE" w14:textId="16906AFD" w:rsidR="00C425C7" w:rsidRPr="00C425C7" w:rsidRDefault="00C425C7" w:rsidP="005E0BEA">
      <w:pPr>
        <w:ind w:firstLine="420"/>
        <w:jc w:val="both"/>
      </w:pPr>
      <w:r w:rsidRPr="00C425C7">
        <w:rPr>
          <w:b/>
          <w:bCs/>
        </w:rPr>
        <w:t>Divestiture of Non-Core/Underperforming Assets:</w:t>
      </w:r>
      <w:r w:rsidRPr="00C425C7">
        <w:t xml:space="preserve"> This to us takes the top priority. The impairment of £49 billion goodwill in 2023 indicts a previous acquisition which is proved to have destroyed value. I suggest the adoption of an immediate selling process to this whole division. This kind of divestiture even at a deeper accounting loss is strategically necessary and will </w:t>
      </w:r>
      <w:r w:rsidR="005E0BEA" w:rsidRPr="00C425C7">
        <w:t>fulfil</w:t>
      </w:r>
      <w:r w:rsidRPr="00C425C7">
        <w:t xml:space="preserve"> three important goals:</w:t>
      </w:r>
    </w:p>
    <w:p w14:paraId="7E1499F0" w14:textId="77777777" w:rsidR="00C425C7" w:rsidRPr="00C425C7" w:rsidRDefault="00C425C7" w:rsidP="006061F0">
      <w:pPr>
        <w:numPr>
          <w:ilvl w:val="0"/>
          <w:numId w:val="2"/>
        </w:numPr>
        <w:jc w:val="both"/>
      </w:pPr>
      <w:r w:rsidRPr="00C425C7">
        <w:t>Work to create deep meaningful cash flow to de-debt the balance sheet by paying a significant amount of debt.</w:t>
      </w:r>
    </w:p>
    <w:p w14:paraId="776280FF" w14:textId="77777777" w:rsidR="00C425C7" w:rsidRPr="00C425C7" w:rsidRDefault="00C425C7" w:rsidP="006061F0">
      <w:pPr>
        <w:numPr>
          <w:ilvl w:val="0"/>
          <w:numId w:val="2"/>
        </w:numPr>
        <w:jc w:val="both"/>
      </w:pPr>
      <w:r w:rsidRPr="00C425C7">
        <w:lastRenderedPageBreak/>
        <w:t>Get rid of a cause of operating losses and managerial distraction and instantly enhance group profitability and margins.</w:t>
      </w:r>
    </w:p>
    <w:p w14:paraId="18FBBDBC" w14:textId="77777777" w:rsidR="00C425C7" w:rsidRPr="00C425C7" w:rsidRDefault="00C425C7" w:rsidP="006061F0">
      <w:pPr>
        <w:numPr>
          <w:ilvl w:val="0"/>
          <w:numId w:val="2"/>
        </w:numPr>
        <w:jc w:val="both"/>
      </w:pPr>
      <w:r w:rsidRPr="00C425C7">
        <w:t>Permit top-level management to devote its time and funds to the actual business areas, a philosophy called by Tom Peters as sticking to the knitting, which is one of the major rules of winning a corporate turnaround.</w:t>
      </w:r>
    </w:p>
    <w:p w14:paraId="0CAA9BF5" w14:textId="77777777" w:rsidR="00C425C7" w:rsidRPr="00C425C7" w:rsidRDefault="00C425C7" w:rsidP="005E0BEA">
      <w:pPr>
        <w:ind w:firstLine="420"/>
        <w:jc w:val="both"/>
      </w:pPr>
      <w:r w:rsidRPr="00C425C7">
        <w:rPr>
          <w:b/>
          <w:bCs/>
        </w:rPr>
        <w:t>Strategic Equity Injection:</w:t>
      </w:r>
      <w:r w:rsidRPr="00C425C7">
        <w:t> A divestiture in itself may not be sufficient capital or bring back market credibility. The search therefore must be made vigorously and a strategic partner with a proven history of turnaround in the tech industry, preferably a reputable private equity firm, should be sought to make a large equity investment in GE. The infusion of such capital is essential in the healing of a viable Debt-to-Equity ratio and the survival of the company. In addition to money, a partner grants the company external legitimacy, experience in its operations and degree of control and discipline that was pivotal in the turnaround. This is a high cost of dilution to the current shareholders. Nonetheless, and as Jensen (1986) postulated in terms of agency expenses, this externality of discipline is a potent weapon against managerial inefficiencies. The alternative to dilution is the destruction of their investment in the event of bankruptcy.</w:t>
      </w:r>
    </w:p>
    <w:p w14:paraId="082DC47F" w14:textId="6E0EBD4F" w:rsidR="00C425C7" w:rsidRPr="00C425C7" w:rsidRDefault="00C425C7" w:rsidP="005E0BEA">
      <w:pPr>
        <w:ind w:firstLine="420"/>
        <w:jc w:val="both"/>
      </w:pPr>
      <w:r w:rsidRPr="00C425C7">
        <w:rPr>
          <w:b/>
          <w:bCs/>
        </w:rPr>
        <w:t>Comprehensive Debt Restructuring:</w:t>
      </w:r>
      <w:r w:rsidRPr="00C425C7">
        <w:t xml:space="preserve"> The money we will raise in the divestiture and equity injection would need to be used to radically restructure our liquidity framework. The high-priority treatment is given to the high-cost and short-term credit lines with existence refinancing risk. This will allow us to ask remaining lenders to join our team with a new strength to reprofile our debt. This is aimed at replacing current facilities to long term bonds or loans with better interest rates, extended maturities and less restrictive covenant. This will match the maturity profile of our debt to our </w:t>
      </w:r>
      <w:r w:rsidR="00267F4F" w:rsidRPr="00C425C7">
        <w:t>long-term</w:t>
      </w:r>
      <w:r w:rsidRPr="00C425C7">
        <w:t xml:space="preserve"> assets and multi-year recovery plan.</w:t>
      </w:r>
    </w:p>
    <w:p w14:paraId="5ED80258" w14:textId="77777777" w:rsidR="00C425C7" w:rsidRPr="00C425C7" w:rsidRDefault="00C425C7" w:rsidP="005E0BEA">
      <w:pPr>
        <w:ind w:firstLine="720"/>
        <w:jc w:val="both"/>
        <w:rPr>
          <w:b/>
          <w:bCs/>
        </w:rPr>
      </w:pPr>
      <w:bookmarkStart w:id="14" w:name="_Toc216554277"/>
      <w:r w:rsidRPr="00C425C7">
        <w:rPr>
          <w:b/>
          <w:bCs/>
        </w:rPr>
        <w:t>Impact on Shareholder Value, Debt Structure, and Flexibility</w:t>
      </w:r>
      <w:bookmarkEnd w:id="14"/>
    </w:p>
    <w:p w14:paraId="1FDECB61" w14:textId="77777777" w:rsidR="00C425C7" w:rsidRPr="00C425C7" w:rsidRDefault="00C425C7" w:rsidP="006061F0">
      <w:pPr>
        <w:jc w:val="both"/>
      </w:pPr>
      <w:r w:rsidRPr="00C425C7">
        <w:t>The plan proposed will have a profound and transformative effect on every aspect of the company.</w:t>
      </w:r>
    </w:p>
    <w:p w14:paraId="412D00CF" w14:textId="77777777" w:rsidR="00C425C7" w:rsidRPr="00C425C7" w:rsidRDefault="00C425C7" w:rsidP="005E0BEA">
      <w:pPr>
        <w:ind w:firstLine="720"/>
        <w:jc w:val="both"/>
      </w:pPr>
      <w:r w:rsidRPr="00C425C7">
        <w:rPr>
          <w:b/>
          <w:bCs/>
        </w:rPr>
        <w:t>Shareholder Value:</w:t>
      </w:r>
      <w:r w:rsidRPr="00C425C7">
        <w:t> The short-term blow will be short-lived and hurtful. The fall in sale at a loss and a highly dilutive equity issue will both impact the share price negatively but is a required reset. The long-term effect will be excessively positive. Through the restructuring of a leaner, more focused, and profitable company with a strengthened balance sheet, we build a credible trajectory towards sustainable earnings growth. Financial markets encourage transparency, less risk, and stable income; this strategy provides all three. The market will understand the change and will reward it with a significant re-rating of equity and a large recovery of stockholder value over the medium-long term.</w:t>
      </w:r>
    </w:p>
    <w:p w14:paraId="7684E45B" w14:textId="77777777" w:rsidR="00C425C7" w:rsidRPr="00C425C7" w:rsidRDefault="00C425C7" w:rsidP="00267F4F">
      <w:pPr>
        <w:ind w:firstLine="720"/>
        <w:jc w:val="both"/>
      </w:pPr>
      <w:r w:rsidRPr="00C425C7">
        <w:rPr>
          <w:b/>
          <w:bCs/>
        </w:rPr>
        <w:lastRenderedPageBreak/>
        <w:t>Debt Structure and Financial Risk:</w:t>
      </w:r>
      <w:r w:rsidRPr="00C425C7">
        <w:t> The restructuring will essentially de-risk the company. The capital structure will no longer be risky, due to reliance on aggressive financing, but more prudent one on equity and long-term, fixed-rate debt. The Debt-to-Equity ratio will become industry-relevant, the financial risk profile will reduce by a mile, the credit rating will increase, and the weighted average cost of capital (WACC) will decrease. This produces a self-fulfilling prophecy, and new investments will be profitable.</w:t>
      </w:r>
    </w:p>
    <w:p w14:paraId="63396B1F" w14:textId="713FB0CC" w:rsidR="00C425C7" w:rsidRPr="00C425C7" w:rsidRDefault="00C425C7" w:rsidP="00267F4F">
      <w:pPr>
        <w:ind w:firstLine="720"/>
        <w:jc w:val="both"/>
      </w:pPr>
      <w:r w:rsidRPr="00C425C7">
        <w:rPr>
          <w:b/>
          <w:bCs/>
        </w:rPr>
        <w:t>Operational and Strategic Flexibility:</w:t>
      </w:r>
      <w:r w:rsidRPr="00C425C7">
        <w:t xml:space="preserve">  Strategic renewal starts with a fixed balance sheet. Stopping the cash </w:t>
      </w:r>
      <w:r w:rsidR="00267F4F" w:rsidRPr="00C425C7">
        <w:t>burn and</w:t>
      </w:r>
      <w:r w:rsidRPr="00C425C7">
        <w:t xml:space="preserve"> facing a long-term capital base will afford GE what it has never had: flexibility and capability to act, not merely to react. The management will no longer be limited by dealing with the never-ending crisis of day-to-day liquidity management. This will allow the company to invest in R&amp;D, marketing and the high-value capital projects which are considered in the following section. We will not survive but be in a position to plan and to compete and win.</w:t>
      </w:r>
    </w:p>
    <w:p w14:paraId="2CCF6C0A" w14:textId="77777777" w:rsidR="00C425C7" w:rsidRPr="00C425C7" w:rsidRDefault="00C425C7" w:rsidP="00267F4F">
      <w:pPr>
        <w:ind w:firstLine="720"/>
        <w:jc w:val="both"/>
      </w:pPr>
      <w:r w:rsidRPr="00C425C7">
        <w:rPr>
          <w:b/>
          <w:bCs/>
        </w:rPr>
        <w:t>Ethical and International Considerations:</w:t>
      </w:r>
      <w:r w:rsidRPr="00C425C7">
        <w:t> This massive reorganization has immense ethical demands. As part of the stakeholder theory, the divestiture process should be conducted in an open and non-partisan way in which the affected employee is respected. This entails detailed redundancy packages, outplacement services as well as articulate communication. At the international level, an overseas subsidiary sale will be subjected to complex taxation which will need professional planning in maximizing net proceeds. It will also involve complex treasury management to deal with currency risk by accepting a huge amount of money in a foreign currency and repatriating it back efficiently.</w:t>
      </w:r>
    </w:p>
    <w:p w14:paraId="2C708510" w14:textId="77777777" w:rsidR="00C425C7" w:rsidRPr="00C425C7" w:rsidRDefault="00C425C7" w:rsidP="006061F0">
      <w:pPr>
        <w:jc w:val="both"/>
      </w:pPr>
    </w:p>
    <w:p w14:paraId="5EA7337A" w14:textId="77777777" w:rsidR="00DA39FD" w:rsidRDefault="00DA39FD" w:rsidP="00267F4F">
      <w:pPr>
        <w:ind w:left="720" w:firstLine="720"/>
        <w:jc w:val="both"/>
        <w:rPr>
          <w:b/>
          <w:bCs/>
        </w:rPr>
      </w:pPr>
      <w:bookmarkStart w:id="15" w:name="_Toc216554278"/>
    </w:p>
    <w:p w14:paraId="73AD90F3" w14:textId="4F49D618" w:rsidR="00C425C7" w:rsidRPr="00C425C7" w:rsidRDefault="00C425C7" w:rsidP="00267F4F">
      <w:pPr>
        <w:ind w:left="720" w:firstLine="720"/>
        <w:jc w:val="both"/>
        <w:rPr>
          <w:b/>
          <w:bCs/>
        </w:rPr>
      </w:pPr>
      <w:r w:rsidRPr="00C425C7">
        <w:rPr>
          <w:b/>
          <w:bCs/>
        </w:rPr>
        <w:t>Section 4: Investment Appraisal and Capital Budgeting</w:t>
      </w:r>
      <w:bookmarkEnd w:id="15"/>
    </w:p>
    <w:p w14:paraId="649EA7D2" w14:textId="77777777" w:rsidR="00C425C7" w:rsidRPr="00C425C7" w:rsidRDefault="00C425C7" w:rsidP="00267F4F">
      <w:pPr>
        <w:ind w:firstLine="720"/>
        <w:jc w:val="both"/>
      </w:pPr>
      <w:r w:rsidRPr="00C425C7">
        <w:t>Following the successful execution of the ambitious restructuring plan General Electronics is to be stabilized and recapitalized. The important next step will be to shift from defence to offence by investing capital in projects that will create future growth and value. However, capital will always be a scarce and precious resource. This section reviews 3 proposed projects under a strict capital rationing environment in order to make the best investment decision, maximizing the shareholder value.</w:t>
      </w:r>
    </w:p>
    <w:p w14:paraId="359912B5" w14:textId="336E7859" w:rsidR="00C425C7" w:rsidRPr="00C425C7" w:rsidRDefault="00C425C7" w:rsidP="006061F0">
      <w:pPr>
        <w:jc w:val="both"/>
        <w:rPr>
          <w:b/>
          <w:bCs/>
        </w:rPr>
      </w:pPr>
      <w:r w:rsidRPr="00C425C7">
        <w:rPr>
          <w:b/>
          <w:bCs/>
        </w:rPr>
        <w:t xml:space="preserve"> </w:t>
      </w:r>
      <w:bookmarkStart w:id="16" w:name="_Toc216554279"/>
      <w:r w:rsidR="00267F4F">
        <w:rPr>
          <w:b/>
          <w:bCs/>
        </w:rPr>
        <w:tab/>
      </w:r>
      <w:r w:rsidRPr="00C425C7">
        <w:rPr>
          <w:b/>
          <w:bCs/>
        </w:rPr>
        <w:t>Evaluation of Investment Projects</w:t>
      </w:r>
      <w:bookmarkEnd w:id="16"/>
    </w:p>
    <w:p w14:paraId="4C6F876A" w14:textId="77777777" w:rsidR="00C425C7" w:rsidRDefault="00C425C7" w:rsidP="00267F4F">
      <w:pPr>
        <w:ind w:firstLine="720"/>
        <w:jc w:val="both"/>
      </w:pPr>
      <w:r w:rsidRPr="00C425C7">
        <w:t xml:space="preserve">Three different investment options have been proposed. Each has been appraised by the application of a suite of standard capital budgeting techniques including the methods that do not take discounting into account, that is, Payback Period (PBP) and Accounting Rate of Return (ARR), and the theoretically superior discounted cash flow </w:t>
      </w:r>
      <w:r w:rsidRPr="00C425C7">
        <w:lastRenderedPageBreak/>
        <w:t>(DCF) methods of Net Present Value (NPV), Profitability Index (PI) and Internal Rate of Return (IRR). A discount rate of 10% that represents our estimated cost of capital post-restructuring has been used for all DCF calculations. The findings are summarised in Table 4.</w:t>
      </w:r>
    </w:p>
    <w:p w14:paraId="6DAAC94B" w14:textId="77777777" w:rsidR="00C425C7" w:rsidRPr="00C425C7" w:rsidRDefault="00C425C7" w:rsidP="00C425C7">
      <w:r w:rsidRPr="00C425C7">
        <w:rPr>
          <w:b/>
          <w:bCs/>
        </w:rPr>
        <w:t>Table 4: Investment Appraisal for Projects A, B, and C</w:t>
      </w:r>
      <w:r w:rsidRPr="00C425C7">
        <w:br/>
      </w:r>
      <w:r w:rsidRPr="00C425C7">
        <w:rPr>
          <w:i/>
          <w:iCs/>
        </w:rPr>
        <w:t>(Full calculations and methodologies are detailed in Appendix D)</w:t>
      </w:r>
    </w:p>
    <w:tbl>
      <w:tblPr>
        <w:tblStyle w:val="TableGrid"/>
        <w:tblW w:w="9438" w:type="dxa"/>
        <w:tblLook w:val="04A0" w:firstRow="1" w:lastRow="0" w:firstColumn="1" w:lastColumn="0" w:noHBand="0" w:noVBand="1"/>
      </w:tblPr>
      <w:tblGrid>
        <w:gridCol w:w="2530"/>
        <w:gridCol w:w="1649"/>
        <w:gridCol w:w="1257"/>
        <w:gridCol w:w="1649"/>
        <w:gridCol w:w="2353"/>
      </w:tblGrid>
      <w:tr w:rsidR="00C425C7" w:rsidRPr="00C425C7" w14:paraId="20D153F5" w14:textId="77777777">
        <w:trPr>
          <w:trHeight w:val="526"/>
        </w:trPr>
        <w:tc>
          <w:tcPr>
            <w:tcW w:w="0" w:type="auto"/>
            <w:tcBorders>
              <w:top w:val="single" w:sz="4" w:space="0" w:color="auto"/>
              <w:left w:val="single" w:sz="4" w:space="0" w:color="auto"/>
              <w:bottom w:val="single" w:sz="4" w:space="0" w:color="auto"/>
              <w:right w:val="single" w:sz="4" w:space="0" w:color="auto"/>
            </w:tcBorders>
            <w:hideMark/>
          </w:tcPr>
          <w:p w14:paraId="4BF92FA4" w14:textId="77777777" w:rsidR="00C425C7" w:rsidRPr="00C425C7" w:rsidRDefault="00C425C7" w:rsidP="00C425C7">
            <w:pPr>
              <w:spacing w:after="160" w:line="278" w:lineRule="auto"/>
              <w:rPr>
                <w:b/>
                <w:bCs/>
              </w:rPr>
            </w:pPr>
            <w:r w:rsidRPr="00C425C7">
              <w:rPr>
                <w:b/>
                <w:bCs/>
              </w:rPr>
              <w:t>Metric</w:t>
            </w:r>
          </w:p>
        </w:tc>
        <w:tc>
          <w:tcPr>
            <w:tcW w:w="0" w:type="auto"/>
            <w:tcBorders>
              <w:top w:val="single" w:sz="4" w:space="0" w:color="auto"/>
              <w:left w:val="single" w:sz="4" w:space="0" w:color="auto"/>
              <w:bottom w:val="single" w:sz="4" w:space="0" w:color="auto"/>
              <w:right w:val="single" w:sz="4" w:space="0" w:color="auto"/>
            </w:tcBorders>
            <w:hideMark/>
          </w:tcPr>
          <w:p w14:paraId="31A587E9" w14:textId="77777777" w:rsidR="00C425C7" w:rsidRPr="00C425C7" w:rsidRDefault="00C425C7" w:rsidP="00C425C7">
            <w:pPr>
              <w:spacing w:after="160" w:line="278" w:lineRule="auto"/>
              <w:rPr>
                <w:b/>
                <w:bCs/>
              </w:rPr>
            </w:pPr>
            <w:r w:rsidRPr="00C425C7">
              <w:rPr>
                <w:b/>
                <w:bCs/>
              </w:rPr>
              <w:t>Project A</w:t>
            </w:r>
          </w:p>
        </w:tc>
        <w:tc>
          <w:tcPr>
            <w:tcW w:w="0" w:type="auto"/>
            <w:tcBorders>
              <w:top w:val="single" w:sz="4" w:space="0" w:color="auto"/>
              <w:left w:val="single" w:sz="4" w:space="0" w:color="auto"/>
              <w:bottom w:val="single" w:sz="4" w:space="0" w:color="auto"/>
              <w:right w:val="single" w:sz="4" w:space="0" w:color="auto"/>
            </w:tcBorders>
            <w:hideMark/>
          </w:tcPr>
          <w:p w14:paraId="365BCD9C" w14:textId="77777777" w:rsidR="00C425C7" w:rsidRPr="00C425C7" w:rsidRDefault="00C425C7" w:rsidP="00C425C7">
            <w:pPr>
              <w:spacing w:after="160" w:line="278" w:lineRule="auto"/>
              <w:rPr>
                <w:b/>
                <w:bCs/>
              </w:rPr>
            </w:pPr>
            <w:r w:rsidRPr="00C425C7">
              <w:rPr>
                <w:b/>
                <w:bCs/>
              </w:rPr>
              <w:t>Project B</w:t>
            </w:r>
          </w:p>
        </w:tc>
        <w:tc>
          <w:tcPr>
            <w:tcW w:w="0" w:type="auto"/>
            <w:tcBorders>
              <w:top w:val="single" w:sz="4" w:space="0" w:color="auto"/>
              <w:left w:val="single" w:sz="4" w:space="0" w:color="auto"/>
              <w:bottom w:val="single" w:sz="4" w:space="0" w:color="auto"/>
              <w:right w:val="single" w:sz="4" w:space="0" w:color="auto"/>
            </w:tcBorders>
            <w:hideMark/>
          </w:tcPr>
          <w:p w14:paraId="7AEBBCF3" w14:textId="77777777" w:rsidR="00C425C7" w:rsidRPr="00C425C7" w:rsidRDefault="00C425C7" w:rsidP="00C425C7">
            <w:pPr>
              <w:spacing w:after="160" w:line="278" w:lineRule="auto"/>
              <w:rPr>
                <w:b/>
                <w:bCs/>
              </w:rPr>
            </w:pPr>
            <w:r w:rsidRPr="00C425C7">
              <w:rPr>
                <w:b/>
                <w:bCs/>
              </w:rPr>
              <w:t>Project C</w:t>
            </w:r>
          </w:p>
        </w:tc>
        <w:tc>
          <w:tcPr>
            <w:tcW w:w="0" w:type="auto"/>
            <w:tcBorders>
              <w:top w:val="single" w:sz="4" w:space="0" w:color="auto"/>
              <w:left w:val="single" w:sz="4" w:space="0" w:color="auto"/>
              <w:bottom w:val="single" w:sz="4" w:space="0" w:color="auto"/>
              <w:right w:val="single" w:sz="4" w:space="0" w:color="auto"/>
            </w:tcBorders>
            <w:hideMark/>
          </w:tcPr>
          <w:p w14:paraId="40BCA9F8" w14:textId="77777777" w:rsidR="00C425C7" w:rsidRPr="00C425C7" w:rsidRDefault="00C425C7" w:rsidP="00C425C7">
            <w:pPr>
              <w:spacing w:after="160" w:line="278" w:lineRule="auto"/>
              <w:rPr>
                <w:b/>
                <w:bCs/>
              </w:rPr>
            </w:pPr>
            <w:r w:rsidRPr="00C425C7">
              <w:rPr>
                <w:b/>
                <w:bCs/>
              </w:rPr>
              <w:t>Decision Rule</w:t>
            </w:r>
          </w:p>
        </w:tc>
      </w:tr>
      <w:tr w:rsidR="00C425C7" w:rsidRPr="00C425C7" w14:paraId="5F014C56" w14:textId="77777777">
        <w:trPr>
          <w:trHeight w:val="526"/>
        </w:trPr>
        <w:tc>
          <w:tcPr>
            <w:tcW w:w="0" w:type="auto"/>
            <w:tcBorders>
              <w:top w:val="single" w:sz="4" w:space="0" w:color="auto"/>
              <w:left w:val="single" w:sz="4" w:space="0" w:color="auto"/>
              <w:bottom w:val="single" w:sz="4" w:space="0" w:color="auto"/>
              <w:right w:val="single" w:sz="4" w:space="0" w:color="auto"/>
            </w:tcBorders>
            <w:hideMark/>
          </w:tcPr>
          <w:p w14:paraId="198E8EB6" w14:textId="77777777" w:rsidR="00C425C7" w:rsidRPr="00C425C7" w:rsidRDefault="00C425C7" w:rsidP="00C425C7">
            <w:pPr>
              <w:spacing w:after="160" w:line="278" w:lineRule="auto"/>
            </w:pPr>
            <w:r w:rsidRPr="00C425C7">
              <w:t>Initial Investment</w:t>
            </w:r>
          </w:p>
        </w:tc>
        <w:tc>
          <w:tcPr>
            <w:tcW w:w="0" w:type="auto"/>
            <w:tcBorders>
              <w:top w:val="single" w:sz="4" w:space="0" w:color="auto"/>
              <w:left w:val="single" w:sz="4" w:space="0" w:color="auto"/>
              <w:bottom w:val="single" w:sz="4" w:space="0" w:color="auto"/>
              <w:right w:val="single" w:sz="4" w:space="0" w:color="auto"/>
            </w:tcBorders>
            <w:hideMark/>
          </w:tcPr>
          <w:p w14:paraId="0D059225" w14:textId="77777777" w:rsidR="00C425C7" w:rsidRPr="00C425C7" w:rsidRDefault="00C425C7" w:rsidP="00C425C7">
            <w:pPr>
              <w:spacing w:after="160" w:line="278" w:lineRule="auto"/>
            </w:pPr>
            <w:r w:rsidRPr="00C425C7">
              <w:t>£40m</w:t>
            </w:r>
          </w:p>
        </w:tc>
        <w:tc>
          <w:tcPr>
            <w:tcW w:w="0" w:type="auto"/>
            <w:tcBorders>
              <w:top w:val="single" w:sz="4" w:space="0" w:color="auto"/>
              <w:left w:val="single" w:sz="4" w:space="0" w:color="auto"/>
              <w:bottom w:val="single" w:sz="4" w:space="0" w:color="auto"/>
              <w:right w:val="single" w:sz="4" w:space="0" w:color="auto"/>
            </w:tcBorders>
            <w:hideMark/>
          </w:tcPr>
          <w:p w14:paraId="29C4477F" w14:textId="77777777" w:rsidR="00C425C7" w:rsidRPr="00C425C7" w:rsidRDefault="00C425C7" w:rsidP="00C425C7">
            <w:pPr>
              <w:spacing w:after="160" w:line="278" w:lineRule="auto"/>
            </w:pPr>
            <w:r w:rsidRPr="00C425C7">
              <w:t>£30m</w:t>
            </w:r>
          </w:p>
        </w:tc>
        <w:tc>
          <w:tcPr>
            <w:tcW w:w="0" w:type="auto"/>
            <w:tcBorders>
              <w:top w:val="single" w:sz="4" w:space="0" w:color="auto"/>
              <w:left w:val="single" w:sz="4" w:space="0" w:color="auto"/>
              <w:bottom w:val="single" w:sz="4" w:space="0" w:color="auto"/>
              <w:right w:val="single" w:sz="4" w:space="0" w:color="auto"/>
            </w:tcBorders>
            <w:hideMark/>
          </w:tcPr>
          <w:p w14:paraId="69F7937F" w14:textId="77777777" w:rsidR="00C425C7" w:rsidRPr="00C425C7" w:rsidRDefault="00C425C7" w:rsidP="00C425C7">
            <w:pPr>
              <w:spacing w:after="160" w:line="278" w:lineRule="auto"/>
            </w:pPr>
            <w:r w:rsidRPr="00C425C7">
              <w:t>£50m</w:t>
            </w:r>
          </w:p>
        </w:tc>
        <w:tc>
          <w:tcPr>
            <w:tcW w:w="0" w:type="auto"/>
            <w:tcBorders>
              <w:top w:val="single" w:sz="4" w:space="0" w:color="auto"/>
              <w:left w:val="single" w:sz="4" w:space="0" w:color="auto"/>
              <w:bottom w:val="single" w:sz="4" w:space="0" w:color="auto"/>
              <w:right w:val="single" w:sz="4" w:space="0" w:color="auto"/>
            </w:tcBorders>
            <w:hideMark/>
          </w:tcPr>
          <w:p w14:paraId="59E27076" w14:textId="77777777" w:rsidR="00C425C7" w:rsidRPr="00C425C7" w:rsidRDefault="00C425C7" w:rsidP="00C425C7">
            <w:pPr>
              <w:spacing w:after="160" w:line="278" w:lineRule="auto"/>
            </w:pPr>
          </w:p>
        </w:tc>
      </w:tr>
      <w:tr w:rsidR="00C425C7" w:rsidRPr="00C425C7" w14:paraId="1A4A4A64" w14:textId="77777777">
        <w:trPr>
          <w:trHeight w:val="526"/>
        </w:trPr>
        <w:tc>
          <w:tcPr>
            <w:tcW w:w="0" w:type="auto"/>
            <w:tcBorders>
              <w:top w:val="single" w:sz="4" w:space="0" w:color="auto"/>
              <w:left w:val="single" w:sz="4" w:space="0" w:color="auto"/>
              <w:bottom w:val="single" w:sz="4" w:space="0" w:color="auto"/>
              <w:right w:val="single" w:sz="4" w:space="0" w:color="auto"/>
            </w:tcBorders>
            <w:hideMark/>
          </w:tcPr>
          <w:p w14:paraId="4FDA678B" w14:textId="77777777" w:rsidR="00C425C7" w:rsidRPr="00C425C7" w:rsidRDefault="00C425C7" w:rsidP="00C425C7">
            <w:pPr>
              <w:spacing w:after="160" w:line="278" w:lineRule="auto"/>
            </w:pPr>
            <w:r w:rsidRPr="00C425C7">
              <w:t>Payback Period (PBP)</w:t>
            </w:r>
          </w:p>
        </w:tc>
        <w:tc>
          <w:tcPr>
            <w:tcW w:w="0" w:type="auto"/>
            <w:tcBorders>
              <w:top w:val="single" w:sz="4" w:space="0" w:color="auto"/>
              <w:left w:val="single" w:sz="4" w:space="0" w:color="auto"/>
              <w:bottom w:val="single" w:sz="4" w:space="0" w:color="auto"/>
              <w:right w:val="single" w:sz="4" w:space="0" w:color="auto"/>
            </w:tcBorders>
            <w:hideMark/>
          </w:tcPr>
          <w:p w14:paraId="08C31358" w14:textId="77777777" w:rsidR="00C425C7" w:rsidRPr="00C425C7" w:rsidRDefault="00C425C7" w:rsidP="00C425C7">
            <w:pPr>
              <w:spacing w:after="160" w:line="278" w:lineRule="auto"/>
            </w:pPr>
            <w:r w:rsidRPr="00C425C7">
              <w:t>3.4 years</w:t>
            </w:r>
          </w:p>
        </w:tc>
        <w:tc>
          <w:tcPr>
            <w:tcW w:w="0" w:type="auto"/>
            <w:tcBorders>
              <w:top w:val="single" w:sz="4" w:space="0" w:color="auto"/>
              <w:left w:val="single" w:sz="4" w:space="0" w:color="auto"/>
              <w:bottom w:val="single" w:sz="4" w:space="0" w:color="auto"/>
              <w:right w:val="single" w:sz="4" w:space="0" w:color="auto"/>
            </w:tcBorders>
            <w:hideMark/>
          </w:tcPr>
          <w:p w14:paraId="3EC9D443" w14:textId="77777777" w:rsidR="00C425C7" w:rsidRPr="00C425C7" w:rsidRDefault="00C425C7" w:rsidP="00C425C7">
            <w:pPr>
              <w:spacing w:after="160" w:line="278" w:lineRule="auto"/>
            </w:pPr>
            <w:r w:rsidRPr="00C425C7">
              <w:t>5.0 years</w:t>
            </w:r>
          </w:p>
        </w:tc>
        <w:tc>
          <w:tcPr>
            <w:tcW w:w="0" w:type="auto"/>
            <w:tcBorders>
              <w:top w:val="single" w:sz="4" w:space="0" w:color="auto"/>
              <w:left w:val="single" w:sz="4" w:space="0" w:color="auto"/>
              <w:bottom w:val="single" w:sz="4" w:space="0" w:color="auto"/>
              <w:right w:val="single" w:sz="4" w:space="0" w:color="auto"/>
            </w:tcBorders>
            <w:hideMark/>
          </w:tcPr>
          <w:p w14:paraId="5FE0D825" w14:textId="77777777" w:rsidR="00C425C7" w:rsidRPr="00C425C7" w:rsidRDefault="00C425C7" w:rsidP="00C425C7">
            <w:pPr>
              <w:spacing w:after="160" w:line="278" w:lineRule="auto"/>
            </w:pPr>
            <w:r w:rsidRPr="00C425C7">
              <w:t>3.6 years</w:t>
            </w:r>
          </w:p>
        </w:tc>
        <w:tc>
          <w:tcPr>
            <w:tcW w:w="0" w:type="auto"/>
            <w:tcBorders>
              <w:top w:val="single" w:sz="4" w:space="0" w:color="auto"/>
              <w:left w:val="single" w:sz="4" w:space="0" w:color="auto"/>
              <w:bottom w:val="single" w:sz="4" w:space="0" w:color="auto"/>
              <w:right w:val="single" w:sz="4" w:space="0" w:color="auto"/>
            </w:tcBorders>
            <w:hideMark/>
          </w:tcPr>
          <w:p w14:paraId="4FD0DA0F" w14:textId="77777777" w:rsidR="00C425C7" w:rsidRPr="00C425C7" w:rsidRDefault="00C425C7" w:rsidP="00C425C7">
            <w:pPr>
              <w:spacing w:after="160" w:line="278" w:lineRule="auto"/>
            </w:pPr>
            <w:r w:rsidRPr="00C425C7">
              <w:t>Shorter is better</w:t>
            </w:r>
          </w:p>
        </w:tc>
      </w:tr>
      <w:tr w:rsidR="00C425C7" w:rsidRPr="00C425C7" w14:paraId="6AB9809E" w14:textId="77777777">
        <w:trPr>
          <w:trHeight w:val="526"/>
        </w:trPr>
        <w:tc>
          <w:tcPr>
            <w:tcW w:w="0" w:type="auto"/>
            <w:tcBorders>
              <w:top w:val="single" w:sz="4" w:space="0" w:color="auto"/>
              <w:left w:val="single" w:sz="4" w:space="0" w:color="auto"/>
              <w:bottom w:val="single" w:sz="4" w:space="0" w:color="auto"/>
              <w:right w:val="single" w:sz="4" w:space="0" w:color="auto"/>
            </w:tcBorders>
            <w:hideMark/>
          </w:tcPr>
          <w:p w14:paraId="2F14A91C" w14:textId="77777777" w:rsidR="00C425C7" w:rsidRPr="00C425C7" w:rsidRDefault="00C425C7" w:rsidP="00C425C7">
            <w:pPr>
              <w:spacing w:after="160" w:line="278" w:lineRule="auto"/>
            </w:pPr>
            <w:r w:rsidRPr="00C425C7">
              <w:t>ARR</w:t>
            </w:r>
          </w:p>
        </w:tc>
        <w:tc>
          <w:tcPr>
            <w:tcW w:w="0" w:type="auto"/>
            <w:tcBorders>
              <w:top w:val="single" w:sz="4" w:space="0" w:color="auto"/>
              <w:left w:val="single" w:sz="4" w:space="0" w:color="auto"/>
              <w:bottom w:val="single" w:sz="4" w:space="0" w:color="auto"/>
              <w:right w:val="single" w:sz="4" w:space="0" w:color="auto"/>
            </w:tcBorders>
            <w:hideMark/>
          </w:tcPr>
          <w:p w14:paraId="46A8554A" w14:textId="77777777" w:rsidR="00C425C7" w:rsidRPr="00C425C7" w:rsidRDefault="00C425C7" w:rsidP="00C425C7">
            <w:pPr>
              <w:spacing w:after="160" w:line="278" w:lineRule="auto"/>
            </w:pPr>
            <w:r w:rsidRPr="00C425C7">
              <w:t>7.00%</w:t>
            </w:r>
          </w:p>
        </w:tc>
        <w:tc>
          <w:tcPr>
            <w:tcW w:w="0" w:type="auto"/>
            <w:tcBorders>
              <w:top w:val="single" w:sz="4" w:space="0" w:color="auto"/>
              <w:left w:val="single" w:sz="4" w:space="0" w:color="auto"/>
              <w:bottom w:val="single" w:sz="4" w:space="0" w:color="auto"/>
              <w:right w:val="single" w:sz="4" w:space="0" w:color="auto"/>
            </w:tcBorders>
            <w:hideMark/>
          </w:tcPr>
          <w:p w14:paraId="42DCC19D" w14:textId="77777777" w:rsidR="00C425C7" w:rsidRPr="00C425C7" w:rsidRDefault="00C425C7" w:rsidP="00C425C7">
            <w:pPr>
              <w:spacing w:after="160" w:line="278" w:lineRule="auto"/>
            </w:pPr>
            <w:r w:rsidRPr="00C425C7">
              <w:t>0.00%</w:t>
            </w:r>
          </w:p>
        </w:tc>
        <w:tc>
          <w:tcPr>
            <w:tcW w:w="0" w:type="auto"/>
            <w:tcBorders>
              <w:top w:val="single" w:sz="4" w:space="0" w:color="auto"/>
              <w:left w:val="single" w:sz="4" w:space="0" w:color="auto"/>
              <w:bottom w:val="single" w:sz="4" w:space="0" w:color="auto"/>
              <w:right w:val="single" w:sz="4" w:space="0" w:color="auto"/>
            </w:tcBorders>
            <w:hideMark/>
          </w:tcPr>
          <w:p w14:paraId="29FC73B0" w14:textId="77777777" w:rsidR="00C425C7" w:rsidRPr="00C425C7" w:rsidRDefault="00C425C7" w:rsidP="00C425C7">
            <w:pPr>
              <w:spacing w:after="160" w:line="278" w:lineRule="auto"/>
            </w:pPr>
            <w:r w:rsidRPr="00C425C7">
              <w:t>20.00%</w:t>
            </w:r>
          </w:p>
        </w:tc>
        <w:tc>
          <w:tcPr>
            <w:tcW w:w="0" w:type="auto"/>
            <w:tcBorders>
              <w:top w:val="single" w:sz="4" w:space="0" w:color="auto"/>
              <w:left w:val="single" w:sz="4" w:space="0" w:color="auto"/>
              <w:bottom w:val="single" w:sz="4" w:space="0" w:color="auto"/>
              <w:right w:val="single" w:sz="4" w:space="0" w:color="auto"/>
            </w:tcBorders>
            <w:hideMark/>
          </w:tcPr>
          <w:p w14:paraId="54EEDDA2" w14:textId="77777777" w:rsidR="00C425C7" w:rsidRPr="00C425C7" w:rsidRDefault="00C425C7" w:rsidP="00C425C7">
            <w:pPr>
              <w:spacing w:after="160" w:line="278" w:lineRule="auto"/>
            </w:pPr>
            <w:r w:rsidRPr="00C425C7">
              <w:t>Higher is better</w:t>
            </w:r>
          </w:p>
        </w:tc>
      </w:tr>
      <w:tr w:rsidR="00C425C7" w:rsidRPr="00C425C7" w14:paraId="5190D9CB" w14:textId="77777777">
        <w:trPr>
          <w:trHeight w:val="526"/>
        </w:trPr>
        <w:tc>
          <w:tcPr>
            <w:tcW w:w="0" w:type="auto"/>
            <w:tcBorders>
              <w:top w:val="single" w:sz="4" w:space="0" w:color="auto"/>
              <w:left w:val="single" w:sz="4" w:space="0" w:color="auto"/>
              <w:bottom w:val="single" w:sz="4" w:space="0" w:color="auto"/>
              <w:right w:val="single" w:sz="4" w:space="0" w:color="auto"/>
            </w:tcBorders>
            <w:hideMark/>
          </w:tcPr>
          <w:p w14:paraId="69881566" w14:textId="77777777" w:rsidR="00C425C7" w:rsidRPr="00C425C7" w:rsidRDefault="00C425C7" w:rsidP="00C425C7">
            <w:pPr>
              <w:spacing w:after="160" w:line="278" w:lineRule="auto"/>
            </w:pPr>
            <w:r w:rsidRPr="00C425C7">
              <w:t>NPV @ 10%</w:t>
            </w:r>
          </w:p>
        </w:tc>
        <w:tc>
          <w:tcPr>
            <w:tcW w:w="0" w:type="auto"/>
            <w:tcBorders>
              <w:top w:val="single" w:sz="4" w:space="0" w:color="auto"/>
              <w:left w:val="single" w:sz="4" w:space="0" w:color="auto"/>
              <w:bottom w:val="single" w:sz="4" w:space="0" w:color="auto"/>
              <w:right w:val="single" w:sz="4" w:space="0" w:color="auto"/>
            </w:tcBorders>
            <w:hideMark/>
          </w:tcPr>
          <w:p w14:paraId="24A9C864" w14:textId="77777777" w:rsidR="00C425C7" w:rsidRPr="00C425C7" w:rsidRDefault="00C425C7" w:rsidP="00C425C7">
            <w:pPr>
              <w:spacing w:after="160" w:line="278" w:lineRule="auto"/>
            </w:pPr>
            <w:r w:rsidRPr="00C425C7">
              <w:t>£1.33m</w:t>
            </w:r>
          </w:p>
        </w:tc>
        <w:tc>
          <w:tcPr>
            <w:tcW w:w="0" w:type="auto"/>
            <w:tcBorders>
              <w:top w:val="single" w:sz="4" w:space="0" w:color="auto"/>
              <w:left w:val="single" w:sz="4" w:space="0" w:color="auto"/>
              <w:bottom w:val="single" w:sz="4" w:space="0" w:color="auto"/>
              <w:right w:val="single" w:sz="4" w:space="0" w:color="auto"/>
            </w:tcBorders>
            <w:hideMark/>
          </w:tcPr>
          <w:p w14:paraId="2079721B" w14:textId="77777777" w:rsidR="00C425C7" w:rsidRPr="00C425C7" w:rsidRDefault="00C425C7" w:rsidP="00C425C7">
            <w:pPr>
              <w:spacing w:after="160" w:line="278" w:lineRule="auto"/>
            </w:pPr>
            <w:r w:rsidRPr="00C425C7">
              <w:t>-£7.26m</w:t>
            </w:r>
          </w:p>
        </w:tc>
        <w:tc>
          <w:tcPr>
            <w:tcW w:w="0" w:type="auto"/>
            <w:tcBorders>
              <w:top w:val="single" w:sz="4" w:space="0" w:color="auto"/>
              <w:left w:val="single" w:sz="4" w:space="0" w:color="auto"/>
              <w:bottom w:val="single" w:sz="4" w:space="0" w:color="auto"/>
              <w:right w:val="single" w:sz="4" w:space="0" w:color="auto"/>
            </w:tcBorders>
            <w:hideMark/>
          </w:tcPr>
          <w:p w14:paraId="6E1B3E1D" w14:textId="77777777" w:rsidR="00C425C7" w:rsidRPr="00C425C7" w:rsidRDefault="00C425C7" w:rsidP="00C425C7">
            <w:pPr>
              <w:spacing w:after="160" w:line="278" w:lineRule="auto"/>
            </w:pPr>
            <w:r w:rsidRPr="00C425C7">
              <w:t>£4.22m</w:t>
            </w:r>
          </w:p>
        </w:tc>
        <w:tc>
          <w:tcPr>
            <w:tcW w:w="0" w:type="auto"/>
            <w:tcBorders>
              <w:top w:val="single" w:sz="4" w:space="0" w:color="auto"/>
              <w:left w:val="single" w:sz="4" w:space="0" w:color="auto"/>
              <w:bottom w:val="single" w:sz="4" w:space="0" w:color="auto"/>
              <w:right w:val="single" w:sz="4" w:space="0" w:color="auto"/>
            </w:tcBorders>
            <w:hideMark/>
          </w:tcPr>
          <w:p w14:paraId="262AC33E" w14:textId="77777777" w:rsidR="00C425C7" w:rsidRPr="00C425C7" w:rsidRDefault="00C425C7" w:rsidP="00C425C7">
            <w:pPr>
              <w:spacing w:after="160" w:line="278" w:lineRule="auto"/>
            </w:pPr>
            <w:r w:rsidRPr="00C425C7">
              <w:t>Higher is better (&gt;0)</w:t>
            </w:r>
          </w:p>
        </w:tc>
      </w:tr>
      <w:tr w:rsidR="00C425C7" w:rsidRPr="00C425C7" w14:paraId="3E3ABF00" w14:textId="77777777">
        <w:trPr>
          <w:trHeight w:val="526"/>
        </w:trPr>
        <w:tc>
          <w:tcPr>
            <w:tcW w:w="0" w:type="auto"/>
            <w:tcBorders>
              <w:top w:val="single" w:sz="4" w:space="0" w:color="auto"/>
              <w:left w:val="single" w:sz="4" w:space="0" w:color="auto"/>
              <w:bottom w:val="single" w:sz="4" w:space="0" w:color="auto"/>
              <w:right w:val="single" w:sz="4" w:space="0" w:color="auto"/>
            </w:tcBorders>
            <w:hideMark/>
          </w:tcPr>
          <w:p w14:paraId="3D002A65" w14:textId="77777777" w:rsidR="00C425C7" w:rsidRPr="00C425C7" w:rsidRDefault="00C425C7" w:rsidP="00C425C7">
            <w:pPr>
              <w:spacing w:after="160" w:line="278" w:lineRule="auto"/>
            </w:pPr>
            <w:r w:rsidRPr="00C425C7">
              <w:t>Profitability Index (PI)</w:t>
            </w:r>
          </w:p>
        </w:tc>
        <w:tc>
          <w:tcPr>
            <w:tcW w:w="0" w:type="auto"/>
            <w:tcBorders>
              <w:top w:val="single" w:sz="4" w:space="0" w:color="auto"/>
              <w:left w:val="single" w:sz="4" w:space="0" w:color="auto"/>
              <w:bottom w:val="single" w:sz="4" w:space="0" w:color="auto"/>
              <w:right w:val="single" w:sz="4" w:space="0" w:color="auto"/>
            </w:tcBorders>
            <w:hideMark/>
          </w:tcPr>
          <w:p w14:paraId="4A6742E0" w14:textId="77777777" w:rsidR="00C425C7" w:rsidRPr="00C425C7" w:rsidRDefault="00C425C7" w:rsidP="00C425C7">
            <w:pPr>
              <w:spacing w:after="160" w:line="278" w:lineRule="auto"/>
            </w:pPr>
            <w:r w:rsidRPr="00C425C7">
              <w:t>1.03</w:t>
            </w:r>
          </w:p>
        </w:tc>
        <w:tc>
          <w:tcPr>
            <w:tcW w:w="0" w:type="auto"/>
            <w:tcBorders>
              <w:top w:val="single" w:sz="4" w:space="0" w:color="auto"/>
              <w:left w:val="single" w:sz="4" w:space="0" w:color="auto"/>
              <w:bottom w:val="single" w:sz="4" w:space="0" w:color="auto"/>
              <w:right w:val="single" w:sz="4" w:space="0" w:color="auto"/>
            </w:tcBorders>
            <w:hideMark/>
          </w:tcPr>
          <w:p w14:paraId="767D7193" w14:textId="77777777" w:rsidR="00C425C7" w:rsidRPr="00C425C7" w:rsidRDefault="00C425C7" w:rsidP="00C425C7">
            <w:pPr>
              <w:spacing w:after="160" w:line="278" w:lineRule="auto"/>
            </w:pPr>
            <w:r w:rsidRPr="00C425C7">
              <w:t>0.76</w:t>
            </w:r>
          </w:p>
        </w:tc>
        <w:tc>
          <w:tcPr>
            <w:tcW w:w="0" w:type="auto"/>
            <w:tcBorders>
              <w:top w:val="single" w:sz="4" w:space="0" w:color="auto"/>
              <w:left w:val="single" w:sz="4" w:space="0" w:color="auto"/>
              <w:bottom w:val="single" w:sz="4" w:space="0" w:color="auto"/>
              <w:right w:val="single" w:sz="4" w:space="0" w:color="auto"/>
            </w:tcBorders>
            <w:hideMark/>
          </w:tcPr>
          <w:p w14:paraId="457B0B50" w14:textId="77777777" w:rsidR="00C425C7" w:rsidRPr="00C425C7" w:rsidRDefault="00C425C7" w:rsidP="00C425C7">
            <w:pPr>
              <w:spacing w:after="160" w:line="278" w:lineRule="auto"/>
            </w:pPr>
            <w:r w:rsidRPr="00C425C7">
              <w:t>1.08</w:t>
            </w:r>
          </w:p>
        </w:tc>
        <w:tc>
          <w:tcPr>
            <w:tcW w:w="0" w:type="auto"/>
            <w:tcBorders>
              <w:top w:val="single" w:sz="4" w:space="0" w:color="auto"/>
              <w:left w:val="single" w:sz="4" w:space="0" w:color="auto"/>
              <w:bottom w:val="single" w:sz="4" w:space="0" w:color="auto"/>
              <w:right w:val="single" w:sz="4" w:space="0" w:color="auto"/>
            </w:tcBorders>
            <w:hideMark/>
          </w:tcPr>
          <w:p w14:paraId="1C6DE018" w14:textId="77777777" w:rsidR="00C425C7" w:rsidRPr="00C425C7" w:rsidRDefault="00C425C7" w:rsidP="00C425C7">
            <w:pPr>
              <w:spacing w:after="160" w:line="278" w:lineRule="auto"/>
            </w:pPr>
            <w:r w:rsidRPr="00C425C7">
              <w:t>Higher is better (&gt;1)</w:t>
            </w:r>
          </w:p>
        </w:tc>
      </w:tr>
      <w:tr w:rsidR="00C425C7" w:rsidRPr="00C425C7" w14:paraId="66C8DFE5" w14:textId="77777777">
        <w:trPr>
          <w:trHeight w:val="510"/>
        </w:trPr>
        <w:tc>
          <w:tcPr>
            <w:tcW w:w="0" w:type="auto"/>
            <w:tcBorders>
              <w:top w:val="single" w:sz="4" w:space="0" w:color="auto"/>
              <w:left w:val="single" w:sz="4" w:space="0" w:color="auto"/>
              <w:bottom w:val="single" w:sz="4" w:space="0" w:color="auto"/>
              <w:right w:val="single" w:sz="4" w:space="0" w:color="auto"/>
            </w:tcBorders>
            <w:hideMark/>
          </w:tcPr>
          <w:p w14:paraId="6EBE4B5F" w14:textId="77777777" w:rsidR="00C425C7" w:rsidRPr="00C425C7" w:rsidRDefault="00C425C7" w:rsidP="00C425C7">
            <w:pPr>
              <w:spacing w:after="160" w:line="278" w:lineRule="auto"/>
            </w:pPr>
            <w:r w:rsidRPr="00C425C7">
              <w:t>IRR</w:t>
            </w:r>
          </w:p>
        </w:tc>
        <w:tc>
          <w:tcPr>
            <w:tcW w:w="0" w:type="auto"/>
            <w:tcBorders>
              <w:top w:val="single" w:sz="4" w:space="0" w:color="auto"/>
              <w:left w:val="single" w:sz="4" w:space="0" w:color="auto"/>
              <w:bottom w:val="single" w:sz="4" w:space="0" w:color="auto"/>
              <w:right w:val="single" w:sz="4" w:space="0" w:color="auto"/>
            </w:tcBorders>
            <w:hideMark/>
          </w:tcPr>
          <w:p w14:paraId="155E7CB1" w14:textId="77777777" w:rsidR="00C425C7" w:rsidRPr="00C425C7" w:rsidRDefault="00C425C7" w:rsidP="00C425C7">
            <w:pPr>
              <w:spacing w:after="160" w:line="278" w:lineRule="auto"/>
            </w:pPr>
            <w:r w:rsidRPr="00C425C7">
              <w:t>12% (approx)</w:t>
            </w:r>
          </w:p>
        </w:tc>
        <w:tc>
          <w:tcPr>
            <w:tcW w:w="0" w:type="auto"/>
            <w:tcBorders>
              <w:top w:val="single" w:sz="4" w:space="0" w:color="auto"/>
              <w:left w:val="single" w:sz="4" w:space="0" w:color="auto"/>
              <w:bottom w:val="single" w:sz="4" w:space="0" w:color="auto"/>
              <w:right w:val="single" w:sz="4" w:space="0" w:color="auto"/>
            </w:tcBorders>
            <w:hideMark/>
          </w:tcPr>
          <w:p w14:paraId="64E24B78" w14:textId="77777777" w:rsidR="00C425C7" w:rsidRPr="00C425C7" w:rsidRDefault="00C425C7" w:rsidP="00C425C7">
            <w:pPr>
              <w:spacing w:after="160" w:line="278" w:lineRule="auto"/>
            </w:pPr>
            <w:r w:rsidRPr="00C425C7">
              <w:t>0.00%</w:t>
            </w:r>
          </w:p>
        </w:tc>
        <w:tc>
          <w:tcPr>
            <w:tcW w:w="0" w:type="auto"/>
            <w:tcBorders>
              <w:top w:val="single" w:sz="4" w:space="0" w:color="auto"/>
              <w:left w:val="single" w:sz="4" w:space="0" w:color="auto"/>
              <w:bottom w:val="single" w:sz="4" w:space="0" w:color="auto"/>
              <w:right w:val="single" w:sz="4" w:space="0" w:color="auto"/>
            </w:tcBorders>
            <w:hideMark/>
          </w:tcPr>
          <w:p w14:paraId="58762B23" w14:textId="77777777" w:rsidR="00C425C7" w:rsidRPr="00C425C7" w:rsidRDefault="00C425C7" w:rsidP="00C425C7">
            <w:pPr>
              <w:spacing w:after="160" w:line="278" w:lineRule="auto"/>
            </w:pPr>
            <w:r w:rsidRPr="00C425C7">
              <w:t>14% (approx)</w:t>
            </w:r>
          </w:p>
        </w:tc>
        <w:tc>
          <w:tcPr>
            <w:tcW w:w="0" w:type="auto"/>
            <w:tcBorders>
              <w:top w:val="single" w:sz="4" w:space="0" w:color="auto"/>
              <w:left w:val="single" w:sz="4" w:space="0" w:color="auto"/>
              <w:bottom w:val="single" w:sz="4" w:space="0" w:color="auto"/>
              <w:right w:val="single" w:sz="4" w:space="0" w:color="auto"/>
            </w:tcBorders>
            <w:hideMark/>
          </w:tcPr>
          <w:p w14:paraId="4861B0CF" w14:textId="77777777" w:rsidR="00C425C7" w:rsidRPr="00C425C7" w:rsidRDefault="00C425C7" w:rsidP="00C425C7">
            <w:pPr>
              <w:spacing w:after="160" w:line="278" w:lineRule="auto"/>
            </w:pPr>
            <w:r w:rsidRPr="00C425C7">
              <w:t>Higher is better</w:t>
            </w:r>
          </w:p>
        </w:tc>
      </w:tr>
    </w:tbl>
    <w:p w14:paraId="43424735" w14:textId="77777777" w:rsidR="00C425C7" w:rsidRPr="00C425C7" w:rsidRDefault="00C425C7" w:rsidP="00C425C7"/>
    <w:p w14:paraId="60B28F1F" w14:textId="0DA59069" w:rsidR="00C425C7" w:rsidRPr="00C425C7" w:rsidRDefault="00C425C7" w:rsidP="00C425C7">
      <w:pPr>
        <w:rPr>
          <w:b/>
          <w:bCs/>
        </w:rPr>
      </w:pPr>
      <w:r w:rsidRPr="00C425C7">
        <w:rPr>
          <w:b/>
          <w:bCs/>
        </w:rPr>
        <w:t xml:space="preserve"> </w:t>
      </w:r>
      <w:bookmarkStart w:id="17" w:name="_Toc216554280"/>
      <w:r w:rsidR="005F0E57">
        <w:rPr>
          <w:b/>
          <w:bCs/>
        </w:rPr>
        <w:tab/>
      </w:r>
      <w:r w:rsidRPr="00C425C7">
        <w:rPr>
          <w:b/>
          <w:bCs/>
        </w:rPr>
        <w:t>Capital Rationing Recommendation</w:t>
      </w:r>
      <w:bookmarkEnd w:id="17"/>
    </w:p>
    <w:p w14:paraId="3D29946B" w14:textId="77777777" w:rsidR="00C425C7" w:rsidRPr="00C425C7" w:rsidRDefault="00C425C7" w:rsidP="005F0E57">
      <w:pPr>
        <w:ind w:firstLine="720"/>
        <w:jc w:val="both"/>
      </w:pPr>
      <w:r w:rsidRPr="00C425C7">
        <w:t>GE is now working under an extreme regime of external, capital market rationing, and internal, decision on the part of the Board, prudently restricting new spending by not more than £60 million. Although the overall nominal investment needed to execute all the three proposals is £120 million, a stringent financial analysis makes our decision-making process far much easier, with non-viable alternatives automatically being ruled out.</w:t>
      </w:r>
    </w:p>
    <w:p w14:paraId="7F2FA5E2" w14:textId="77777777" w:rsidR="00C425C7" w:rsidRPr="00C425C7" w:rsidRDefault="00C425C7" w:rsidP="005F0E57">
      <w:pPr>
        <w:ind w:firstLine="720"/>
        <w:jc w:val="both"/>
      </w:pPr>
      <w:r w:rsidRPr="00C425C7">
        <w:t>The first step in our allocation logic is to reject any project that fails to generate a minimum required return. Project B requires a £30 million investment and returns exactly £30 million in nominal cash flows over five years. Once the 10% cost of capital is applied, this results in a negative Net Present Value (NPV) of -£7.26 million and a Profitability Index (PI) of less than 1.0. As noted by Brealey et al. (2020), accepting a negative NPV project violates the fundamental financial objective of maximizing shareholder wealth. Therefore, Project B is rejected outright, as it effectively destroys capital.</w:t>
      </w:r>
    </w:p>
    <w:p w14:paraId="61FBC736" w14:textId="77777777" w:rsidR="00C425C7" w:rsidRPr="00C425C7" w:rsidRDefault="00C425C7" w:rsidP="005F0E57">
      <w:pPr>
        <w:ind w:firstLine="720"/>
        <w:jc w:val="both"/>
      </w:pPr>
      <w:r w:rsidRPr="00C425C7">
        <w:t>This leaves us with two viable, positive-NPV options: Project A (£40m investment) and Project C (£50m investment). Since our £60 million budget cannot accommodate both projects simultaneously (requiring £90m total), they effectively become mutually exclusive. To resolve this, we utilize the Profitability Index (PI), which measures the "bang for the buck" or value created per unit of investment.</w:t>
      </w:r>
    </w:p>
    <w:p w14:paraId="1316430E" w14:textId="77777777" w:rsidR="00C425C7" w:rsidRPr="00C425C7" w:rsidRDefault="00C425C7" w:rsidP="00075841">
      <w:pPr>
        <w:ind w:firstLine="720"/>
        <w:jc w:val="both"/>
      </w:pPr>
      <w:r w:rsidRPr="00C425C7">
        <w:lastRenderedPageBreak/>
        <w:t>Project C is also more capital efficient with PI of 1.08 when compared to Project A whose PI stands at 1.03. Moreover, due to the limited choice that we are left with, we need to ensure that we create absolute wealth. Project C will create £4.22 million net shareholder value and Project A will create £1.33 million net shareholder value. Selecting Project A will make £20 million of our budget go to waste and result in much lesser returns.</w:t>
      </w:r>
    </w:p>
    <w:p w14:paraId="58171ACB" w14:textId="77777777" w:rsidR="00C425C7" w:rsidRPr="00C425C7" w:rsidRDefault="00C425C7" w:rsidP="00075841">
      <w:pPr>
        <w:ind w:firstLine="720"/>
        <w:jc w:val="both"/>
      </w:pPr>
      <w:r w:rsidRPr="00C425C7">
        <w:t>Recommendation: Project C is to be authorized by the Board only. Such a plan leverages the £50 million of our £60 million limit, and it follows the constraint as much as possible but adds total financial value as much as possible to the firm.</w:t>
      </w:r>
    </w:p>
    <w:p w14:paraId="096BCC1E" w14:textId="7C2A6026" w:rsidR="00C425C7" w:rsidRPr="00C425C7" w:rsidRDefault="00C425C7" w:rsidP="005F0E57">
      <w:pPr>
        <w:jc w:val="both"/>
        <w:rPr>
          <w:b/>
          <w:bCs/>
        </w:rPr>
      </w:pPr>
      <w:r w:rsidRPr="00C425C7">
        <w:rPr>
          <w:b/>
          <w:bCs/>
        </w:rPr>
        <w:t xml:space="preserve"> </w:t>
      </w:r>
      <w:bookmarkStart w:id="18" w:name="_Toc216554281"/>
      <w:r w:rsidR="00075841">
        <w:rPr>
          <w:b/>
          <w:bCs/>
        </w:rPr>
        <w:tab/>
      </w:r>
      <w:r w:rsidRPr="00C425C7">
        <w:rPr>
          <w:b/>
          <w:bCs/>
        </w:rPr>
        <w:t>Justification and Risk Analysis</w:t>
      </w:r>
      <w:bookmarkEnd w:id="18"/>
    </w:p>
    <w:p w14:paraId="078263BC" w14:textId="77777777" w:rsidR="00C425C7" w:rsidRPr="00C425C7" w:rsidRDefault="00C425C7" w:rsidP="00075841">
      <w:pPr>
        <w:ind w:firstLine="720"/>
        <w:jc w:val="both"/>
      </w:pPr>
      <w:r w:rsidRPr="00C425C7">
        <w:t>The Project C recommendation is mathematically right, which is in line with the rule of shareholder wealth maximization. The project is most probable to create meaningful new value because it has the highest NPV (£4.22m), IRR (12.82%), and PI (1.08). But the position of a CFO goes beyond numbers to a sensitive feeling of danger, particularly when a company is on a precarious recovery.</w:t>
      </w:r>
    </w:p>
    <w:p w14:paraId="3038C5B1" w14:textId="1BE519DC" w:rsidR="00C425C7" w:rsidRPr="00C425C7" w:rsidRDefault="00C425C7" w:rsidP="00075841">
      <w:pPr>
        <w:ind w:firstLine="720"/>
        <w:jc w:val="both"/>
      </w:pPr>
      <w:r w:rsidRPr="00C425C7">
        <w:t xml:space="preserve">A critical analysis of Project C demonstrates that it is associated with a non-trivial risk in its cash flow profile: the latter is substantially </w:t>
      </w:r>
      <w:r w:rsidR="00075841" w:rsidRPr="00C425C7">
        <w:t>backloaded</w:t>
      </w:r>
      <w:r w:rsidRPr="00C425C7">
        <w:t>: £5 million in the Year 1, and £25 million in the Year 4. This is a possible liquidity limitation, which is a significant issue when a firm has just come out of a cash flow crisis. By contrast, Project A is less risky in terms of liquidity because it has a lower NPV, shorter payback period (3.40 years), and front-ended cash flows.</w:t>
      </w:r>
    </w:p>
    <w:p w14:paraId="0D04D917" w14:textId="763C65C4" w:rsidR="00C425C7" w:rsidRPr="00C425C7" w:rsidRDefault="00C425C7" w:rsidP="00075841">
      <w:pPr>
        <w:ind w:firstLine="720"/>
        <w:jc w:val="both"/>
      </w:pPr>
      <w:r w:rsidRPr="00C425C7">
        <w:t xml:space="preserve">Therefore, the final suggestion is conditional and strategic. Although Project C has a superior financial-strategic profile, it has a risk nature that should be proactively managed. Late returns would hamper our recovery unless the restructuring plan as a whole provides adequate liquidity buffer. I would, therefore, advise that Project C be approved by the Board provided that the divestiture and equity injection plan is successfully and earlier developed. This integrated approach addresses the growth opportunity with the highest </w:t>
      </w:r>
      <w:r w:rsidR="00075841" w:rsidRPr="00C425C7">
        <w:t>value but</w:t>
      </w:r>
      <w:r w:rsidRPr="00C425C7">
        <w:t xml:space="preserve"> allows the company the financial strength to withstand the cash flow risk in such a critical recovery period.</w:t>
      </w:r>
    </w:p>
    <w:p w14:paraId="0E090D44" w14:textId="77777777" w:rsidR="00C425C7" w:rsidRPr="00C425C7" w:rsidRDefault="00C425C7" w:rsidP="005F0E57">
      <w:pPr>
        <w:jc w:val="both"/>
      </w:pPr>
    </w:p>
    <w:p w14:paraId="0C4EAF3D" w14:textId="77777777" w:rsidR="00C425C7" w:rsidRPr="00C425C7" w:rsidRDefault="00C425C7" w:rsidP="00075841">
      <w:pPr>
        <w:ind w:firstLine="720"/>
        <w:jc w:val="both"/>
        <w:rPr>
          <w:b/>
          <w:bCs/>
        </w:rPr>
      </w:pPr>
      <w:bookmarkStart w:id="19" w:name="_Toc216554282"/>
      <w:r w:rsidRPr="00C425C7">
        <w:rPr>
          <w:b/>
          <w:bCs/>
        </w:rPr>
        <w:t>Conclusion</w:t>
      </w:r>
      <w:bookmarkEnd w:id="19"/>
    </w:p>
    <w:p w14:paraId="41A58037" w14:textId="77777777" w:rsidR="00C425C7" w:rsidRPr="00C425C7" w:rsidRDefault="00C425C7" w:rsidP="00075841">
      <w:pPr>
        <w:ind w:firstLine="720"/>
        <w:jc w:val="both"/>
      </w:pPr>
      <w:r w:rsidRPr="00C425C7">
        <w:t>The data-based diagnosis of this report reaffirms how general electronics is lying flat in financial terms. The company appears doomed to failure with a systemic malfunction of profitability, abusive operation inefficiency and consequent liquidity crisis which has eradicated shareholder wealth and risked our survival as shown quantitatively in a decaying Altman Z-Score.</w:t>
      </w:r>
    </w:p>
    <w:p w14:paraId="05349BA5" w14:textId="77777777" w:rsidR="00C425C7" w:rsidRPr="00C425C7" w:rsidRDefault="00C425C7" w:rsidP="005F0E57">
      <w:pPr>
        <w:jc w:val="both"/>
      </w:pPr>
      <w:r w:rsidRPr="00C425C7">
        <w:lastRenderedPageBreak/>
        <w:t>there is a way out of the hole, with integrated and drastic three-branched strategy. First, we will need to implement radical changes in the working capital to halt the unsustainable cash burn. Second, it needs a radical strategic reorganization, with a starting point of disposing of assets that destroy value and a much-needed round of equity financing to rebuild our balance sheet and investor confidence. Third, now that we have a level base, we can focus on expansion, investing wise on Project C giving it a high payoff, even though we have to be cautious about the risks.</w:t>
      </w:r>
    </w:p>
    <w:p w14:paraId="4E43BE5D" w14:textId="77777777" w:rsidR="00C425C7" w:rsidRDefault="00C425C7" w:rsidP="00075841">
      <w:pPr>
        <w:ind w:firstLine="720"/>
        <w:jc w:val="both"/>
      </w:pPr>
      <w:r w:rsidRPr="00C425C7">
        <w:t>The way forward is a hard one that will involve tough decisions, disciplining measures, and an attitudinal change to financial responsibility. It is not a quick fix as this integrated strategy is a clear and actionable roadmap. A careful and timely implementation of the given plan will help General Electronics to come out of this crisis not only as a survivor, but as a more efficient, resilient and strategic business to deliver sustainable and long-term value to our shareholders.</w:t>
      </w:r>
    </w:p>
    <w:p w14:paraId="07303EA5" w14:textId="77777777" w:rsidR="00075841" w:rsidRDefault="00075841" w:rsidP="00075841">
      <w:pPr>
        <w:jc w:val="both"/>
      </w:pPr>
    </w:p>
    <w:p w14:paraId="436A1368" w14:textId="77777777" w:rsidR="00075841" w:rsidRDefault="00075841" w:rsidP="00075841">
      <w:pPr>
        <w:jc w:val="both"/>
      </w:pPr>
    </w:p>
    <w:p w14:paraId="756B89F0" w14:textId="77777777" w:rsidR="00075841" w:rsidRDefault="00075841" w:rsidP="00075841">
      <w:pPr>
        <w:jc w:val="both"/>
      </w:pPr>
    </w:p>
    <w:p w14:paraId="6E9F0A10" w14:textId="77777777" w:rsidR="00075841" w:rsidRDefault="00075841" w:rsidP="00075841">
      <w:pPr>
        <w:jc w:val="both"/>
      </w:pPr>
    </w:p>
    <w:p w14:paraId="1A4B842C" w14:textId="77777777" w:rsidR="00075841" w:rsidRDefault="00075841" w:rsidP="00075841">
      <w:pPr>
        <w:jc w:val="both"/>
      </w:pPr>
    </w:p>
    <w:p w14:paraId="0354EB61" w14:textId="77777777" w:rsidR="00075841" w:rsidRDefault="00075841" w:rsidP="00075841">
      <w:pPr>
        <w:jc w:val="both"/>
      </w:pPr>
    </w:p>
    <w:p w14:paraId="3CCFF81B" w14:textId="77777777" w:rsidR="00075841" w:rsidRDefault="00075841" w:rsidP="00075841">
      <w:pPr>
        <w:jc w:val="both"/>
      </w:pPr>
    </w:p>
    <w:p w14:paraId="21787F20" w14:textId="77777777" w:rsidR="00075841" w:rsidRDefault="00075841" w:rsidP="00075841">
      <w:pPr>
        <w:jc w:val="both"/>
      </w:pPr>
    </w:p>
    <w:p w14:paraId="3F5A2965" w14:textId="77777777" w:rsidR="00075841" w:rsidRDefault="00075841" w:rsidP="00075841">
      <w:pPr>
        <w:jc w:val="both"/>
      </w:pPr>
    </w:p>
    <w:p w14:paraId="1EB87F73" w14:textId="77777777" w:rsidR="00075841" w:rsidRDefault="00075841" w:rsidP="00075841">
      <w:pPr>
        <w:jc w:val="both"/>
      </w:pPr>
    </w:p>
    <w:p w14:paraId="61866F0E" w14:textId="77777777" w:rsidR="00075841" w:rsidRDefault="00075841" w:rsidP="00075841">
      <w:pPr>
        <w:jc w:val="both"/>
      </w:pPr>
    </w:p>
    <w:p w14:paraId="6EE822D5" w14:textId="77777777" w:rsidR="00075841" w:rsidRDefault="00075841" w:rsidP="00075841">
      <w:pPr>
        <w:jc w:val="both"/>
      </w:pPr>
    </w:p>
    <w:p w14:paraId="3263D589" w14:textId="77777777" w:rsidR="00075841" w:rsidRDefault="00075841" w:rsidP="00075841">
      <w:pPr>
        <w:jc w:val="both"/>
      </w:pPr>
    </w:p>
    <w:p w14:paraId="7380F3FA" w14:textId="77777777" w:rsidR="00075841" w:rsidRDefault="00075841" w:rsidP="00075841">
      <w:pPr>
        <w:jc w:val="both"/>
      </w:pPr>
    </w:p>
    <w:p w14:paraId="28A63C0D" w14:textId="77777777" w:rsidR="00075841" w:rsidRDefault="00075841" w:rsidP="00075841">
      <w:pPr>
        <w:jc w:val="both"/>
      </w:pPr>
    </w:p>
    <w:p w14:paraId="43727305" w14:textId="77777777" w:rsidR="00075841" w:rsidRDefault="00075841" w:rsidP="00075841">
      <w:pPr>
        <w:jc w:val="both"/>
      </w:pPr>
    </w:p>
    <w:p w14:paraId="6B8D7660" w14:textId="77777777" w:rsidR="00075841" w:rsidRDefault="00075841" w:rsidP="00075841">
      <w:pPr>
        <w:jc w:val="both"/>
      </w:pPr>
    </w:p>
    <w:p w14:paraId="098762A8" w14:textId="77777777" w:rsidR="00075841" w:rsidRPr="00C425C7" w:rsidRDefault="00075841" w:rsidP="00075841">
      <w:pPr>
        <w:jc w:val="both"/>
      </w:pPr>
    </w:p>
    <w:p w14:paraId="17EAE32F" w14:textId="77777777" w:rsidR="00C425C7" w:rsidRPr="00C425C7" w:rsidRDefault="00C425C7" w:rsidP="00C425C7">
      <w:pPr>
        <w:rPr>
          <w:b/>
          <w:bCs/>
        </w:rPr>
      </w:pPr>
      <w:bookmarkStart w:id="20" w:name="_Toc216554283"/>
      <w:r w:rsidRPr="00C425C7">
        <w:rPr>
          <w:b/>
          <w:bCs/>
        </w:rPr>
        <w:lastRenderedPageBreak/>
        <w:t>References</w:t>
      </w:r>
      <w:bookmarkEnd w:id="20"/>
    </w:p>
    <w:p w14:paraId="00828DEC" w14:textId="77777777" w:rsidR="00293799" w:rsidRPr="00C425C7" w:rsidRDefault="00293799" w:rsidP="008E1D3B"/>
    <w:p w14:paraId="2B8B421F" w14:textId="77777777" w:rsidR="00293799" w:rsidRPr="00C425C7" w:rsidRDefault="00293799" w:rsidP="00C425C7">
      <w:pPr>
        <w:numPr>
          <w:ilvl w:val="0"/>
          <w:numId w:val="5"/>
        </w:numPr>
      </w:pPr>
      <w:r w:rsidRPr="00C425C7">
        <w:rPr>
          <w:b/>
          <w:bCs/>
        </w:rPr>
        <w:t>Altman, E. I. (1968).</w:t>
      </w:r>
      <w:r w:rsidRPr="00C425C7">
        <w:t> Financial Ratios, Discriminant Analysis and the Prediction of Corporate Bankruptcy. </w:t>
      </w:r>
      <w:r w:rsidRPr="00C425C7">
        <w:rPr>
          <w:i/>
          <w:iCs/>
        </w:rPr>
        <w:t>The Journal of Finance</w:t>
      </w:r>
      <w:r w:rsidRPr="00C425C7">
        <w:t>, 23(4), 589–609. (The original Z-Score paper). </w:t>
      </w:r>
      <w:hyperlink r:id="rId30" w:tgtFrame="_blank" w:history="1">
        <w:r w:rsidRPr="00C425C7">
          <w:rPr>
            <w:rStyle w:val="Hyperlink"/>
          </w:rPr>
          <w:t>https://doi.org/10.1111/j.1540-6261.1968.tb00843.x</w:t>
        </w:r>
      </w:hyperlink>
    </w:p>
    <w:p w14:paraId="18745943" w14:textId="77777777" w:rsidR="00293799" w:rsidRDefault="00293799" w:rsidP="00C425C7">
      <w:pPr>
        <w:numPr>
          <w:ilvl w:val="0"/>
          <w:numId w:val="5"/>
        </w:numPr>
      </w:pPr>
      <w:r w:rsidRPr="00C425C7">
        <w:rPr>
          <w:b/>
          <w:bCs/>
        </w:rPr>
        <w:t>Altman, E. I., &amp; Hotchkiss, E. (2006).</w:t>
      </w:r>
      <w:r w:rsidRPr="00C425C7">
        <w:t> </w:t>
      </w:r>
      <w:r w:rsidRPr="00C425C7">
        <w:rPr>
          <w:i/>
          <w:iCs/>
        </w:rPr>
        <w:t>Corporate Financial Distress and Bankruptcy</w:t>
      </w:r>
      <w:r w:rsidRPr="00C425C7">
        <w:t> (3rd ed.). Wiley.</w:t>
      </w:r>
    </w:p>
    <w:p w14:paraId="42910E95" w14:textId="77777777" w:rsidR="00293799" w:rsidRPr="00C425C7" w:rsidRDefault="00293799" w:rsidP="00C425C7">
      <w:pPr>
        <w:numPr>
          <w:ilvl w:val="0"/>
          <w:numId w:val="5"/>
        </w:numPr>
      </w:pPr>
      <w:r w:rsidRPr="00C425C7">
        <w:rPr>
          <w:b/>
          <w:bCs/>
        </w:rPr>
        <w:t>Baker, M. &amp; Wurgler, J. (2002).</w:t>
      </w:r>
      <w:r w:rsidRPr="00C425C7">
        <w:t> Market timing and capital structure. </w:t>
      </w:r>
      <w:r w:rsidRPr="00C425C7">
        <w:rPr>
          <w:i/>
          <w:iCs/>
        </w:rPr>
        <w:t>The Journal of Finance</w:t>
      </w:r>
      <w:r w:rsidRPr="00C425C7">
        <w:t>, 57(1), 1-32.</w:t>
      </w:r>
    </w:p>
    <w:p w14:paraId="51E944E7" w14:textId="77777777" w:rsidR="00293799" w:rsidRPr="00C425C7" w:rsidRDefault="00293799" w:rsidP="00BD761C">
      <w:pPr>
        <w:numPr>
          <w:ilvl w:val="0"/>
          <w:numId w:val="5"/>
        </w:numPr>
      </w:pPr>
      <w:r w:rsidRPr="00C425C7">
        <w:rPr>
          <w:b/>
          <w:bCs/>
        </w:rPr>
        <w:t>Beaver, W. H. (1966).</w:t>
      </w:r>
      <w:r w:rsidRPr="00C425C7">
        <w:t> Financial Ratios as Predictors of Failure. </w:t>
      </w:r>
      <w:r w:rsidRPr="00C425C7">
        <w:rPr>
          <w:i/>
          <w:iCs/>
        </w:rPr>
        <w:t>Journal of Accounting Research</w:t>
      </w:r>
      <w:r w:rsidRPr="00C425C7">
        <w:t>, 4, 71-111.</w:t>
      </w:r>
    </w:p>
    <w:p w14:paraId="7D05411C" w14:textId="77777777" w:rsidR="00293799" w:rsidRPr="00C425C7" w:rsidRDefault="00293799" w:rsidP="00C425C7">
      <w:pPr>
        <w:numPr>
          <w:ilvl w:val="0"/>
          <w:numId w:val="5"/>
        </w:numPr>
      </w:pPr>
      <w:r w:rsidRPr="00C425C7">
        <w:rPr>
          <w:b/>
          <w:bCs/>
        </w:rPr>
        <w:t>Bierman Jr, H., &amp; Smidt, S. (2007).</w:t>
      </w:r>
      <w:r w:rsidRPr="00C425C7">
        <w:t> </w:t>
      </w:r>
      <w:r w:rsidRPr="00C425C7">
        <w:rPr>
          <w:i/>
          <w:iCs/>
        </w:rPr>
        <w:t>The Capital Budgeting Decision: Economic Analysis of Investment Projects</w:t>
      </w:r>
      <w:r w:rsidRPr="00C425C7">
        <w:t> (9th ed.). Routledge.</w:t>
      </w:r>
    </w:p>
    <w:p w14:paraId="4D9FBE4A" w14:textId="77777777" w:rsidR="00293799" w:rsidRPr="00C425C7" w:rsidRDefault="00293799" w:rsidP="00C425C7">
      <w:pPr>
        <w:numPr>
          <w:ilvl w:val="0"/>
          <w:numId w:val="5"/>
        </w:numPr>
      </w:pPr>
      <w:r w:rsidRPr="00C425C7">
        <w:rPr>
          <w:b/>
          <w:bCs/>
        </w:rPr>
        <w:t>Bowman, E. H., &amp; Singh, H. (1993).</w:t>
      </w:r>
      <w:r w:rsidRPr="00C425C7">
        <w:t> Corporate restructuring: Reconfiguring the firm. </w:t>
      </w:r>
      <w:r w:rsidRPr="00C425C7">
        <w:rPr>
          <w:i/>
          <w:iCs/>
        </w:rPr>
        <w:t>Strategic Management Journal</w:t>
      </w:r>
      <w:r w:rsidRPr="00C425C7">
        <w:t>, 14(S1), 5-14.</w:t>
      </w:r>
    </w:p>
    <w:p w14:paraId="0454051D" w14:textId="77777777" w:rsidR="00293799" w:rsidRDefault="00293799" w:rsidP="00C425C7">
      <w:pPr>
        <w:numPr>
          <w:ilvl w:val="0"/>
          <w:numId w:val="5"/>
        </w:numPr>
      </w:pPr>
      <w:r w:rsidRPr="00C425C7">
        <w:rPr>
          <w:b/>
          <w:bCs/>
        </w:rPr>
        <w:t>Brealey, R. A., Myers, S. C., &amp; Allen, F. (2020).</w:t>
      </w:r>
      <w:r w:rsidRPr="00C425C7">
        <w:t> </w:t>
      </w:r>
      <w:r w:rsidRPr="00C425C7">
        <w:rPr>
          <w:i/>
          <w:iCs/>
        </w:rPr>
        <w:t>Principles of Corporate Finance</w:t>
      </w:r>
      <w:r w:rsidRPr="00C425C7">
        <w:t> (13th ed.). McGraw-Hill Education. (Classic textbook for all topics).</w:t>
      </w:r>
    </w:p>
    <w:p w14:paraId="2654D00D" w14:textId="77777777" w:rsidR="00293799" w:rsidRPr="00C425C7" w:rsidRDefault="00293799" w:rsidP="00C425C7">
      <w:pPr>
        <w:numPr>
          <w:ilvl w:val="0"/>
          <w:numId w:val="5"/>
        </w:numPr>
      </w:pPr>
      <w:r w:rsidRPr="00C425C7">
        <w:rPr>
          <w:b/>
          <w:bCs/>
        </w:rPr>
        <w:t>Damodaran, A. (2012).</w:t>
      </w:r>
      <w:r w:rsidRPr="00C425C7">
        <w:t> </w:t>
      </w:r>
      <w:r w:rsidRPr="00C425C7">
        <w:rPr>
          <w:i/>
          <w:iCs/>
        </w:rPr>
        <w:t>Investment Valuation: Tools and Techniques for Determining the Value of Any Asset</w:t>
      </w:r>
      <w:r w:rsidRPr="00C425C7">
        <w:t> (3rd ed.). Wiley.</w:t>
      </w:r>
    </w:p>
    <w:p w14:paraId="1EBE4423" w14:textId="77777777" w:rsidR="00293799" w:rsidRPr="00C425C7" w:rsidRDefault="00293799" w:rsidP="00C425C7">
      <w:pPr>
        <w:numPr>
          <w:ilvl w:val="0"/>
          <w:numId w:val="5"/>
        </w:numPr>
      </w:pPr>
      <w:r w:rsidRPr="00C425C7">
        <w:rPr>
          <w:b/>
          <w:bCs/>
        </w:rPr>
        <w:t>DeAngelo, H., DeAngelo, L., &amp; Stulz, R. M. (2010).</w:t>
      </w:r>
      <w:r w:rsidRPr="00C425C7">
        <w:t> Seasoned equity offerings, market timing, and the corporate lifecycle. </w:t>
      </w:r>
      <w:r w:rsidRPr="00C425C7">
        <w:rPr>
          <w:i/>
          <w:iCs/>
        </w:rPr>
        <w:t>Journal of Financial Economics</w:t>
      </w:r>
      <w:r w:rsidRPr="00C425C7">
        <w:t>, 95(3), 275-295.</w:t>
      </w:r>
    </w:p>
    <w:p w14:paraId="0448BC26" w14:textId="77777777" w:rsidR="00293799" w:rsidRPr="00C425C7" w:rsidRDefault="00293799" w:rsidP="00C425C7">
      <w:pPr>
        <w:numPr>
          <w:ilvl w:val="0"/>
          <w:numId w:val="5"/>
        </w:numPr>
      </w:pPr>
      <w:r w:rsidRPr="00C425C7">
        <w:rPr>
          <w:b/>
          <w:bCs/>
        </w:rPr>
        <w:t>Deloof, M. (2003).</w:t>
      </w:r>
      <w:r w:rsidRPr="00C425C7">
        <w:t> Does Working Capital Management Affect Profitability of Belgian Firms? </w:t>
      </w:r>
      <w:r w:rsidRPr="00C425C7">
        <w:rPr>
          <w:i/>
          <w:iCs/>
        </w:rPr>
        <w:t>Journal of Business Finance &amp; Accounting</w:t>
      </w:r>
      <w:r w:rsidRPr="00C425C7">
        <w:t>, 30(3</w:t>
      </w:r>
      <w:r w:rsidRPr="00C425C7">
        <w:rPr>
          <w:rFonts w:ascii="Cambria Math" w:hAnsi="Cambria Math" w:cs="Cambria Math"/>
        </w:rPr>
        <w:t>‐</w:t>
      </w:r>
      <w:r w:rsidRPr="00C425C7">
        <w:t>4), 573-588.</w:t>
      </w:r>
      <w:r w:rsidRPr="00C425C7">
        <w:rPr>
          <w:rFonts w:ascii="Aptos" w:hAnsi="Aptos" w:cs="Aptos"/>
        </w:rPr>
        <w:t> </w:t>
      </w:r>
      <w:hyperlink r:id="rId31" w:tgtFrame="_blank" w:history="1">
        <w:r w:rsidRPr="00C425C7">
          <w:rPr>
            <w:rStyle w:val="Hyperlink"/>
          </w:rPr>
          <w:t>https://doi.org/10.1111/1468-5957.00008</w:t>
        </w:r>
      </w:hyperlink>
    </w:p>
    <w:p w14:paraId="7566B194" w14:textId="77777777" w:rsidR="00293799" w:rsidRPr="00C425C7" w:rsidRDefault="00293799" w:rsidP="00C425C7">
      <w:pPr>
        <w:numPr>
          <w:ilvl w:val="0"/>
          <w:numId w:val="5"/>
        </w:numPr>
      </w:pPr>
      <w:r w:rsidRPr="00C425C7">
        <w:rPr>
          <w:b/>
          <w:bCs/>
        </w:rPr>
        <w:t>Fama, E. F., &amp; French, K. R. (2002).</w:t>
      </w:r>
      <w:r w:rsidRPr="00C425C7">
        <w:t> The Equity Premium. </w:t>
      </w:r>
      <w:r w:rsidRPr="00C425C7">
        <w:rPr>
          <w:i/>
          <w:iCs/>
        </w:rPr>
        <w:t>The Journal of Finance</w:t>
      </w:r>
      <w:r w:rsidRPr="00C425C7">
        <w:t>, 57(2), 637–659.</w:t>
      </w:r>
    </w:p>
    <w:p w14:paraId="7FB7684F" w14:textId="77777777" w:rsidR="00293799" w:rsidRPr="00C425C7" w:rsidRDefault="00293799" w:rsidP="00C425C7">
      <w:pPr>
        <w:numPr>
          <w:ilvl w:val="0"/>
          <w:numId w:val="5"/>
        </w:numPr>
      </w:pPr>
      <w:r w:rsidRPr="00C425C7">
        <w:rPr>
          <w:b/>
          <w:bCs/>
        </w:rPr>
        <w:t>Ganesan, V. (2007).</w:t>
      </w:r>
      <w:r w:rsidRPr="00C425C7">
        <w:t> An analysis of working capital management efficiency in telecommunication equipment industry. </w:t>
      </w:r>
      <w:r w:rsidRPr="00C425C7">
        <w:rPr>
          <w:i/>
          <w:iCs/>
        </w:rPr>
        <w:t>Rivier Academic Journal</w:t>
      </w:r>
      <w:r w:rsidRPr="00C425C7">
        <w:t>, 3(2), 1-10.</w:t>
      </w:r>
    </w:p>
    <w:p w14:paraId="3A298E1E" w14:textId="77777777" w:rsidR="00293799" w:rsidRPr="00C425C7" w:rsidRDefault="00293799" w:rsidP="00C425C7">
      <w:pPr>
        <w:numPr>
          <w:ilvl w:val="0"/>
          <w:numId w:val="5"/>
        </w:numPr>
      </w:pPr>
      <w:r w:rsidRPr="00C425C7">
        <w:rPr>
          <w:b/>
          <w:bCs/>
        </w:rPr>
        <w:t>Gitman, L. J., &amp; Zutter, C. J. (2015).</w:t>
      </w:r>
      <w:r w:rsidRPr="00C425C7">
        <w:t> </w:t>
      </w:r>
      <w:r w:rsidRPr="00C425C7">
        <w:rPr>
          <w:i/>
          <w:iCs/>
        </w:rPr>
        <w:t>Principles of Managerial Finance</w:t>
      </w:r>
      <w:r w:rsidRPr="00C425C7">
        <w:t> (14th ed.). Pearson.</w:t>
      </w:r>
    </w:p>
    <w:p w14:paraId="673DF2A2" w14:textId="77777777" w:rsidR="00293799" w:rsidRPr="00C425C7" w:rsidRDefault="00293799" w:rsidP="00C425C7">
      <w:pPr>
        <w:numPr>
          <w:ilvl w:val="0"/>
          <w:numId w:val="5"/>
        </w:numPr>
      </w:pPr>
      <w:r w:rsidRPr="00C425C7">
        <w:rPr>
          <w:b/>
          <w:bCs/>
        </w:rPr>
        <w:t>Graham, J.R. &amp; Harvey, C.R. (2001).</w:t>
      </w:r>
      <w:r w:rsidRPr="00C425C7">
        <w:t> The theory and practice of corporate finance: Evidence from the field. </w:t>
      </w:r>
      <w:r w:rsidRPr="00C425C7">
        <w:rPr>
          <w:i/>
          <w:iCs/>
        </w:rPr>
        <w:t>Journal of Financial Economics</w:t>
      </w:r>
      <w:r w:rsidRPr="00C425C7">
        <w:t>, 60(2-3), 187-243.</w:t>
      </w:r>
    </w:p>
    <w:p w14:paraId="4E92139B" w14:textId="77777777" w:rsidR="00293799" w:rsidRPr="00C425C7" w:rsidRDefault="00293799" w:rsidP="00C425C7">
      <w:pPr>
        <w:numPr>
          <w:ilvl w:val="0"/>
          <w:numId w:val="5"/>
        </w:numPr>
      </w:pPr>
      <w:r w:rsidRPr="00C425C7">
        <w:rPr>
          <w:b/>
          <w:bCs/>
        </w:rPr>
        <w:lastRenderedPageBreak/>
        <w:t>Harris, M., &amp; Raviv, A. (1991).</w:t>
      </w:r>
      <w:r w:rsidRPr="00C425C7">
        <w:t> The Theory of Capital Structure. </w:t>
      </w:r>
      <w:r w:rsidRPr="00C425C7">
        <w:rPr>
          <w:i/>
          <w:iCs/>
        </w:rPr>
        <w:t>The Journal of Finance</w:t>
      </w:r>
      <w:r w:rsidRPr="00C425C7">
        <w:t>, 46(1), 297–355.</w:t>
      </w:r>
    </w:p>
    <w:p w14:paraId="55070A95" w14:textId="77777777" w:rsidR="00293799" w:rsidRPr="00C425C7" w:rsidRDefault="00293799" w:rsidP="00C425C7">
      <w:pPr>
        <w:numPr>
          <w:ilvl w:val="0"/>
          <w:numId w:val="5"/>
        </w:numPr>
      </w:pPr>
      <w:r w:rsidRPr="00C425C7">
        <w:rPr>
          <w:b/>
          <w:bCs/>
        </w:rPr>
        <w:t>Hart, O. (1995).</w:t>
      </w:r>
      <w:r w:rsidRPr="00C425C7">
        <w:t> </w:t>
      </w:r>
      <w:r w:rsidRPr="00C425C7">
        <w:rPr>
          <w:i/>
          <w:iCs/>
        </w:rPr>
        <w:t>Firms, Contracts, and Financial Structure</w:t>
      </w:r>
      <w:r w:rsidRPr="00C425C7">
        <w:t>. Oxford University Press.</w:t>
      </w:r>
    </w:p>
    <w:p w14:paraId="0A2DD7D7" w14:textId="77777777" w:rsidR="00293799" w:rsidRPr="00C425C7" w:rsidRDefault="00293799" w:rsidP="00C425C7">
      <w:pPr>
        <w:numPr>
          <w:ilvl w:val="0"/>
          <w:numId w:val="5"/>
        </w:numPr>
      </w:pPr>
      <w:r w:rsidRPr="00C425C7">
        <w:rPr>
          <w:b/>
          <w:bCs/>
        </w:rPr>
        <w:t xml:space="preserve">Hillier, D., </w:t>
      </w:r>
      <w:proofErr w:type="spellStart"/>
      <w:r w:rsidRPr="00C425C7">
        <w:rPr>
          <w:b/>
          <w:bCs/>
        </w:rPr>
        <w:t>Grinblatt</w:t>
      </w:r>
      <w:proofErr w:type="spellEnd"/>
      <w:r w:rsidRPr="00C425C7">
        <w:rPr>
          <w:b/>
          <w:bCs/>
        </w:rPr>
        <w:t>, M., &amp; Titman, S. (2011).</w:t>
      </w:r>
      <w:r w:rsidRPr="00C425C7">
        <w:t> </w:t>
      </w:r>
      <w:r w:rsidRPr="00C425C7">
        <w:rPr>
          <w:i/>
          <w:iCs/>
        </w:rPr>
        <w:t>Financial Markets and Corporate Strategy</w:t>
      </w:r>
      <w:r w:rsidRPr="00C425C7">
        <w:t> (2nd European ed.). McGraw-Hill.</w:t>
      </w:r>
    </w:p>
    <w:p w14:paraId="1BBE0130" w14:textId="77777777" w:rsidR="00293799" w:rsidRPr="00C425C7" w:rsidRDefault="00293799" w:rsidP="00C425C7">
      <w:pPr>
        <w:numPr>
          <w:ilvl w:val="0"/>
          <w:numId w:val="5"/>
        </w:numPr>
      </w:pPr>
      <w:r w:rsidRPr="00C425C7">
        <w:rPr>
          <w:b/>
          <w:bCs/>
        </w:rPr>
        <w:t>Ho, Y. K., &amp; Ganesan, J. (2011).</w:t>
      </w:r>
      <w:r w:rsidRPr="00C425C7">
        <w:t> The determinants of corporate restructuring: The case of Malaysia. </w:t>
      </w:r>
      <w:r w:rsidRPr="00C425C7">
        <w:rPr>
          <w:i/>
          <w:iCs/>
        </w:rPr>
        <w:t>International Journal of Finance &amp; Economics</w:t>
      </w:r>
      <w:r w:rsidRPr="00C425C7">
        <w:t>, (68), 58-76.</w:t>
      </w:r>
    </w:p>
    <w:p w14:paraId="63405D1C" w14:textId="77777777" w:rsidR="00293799" w:rsidRPr="00C425C7" w:rsidRDefault="00293799" w:rsidP="00C425C7">
      <w:pPr>
        <w:numPr>
          <w:ilvl w:val="0"/>
          <w:numId w:val="5"/>
        </w:numPr>
      </w:pPr>
      <w:r w:rsidRPr="00C425C7">
        <w:rPr>
          <w:b/>
          <w:bCs/>
        </w:rPr>
        <w:t xml:space="preserve">Holmstrom, B., &amp; </w:t>
      </w:r>
      <w:proofErr w:type="spellStart"/>
      <w:r w:rsidRPr="00C425C7">
        <w:rPr>
          <w:b/>
          <w:bCs/>
        </w:rPr>
        <w:t>Tirole</w:t>
      </w:r>
      <w:proofErr w:type="spellEnd"/>
      <w:r w:rsidRPr="00C425C7">
        <w:rPr>
          <w:b/>
          <w:bCs/>
        </w:rPr>
        <w:t>, J. (1998).</w:t>
      </w:r>
      <w:r w:rsidRPr="00C425C7">
        <w:t> Private and public supply of liquidity. </w:t>
      </w:r>
      <w:r w:rsidRPr="00C425C7">
        <w:rPr>
          <w:i/>
          <w:iCs/>
        </w:rPr>
        <w:t>Journal of Political Economy</w:t>
      </w:r>
      <w:r w:rsidRPr="00C425C7">
        <w:t>, 106(1), 1-40.</w:t>
      </w:r>
    </w:p>
    <w:p w14:paraId="3740F0BC" w14:textId="77777777" w:rsidR="00293799" w:rsidRPr="00C425C7" w:rsidRDefault="00293799" w:rsidP="00C425C7">
      <w:pPr>
        <w:numPr>
          <w:ilvl w:val="0"/>
          <w:numId w:val="5"/>
        </w:numPr>
      </w:pPr>
      <w:proofErr w:type="spellStart"/>
      <w:r w:rsidRPr="00C425C7">
        <w:rPr>
          <w:b/>
          <w:bCs/>
        </w:rPr>
        <w:t>Hovakimian</w:t>
      </w:r>
      <w:proofErr w:type="spellEnd"/>
      <w:r w:rsidRPr="00C425C7">
        <w:rPr>
          <w:b/>
          <w:bCs/>
        </w:rPr>
        <w:t>, A., Opler, T., &amp; Titman, S. (2001).</w:t>
      </w:r>
      <w:r w:rsidRPr="00C425C7">
        <w:t> The Debt-Equity Choice. </w:t>
      </w:r>
      <w:r w:rsidRPr="00C425C7">
        <w:rPr>
          <w:i/>
          <w:iCs/>
        </w:rPr>
        <w:t>Journal of Financial and Quantitative Analysis</w:t>
      </w:r>
      <w:r w:rsidRPr="00C425C7">
        <w:t>, 36(1), 1–24.</w:t>
      </w:r>
    </w:p>
    <w:p w14:paraId="516035E9" w14:textId="77777777" w:rsidR="00293799" w:rsidRPr="00C425C7" w:rsidRDefault="00293799" w:rsidP="00C425C7">
      <w:pPr>
        <w:numPr>
          <w:ilvl w:val="0"/>
          <w:numId w:val="5"/>
        </w:numPr>
      </w:pPr>
      <w:r w:rsidRPr="00C425C7">
        <w:rPr>
          <w:b/>
          <w:bCs/>
        </w:rPr>
        <w:t>Jensen, M. C. (1986).</w:t>
      </w:r>
      <w:r w:rsidRPr="00C425C7">
        <w:t> Agency Costs of Free Cash Flow, Corporate Finance, and Takeovers. </w:t>
      </w:r>
      <w:r w:rsidRPr="00C425C7">
        <w:rPr>
          <w:i/>
          <w:iCs/>
        </w:rPr>
        <w:t>The American Economic Review</w:t>
      </w:r>
      <w:r w:rsidRPr="00C425C7">
        <w:t>, 76(2), 323–329. </w:t>
      </w:r>
      <w:hyperlink r:id="rId32" w:tgtFrame="_blank" w:history="1">
        <w:r w:rsidRPr="00C425C7">
          <w:rPr>
            <w:rStyle w:val="Hyperlink"/>
          </w:rPr>
          <w:t>http://www.jstor.org/stable/1818789</w:t>
        </w:r>
      </w:hyperlink>
    </w:p>
    <w:p w14:paraId="73010EC6" w14:textId="77777777" w:rsidR="00293799" w:rsidRPr="00C425C7" w:rsidRDefault="00293799" w:rsidP="00C425C7">
      <w:pPr>
        <w:numPr>
          <w:ilvl w:val="0"/>
          <w:numId w:val="5"/>
        </w:numPr>
      </w:pPr>
      <w:r w:rsidRPr="00C425C7">
        <w:rPr>
          <w:b/>
          <w:bCs/>
        </w:rPr>
        <w:t>Kaplan, S. N., &amp; Strömberg, P. (2009).</w:t>
      </w:r>
      <w:r w:rsidRPr="00C425C7">
        <w:t> Leveraged Buyouts and Private Equity. </w:t>
      </w:r>
      <w:r w:rsidRPr="00C425C7">
        <w:rPr>
          <w:i/>
          <w:iCs/>
        </w:rPr>
        <w:t>Journal of Economic Perspectives</w:t>
      </w:r>
      <w:r w:rsidRPr="00C425C7">
        <w:t>, 23(1), 121-46. (Relevant for PE injection). </w:t>
      </w:r>
      <w:hyperlink r:id="rId33" w:tgtFrame="_blank" w:history="1">
        <w:r w:rsidRPr="00C425C7">
          <w:rPr>
            <w:rStyle w:val="Hyperlink"/>
          </w:rPr>
          <w:t>DOI: 10.1257/jep.23.1.121</w:t>
        </w:r>
      </w:hyperlink>
    </w:p>
    <w:p w14:paraId="0AA0A7B0" w14:textId="77777777" w:rsidR="00293799" w:rsidRPr="00C425C7" w:rsidRDefault="00293799" w:rsidP="00C425C7">
      <w:pPr>
        <w:numPr>
          <w:ilvl w:val="0"/>
          <w:numId w:val="5"/>
        </w:numPr>
      </w:pPr>
      <w:r w:rsidRPr="00C425C7">
        <w:rPr>
          <w:b/>
          <w:bCs/>
        </w:rPr>
        <w:t>Keynes, J. M. (1936).</w:t>
      </w:r>
      <w:r w:rsidRPr="00C425C7">
        <w:t> </w:t>
      </w:r>
      <w:r w:rsidRPr="00C425C7">
        <w:rPr>
          <w:i/>
          <w:iCs/>
        </w:rPr>
        <w:t>The General Theory of Employment, Interest and Money</w:t>
      </w:r>
      <w:r w:rsidRPr="00C425C7">
        <w:t>. Palgrave Macmillan. (For discussion on liquidity preference).</w:t>
      </w:r>
    </w:p>
    <w:p w14:paraId="504DB1D3" w14:textId="77777777" w:rsidR="00293799" w:rsidRPr="00C425C7" w:rsidRDefault="00293799" w:rsidP="00C425C7">
      <w:pPr>
        <w:numPr>
          <w:ilvl w:val="0"/>
          <w:numId w:val="5"/>
        </w:numPr>
      </w:pPr>
      <w:r w:rsidRPr="00C425C7">
        <w:rPr>
          <w:b/>
          <w:bCs/>
        </w:rPr>
        <w:t>Kim, C. S., Mauer, D. C., &amp; Sherman, A. E. (1998).</w:t>
      </w:r>
      <w:r w:rsidRPr="00C425C7">
        <w:t> The determinants of corporate liquidity: Theory and evidence. </w:t>
      </w:r>
      <w:r w:rsidRPr="00C425C7">
        <w:rPr>
          <w:i/>
          <w:iCs/>
        </w:rPr>
        <w:t>Journal of Financial and Quantitative Analysis</w:t>
      </w:r>
      <w:r w:rsidRPr="00C425C7">
        <w:t>, 33(3), 335-359.</w:t>
      </w:r>
    </w:p>
    <w:p w14:paraId="4FABCFE8" w14:textId="77777777" w:rsidR="00293799" w:rsidRPr="00C425C7" w:rsidRDefault="00293799" w:rsidP="00C425C7">
      <w:pPr>
        <w:numPr>
          <w:ilvl w:val="0"/>
          <w:numId w:val="5"/>
        </w:numPr>
      </w:pPr>
      <w:r w:rsidRPr="00C425C7">
        <w:rPr>
          <w:b/>
          <w:bCs/>
        </w:rPr>
        <w:t>Lamont, O. &amp; Polk, C. (2002).</w:t>
      </w:r>
      <w:r w:rsidRPr="00C425C7">
        <w:t> Does Diversification Destroy Value? Evidence from Industry Shocks. </w:t>
      </w:r>
      <w:r w:rsidRPr="00C425C7">
        <w:rPr>
          <w:i/>
          <w:iCs/>
        </w:rPr>
        <w:t>The Journal of Financial Economics</w:t>
      </w:r>
      <w:r w:rsidRPr="00C425C7">
        <w:t>, 63(1), 51-77. (Relevant for divestiture argument).</w:t>
      </w:r>
    </w:p>
    <w:p w14:paraId="0D53D279" w14:textId="77777777" w:rsidR="00293799" w:rsidRPr="00C425C7" w:rsidRDefault="00293799" w:rsidP="00C425C7">
      <w:pPr>
        <w:numPr>
          <w:ilvl w:val="0"/>
          <w:numId w:val="5"/>
        </w:numPr>
      </w:pPr>
      <w:r w:rsidRPr="00C425C7">
        <w:rPr>
          <w:b/>
          <w:bCs/>
        </w:rPr>
        <w:t>Leland, H. E. (1994).</w:t>
      </w:r>
      <w:r w:rsidRPr="00C425C7">
        <w:t> Corporate debt value, bond covenants, and optimal capital structure. </w:t>
      </w:r>
      <w:r w:rsidRPr="00C425C7">
        <w:rPr>
          <w:i/>
          <w:iCs/>
        </w:rPr>
        <w:t>The Journal of Finance</w:t>
      </w:r>
      <w:r w:rsidRPr="00C425C7">
        <w:t>, 49(4), 1213-1252. (For debt restructuring).</w:t>
      </w:r>
    </w:p>
    <w:p w14:paraId="63BE219B" w14:textId="77777777" w:rsidR="00293799" w:rsidRPr="00C425C7" w:rsidRDefault="00293799" w:rsidP="00C425C7">
      <w:pPr>
        <w:numPr>
          <w:ilvl w:val="0"/>
          <w:numId w:val="5"/>
        </w:numPr>
      </w:pPr>
      <w:r w:rsidRPr="00C425C7">
        <w:rPr>
          <w:b/>
          <w:bCs/>
        </w:rPr>
        <w:t>Lins, K.V. &amp; Servaes, H. (1999).</w:t>
      </w:r>
      <w:r w:rsidRPr="00C425C7">
        <w:t> International evidence on the value of corporate diversification. </w:t>
      </w:r>
      <w:r w:rsidRPr="00C425C7">
        <w:rPr>
          <w:i/>
          <w:iCs/>
        </w:rPr>
        <w:t>The Journal of Finance</w:t>
      </w:r>
      <w:r w:rsidRPr="00C425C7">
        <w:t>, 54(6), 2215-2239.</w:t>
      </w:r>
    </w:p>
    <w:p w14:paraId="101C1340" w14:textId="77777777" w:rsidR="00293799" w:rsidRPr="00C425C7" w:rsidRDefault="00293799" w:rsidP="00C425C7">
      <w:pPr>
        <w:numPr>
          <w:ilvl w:val="0"/>
          <w:numId w:val="5"/>
        </w:numPr>
      </w:pPr>
      <w:r w:rsidRPr="00C425C7">
        <w:rPr>
          <w:b/>
          <w:bCs/>
        </w:rPr>
        <w:t>Modigliani, F., &amp; Miller, M. H. (1958).</w:t>
      </w:r>
      <w:r w:rsidRPr="00C425C7">
        <w:t> The Cost of Capital, Corporation Finance and the Theory of Investment. </w:t>
      </w:r>
      <w:r w:rsidRPr="00C425C7">
        <w:rPr>
          <w:i/>
          <w:iCs/>
        </w:rPr>
        <w:t>The American Economic Review</w:t>
      </w:r>
      <w:r w:rsidRPr="00C425C7">
        <w:t>, 48(3), 261–297. (Seminal paper on capital structure).</w:t>
      </w:r>
    </w:p>
    <w:p w14:paraId="201B2CDC" w14:textId="77777777" w:rsidR="00293799" w:rsidRPr="00C425C7" w:rsidRDefault="00293799" w:rsidP="00C425C7">
      <w:pPr>
        <w:numPr>
          <w:ilvl w:val="0"/>
          <w:numId w:val="5"/>
        </w:numPr>
      </w:pPr>
      <w:r w:rsidRPr="00C425C7">
        <w:rPr>
          <w:b/>
          <w:bCs/>
        </w:rPr>
        <w:lastRenderedPageBreak/>
        <w:t>Myers, S. C., &amp; Majluf, N. S. (1984).</w:t>
      </w:r>
      <w:r w:rsidRPr="00C425C7">
        <w:t> Corporate financing and investment decisions when firms have information that investors do not have. </w:t>
      </w:r>
      <w:r w:rsidRPr="00C425C7">
        <w:rPr>
          <w:i/>
          <w:iCs/>
        </w:rPr>
        <w:t>Journal of Financial Economics</w:t>
      </w:r>
      <w:r w:rsidRPr="00C425C7">
        <w:t>, 13(2), 187-221. (Pecking Order Theory). </w:t>
      </w:r>
      <w:hyperlink r:id="rId34" w:tgtFrame="_blank" w:history="1">
        <w:r w:rsidRPr="00C425C7">
          <w:rPr>
            <w:rStyle w:val="Hyperlink"/>
          </w:rPr>
          <w:t>https://doi.org/10.1016/0304-405X(84)90023-0</w:t>
        </w:r>
      </w:hyperlink>
    </w:p>
    <w:p w14:paraId="4D94A6A6" w14:textId="77777777" w:rsidR="00293799" w:rsidRPr="00C425C7" w:rsidRDefault="00293799" w:rsidP="00C425C7">
      <w:pPr>
        <w:numPr>
          <w:ilvl w:val="0"/>
          <w:numId w:val="5"/>
        </w:numPr>
      </w:pPr>
      <w:r w:rsidRPr="00C425C7">
        <w:rPr>
          <w:b/>
          <w:bCs/>
        </w:rPr>
        <w:t>Ohlson, J. A. (1980).</w:t>
      </w:r>
      <w:r w:rsidRPr="00C425C7">
        <w:t> Financial Ratios and the Probabilistic Prediction of Bankruptcy. </w:t>
      </w:r>
      <w:r w:rsidRPr="00C425C7">
        <w:rPr>
          <w:i/>
          <w:iCs/>
        </w:rPr>
        <w:t>Journal of Accounting Research</w:t>
      </w:r>
      <w:r w:rsidRPr="00C425C7">
        <w:t>, 18(1), 109-131.</w:t>
      </w:r>
    </w:p>
    <w:p w14:paraId="5ACA0705" w14:textId="77777777" w:rsidR="00293799" w:rsidRPr="00C425C7" w:rsidRDefault="00293799" w:rsidP="00C425C7">
      <w:pPr>
        <w:numPr>
          <w:ilvl w:val="0"/>
          <w:numId w:val="5"/>
        </w:numPr>
      </w:pPr>
      <w:r w:rsidRPr="00C425C7">
        <w:rPr>
          <w:b/>
          <w:bCs/>
        </w:rPr>
        <w:t xml:space="preserve">Opler, T., </w:t>
      </w:r>
      <w:proofErr w:type="spellStart"/>
      <w:r w:rsidRPr="00C425C7">
        <w:rPr>
          <w:b/>
          <w:bCs/>
        </w:rPr>
        <w:t>Pinkowitz</w:t>
      </w:r>
      <w:proofErr w:type="spellEnd"/>
      <w:r w:rsidRPr="00C425C7">
        <w:rPr>
          <w:b/>
          <w:bCs/>
        </w:rPr>
        <w:t>, L., Stulz, R., &amp; Williamson, R. (1999).</w:t>
      </w:r>
      <w:r w:rsidRPr="00C425C7">
        <w:t> The determinants and implications of corporate cash holdings. </w:t>
      </w:r>
      <w:r w:rsidRPr="00C425C7">
        <w:rPr>
          <w:i/>
          <w:iCs/>
        </w:rPr>
        <w:t>Journal of Financial Economics</w:t>
      </w:r>
      <w:r w:rsidRPr="00C425C7">
        <w:t>, 52(1), 3-46.</w:t>
      </w:r>
    </w:p>
    <w:p w14:paraId="137C270E" w14:textId="77777777" w:rsidR="00293799" w:rsidRPr="00C425C7" w:rsidRDefault="00293799" w:rsidP="00C425C7">
      <w:pPr>
        <w:numPr>
          <w:ilvl w:val="0"/>
          <w:numId w:val="5"/>
        </w:numPr>
      </w:pPr>
      <w:proofErr w:type="spellStart"/>
      <w:r w:rsidRPr="00C425C7">
        <w:rPr>
          <w:b/>
          <w:bCs/>
        </w:rPr>
        <w:t>Padachi</w:t>
      </w:r>
      <w:proofErr w:type="spellEnd"/>
      <w:r w:rsidRPr="00C425C7">
        <w:rPr>
          <w:b/>
          <w:bCs/>
        </w:rPr>
        <w:t>, K. (2006).</w:t>
      </w:r>
      <w:r w:rsidRPr="00C425C7">
        <w:t> Trends in working capital management and its impact on firms’ performance: an analysis of Mauritian small manufacturing firms. </w:t>
      </w:r>
      <w:r w:rsidRPr="00C425C7">
        <w:rPr>
          <w:i/>
          <w:iCs/>
        </w:rPr>
        <w:t>International Review of business research papers</w:t>
      </w:r>
      <w:r w:rsidRPr="00C425C7">
        <w:t>, 2(2), 45-58.</w:t>
      </w:r>
    </w:p>
    <w:p w14:paraId="1CF30E91" w14:textId="77777777" w:rsidR="00293799" w:rsidRPr="00C425C7" w:rsidRDefault="00293799" w:rsidP="00C425C7">
      <w:pPr>
        <w:numPr>
          <w:ilvl w:val="0"/>
          <w:numId w:val="5"/>
        </w:numPr>
      </w:pPr>
      <w:r w:rsidRPr="00C425C7">
        <w:rPr>
          <w:b/>
          <w:bCs/>
        </w:rPr>
        <w:t>Piotroski, J. D. (2000).</w:t>
      </w:r>
      <w:r w:rsidRPr="00C425C7">
        <w:t> Value Investing: The Use of Historical Financial Statement Information to Separate Winners from Losers. </w:t>
      </w:r>
      <w:r w:rsidRPr="00C425C7">
        <w:rPr>
          <w:i/>
          <w:iCs/>
        </w:rPr>
        <w:t>Journal of Accounting Research</w:t>
      </w:r>
      <w:r w:rsidRPr="00C425C7">
        <w:t>, 38, 1-41.</w:t>
      </w:r>
    </w:p>
    <w:p w14:paraId="33829948" w14:textId="77777777" w:rsidR="00293799" w:rsidRPr="00C425C7" w:rsidRDefault="00293799" w:rsidP="00C425C7">
      <w:pPr>
        <w:numPr>
          <w:ilvl w:val="0"/>
          <w:numId w:val="5"/>
        </w:numPr>
      </w:pPr>
      <w:proofErr w:type="spellStart"/>
      <w:r w:rsidRPr="00C425C7">
        <w:rPr>
          <w:b/>
          <w:bCs/>
        </w:rPr>
        <w:t>Raheman</w:t>
      </w:r>
      <w:proofErr w:type="spellEnd"/>
      <w:r w:rsidRPr="00C425C7">
        <w:rPr>
          <w:b/>
          <w:bCs/>
        </w:rPr>
        <w:t>, A., &amp; Nasr, M. (2007).</w:t>
      </w:r>
      <w:r w:rsidRPr="00C425C7">
        <w:t> Working capital management and profitability–case of Pakistani firms. </w:t>
      </w:r>
      <w:r w:rsidRPr="00C425C7">
        <w:rPr>
          <w:i/>
          <w:iCs/>
        </w:rPr>
        <w:t>International review of business research papers</w:t>
      </w:r>
      <w:r w:rsidRPr="00C425C7">
        <w:t>, 3(1), 279-300.</w:t>
      </w:r>
    </w:p>
    <w:p w14:paraId="343F395F" w14:textId="77777777" w:rsidR="00293799" w:rsidRPr="00C425C7" w:rsidRDefault="00293799" w:rsidP="00C425C7">
      <w:pPr>
        <w:numPr>
          <w:ilvl w:val="0"/>
          <w:numId w:val="5"/>
        </w:numPr>
      </w:pPr>
      <w:r w:rsidRPr="00C425C7">
        <w:rPr>
          <w:b/>
          <w:bCs/>
        </w:rPr>
        <w:t>Richards, V. D., &amp; Laughlin, E. J. (1980).</w:t>
      </w:r>
      <w:r w:rsidRPr="00C425C7">
        <w:t> A Cash Conversion Cycle Approach to Liquidity Analysis. </w:t>
      </w:r>
      <w:r w:rsidRPr="00C425C7">
        <w:rPr>
          <w:i/>
          <w:iCs/>
        </w:rPr>
        <w:t>Financial Management</w:t>
      </w:r>
      <w:r w:rsidRPr="00C425C7">
        <w:t>, 9(1), 32–38.</w:t>
      </w:r>
    </w:p>
    <w:p w14:paraId="7888BFA9" w14:textId="77777777" w:rsidR="00293799" w:rsidRPr="00C425C7" w:rsidRDefault="00293799" w:rsidP="00C425C7">
      <w:pPr>
        <w:numPr>
          <w:ilvl w:val="0"/>
          <w:numId w:val="5"/>
        </w:numPr>
      </w:pPr>
      <w:r w:rsidRPr="00C425C7">
        <w:rPr>
          <w:b/>
          <w:bCs/>
        </w:rPr>
        <w:t>Ross, S. A., Westerfield, R. W., &amp; Jaffe, J. (2019).</w:t>
      </w:r>
      <w:r w:rsidRPr="00C425C7">
        <w:t> </w:t>
      </w:r>
      <w:r w:rsidRPr="00C425C7">
        <w:rPr>
          <w:i/>
          <w:iCs/>
        </w:rPr>
        <w:t>Corporate Finance</w:t>
      </w:r>
      <w:r w:rsidRPr="00C425C7">
        <w:t> (12th ed.). McGraw-Hill Education.</w:t>
      </w:r>
    </w:p>
    <w:p w14:paraId="312DA18B" w14:textId="77777777" w:rsidR="00293799" w:rsidRPr="00C425C7" w:rsidRDefault="00293799" w:rsidP="00C425C7">
      <w:pPr>
        <w:numPr>
          <w:ilvl w:val="0"/>
          <w:numId w:val="5"/>
        </w:numPr>
      </w:pPr>
      <w:r w:rsidRPr="00C425C7">
        <w:rPr>
          <w:b/>
          <w:bCs/>
        </w:rPr>
        <w:t>Ryan, P. A., &amp; Ryan, G. P. (2002).</w:t>
      </w:r>
      <w:r w:rsidRPr="00C425C7">
        <w:t> Capital budgeting practices of the Fortune 1000: how have things changed? </w:t>
      </w:r>
      <w:r w:rsidRPr="00C425C7">
        <w:rPr>
          <w:i/>
          <w:iCs/>
        </w:rPr>
        <w:t>Journal of business and management</w:t>
      </w:r>
      <w:r w:rsidRPr="00C425C7">
        <w:t>, 8(4), 355.</w:t>
      </w:r>
    </w:p>
    <w:p w14:paraId="3E9B21BF" w14:textId="77777777" w:rsidR="00293799" w:rsidRPr="00C425C7" w:rsidRDefault="00293799" w:rsidP="00C425C7">
      <w:pPr>
        <w:numPr>
          <w:ilvl w:val="0"/>
          <w:numId w:val="5"/>
        </w:numPr>
      </w:pPr>
      <w:r w:rsidRPr="00C425C7">
        <w:rPr>
          <w:b/>
          <w:bCs/>
        </w:rPr>
        <w:t>Shapiro, A. C., &amp; Moles, P. (2014).</w:t>
      </w:r>
      <w:r w:rsidRPr="00C425C7">
        <w:t> </w:t>
      </w:r>
      <w:r w:rsidRPr="00C425C7">
        <w:rPr>
          <w:i/>
          <w:iCs/>
        </w:rPr>
        <w:t>International Financial Management</w:t>
      </w:r>
      <w:r w:rsidRPr="00C425C7">
        <w:t>. Wiley. (For international/currency risk aspects).</w:t>
      </w:r>
    </w:p>
    <w:p w14:paraId="606A6477" w14:textId="77777777" w:rsidR="00293799" w:rsidRPr="00C425C7" w:rsidRDefault="00293799" w:rsidP="00C425C7">
      <w:pPr>
        <w:numPr>
          <w:ilvl w:val="0"/>
          <w:numId w:val="5"/>
        </w:numPr>
      </w:pPr>
      <w:r w:rsidRPr="00C425C7">
        <w:rPr>
          <w:b/>
          <w:bCs/>
        </w:rPr>
        <w:t>Shin, H. H., &amp; Soenen, L. (1998).</w:t>
      </w:r>
      <w:r w:rsidRPr="00C425C7">
        <w:t> Efficiency of Working Capital Management and Corporate Profitability. </w:t>
      </w:r>
      <w:r w:rsidRPr="00C425C7">
        <w:rPr>
          <w:i/>
          <w:iCs/>
        </w:rPr>
        <w:t>Financial Practice and Education</w:t>
      </w:r>
      <w:r w:rsidRPr="00C425C7">
        <w:t>, 8(2), 37-45.</w:t>
      </w:r>
    </w:p>
    <w:p w14:paraId="6C9D1F64" w14:textId="77777777" w:rsidR="00293799" w:rsidRPr="00C425C7" w:rsidRDefault="00293799" w:rsidP="00C425C7">
      <w:pPr>
        <w:numPr>
          <w:ilvl w:val="0"/>
          <w:numId w:val="5"/>
        </w:numPr>
      </w:pPr>
      <w:r w:rsidRPr="00C425C7">
        <w:rPr>
          <w:b/>
          <w:bCs/>
        </w:rPr>
        <w:t>Smith, C.W. &amp; Watts, R.L. (1992).</w:t>
      </w:r>
      <w:r w:rsidRPr="00C425C7">
        <w:t> The investment opportunity set and corporate financing, dividend, and compensation policies. </w:t>
      </w:r>
      <w:r w:rsidRPr="00C425C7">
        <w:rPr>
          <w:i/>
          <w:iCs/>
        </w:rPr>
        <w:t>Journal of Financial Economics</w:t>
      </w:r>
      <w:r w:rsidRPr="00C425C7">
        <w:t>, 32(3), 263-292.</w:t>
      </w:r>
    </w:p>
    <w:p w14:paraId="62CA2A53" w14:textId="77777777" w:rsidR="00293799" w:rsidRPr="00C425C7" w:rsidRDefault="00293799" w:rsidP="00C425C7">
      <w:pPr>
        <w:numPr>
          <w:ilvl w:val="0"/>
          <w:numId w:val="5"/>
        </w:numPr>
      </w:pPr>
      <w:r w:rsidRPr="00C425C7">
        <w:rPr>
          <w:b/>
          <w:bCs/>
        </w:rPr>
        <w:t>Stulz, R. M. (1990).</w:t>
      </w:r>
      <w:r w:rsidRPr="00C425C7">
        <w:t> Managerial discretion and optimal financing policies. </w:t>
      </w:r>
      <w:r w:rsidRPr="00C425C7">
        <w:rPr>
          <w:i/>
          <w:iCs/>
        </w:rPr>
        <w:t>Journal of Financial Economics</w:t>
      </w:r>
      <w:r w:rsidRPr="00C425C7">
        <w:t>, 26(1), 3-27.</w:t>
      </w:r>
    </w:p>
    <w:p w14:paraId="00C69AAE" w14:textId="77777777" w:rsidR="00293799" w:rsidRPr="00C425C7" w:rsidRDefault="00293799" w:rsidP="00C425C7">
      <w:pPr>
        <w:numPr>
          <w:ilvl w:val="0"/>
          <w:numId w:val="5"/>
        </w:numPr>
      </w:pPr>
      <w:proofErr w:type="spellStart"/>
      <w:r w:rsidRPr="00C425C7">
        <w:rPr>
          <w:b/>
          <w:bCs/>
        </w:rPr>
        <w:t>Tirole</w:t>
      </w:r>
      <w:proofErr w:type="spellEnd"/>
      <w:r w:rsidRPr="00C425C7">
        <w:rPr>
          <w:b/>
          <w:bCs/>
        </w:rPr>
        <w:t>, J. (2006).</w:t>
      </w:r>
      <w:r w:rsidRPr="00C425C7">
        <w:t> </w:t>
      </w:r>
      <w:r w:rsidRPr="00C425C7">
        <w:rPr>
          <w:i/>
          <w:iCs/>
        </w:rPr>
        <w:t>The Theory of Corporate Finance</w:t>
      </w:r>
      <w:r w:rsidRPr="00C425C7">
        <w:t>. Princeton University Press.</w:t>
      </w:r>
    </w:p>
    <w:p w14:paraId="5E28C799" w14:textId="77777777" w:rsidR="00293799" w:rsidRPr="00C425C7" w:rsidRDefault="00293799" w:rsidP="00C425C7">
      <w:pPr>
        <w:numPr>
          <w:ilvl w:val="0"/>
          <w:numId w:val="5"/>
        </w:numPr>
      </w:pPr>
      <w:r w:rsidRPr="00C425C7">
        <w:rPr>
          <w:b/>
          <w:bCs/>
        </w:rPr>
        <w:lastRenderedPageBreak/>
        <w:t>Van Horne, J. C., &amp; Wachowicz, J. M. (2008).</w:t>
      </w:r>
      <w:r w:rsidRPr="00C425C7">
        <w:t> </w:t>
      </w:r>
      <w:r w:rsidRPr="00C425C7">
        <w:rPr>
          <w:i/>
          <w:iCs/>
        </w:rPr>
        <w:t>Fundamentals of Financial Management</w:t>
      </w:r>
      <w:r w:rsidRPr="00C425C7">
        <w:t> (13th ed.). Prentice Hall.</w:t>
      </w:r>
    </w:p>
    <w:p w14:paraId="5D7E0FE0" w14:textId="77777777" w:rsidR="00293799" w:rsidRPr="00C425C7" w:rsidRDefault="00293799" w:rsidP="00C425C7">
      <w:pPr>
        <w:numPr>
          <w:ilvl w:val="0"/>
          <w:numId w:val="5"/>
        </w:numPr>
      </w:pPr>
      <w:r w:rsidRPr="00C425C7">
        <w:rPr>
          <w:b/>
          <w:bCs/>
        </w:rPr>
        <w:t>Weston, J. F., &amp; Brigham, E. F. (1993).</w:t>
      </w:r>
      <w:r w:rsidRPr="00C425C7">
        <w:t> </w:t>
      </w:r>
      <w:r w:rsidRPr="00C425C7">
        <w:rPr>
          <w:i/>
          <w:iCs/>
        </w:rPr>
        <w:t>Essentials of Managerial Finance</w:t>
      </w:r>
      <w:r w:rsidRPr="00C425C7">
        <w:t>. Dryden Press.</w:t>
      </w:r>
    </w:p>
    <w:p w14:paraId="4833DAC4" w14:textId="77777777" w:rsidR="00293799" w:rsidRPr="00C425C7" w:rsidRDefault="00293799" w:rsidP="00C425C7">
      <w:pPr>
        <w:numPr>
          <w:ilvl w:val="0"/>
          <w:numId w:val="5"/>
        </w:numPr>
      </w:pPr>
      <w:r w:rsidRPr="00C425C7">
        <w:rPr>
          <w:b/>
          <w:bCs/>
        </w:rPr>
        <w:t>Zmijewski, M. E. (1984).</w:t>
      </w:r>
      <w:r w:rsidRPr="00C425C7">
        <w:t> Methodological Issues Related to the Estimation of Financial Distress Prediction Models. </w:t>
      </w:r>
      <w:r w:rsidRPr="00C425C7">
        <w:rPr>
          <w:i/>
          <w:iCs/>
        </w:rPr>
        <w:t>Journal of Accounting Research</w:t>
      </w:r>
      <w:r w:rsidRPr="00C425C7">
        <w:t>, 22, 59-82.</w:t>
      </w:r>
    </w:p>
    <w:p w14:paraId="53C20AB3" w14:textId="77777777" w:rsidR="00C425C7" w:rsidRPr="00C425C7" w:rsidRDefault="00C425C7" w:rsidP="00C425C7">
      <w:pPr>
        <w:rPr>
          <w:b/>
          <w:bCs/>
        </w:rPr>
      </w:pPr>
    </w:p>
    <w:p w14:paraId="56215C47" w14:textId="77777777" w:rsidR="00C425C7" w:rsidRPr="00C425C7" w:rsidRDefault="00C425C7" w:rsidP="00C425C7">
      <w:pPr>
        <w:rPr>
          <w:b/>
          <w:bCs/>
        </w:rPr>
      </w:pPr>
      <w:bookmarkStart w:id="21" w:name="_Toc216554284"/>
      <w:r w:rsidRPr="00C425C7">
        <w:rPr>
          <w:b/>
          <w:bCs/>
        </w:rPr>
        <w:t>Appendices</w:t>
      </w:r>
      <w:bookmarkEnd w:id="21"/>
    </w:p>
    <w:p w14:paraId="58DDF52B" w14:textId="77777777" w:rsidR="00C425C7" w:rsidRPr="00C425C7" w:rsidRDefault="00C425C7" w:rsidP="00C425C7">
      <w:r w:rsidRPr="00C425C7">
        <w:t>Appendix A: Financial Ratio Calculations</w:t>
      </w:r>
    </w:p>
    <w:p w14:paraId="5613699B" w14:textId="77777777" w:rsidR="00C425C7" w:rsidRPr="00C425C7" w:rsidRDefault="00C425C7" w:rsidP="00C425C7">
      <w:r w:rsidRPr="00C425C7">
        <w:rPr>
          <w:i/>
          <w:iCs/>
        </w:rPr>
        <w:t>(This section provides the full workings for the ratios in Table 1)</w:t>
      </w:r>
    </w:p>
    <w:p w14:paraId="41C74A3B" w14:textId="77777777" w:rsidR="00C425C7" w:rsidRPr="00C425C7" w:rsidRDefault="00C425C7" w:rsidP="00C425C7">
      <w:r w:rsidRPr="00C425C7">
        <w:rPr>
          <w:b/>
          <w:bCs/>
        </w:rPr>
        <w:t>1. Profitability Ratios</w:t>
      </w:r>
      <w:r w:rsidRPr="00C425C7">
        <w:br/>
      </w:r>
    </w:p>
    <w:tbl>
      <w:tblPr>
        <w:tblStyle w:val="TableGrid"/>
        <w:tblW w:w="0" w:type="auto"/>
        <w:tblLook w:val="04A0" w:firstRow="1" w:lastRow="0" w:firstColumn="1" w:lastColumn="0" w:noHBand="0" w:noVBand="1"/>
      </w:tblPr>
      <w:tblGrid>
        <w:gridCol w:w="789"/>
        <w:gridCol w:w="1511"/>
        <w:gridCol w:w="1356"/>
        <w:gridCol w:w="1358"/>
        <w:gridCol w:w="1334"/>
        <w:gridCol w:w="1334"/>
        <w:gridCol w:w="1334"/>
      </w:tblGrid>
      <w:tr w:rsidR="00C425C7" w:rsidRPr="00C425C7" w14:paraId="0F806F3B" w14:textId="77777777">
        <w:tc>
          <w:tcPr>
            <w:tcW w:w="0" w:type="auto"/>
            <w:tcBorders>
              <w:top w:val="single" w:sz="4" w:space="0" w:color="auto"/>
              <w:left w:val="single" w:sz="4" w:space="0" w:color="auto"/>
              <w:bottom w:val="single" w:sz="4" w:space="0" w:color="auto"/>
              <w:right w:val="single" w:sz="4" w:space="0" w:color="auto"/>
            </w:tcBorders>
            <w:hideMark/>
          </w:tcPr>
          <w:p w14:paraId="15779AFE" w14:textId="77777777" w:rsidR="00C425C7" w:rsidRPr="00C425C7" w:rsidRDefault="00C425C7" w:rsidP="00C425C7">
            <w:pPr>
              <w:spacing w:after="160" w:line="278" w:lineRule="auto"/>
              <w:rPr>
                <w:b/>
                <w:bCs/>
              </w:rPr>
            </w:pPr>
            <w:r w:rsidRPr="00C425C7">
              <w:rPr>
                <w:b/>
                <w:bCs/>
              </w:rPr>
              <w:t>Ratio</w:t>
            </w:r>
          </w:p>
        </w:tc>
        <w:tc>
          <w:tcPr>
            <w:tcW w:w="0" w:type="auto"/>
            <w:tcBorders>
              <w:top w:val="single" w:sz="4" w:space="0" w:color="auto"/>
              <w:left w:val="single" w:sz="4" w:space="0" w:color="auto"/>
              <w:bottom w:val="single" w:sz="4" w:space="0" w:color="auto"/>
              <w:right w:val="single" w:sz="4" w:space="0" w:color="auto"/>
            </w:tcBorders>
            <w:hideMark/>
          </w:tcPr>
          <w:p w14:paraId="2881C8C8" w14:textId="77777777" w:rsidR="00C425C7" w:rsidRPr="00C425C7" w:rsidRDefault="00C425C7" w:rsidP="00C425C7">
            <w:pPr>
              <w:spacing w:after="160" w:line="278" w:lineRule="auto"/>
              <w:rPr>
                <w:b/>
                <w:bCs/>
              </w:rPr>
            </w:pPr>
            <w:r w:rsidRPr="00C425C7">
              <w:rPr>
                <w:b/>
                <w:bCs/>
              </w:rPr>
              <w:t>Formula</w:t>
            </w:r>
          </w:p>
        </w:tc>
        <w:tc>
          <w:tcPr>
            <w:tcW w:w="0" w:type="auto"/>
            <w:tcBorders>
              <w:top w:val="single" w:sz="4" w:space="0" w:color="auto"/>
              <w:left w:val="single" w:sz="4" w:space="0" w:color="auto"/>
              <w:bottom w:val="single" w:sz="4" w:space="0" w:color="auto"/>
              <w:right w:val="single" w:sz="4" w:space="0" w:color="auto"/>
            </w:tcBorders>
            <w:hideMark/>
          </w:tcPr>
          <w:p w14:paraId="16007793" w14:textId="77777777" w:rsidR="00C425C7" w:rsidRPr="00C425C7" w:rsidRDefault="00C425C7" w:rsidP="00C425C7">
            <w:pPr>
              <w:spacing w:after="160" w:line="278" w:lineRule="auto"/>
              <w:rPr>
                <w:b/>
                <w:bCs/>
              </w:rPr>
            </w:pPr>
            <w:r w:rsidRPr="00C425C7">
              <w:rPr>
                <w:b/>
                <w:bCs/>
              </w:rPr>
              <w:t>2024</w:t>
            </w:r>
          </w:p>
        </w:tc>
        <w:tc>
          <w:tcPr>
            <w:tcW w:w="0" w:type="auto"/>
            <w:tcBorders>
              <w:top w:val="single" w:sz="4" w:space="0" w:color="auto"/>
              <w:left w:val="single" w:sz="4" w:space="0" w:color="auto"/>
              <w:bottom w:val="single" w:sz="4" w:space="0" w:color="auto"/>
              <w:right w:val="single" w:sz="4" w:space="0" w:color="auto"/>
            </w:tcBorders>
            <w:hideMark/>
          </w:tcPr>
          <w:p w14:paraId="2AF810DB" w14:textId="77777777" w:rsidR="00C425C7" w:rsidRPr="00C425C7" w:rsidRDefault="00C425C7" w:rsidP="00C425C7">
            <w:pPr>
              <w:spacing w:after="160" w:line="278" w:lineRule="auto"/>
              <w:rPr>
                <w:b/>
                <w:bCs/>
              </w:rPr>
            </w:pPr>
            <w:r w:rsidRPr="00C425C7">
              <w:rPr>
                <w:b/>
                <w:bCs/>
              </w:rPr>
              <w:t>2023</w:t>
            </w:r>
          </w:p>
        </w:tc>
        <w:tc>
          <w:tcPr>
            <w:tcW w:w="0" w:type="auto"/>
            <w:tcBorders>
              <w:top w:val="single" w:sz="4" w:space="0" w:color="auto"/>
              <w:left w:val="single" w:sz="4" w:space="0" w:color="auto"/>
              <w:bottom w:val="single" w:sz="4" w:space="0" w:color="auto"/>
              <w:right w:val="single" w:sz="4" w:space="0" w:color="auto"/>
            </w:tcBorders>
            <w:hideMark/>
          </w:tcPr>
          <w:p w14:paraId="09AB5BDB" w14:textId="77777777" w:rsidR="00C425C7" w:rsidRPr="00C425C7" w:rsidRDefault="00C425C7" w:rsidP="00C425C7">
            <w:pPr>
              <w:spacing w:after="160" w:line="278" w:lineRule="auto"/>
              <w:rPr>
                <w:b/>
                <w:bCs/>
              </w:rPr>
            </w:pPr>
            <w:r w:rsidRPr="00C425C7">
              <w:rPr>
                <w:b/>
                <w:bCs/>
              </w:rPr>
              <w:t>2022</w:t>
            </w:r>
          </w:p>
        </w:tc>
        <w:tc>
          <w:tcPr>
            <w:tcW w:w="0" w:type="auto"/>
            <w:tcBorders>
              <w:top w:val="single" w:sz="4" w:space="0" w:color="auto"/>
              <w:left w:val="single" w:sz="4" w:space="0" w:color="auto"/>
              <w:bottom w:val="single" w:sz="4" w:space="0" w:color="auto"/>
              <w:right w:val="single" w:sz="4" w:space="0" w:color="auto"/>
            </w:tcBorders>
            <w:hideMark/>
          </w:tcPr>
          <w:p w14:paraId="0DEFA02D" w14:textId="77777777" w:rsidR="00C425C7" w:rsidRPr="00C425C7" w:rsidRDefault="00C425C7" w:rsidP="00C425C7">
            <w:pPr>
              <w:spacing w:after="160" w:line="278" w:lineRule="auto"/>
              <w:rPr>
                <w:b/>
                <w:bCs/>
              </w:rPr>
            </w:pPr>
            <w:r w:rsidRPr="00C425C7">
              <w:rPr>
                <w:b/>
                <w:bCs/>
              </w:rPr>
              <w:t>2021</w:t>
            </w:r>
          </w:p>
        </w:tc>
        <w:tc>
          <w:tcPr>
            <w:tcW w:w="0" w:type="auto"/>
            <w:tcBorders>
              <w:top w:val="single" w:sz="4" w:space="0" w:color="auto"/>
              <w:left w:val="single" w:sz="4" w:space="0" w:color="auto"/>
              <w:bottom w:val="single" w:sz="4" w:space="0" w:color="auto"/>
              <w:right w:val="single" w:sz="4" w:space="0" w:color="auto"/>
            </w:tcBorders>
            <w:hideMark/>
          </w:tcPr>
          <w:p w14:paraId="3CE099FE" w14:textId="77777777" w:rsidR="00C425C7" w:rsidRPr="00C425C7" w:rsidRDefault="00C425C7" w:rsidP="00C425C7">
            <w:pPr>
              <w:spacing w:after="160" w:line="278" w:lineRule="auto"/>
              <w:rPr>
                <w:b/>
                <w:bCs/>
              </w:rPr>
            </w:pPr>
            <w:r w:rsidRPr="00C425C7">
              <w:rPr>
                <w:b/>
                <w:bCs/>
              </w:rPr>
              <w:t>2020</w:t>
            </w:r>
          </w:p>
        </w:tc>
      </w:tr>
      <w:tr w:rsidR="00C425C7" w:rsidRPr="00C425C7" w14:paraId="238E30BA" w14:textId="77777777">
        <w:tc>
          <w:tcPr>
            <w:tcW w:w="0" w:type="auto"/>
            <w:tcBorders>
              <w:top w:val="single" w:sz="4" w:space="0" w:color="auto"/>
              <w:left w:val="single" w:sz="4" w:space="0" w:color="auto"/>
              <w:bottom w:val="single" w:sz="4" w:space="0" w:color="auto"/>
              <w:right w:val="single" w:sz="4" w:space="0" w:color="auto"/>
            </w:tcBorders>
            <w:hideMark/>
          </w:tcPr>
          <w:p w14:paraId="4D37E8A0" w14:textId="77777777" w:rsidR="00C425C7" w:rsidRPr="00C425C7" w:rsidRDefault="00C425C7" w:rsidP="00C425C7">
            <w:pPr>
              <w:spacing w:after="160" w:line="278" w:lineRule="auto"/>
            </w:pPr>
            <w:r w:rsidRPr="00C425C7">
              <w:t>GPM</w:t>
            </w:r>
          </w:p>
        </w:tc>
        <w:tc>
          <w:tcPr>
            <w:tcW w:w="0" w:type="auto"/>
            <w:tcBorders>
              <w:top w:val="single" w:sz="4" w:space="0" w:color="auto"/>
              <w:left w:val="single" w:sz="4" w:space="0" w:color="auto"/>
              <w:bottom w:val="single" w:sz="4" w:space="0" w:color="auto"/>
              <w:right w:val="single" w:sz="4" w:space="0" w:color="auto"/>
            </w:tcBorders>
            <w:hideMark/>
          </w:tcPr>
          <w:p w14:paraId="74E412D2" w14:textId="77777777" w:rsidR="00C425C7" w:rsidRPr="00C425C7" w:rsidRDefault="00C425C7" w:rsidP="00C425C7">
            <w:pPr>
              <w:spacing w:after="160" w:line="278" w:lineRule="auto"/>
            </w:pPr>
            <w:r w:rsidRPr="00C425C7">
              <w:t>Gross Profit / Net Sales</w:t>
            </w:r>
          </w:p>
        </w:tc>
        <w:tc>
          <w:tcPr>
            <w:tcW w:w="0" w:type="auto"/>
            <w:tcBorders>
              <w:top w:val="single" w:sz="4" w:space="0" w:color="auto"/>
              <w:left w:val="single" w:sz="4" w:space="0" w:color="auto"/>
              <w:bottom w:val="single" w:sz="4" w:space="0" w:color="auto"/>
              <w:right w:val="single" w:sz="4" w:space="0" w:color="auto"/>
            </w:tcBorders>
            <w:hideMark/>
          </w:tcPr>
          <w:p w14:paraId="6CB2F42D" w14:textId="77777777" w:rsidR="00C425C7" w:rsidRPr="00C425C7" w:rsidRDefault="00C425C7" w:rsidP="00C425C7">
            <w:pPr>
              <w:spacing w:after="160" w:line="278" w:lineRule="auto"/>
            </w:pPr>
            <w:r w:rsidRPr="00C425C7">
              <w:t>113,994 / 394,879 = 28.87%</w:t>
            </w:r>
          </w:p>
        </w:tc>
        <w:tc>
          <w:tcPr>
            <w:tcW w:w="0" w:type="auto"/>
            <w:tcBorders>
              <w:top w:val="single" w:sz="4" w:space="0" w:color="auto"/>
              <w:left w:val="single" w:sz="4" w:space="0" w:color="auto"/>
              <w:bottom w:val="single" w:sz="4" w:space="0" w:color="auto"/>
              <w:right w:val="single" w:sz="4" w:space="0" w:color="auto"/>
            </w:tcBorders>
            <w:hideMark/>
          </w:tcPr>
          <w:p w14:paraId="284E6626" w14:textId="77777777" w:rsidR="00C425C7" w:rsidRPr="00C425C7" w:rsidRDefault="00C425C7" w:rsidP="00C425C7">
            <w:pPr>
              <w:spacing w:after="160" w:line="278" w:lineRule="auto"/>
            </w:pPr>
            <w:r w:rsidRPr="00C425C7">
              <w:t>97,560 / 420,457 = 23.20%</w:t>
            </w:r>
          </w:p>
        </w:tc>
        <w:tc>
          <w:tcPr>
            <w:tcW w:w="0" w:type="auto"/>
            <w:tcBorders>
              <w:top w:val="single" w:sz="4" w:space="0" w:color="auto"/>
              <w:left w:val="single" w:sz="4" w:space="0" w:color="auto"/>
              <w:bottom w:val="single" w:sz="4" w:space="0" w:color="auto"/>
              <w:right w:val="single" w:sz="4" w:space="0" w:color="auto"/>
            </w:tcBorders>
            <w:hideMark/>
          </w:tcPr>
          <w:p w14:paraId="62B186C3" w14:textId="77777777" w:rsidR="00C425C7" w:rsidRPr="00C425C7" w:rsidRDefault="00C425C7" w:rsidP="00C425C7">
            <w:pPr>
              <w:spacing w:after="160" w:line="278" w:lineRule="auto"/>
            </w:pPr>
            <w:r w:rsidRPr="00C425C7">
              <w:t>152,292 / 542,751 = 28.06%</w:t>
            </w:r>
          </w:p>
        </w:tc>
        <w:tc>
          <w:tcPr>
            <w:tcW w:w="0" w:type="auto"/>
            <w:tcBorders>
              <w:top w:val="single" w:sz="4" w:space="0" w:color="auto"/>
              <w:left w:val="single" w:sz="4" w:space="0" w:color="auto"/>
              <w:bottom w:val="single" w:sz="4" w:space="0" w:color="auto"/>
              <w:right w:val="single" w:sz="4" w:space="0" w:color="auto"/>
            </w:tcBorders>
            <w:hideMark/>
          </w:tcPr>
          <w:p w14:paraId="4F8BC134" w14:textId="77777777" w:rsidR="00C425C7" w:rsidRPr="00C425C7" w:rsidRDefault="00C425C7" w:rsidP="00C425C7">
            <w:pPr>
              <w:spacing w:after="160" w:line="278" w:lineRule="auto"/>
            </w:pPr>
            <w:r w:rsidRPr="00C425C7">
              <w:t>173,016 / 601,602 = 28.76%</w:t>
            </w:r>
          </w:p>
        </w:tc>
        <w:tc>
          <w:tcPr>
            <w:tcW w:w="0" w:type="auto"/>
            <w:tcBorders>
              <w:top w:val="single" w:sz="4" w:space="0" w:color="auto"/>
              <w:left w:val="single" w:sz="4" w:space="0" w:color="auto"/>
              <w:bottom w:val="single" w:sz="4" w:space="0" w:color="auto"/>
              <w:right w:val="single" w:sz="4" w:space="0" w:color="auto"/>
            </w:tcBorders>
            <w:hideMark/>
          </w:tcPr>
          <w:p w14:paraId="3F7FC3FA" w14:textId="77777777" w:rsidR="00C425C7" w:rsidRPr="00C425C7" w:rsidRDefault="00C425C7" w:rsidP="00C425C7">
            <w:pPr>
              <w:spacing w:after="160" w:line="278" w:lineRule="auto"/>
            </w:pPr>
            <w:r w:rsidRPr="00C425C7">
              <w:t>176,256 / 614,680 = 28.68%</w:t>
            </w:r>
          </w:p>
        </w:tc>
      </w:tr>
      <w:tr w:rsidR="00C425C7" w:rsidRPr="00C425C7" w14:paraId="0091EB40" w14:textId="77777777">
        <w:tc>
          <w:tcPr>
            <w:tcW w:w="0" w:type="auto"/>
            <w:tcBorders>
              <w:top w:val="single" w:sz="4" w:space="0" w:color="auto"/>
              <w:left w:val="single" w:sz="4" w:space="0" w:color="auto"/>
              <w:bottom w:val="single" w:sz="4" w:space="0" w:color="auto"/>
              <w:right w:val="single" w:sz="4" w:space="0" w:color="auto"/>
            </w:tcBorders>
            <w:hideMark/>
          </w:tcPr>
          <w:p w14:paraId="20F0206C" w14:textId="77777777" w:rsidR="00C425C7" w:rsidRPr="00C425C7" w:rsidRDefault="00C425C7" w:rsidP="00C425C7">
            <w:pPr>
              <w:spacing w:after="160" w:line="278" w:lineRule="auto"/>
            </w:pPr>
            <w:r w:rsidRPr="00C425C7">
              <w:t>OPM</w:t>
            </w:r>
          </w:p>
        </w:tc>
        <w:tc>
          <w:tcPr>
            <w:tcW w:w="0" w:type="auto"/>
            <w:tcBorders>
              <w:top w:val="single" w:sz="4" w:space="0" w:color="auto"/>
              <w:left w:val="single" w:sz="4" w:space="0" w:color="auto"/>
              <w:bottom w:val="single" w:sz="4" w:space="0" w:color="auto"/>
              <w:right w:val="single" w:sz="4" w:space="0" w:color="auto"/>
            </w:tcBorders>
            <w:hideMark/>
          </w:tcPr>
          <w:p w14:paraId="37188256" w14:textId="77777777" w:rsidR="00C425C7" w:rsidRPr="00C425C7" w:rsidRDefault="00C425C7" w:rsidP="00C425C7">
            <w:pPr>
              <w:spacing w:after="160" w:line="278" w:lineRule="auto"/>
            </w:pPr>
            <w:r w:rsidRPr="00C425C7">
              <w:t>Operating Income / Net Sales</w:t>
            </w:r>
          </w:p>
        </w:tc>
        <w:tc>
          <w:tcPr>
            <w:tcW w:w="0" w:type="auto"/>
            <w:tcBorders>
              <w:top w:val="single" w:sz="4" w:space="0" w:color="auto"/>
              <w:left w:val="single" w:sz="4" w:space="0" w:color="auto"/>
              <w:bottom w:val="single" w:sz="4" w:space="0" w:color="auto"/>
              <w:right w:val="single" w:sz="4" w:space="0" w:color="auto"/>
            </w:tcBorders>
            <w:hideMark/>
          </w:tcPr>
          <w:p w14:paraId="424CF270" w14:textId="77777777" w:rsidR="00C425C7" w:rsidRPr="00C425C7" w:rsidRDefault="00C425C7" w:rsidP="00C425C7">
            <w:pPr>
              <w:spacing w:after="160" w:line="278" w:lineRule="auto"/>
            </w:pPr>
            <w:r w:rsidRPr="00C425C7">
              <w:t>(15,297) / 394,879 = -3.87%</w:t>
            </w:r>
          </w:p>
        </w:tc>
        <w:tc>
          <w:tcPr>
            <w:tcW w:w="0" w:type="auto"/>
            <w:tcBorders>
              <w:top w:val="single" w:sz="4" w:space="0" w:color="auto"/>
              <w:left w:val="single" w:sz="4" w:space="0" w:color="auto"/>
              <w:bottom w:val="single" w:sz="4" w:space="0" w:color="auto"/>
              <w:right w:val="single" w:sz="4" w:space="0" w:color="auto"/>
            </w:tcBorders>
            <w:hideMark/>
          </w:tcPr>
          <w:p w14:paraId="1CFD7A52" w14:textId="77777777" w:rsidR="00C425C7" w:rsidRPr="00C425C7" w:rsidRDefault="00C425C7" w:rsidP="00C425C7">
            <w:pPr>
              <w:spacing w:after="160" w:line="278" w:lineRule="auto"/>
            </w:pPr>
            <w:r w:rsidRPr="00C425C7">
              <w:t>(85,301) / 420,457 = -20.29%</w:t>
            </w:r>
          </w:p>
        </w:tc>
        <w:tc>
          <w:tcPr>
            <w:tcW w:w="0" w:type="auto"/>
            <w:tcBorders>
              <w:top w:val="single" w:sz="4" w:space="0" w:color="auto"/>
              <w:left w:val="single" w:sz="4" w:space="0" w:color="auto"/>
              <w:bottom w:val="single" w:sz="4" w:space="0" w:color="auto"/>
              <w:right w:val="single" w:sz="4" w:space="0" w:color="auto"/>
            </w:tcBorders>
            <w:hideMark/>
          </w:tcPr>
          <w:p w14:paraId="434A6824" w14:textId="77777777" w:rsidR="00C425C7" w:rsidRPr="00C425C7" w:rsidRDefault="00C425C7" w:rsidP="00C425C7">
            <w:pPr>
              <w:spacing w:after="160" w:line="278" w:lineRule="auto"/>
            </w:pPr>
            <w:r w:rsidRPr="00C425C7">
              <w:t>14,548 / 542,751 = 2.68%</w:t>
            </w:r>
          </w:p>
        </w:tc>
        <w:tc>
          <w:tcPr>
            <w:tcW w:w="0" w:type="auto"/>
            <w:tcBorders>
              <w:top w:val="single" w:sz="4" w:space="0" w:color="auto"/>
              <w:left w:val="single" w:sz="4" w:space="0" w:color="auto"/>
              <w:bottom w:val="single" w:sz="4" w:space="0" w:color="auto"/>
              <w:right w:val="single" w:sz="4" w:space="0" w:color="auto"/>
            </w:tcBorders>
            <w:hideMark/>
          </w:tcPr>
          <w:p w14:paraId="188A0A71" w14:textId="77777777" w:rsidR="00C425C7" w:rsidRPr="00C425C7" w:rsidRDefault="00C425C7" w:rsidP="00C425C7">
            <w:pPr>
              <w:spacing w:after="160" w:line="278" w:lineRule="auto"/>
            </w:pPr>
            <w:r w:rsidRPr="00C425C7">
              <w:t>23,253 / 601,602 = 3.87%</w:t>
            </w:r>
          </w:p>
        </w:tc>
        <w:tc>
          <w:tcPr>
            <w:tcW w:w="0" w:type="auto"/>
            <w:tcBorders>
              <w:top w:val="single" w:sz="4" w:space="0" w:color="auto"/>
              <w:left w:val="single" w:sz="4" w:space="0" w:color="auto"/>
              <w:bottom w:val="single" w:sz="4" w:space="0" w:color="auto"/>
              <w:right w:val="single" w:sz="4" w:space="0" w:color="auto"/>
            </w:tcBorders>
            <w:hideMark/>
          </w:tcPr>
          <w:p w14:paraId="02BF50F8" w14:textId="77777777" w:rsidR="00C425C7" w:rsidRPr="00C425C7" w:rsidRDefault="00C425C7" w:rsidP="00C425C7">
            <w:pPr>
              <w:spacing w:after="160" w:line="278" w:lineRule="auto"/>
            </w:pPr>
            <w:r w:rsidRPr="00C425C7">
              <w:t>37,267 / 614,680 = 6.06%</w:t>
            </w:r>
          </w:p>
        </w:tc>
      </w:tr>
      <w:tr w:rsidR="00C425C7" w:rsidRPr="00C425C7" w14:paraId="6C4683B0" w14:textId="77777777">
        <w:tc>
          <w:tcPr>
            <w:tcW w:w="0" w:type="auto"/>
            <w:tcBorders>
              <w:top w:val="single" w:sz="4" w:space="0" w:color="auto"/>
              <w:left w:val="single" w:sz="4" w:space="0" w:color="auto"/>
              <w:bottom w:val="single" w:sz="4" w:space="0" w:color="auto"/>
              <w:right w:val="single" w:sz="4" w:space="0" w:color="auto"/>
            </w:tcBorders>
            <w:hideMark/>
          </w:tcPr>
          <w:p w14:paraId="78FAAFB8" w14:textId="77777777" w:rsidR="00C425C7" w:rsidRPr="00C425C7" w:rsidRDefault="00C425C7" w:rsidP="00C425C7">
            <w:pPr>
              <w:spacing w:after="160" w:line="278" w:lineRule="auto"/>
            </w:pPr>
            <w:r w:rsidRPr="00C425C7">
              <w:t>NPM</w:t>
            </w:r>
          </w:p>
        </w:tc>
        <w:tc>
          <w:tcPr>
            <w:tcW w:w="0" w:type="auto"/>
            <w:tcBorders>
              <w:top w:val="single" w:sz="4" w:space="0" w:color="auto"/>
              <w:left w:val="single" w:sz="4" w:space="0" w:color="auto"/>
              <w:bottom w:val="single" w:sz="4" w:space="0" w:color="auto"/>
              <w:right w:val="single" w:sz="4" w:space="0" w:color="auto"/>
            </w:tcBorders>
            <w:hideMark/>
          </w:tcPr>
          <w:p w14:paraId="443422E5" w14:textId="77777777" w:rsidR="00C425C7" w:rsidRPr="00C425C7" w:rsidRDefault="00C425C7" w:rsidP="00C425C7">
            <w:pPr>
              <w:spacing w:after="160" w:line="278" w:lineRule="auto"/>
            </w:pPr>
            <w:r w:rsidRPr="00C425C7">
              <w:t>Net Income / Net Sales</w:t>
            </w:r>
          </w:p>
        </w:tc>
        <w:tc>
          <w:tcPr>
            <w:tcW w:w="0" w:type="auto"/>
            <w:tcBorders>
              <w:top w:val="single" w:sz="4" w:space="0" w:color="auto"/>
              <w:left w:val="single" w:sz="4" w:space="0" w:color="auto"/>
              <w:bottom w:val="single" w:sz="4" w:space="0" w:color="auto"/>
              <w:right w:val="single" w:sz="4" w:space="0" w:color="auto"/>
            </w:tcBorders>
            <w:hideMark/>
          </w:tcPr>
          <w:p w14:paraId="1F2B77FF" w14:textId="77777777" w:rsidR="00C425C7" w:rsidRPr="00C425C7" w:rsidRDefault="00C425C7" w:rsidP="00C425C7">
            <w:pPr>
              <w:spacing w:after="160" w:line="278" w:lineRule="auto"/>
            </w:pPr>
            <w:r w:rsidRPr="00C425C7">
              <w:t>(24,029) / 394,879 = -6.09%</w:t>
            </w:r>
          </w:p>
        </w:tc>
        <w:tc>
          <w:tcPr>
            <w:tcW w:w="0" w:type="auto"/>
            <w:tcBorders>
              <w:top w:val="single" w:sz="4" w:space="0" w:color="auto"/>
              <w:left w:val="single" w:sz="4" w:space="0" w:color="auto"/>
              <w:bottom w:val="single" w:sz="4" w:space="0" w:color="auto"/>
              <w:right w:val="single" w:sz="4" w:space="0" w:color="auto"/>
            </w:tcBorders>
            <w:hideMark/>
          </w:tcPr>
          <w:p w14:paraId="61A72C14" w14:textId="77777777" w:rsidR="00C425C7" w:rsidRPr="00C425C7" w:rsidRDefault="00C425C7" w:rsidP="00C425C7">
            <w:pPr>
              <w:spacing w:after="160" w:line="278" w:lineRule="auto"/>
            </w:pPr>
            <w:r w:rsidRPr="00C425C7">
              <w:t>(98,238) / 420,457 = -23.36%</w:t>
            </w:r>
          </w:p>
        </w:tc>
        <w:tc>
          <w:tcPr>
            <w:tcW w:w="0" w:type="auto"/>
            <w:tcBorders>
              <w:top w:val="single" w:sz="4" w:space="0" w:color="auto"/>
              <w:left w:val="single" w:sz="4" w:space="0" w:color="auto"/>
              <w:bottom w:val="single" w:sz="4" w:space="0" w:color="auto"/>
              <w:right w:val="single" w:sz="4" w:space="0" w:color="auto"/>
            </w:tcBorders>
            <w:hideMark/>
          </w:tcPr>
          <w:p w14:paraId="6552EF2E" w14:textId="77777777" w:rsidR="00C425C7" w:rsidRPr="00C425C7" w:rsidRDefault="00C425C7" w:rsidP="00C425C7">
            <w:pPr>
              <w:spacing w:after="160" w:line="278" w:lineRule="auto"/>
            </w:pPr>
            <w:r w:rsidRPr="00C425C7">
              <w:t>407 / 542,751 = 0.07%</w:t>
            </w:r>
          </w:p>
        </w:tc>
        <w:tc>
          <w:tcPr>
            <w:tcW w:w="0" w:type="auto"/>
            <w:tcBorders>
              <w:top w:val="single" w:sz="4" w:space="0" w:color="auto"/>
              <w:left w:val="single" w:sz="4" w:space="0" w:color="auto"/>
              <w:bottom w:val="single" w:sz="4" w:space="0" w:color="auto"/>
              <w:right w:val="single" w:sz="4" w:space="0" w:color="auto"/>
            </w:tcBorders>
            <w:hideMark/>
          </w:tcPr>
          <w:p w14:paraId="39AE917A" w14:textId="77777777" w:rsidR="00C425C7" w:rsidRPr="00C425C7" w:rsidRDefault="00C425C7" w:rsidP="00C425C7">
            <w:pPr>
              <w:spacing w:after="160" w:line="278" w:lineRule="auto"/>
            </w:pPr>
            <w:r w:rsidRPr="00C425C7">
              <w:t>5,301 / 601,602 = 0.88%</w:t>
            </w:r>
          </w:p>
        </w:tc>
        <w:tc>
          <w:tcPr>
            <w:tcW w:w="0" w:type="auto"/>
            <w:tcBorders>
              <w:top w:val="single" w:sz="4" w:space="0" w:color="auto"/>
              <w:left w:val="single" w:sz="4" w:space="0" w:color="auto"/>
              <w:bottom w:val="single" w:sz="4" w:space="0" w:color="auto"/>
              <w:right w:val="single" w:sz="4" w:space="0" w:color="auto"/>
            </w:tcBorders>
            <w:hideMark/>
          </w:tcPr>
          <w:p w14:paraId="790FC005" w14:textId="77777777" w:rsidR="00C425C7" w:rsidRPr="00C425C7" w:rsidRDefault="00C425C7" w:rsidP="00C425C7">
            <w:pPr>
              <w:spacing w:after="160" w:line="278" w:lineRule="auto"/>
            </w:pPr>
            <w:r w:rsidRPr="00C425C7">
              <w:t>38,572 / 614,680 = 6.28%</w:t>
            </w:r>
          </w:p>
        </w:tc>
      </w:tr>
      <w:tr w:rsidR="00C425C7" w:rsidRPr="00C425C7" w14:paraId="43FF3BD1" w14:textId="77777777">
        <w:tc>
          <w:tcPr>
            <w:tcW w:w="0" w:type="auto"/>
            <w:tcBorders>
              <w:top w:val="single" w:sz="4" w:space="0" w:color="auto"/>
              <w:left w:val="single" w:sz="4" w:space="0" w:color="auto"/>
              <w:bottom w:val="single" w:sz="4" w:space="0" w:color="auto"/>
              <w:right w:val="single" w:sz="4" w:space="0" w:color="auto"/>
            </w:tcBorders>
            <w:hideMark/>
          </w:tcPr>
          <w:p w14:paraId="6836EB26" w14:textId="77777777" w:rsidR="00C425C7" w:rsidRPr="00C425C7" w:rsidRDefault="00C425C7" w:rsidP="00C425C7">
            <w:pPr>
              <w:spacing w:after="160" w:line="278" w:lineRule="auto"/>
            </w:pPr>
            <w:r w:rsidRPr="00C425C7">
              <w:t>ROE</w:t>
            </w:r>
          </w:p>
        </w:tc>
        <w:tc>
          <w:tcPr>
            <w:tcW w:w="0" w:type="auto"/>
            <w:tcBorders>
              <w:top w:val="single" w:sz="4" w:space="0" w:color="auto"/>
              <w:left w:val="single" w:sz="4" w:space="0" w:color="auto"/>
              <w:bottom w:val="single" w:sz="4" w:space="0" w:color="auto"/>
              <w:right w:val="single" w:sz="4" w:space="0" w:color="auto"/>
            </w:tcBorders>
            <w:hideMark/>
          </w:tcPr>
          <w:p w14:paraId="1DE80685" w14:textId="77777777" w:rsidR="00C425C7" w:rsidRPr="00C425C7" w:rsidRDefault="00C425C7" w:rsidP="00C425C7">
            <w:pPr>
              <w:spacing w:after="160" w:line="278" w:lineRule="auto"/>
            </w:pPr>
            <w:r w:rsidRPr="00C425C7">
              <w:t>Net Income / Total Equity</w:t>
            </w:r>
          </w:p>
        </w:tc>
        <w:tc>
          <w:tcPr>
            <w:tcW w:w="0" w:type="auto"/>
            <w:tcBorders>
              <w:top w:val="single" w:sz="4" w:space="0" w:color="auto"/>
              <w:left w:val="single" w:sz="4" w:space="0" w:color="auto"/>
              <w:bottom w:val="single" w:sz="4" w:space="0" w:color="auto"/>
              <w:right w:val="single" w:sz="4" w:space="0" w:color="auto"/>
            </w:tcBorders>
            <w:hideMark/>
          </w:tcPr>
          <w:p w14:paraId="694EDD80" w14:textId="77777777" w:rsidR="00C425C7" w:rsidRPr="00C425C7" w:rsidRDefault="00C425C7" w:rsidP="00C425C7">
            <w:pPr>
              <w:spacing w:after="160" w:line="278" w:lineRule="auto"/>
            </w:pPr>
            <w:r w:rsidRPr="00C425C7">
              <w:t>(24,029) / 153,105 = -15.69%</w:t>
            </w:r>
          </w:p>
        </w:tc>
        <w:tc>
          <w:tcPr>
            <w:tcW w:w="0" w:type="auto"/>
            <w:tcBorders>
              <w:top w:val="single" w:sz="4" w:space="0" w:color="auto"/>
              <w:left w:val="single" w:sz="4" w:space="0" w:color="auto"/>
              <w:bottom w:val="single" w:sz="4" w:space="0" w:color="auto"/>
              <w:right w:val="single" w:sz="4" w:space="0" w:color="auto"/>
            </w:tcBorders>
            <w:hideMark/>
          </w:tcPr>
          <w:p w14:paraId="119478C1" w14:textId="77777777" w:rsidR="00C425C7" w:rsidRPr="00C425C7" w:rsidRDefault="00C425C7" w:rsidP="00C425C7">
            <w:pPr>
              <w:spacing w:after="160" w:line="278" w:lineRule="auto"/>
            </w:pPr>
            <w:r w:rsidRPr="00C425C7">
              <w:t>(98,238) / 178,920 = -54.91%</w:t>
            </w:r>
          </w:p>
        </w:tc>
        <w:tc>
          <w:tcPr>
            <w:tcW w:w="0" w:type="auto"/>
            <w:tcBorders>
              <w:top w:val="single" w:sz="4" w:space="0" w:color="auto"/>
              <w:left w:val="single" w:sz="4" w:space="0" w:color="auto"/>
              <w:bottom w:val="single" w:sz="4" w:space="0" w:color="auto"/>
              <w:right w:val="single" w:sz="4" w:space="0" w:color="auto"/>
            </w:tcBorders>
            <w:hideMark/>
          </w:tcPr>
          <w:p w14:paraId="07E94441" w14:textId="77777777" w:rsidR="00C425C7" w:rsidRPr="00C425C7" w:rsidRDefault="00C425C7" w:rsidP="00C425C7">
            <w:pPr>
              <w:spacing w:after="160" w:line="278" w:lineRule="auto"/>
            </w:pPr>
            <w:r w:rsidRPr="00C425C7">
              <w:t>407 / 268,406 = 0.15%</w:t>
            </w:r>
          </w:p>
        </w:tc>
        <w:tc>
          <w:tcPr>
            <w:tcW w:w="0" w:type="auto"/>
            <w:tcBorders>
              <w:top w:val="single" w:sz="4" w:space="0" w:color="auto"/>
              <w:left w:val="single" w:sz="4" w:space="0" w:color="auto"/>
              <w:bottom w:val="single" w:sz="4" w:space="0" w:color="auto"/>
              <w:right w:val="single" w:sz="4" w:space="0" w:color="auto"/>
            </w:tcBorders>
            <w:hideMark/>
          </w:tcPr>
          <w:p w14:paraId="1AEC37AC" w14:textId="77777777" w:rsidR="00C425C7" w:rsidRPr="00C425C7" w:rsidRDefault="00C425C7" w:rsidP="00C425C7">
            <w:pPr>
              <w:spacing w:after="160" w:line="278" w:lineRule="auto"/>
            </w:pPr>
            <w:r w:rsidRPr="00C425C7">
              <w:t>5,301 / 275,949 = 1.92%</w:t>
            </w:r>
          </w:p>
        </w:tc>
        <w:tc>
          <w:tcPr>
            <w:tcW w:w="0" w:type="auto"/>
            <w:tcBorders>
              <w:top w:val="single" w:sz="4" w:space="0" w:color="auto"/>
              <w:left w:val="single" w:sz="4" w:space="0" w:color="auto"/>
              <w:bottom w:val="single" w:sz="4" w:space="0" w:color="auto"/>
              <w:right w:val="single" w:sz="4" w:space="0" w:color="auto"/>
            </w:tcBorders>
            <w:hideMark/>
          </w:tcPr>
          <w:p w14:paraId="732094F4" w14:textId="77777777" w:rsidR="00C425C7" w:rsidRPr="00C425C7" w:rsidRDefault="00C425C7" w:rsidP="00C425C7">
            <w:pPr>
              <w:spacing w:after="160" w:line="278" w:lineRule="auto"/>
            </w:pPr>
            <w:r w:rsidRPr="00C425C7">
              <w:t>38,572 / 313,301 = 12.31%</w:t>
            </w:r>
          </w:p>
        </w:tc>
      </w:tr>
    </w:tbl>
    <w:p w14:paraId="31A69F69" w14:textId="77777777" w:rsidR="00C425C7" w:rsidRPr="00C425C7" w:rsidRDefault="00C425C7" w:rsidP="00C425C7"/>
    <w:p w14:paraId="603E5ADB" w14:textId="77777777" w:rsidR="00C425C7" w:rsidRPr="00C425C7" w:rsidRDefault="00C425C7" w:rsidP="00C425C7">
      <w:r w:rsidRPr="00C425C7">
        <w:rPr>
          <w:b/>
          <w:bCs/>
        </w:rPr>
        <w:t>2. Liquidity Ratios</w:t>
      </w:r>
      <w:r w:rsidRPr="00C425C7">
        <w:br/>
      </w:r>
    </w:p>
    <w:tbl>
      <w:tblPr>
        <w:tblStyle w:val="TableGrid"/>
        <w:tblW w:w="9351" w:type="dxa"/>
        <w:tblLook w:val="04A0" w:firstRow="1" w:lastRow="0" w:firstColumn="1" w:lastColumn="0" w:noHBand="0" w:noVBand="1"/>
      </w:tblPr>
      <w:tblGrid>
        <w:gridCol w:w="1036"/>
        <w:gridCol w:w="1387"/>
        <w:gridCol w:w="1316"/>
        <w:gridCol w:w="1311"/>
        <w:gridCol w:w="1322"/>
        <w:gridCol w:w="1420"/>
        <w:gridCol w:w="1559"/>
      </w:tblGrid>
      <w:tr w:rsidR="00C425C7" w:rsidRPr="00C425C7" w14:paraId="6503CBDA" w14:textId="77777777">
        <w:tc>
          <w:tcPr>
            <w:tcW w:w="0" w:type="auto"/>
            <w:tcBorders>
              <w:top w:val="single" w:sz="4" w:space="0" w:color="auto"/>
              <w:left w:val="single" w:sz="4" w:space="0" w:color="auto"/>
              <w:bottom w:val="single" w:sz="4" w:space="0" w:color="auto"/>
              <w:right w:val="single" w:sz="4" w:space="0" w:color="auto"/>
            </w:tcBorders>
            <w:hideMark/>
          </w:tcPr>
          <w:p w14:paraId="533069FC" w14:textId="77777777" w:rsidR="00C425C7" w:rsidRPr="00C425C7" w:rsidRDefault="00C425C7" w:rsidP="00C425C7">
            <w:pPr>
              <w:spacing w:after="160" w:line="278" w:lineRule="auto"/>
              <w:rPr>
                <w:b/>
                <w:bCs/>
              </w:rPr>
            </w:pPr>
            <w:r w:rsidRPr="00C425C7">
              <w:rPr>
                <w:b/>
                <w:bCs/>
              </w:rPr>
              <w:t>Ratio</w:t>
            </w:r>
          </w:p>
        </w:tc>
        <w:tc>
          <w:tcPr>
            <w:tcW w:w="0" w:type="auto"/>
            <w:tcBorders>
              <w:top w:val="single" w:sz="4" w:space="0" w:color="auto"/>
              <w:left w:val="single" w:sz="4" w:space="0" w:color="auto"/>
              <w:bottom w:val="single" w:sz="4" w:space="0" w:color="auto"/>
              <w:right w:val="single" w:sz="4" w:space="0" w:color="auto"/>
            </w:tcBorders>
            <w:hideMark/>
          </w:tcPr>
          <w:p w14:paraId="035ECE01" w14:textId="77777777" w:rsidR="00C425C7" w:rsidRPr="00C425C7" w:rsidRDefault="00C425C7" w:rsidP="00C425C7">
            <w:pPr>
              <w:spacing w:after="160" w:line="278" w:lineRule="auto"/>
              <w:rPr>
                <w:b/>
                <w:bCs/>
              </w:rPr>
            </w:pPr>
            <w:r w:rsidRPr="00C425C7">
              <w:rPr>
                <w:b/>
                <w:bCs/>
              </w:rPr>
              <w:t>Formula</w:t>
            </w:r>
          </w:p>
        </w:tc>
        <w:tc>
          <w:tcPr>
            <w:tcW w:w="0" w:type="auto"/>
            <w:tcBorders>
              <w:top w:val="single" w:sz="4" w:space="0" w:color="auto"/>
              <w:left w:val="single" w:sz="4" w:space="0" w:color="auto"/>
              <w:bottom w:val="single" w:sz="4" w:space="0" w:color="auto"/>
              <w:right w:val="single" w:sz="4" w:space="0" w:color="auto"/>
            </w:tcBorders>
            <w:hideMark/>
          </w:tcPr>
          <w:p w14:paraId="6711AD97" w14:textId="77777777" w:rsidR="00C425C7" w:rsidRPr="00C425C7" w:rsidRDefault="00C425C7" w:rsidP="00C425C7">
            <w:pPr>
              <w:spacing w:after="160" w:line="278" w:lineRule="auto"/>
              <w:rPr>
                <w:b/>
                <w:bCs/>
              </w:rPr>
            </w:pPr>
            <w:r w:rsidRPr="00C425C7">
              <w:rPr>
                <w:b/>
                <w:bCs/>
              </w:rPr>
              <w:t>2024</w:t>
            </w:r>
          </w:p>
        </w:tc>
        <w:tc>
          <w:tcPr>
            <w:tcW w:w="0" w:type="auto"/>
            <w:tcBorders>
              <w:top w:val="single" w:sz="4" w:space="0" w:color="auto"/>
              <w:left w:val="single" w:sz="4" w:space="0" w:color="auto"/>
              <w:bottom w:val="single" w:sz="4" w:space="0" w:color="auto"/>
              <w:right w:val="single" w:sz="4" w:space="0" w:color="auto"/>
            </w:tcBorders>
            <w:hideMark/>
          </w:tcPr>
          <w:p w14:paraId="2C3D60A9" w14:textId="77777777" w:rsidR="00C425C7" w:rsidRPr="00C425C7" w:rsidRDefault="00C425C7" w:rsidP="00C425C7">
            <w:pPr>
              <w:spacing w:after="160" w:line="278" w:lineRule="auto"/>
              <w:rPr>
                <w:b/>
                <w:bCs/>
              </w:rPr>
            </w:pPr>
            <w:r w:rsidRPr="00C425C7">
              <w:rPr>
                <w:b/>
                <w:bCs/>
              </w:rPr>
              <w:t>2023</w:t>
            </w:r>
          </w:p>
        </w:tc>
        <w:tc>
          <w:tcPr>
            <w:tcW w:w="0" w:type="auto"/>
            <w:tcBorders>
              <w:top w:val="single" w:sz="4" w:space="0" w:color="auto"/>
              <w:left w:val="single" w:sz="4" w:space="0" w:color="auto"/>
              <w:bottom w:val="single" w:sz="4" w:space="0" w:color="auto"/>
              <w:right w:val="single" w:sz="4" w:space="0" w:color="auto"/>
            </w:tcBorders>
            <w:hideMark/>
          </w:tcPr>
          <w:p w14:paraId="49B1EEF6" w14:textId="77777777" w:rsidR="00C425C7" w:rsidRPr="00C425C7" w:rsidRDefault="00C425C7" w:rsidP="00C425C7">
            <w:pPr>
              <w:spacing w:after="160" w:line="278" w:lineRule="auto"/>
              <w:rPr>
                <w:b/>
                <w:bCs/>
              </w:rPr>
            </w:pPr>
            <w:r w:rsidRPr="00C425C7">
              <w:rPr>
                <w:b/>
                <w:bCs/>
              </w:rPr>
              <w:t>2022</w:t>
            </w:r>
          </w:p>
        </w:tc>
        <w:tc>
          <w:tcPr>
            <w:tcW w:w="1420" w:type="dxa"/>
            <w:tcBorders>
              <w:top w:val="single" w:sz="4" w:space="0" w:color="auto"/>
              <w:left w:val="single" w:sz="4" w:space="0" w:color="auto"/>
              <w:bottom w:val="single" w:sz="4" w:space="0" w:color="auto"/>
              <w:right w:val="single" w:sz="4" w:space="0" w:color="auto"/>
            </w:tcBorders>
            <w:hideMark/>
          </w:tcPr>
          <w:p w14:paraId="4A293CB7" w14:textId="77777777" w:rsidR="00C425C7" w:rsidRPr="00C425C7" w:rsidRDefault="00C425C7" w:rsidP="00C425C7">
            <w:pPr>
              <w:spacing w:after="160" w:line="278" w:lineRule="auto"/>
              <w:rPr>
                <w:b/>
                <w:bCs/>
              </w:rPr>
            </w:pPr>
            <w:r w:rsidRPr="00C425C7">
              <w:rPr>
                <w:b/>
                <w:bCs/>
              </w:rPr>
              <w:t>2021</w:t>
            </w:r>
          </w:p>
        </w:tc>
        <w:tc>
          <w:tcPr>
            <w:tcW w:w="1559" w:type="dxa"/>
            <w:tcBorders>
              <w:top w:val="single" w:sz="4" w:space="0" w:color="auto"/>
              <w:left w:val="single" w:sz="4" w:space="0" w:color="auto"/>
              <w:bottom w:val="single" w:sz="4" w:space="0" w:color="auto"/>
              <w:right w:val="single" w:sz="4" w:space="0" w:color="auto"/>
            </w:tcBorders>
            <w:hideMark/>
          </w:tcPr>
          <w:p w14:paraId="2B0B2128" w14:textId="77777777" w:rsidR="00C425C7" w:rsidRPr="00C425C7" w:rsidRDefault="00C425C7" w:rsidP="00C425C7">
            <w:pPr>
              <w:spacing w:after="160" w:line="278" w:lineRule="auto"/>
              <w:rPr>
                <w:b/>
                <w:bCs/>
              </w:rPr>
            </w:pPr>
            <w:r w:rsidRPr="00C425C7">
              <w:rPr>
                <w:b/>
                <w:bCs/>
              </w:rPr>
              <w:t>2020</w:t>
            </w:r>
          </w:p>
        </w:tc>
      </w:tr>
      <w:tr w:rsidR="00C425C7" w:rsidRPr="00C425C7" w14:paraId="4A72DC96" w14:textId="77777777">
        <w:tc>
          <w:tcPr>
            <w:tcW w:w="0" w:type="auto"/>
            <w:tcBorders>
              <w:top w:val="single" w:sz="4" w:space="0" w:color="auto"/>
              <w:left w:val="single" w:sz="4" w:space="0" w:color="auto"/>
              <w:bottom w:val="single" w:sz="4" w:space="0" w:color="auto"/>
              <w:right w:val="single" w:sz="4" w:space="0" w:color="auto"/>
            </w:tcBorders>
            <w:hideMark/>
          </w:tcPr>
          <w:p w14:paraId="5DB05F9B" w14:textId="77777777" w:rsidR="00C425C7" w:rsidRPr="00C425C7" w:rsidRDefault="00C425C7" w:rsidP="00C425C7">
            <w:pPr>
              <w:spacing w:after="160" w:line="278" w:lineRule="auto"/>
            </w:pPr>
            <w:r w:rsidRPr="00C425C7">
              <w:t>Current Ratio</w:t>
            </w:r>
          </w:p>
        </w:tc>
        <w:tc>
          <w:tcPr>
            <w:tcW w:w="0" w:type="auto"/>
            <w:tcBorders>
              <w:top w:val="single" w:sz="4" w:space="0" w:color="auto"/>
              <w:left w:val="single" w:sz="4" w:space="0" w:color="auto"/>
              <w:bottom w:val="single" w:sz="4" w:space="0" w:color="auto"/>
              <w:right w:val="single" w:sz="4" w:space="0" w:color="auto"/>
            </w:tcBorders>
            <w:hideMark/>
          </w:tcPr>
          <w:p w14:paraId="5250AF59" w14:textId="77777777" w:rsidR="00C425C7" w:rsidRPr="00C425C7" w:rsidRDefault="00C425C7" w:rsidP="00C425C7">
            <w:pPr>
              <w:spacing w:after="160" w:line="278" w:lineRule="auto"/>
            </w:pPr>
            <w:r w:rsidRPr="00C425C7">
              <w:t xml:space="preserve">Current Assets / </w:t>
            </w:r>
            <w:r w:rsidRPr="00C425C7">
              <w:lastRenderedPageBreak/>
              <w:t>Current Liabilities.</w:t>
            </w:r>
          </w:p>
        </w:tc>
        <w:tc>
          <w:tcPr>
            <w:tcW w:w="0" w:type="auto"/>
            <w:tcBorders>
              <w:top w:val="single" w:sz="4" w:space="0" w:color="auto"/>
              <w:left w:val="single" w:sz="4" w:space="0" w:color="auto"/>
              <w:bottom w:val="single" w:sz="4" w:space="0" w:color="auto"/>
              <w:right w:val="single" w:sz="4" w:space="0" w:color="auto"/>
            </w:tcBorders>
            <w:hideMark/>
          </w:tcPr>
          <w:p w14:paraId="7C63D4B3" w14:textId="77777777" w:rsidR="00C425C7" w:rsidRPr="00C425C7" w:rsidRDefault="00C425C7" w:rsidP="00C425C7">
            <w:pPr>
              <w:spacing w:after="160" w:line="278" w:lineRule="auto"/>
            </w:pPr>
            <w:r w:rsidRPr="00C425C7">
              <w:lastRenderedPageBreak/>
              <w:t>242,494 / 158,291 = 1.53</w:t>
            </w:r>
          </w:p>
        </w:tc>
        <w:tc>
          <w:tcPr>
            <w:tcW w:w="0" w:type="auto"/>
            <w:tcBorders>
              <w:top w:val="single" w:sz="4" w:space="0" w:color="auto"/>
              <w:left w:val="single" w:sz="4" w:space="0" w:color="auto"/>
              <w:bottom w:val="single" w:sz="4" w:space="0" w:color="auto"/>
              <w:right w:val="single" w:sz="4" w:space="0" w:color="auto"/>
            </w:tcBorders>
            <w:hideMark/>
          </w:tcPr>
          <w:p w14:paraId="1CE3E265" w14:textId="77777777" w:rsidR="00C425C7" w:rsidRPr="00C425C7" w:rsidRDefault="00C425C7" w:rsidP="00C425C7">
            <w:pPr>
              <w:spacing w:after="160" w:line="278" w:lineRule="auto"/>
            </w:pPr>
            <w:r w:rsidRPr="00C425C7">
              <w:t>258,851 / 161,148 = 1.61</w:t>
            </w:r>
          </w:p>
        </w:tc>
        <w:tc>
          <w:tcPr>
            <w:tcW w:w="0" w:type="auto"/>
            <w:tcBorders>
              <w:top w:val="single" w:sz="4" w:space="0" w:color="auto"/>
              <w:left w:val="single" w:sz="4" w:space="0" w:color="auto"/>
              <w:bottom w:val="single" w:sz="4" w:space="0" w:color="auto"/>
              <w:right w:val="single" w:sz="4" w:space="0" w:color="auto"/>
            </w:tcBorders>
            <w:hideMark/>
          </w:tcPr>
          <w:p w14:paraId="6D7110D5" w14:textId="77777777" w:rsidR="00C425C7" w:rsidRPr="00C425C7" w:rsidRDefault="00C425C7" w:rsidP="00C425C7">
            <w:pPr>
              <w:spacing w:after="160" w:line="278" w:lineRule="auto"/>
            </w:pPr>
            <w:r w:rsidRPr="00C425C7">
              <w:t>338,040 / 216,473 = 1.56</w:t>
            </w:r>
          </w:p>
        </w:tc>
        <w:tc>
          <w:tcPr>
            <w:tcW w:w="1420" w:type="dxa"/>
            <w:tcBorders>
              <w:top w:val="single" w:sz="4" w:space="0" w:color="auto"/>
              <w:left w:val="single" w:sz="4" w:space="0" w:color="auto"/>
              <w:bottom w:val="single" w:sz="4" w:space="0" w:color="auto"/>
              <w:right w:val="single" w:sz="4" w:space="0" w:color="auto"/>
            </w:tcBorders>
            <w:hideMark/>
          </w:tcPr>
          <w:p w14:paraId="259FBAE9" w14:textId="77777777" w:rsidR="00C425C7" w:rsidRPr="00C425C7" w:rsidRDefault="00C425C7" w:rsidP="00C425C7">
            <w:pPr>
              <w:spacing w:after="160" w:line="278" w:lineRule="auto"/>
            </w:pPr>
            <w:r w:rsidRPr="00C425C7">
              <w:t>337,146 / 216,787 = 1.56</w:t>
            </w:r>
          </w:p>
        </w:tc>
        <w:tc>
          <w:tcPr>
            <w:tcW w:w="1559" w:type="dxa"/>
            <w:tcBorders>
              <w:top w:val="single" w:sz="4" w:space="0" w:color="auto"/>
              <w:left w:val="single" w:sz="4" w:space="0" w:color="auto"/>
              <w:bottom w:val="single" w:sz="4" w:space="0" w:color="auto"/>
              <w:right w:val="single" w:sz="4" w:space="0" w:color="auto"/>
            </w:tcBorders>
            <w:hideMark/>
          </w:tcPr>
          <w:p w14:paraId="7BD2361C" w14:textId="77777777" w:rsidR="00C425C7" w:rsidRPr="00C425C7" w:rsidRDefault="00C425C7" w:rsidP="00C425C7">
            <w:pPr>
              <w:spacing w:after="160" w:line="278" w:lineRule="auto"/>
            </w:pPr>
            <w:r w:rsidRPr="00C425C7">
              <w:t>326,843 / 179,510 = 1.82</w:t>
            </w:r>
          </w:p>
        </w:tc>
      </w:tr>
      <w:tr w:rsidR="00C425C7" w:rsidRPr="00C425C7" w14:paraId="4AB67BC4" w14:textId="77777777">
        <w:tc>
          <w:tcPr>
            <w:tcW w:w="0" w:type="auto"/>
            <w:tcBorders>
              <w:top w:val="single" w:sz="4" w:space="0" w:color="auto"/>
              <w:left w:val="single" w:sz="4" w:space="0" w:color="auto"/>
              <w:bottom w:val="single" w:sz="4" w:space="0" w:color="auto"/>
              <w:right w:val="single" w:sz="4" w:space="0" w:color="auto"/>
            </w:tcBorders>
            <w:hideMark/>
          </w:tcPr>
          <w:p w14:paraId="33854F9E" w14:textId="77777777" w:rsidR="00C425C7" w:rsidRPr="00C425C7" w:rsidRDefault="00C425C7" w:rsidP="00C425C7">
            <w:pPr>
              <w:spacing w:after="160" w:line="278" w:lineRule="auto"/>
            </w:pPr>
            <w:r w:rsidRPr="00C425C7">
              <w:t>Quick Ratio</w:t>
            </w:r>
          </w:p>
        </w:tc>
        <w:tc>
          <w:tcPr>
            <w:tcW w:w="0" w:type="auto"/>
            <w:tcBorders>
              <w:top w:val="single" w:sz="4" w:space="0" w:color="auto"/>
              <w:left w:val="single" w:sz="4" w:space="0" w:color="auto"/>
              <w:bottom w:val="single" w:sz="4" w:space="0" w:color="auto"/>
              <w:right w:val="single" w:sz="4" w:space="0" w:color="auto"/>
            </w:tcBorders>
            <w:hideMark/>
          </w:tcPr>
          <w:p w14:paraId="1C4C342C" w14:textId="77777777" w:rsidR="00C425C7" w:rsidRPr="00C425C7" w:rsidRDefault="00C425C7" w:rsidP="00C425C7">
            <w:pPr>
              <w:spacing w:after="160" w:line="278" w:lineRule="auto"/>
            </w:pPr>
            <w:r w:rsidRPr="00C425C7">
              <w:t xml:space="preserve">(CA - </w:t>
            </w:r>
            <w:proofErr w:type="spellStart"/>
            <w:r w:rsidRPr="00C425C7">
              <w:t>Inv</w:t>
            </w:r>
            <w:proofErr w:type="spellEnd"/>
            <w:r w:rsidRPr="00C425C7">
              <w:t>) / CL</w:t>
            </w:r>
          </w:p>
        </w:tc>
        <w:tc>
          <w:tcPr>
            <w:tcW w:w="0" w:type="auto"/>
            <w:tcBorders>
              <w:top w:val="single" w:sz="4" w:space="0" w:color="auto"/>
              <w:left w:val="single" w:sz="4" w:space="0" w:color="auto"/>
              <w:bottom w:val="single" w:sz="4" w:space="0" w:color="auto"/>
              <w:right w:val="single" w:sz="4" w:space="0" w:color="auto"/>
            </w:tcBorders>
            <w:hideMark/>
          </w:tcPr>
          <w:p w14:paraId="327A324F" w14:textId="77777777" w:rsidR="00C425C7" w:rsidRPr="00C425C7" w:rsidRDefault="00C425C7" w:rsidP="00C425C7">
            <w:pPr>
              <w:spacing w:after="160" w:line="278" w:lineRule="auto"/>
            </w:pPr>
            <w:r w:rsidRPr="00C425C7">
              <w:t>(242,494-79,355) / 158,291 = 1.03</w:t>
            </w:r>
          </w:p>
        </w:tc>
        <w:tc>
          <w:tcPr>
            <w:tcW w:w="0" w:type="auto"/>
            <w:tcBorders>
              <w:top w:val="single" w:sz="4" w:space="0" w:color="auto"/>
              <w:left w:val="single" w:sz="4" w:space="0" w:color="auto"/>
              <w:bottom w:val="single" w:sz="4" w:space="0" w:color="auto"/>
              <w:right w:val="single" w:sz="4" w:space="0" w:color="auto"/>
            </w:tcBorders>
            <w:hideMark/>
          </w:tcPr>
          <w:p w14:paraId="14E8CEA1" w14:textId="77777777" w:rsidR="00C425C7" w:rsidRPr="00C425C7" w:rsidRDefault="00C425C7" w:rsidP="00C425C7">
            <w:pPr>
              <w:spacing w:after="160" w:line="278" w:lineRule="auto"/>
            </w:pPr>
            <w:r w:rsidRPr="00C425C7">
              <w:t>(258,851-88,273) / 161,148 = 1.06</w:t>
            </w:r>
          </w:p>
        </w:tc>
        <w:tc>
          <w:tcPr>
            <w:tcW w:w="0" w:type="auto"/>
            <w:tcBorders>
              <w:top w:val="single" w:sz="4" w:space="0" w:color="auto"/>
              <w:left w:val="single" w:sz="4" w:space="0" w:color="auto"/>
              <w:bottom w:val="single" w:sz="4" w:space="0" w:color="auto"/>
              <w:right w:val="single" w:sz="4" w:space="0" w:color="auto"/>
            </w:tcBorders>
            <w:hideMark/>
          </w:tcPr>
          <w:p w14:paraId="424BA65E" w14:textId="77777777" w:rsidR="00C425C7" w:rsidRPr="00C425C7" w:rsidRDefault="00C425C7" w:rsidP="00C425C7">
            <w:pPr>
              <w:spacing w:after="160" w:line="278" w:lineRule="auto"/>
            </w:pPr>
            <w:r w:rsidRPr="00C425C7">
              <w:t>(338,040-140,181) / 216,473 = 0.91</w:t>
            </w:r>
          </w:p>
        </w:tc>
        <w:tc>
          <w:tcPr>
            <w:tcW w:w="1420" w:type="dxa"/>
            <w:tcBorders>
              <w:top w:val="single" w:sz="4" w:space="0" w:color="auto"/>
              <w:left w:val="single" w:sz="4" w:space="0" w:color="auto"/>
              <w:bottom w:val="single" w:sz="4" w:space="0" w:color="auto"/>
              <w:right w:val="single" w:sz="4" w:space="0" w:color="auto"/>
            </w:tcBorders>
            <w:hideMark/>
          </w:tcPr>
          <w:p w14:paraId="6B3A409C" w14:textId="77777777" w:rsidR="00C425C7" w:rsidRPr="00C425C7" w:rsidRDefault="00C425C7" w:rsidP="00C425C7">
            <w:pPr>
              <w:spacing w:after="160" w:line="278" w:lineRule="auto"/>
            </w:pPr>
            <w:r w:rsidRPr="00C425C7">
              <w:t>(337,146-134,469) / 216,787 = 0.93</w:t>
            </w:r>
          </w:p>
        </w:tc>
        <w:tc>
          <w:tcPr>
            <w:tcW w:w="1559" w:type="dxa"/>
            <w:tcBorders>
              <w:top w:val="single" w:sz="4" w:space="0" w:color="auto"/>
              <w:left w:val="single" w:sz="4" w:space="0" w:color="auto"/>
              <w:bottom w:val="single" w:sz="4" w:space="0" w:color="auto"/>
              <w:right w:val="single" w:sz="4" w:space="0" w:color="auto"/>
            </w:tcBorders>
            <w:hideMark/>
          </w:tcPr>
          <w:p w14:paraId="34CD800E" w14:textId="77777777" w:rsidR="00C425C7" w:rsidRPr="00C425C7" w:rsidRDefault="00C425C7" w:rsidP="00C425C7">
            <w:pPr>
              <w:spacing w:after="160" w:line="278" w:lineRule="auto"/>
            </w:pPr>
            <w:r w:rsidRPr="00C425C7">
              <w:t>(326,843-120,430) / 179,510 = 1.15</w:t>
            </w:r>
          </w:p>
        </w:tc>
      </w:tr>
    </w:tbl>
    <w:p w14:paraId="55B6F082" w14:textId="77777777" w:rsidR="00C425C7" w:rsidRPr="00C425C7" w:rsidRDefault="00C425C7" w:rsidP="00C425C7"/>
    <w:p w14:paraId="6635910D" w14:textId="77777777" w:rsidR="00C425C7" w:rsidRPr="00C425C7" w:rsidRDefault="00C425C7" w:rsidP="00C425C7">
      <w:r w:rsidRPr="00C425C7">
        <w:rPr>
          <w:i/>
          <w:iCs/>
        </w:rPr>
        <w:t>(...and so on for all other ratios: Efficiency, Gearing, Investment)</w:t>
      </w:r>
    </w:p>
    <w:p w14:paraId="300A9A28" w14:textId="77777777" w:rsidR="00C425C7" w:rsidRPr="00C425C7" w:rsidRDefault="00C425C7" w:rsidP="00C425C7"/>
    <w:p w14:paraId="21C8C2BB" w14:textId="77777777" w:rsidR="00C425C7" w:rsidRPr="00C425C7" w:rsidRDefault="00C425C7" w:rsidP="00C425C7">
      <w:pPr>
        <w:rPr>
          <w:b/>
          <w:bCs/>
        </w:rPr>
      </w:pPr>
      <w:r w:rsidRPr="00C425C7">
        <w:rPr>
          <w:b/>
          <w:bCs/>
        </w:rPr>
        <w:t>Appendix B: Altman Z-Score Calculations</w:t>
      </w:r>
    </w:p>
    <w:p w14:paraId="2DE33D60" w14:textId="77777777" w:rsidR="00C425C7" w:rsidRPr="00C425C7" w:rsidRDefault="00C425C7" w:rsidP="00C425C7">
      <w:r w:rsidRPr="00C425C7">
        <w:t>Formula: Z = 1.2X₁ + 1.4X₂ + 3.3X₃ + 0.6X₄ + 1.0X₅</w:t>
      </w:r>
      <w:r w:rsidRPr="00C425C7">
        <w:br/>
      </w:r>
    </w:p>
    <w:tbl>
      <w:tblPr>
        <w:tblStyle w:val="TableGrid"/>
        <w:tblW w:w="0" w:type="auto"/>
        <w:tblLook w:val="04A0" w:firstRow="1" w:lastRow="0" w:firstColumn="1" w:lastColumn="0" w:noHBand="0" w:noVBand="1"/>
      </w:tblPr>
      <w:tblGrid>
        <w:gridCol w:w="1068"/>
        <w:gridCol w:w="868"/>
        <w:gridCol w:w="1416"/>
        <w:gridCol w:w="1416"/>
        <w:gridCol w:w="1416"/>
        <w:gridCol w:w="1416"/>
        <w:gridCol w:w="1416"/>
      </w:tblGrid>
      <w:tr w:rsidR="00C425C7" w:rsidRPr="00C425C7" w14:paraId="0B850E82" w14:textId="77777777">
        <w:tc>
          <w:tcPr>
            <w:tcW w:w="0" w:type="auto"/>
            <w:tcBorders>
              <w:top w:val="single" w:sz="4" w:space="0" w:color="auto"/>
              <w:left w:val="single" w:sz="4" w:space="0" w:color="auto"/>
              <w:bottom w:val="single" w:sz="4" w:space="0" w:color="auto"/>
              <w:right w:val="single" w:sz="4" w:space="0" w:color="auto"/>
            </w:tcBorders>
            <w:hideMark/>
          </w:tcPr>
          <w:p w14:paraId="01B6639F" w14:textId="77777777" w:rsidR="00C425C7" w:rsidRPr="00C425C7" w:rsidRDefault="00C425C7" w:rsidP="00C425C7">
            <w:pPr>
              <w:spacing w:after="160" w:line="278" w:lineRule="auto"/>
              <w:rPr>
                <w:b/>
                <w:bCs/>
              </w:rPr>
            </w:pPr>
            <w:r w:rsidRPr="00C425C7">
              <w:rPr>
                <w:b/>
                <w:bCs/>
              </w:rPr>
              <w:t>Component</w:t>
            </w:r>
          </w:p>
        </w:tc>
        <w:tc>
          <w:tcPr>
            <w:tcW w:w="0" w:type="auto"/>
            <w:tcBorders>
              <w:top w:val="single" w:sz="4" w:space="0" w:color="auto"/>
              <w:left w:val="single" w:sz="4" w:space="0" w:color="auto"/>
              <w:bottom w:val="single" w:sz="4" w:space="0" w:color="auto"/>
              <w:right w:val="single" w:sz="4" w:space="0" w:color="auto"/>
            </w:tcBorders>
            <w:hideMark/>
          </w:tcPr>
          <w:p w14:paraId="4D1872C6" w14:textId="77777777" w:rsidR="00C425C7" w:rsidRPr="00C425C7" w:rsidRDefault="00C425C7" w:rsidP="00C425C7">
            <w:pPr>
              <w:spacing w:after="160" w:line="278" w:lineRule="auto"/>
              <w:rPr>
                <w:b/>
                <w:bCs/>
              </w:rPr>
            </w:pPr>
            <w:r w:rsidRPr="00C425C7">
              <w:rPr>
                <w:b/>
                <w:bCs/>
              </w:rPr>
              <w:t>Formula</w:t>
            </w:r>
          </w:p>
        </w:tc>
        <w:tc>
          <w:tcPr>
            <w:tcW w:w="0" w:type="auto"/>
            <w:tcBorders>
              <w:top w:val="single" w:sz="4" w:space="0" w:color="auto"/>
              <w:left w:val="single" w:sz="4" w:space="0" w:color="auto"/>
              <w:bottom w:val="single" w:sz="4" w:space="0" w:color="auto"/>
              <w:right w:val="single" w:sz="4" w:space="0" w:color="auto"/>
            </w:tcBorders>
            <w:hideMark/>
          </w:tcPr>
          <w:p w14:paraId="3DF7EF9F" w14:textId="77777777" w:rsidR="00C425C7" w:rsidRPr="00C425C7" w:rsidRDefault="00C425C7" w:rsidP="00C425C7">
            <w:pPr>
              <w:spacing w:after="160" w:line="278" w:lineRule="auto"/>
              <w:rPr>
                <w:b/>
                <w:bCs/>
              </w:rPr>
            </w:pPr>
            <w:r w:rsidRPr="00C425C7">
              <w:rPr>
                <w:b/>
                <w:bCs/>
              </w:rPr>
              <w:t>2024</w:t>
            </w:r>
          </w:p>
        </w:tc>
        <w:tc>
          <w:tcPr>
            <w:tcW w:w="0" w:type="auto"/>
            <w:tcBorders>
              <w:top w:val="single" w:sz="4" w:space="0" w:color="auto"/>
              <w:left w:val="single" w:sz="4" w:space="0" w:color="auto"/>
              <w:bottom w:val="single" w:sz="4" w:space="0" w:color="auto"/>
              <w:right w:val="single" w:sz="4" w:space="0" w:color="auto"/>
            </w:tcBorders>
            <w:hideMark/>
          </w:tcPr>
          <w:p w14:paraId="6BB0817F" w14:textId="77777777" w:rsidR="00C425C7" w:rsidRPr="00C425C7" w:rsidRDefault="00C425C7" w:rsidP="00C425C7">
            <w:pPr>
              <w:spacing w:after="160" w:line="278" w:lineRule="auto"/>
              <w:rPr>
                <w:b/>
                <w:bCs/>
              </w:rPr>
            </w:pPr>
            <w:r w:rsidRPr="00C425C7">
              <w:rPr>
                <w:b/>
                <w:bCs/>
              </w:rPr>
              <w:t>2023</w:t>
            </w:r>
          </w:p>
        </w:tc>
        <w:tc>
          <w:tcPr>
            <w:tcW w:w="0" w:type="auto"/>
            <w:tcBorders>
              <w:top w:val="single" w:sz="4" w:space="0" w:color="auto"/>
              <w:left w:val="single" w:sz="4" w:space="0" w:color="auto"/>
              <w:bottom w:val="single" w:sz="4" w:space="0" w:color="auto"/>
              <w:right w:val="single" w:sz="4" w:space="0" w:color="auto"/>
            </w:tcBorders>
            <w:hideMark/>
          </w:tcPr>
          <w:p w14:paraId="6D64E410" w14:textId="77777777" w:rsidR="00C425C7" w:rsidRPr="00C425C7" w:rsidRDefault="00C425C7" w:rsidP="00C425C7">
            <w:pPr>
              <w:spacing w:after="160" w:line="278" w:lineRule="auto"/>
              <w:rPr>
                <w:b/>
                <w:bCs/>
              </w:rPr>
            </w:pPr>
            <w:r w:rsidRPr="00C425C7">
              <w:rPr>
                <w:b/>
                <w:bCs/>
              </w:rPr>
              <w:t>2022</w:t>
            </w:r>
          </w:p>
        </w:tc>
        <w:tc>
          <w:tcPr>
            <w:tcW w:w="0" w:type="auto"/>
            <w:tcBorders>
              <w:top w:val="single" w:sz="4" w:space="0" w:color="auto"/>
              <w:left w:val="single" w:sz="4" w:space="0" w:color="auto"/>
              <w:bottom w:val="single" w:sz="4" w:space="0" w:color="auto"/>
              <w:right w:val="single" w:sz="4" w:space="0" w:color="auto"/>
            </w:tcBorders>
            <w:hideMark/>
          </w:tcPr>
          <w:p w14:paraId="528E2EA0" w14:textId="77777777" w:rsidR="00C425C7" w:rsidRPr="00C425C7" w:rsidRDefault="00C425C7" w:rsidP="00C425C7">
            <w:pPr>
              <w:spacing w:after="160" w:line="278" w:lineRule="auto"/>
              <w:rPr>
                <w:b/>
                <w:bCs/>
              </w:rPr>
            </w:pPr>
            <w:r w:rsidRPr="00C425C7">
              <w:rPr>
                <w:b/>
                <w:bCs/>
              </w:rPr>
              <w:t>2021</w:t>
            </w:r>
          </w:p>
        </w:tc>
        <w:tc>
          <w:tcPr>
            <w:tcW w:w="0" w:type="auto"/>
            <w:tcBorders>
              <w:top w:val="single" w:sz="4" w:space="0" w:color="auto"/>
              <w:left w:val="single" w:sz="4" w:space="0" w:color="auto"/>
              <w:bottom w:val="single" w:sz="4" w:space="0" w:color="auto"/>
              <w:right w:val="single" w:sz="4" w:space="0" w:color="auto"/>
            </w:tcBorders>
            <w:hideMark/>
          </w:tcPr>
          <w:p w14:paraId="339F90DC" w14:textId="77777777" w:rsidR="00C425C7" w:rsidRPr="00C425C7" w:rsidRDefault="00C425C7" w:rsidP="00C425C7">
            <w:pPr>
              <w:spacing w:after="160" w:line="278" w:lineRule="auto"/>
              <w:rPr>
                <w:b/>
                <w:bCs/>
              </w:rPr>
            </w:pPr>
            <w:r w:rsidRPr="00C425C7">
              <w:rPr>
                <w:b/>
                <w:bCs/>
              </w:rPr>
              <w:t>2020</w:t>
            </w:r>
          </w:p>
        </w:tc>
      </w:tr>
      <w:tr w:rsidR="00C425C7" w:rsidRPr="00C425C7" w14:paraId="6C6AAD63" w14:textId="77777777">
        <w:tc>
          <w:tcPr>
            <w:tcW w:w="0" w:type="auto"/>
            <w:tcBorders>
              <w:top w:val="single" w:sz="4" w:space="0" w:color="auto"/>
              <w:left w:val="single" w:sz="4" w:space="0" w:color="auto"/>
              <w:bottom w:val="single" w:sz="4" w:space="0" w:color="auto"/>
              <w:right w:val="single" w:sz="4" w:space="0" w:color="auto"/>
            </w:tcBorders>
            <w:hideMark/>
          </w:tcPr>
          <w:p w14:paraId="0A8A48C1" w14:textId="77777777" w:rsidR="00C425C7" w:rsidRPr="00C425C7" w:rsidRDefault="00C425C7" w:rsidP="00C425C7">
            <w:pPr>
              <w:spacing w:after="160" w:line="278" w:lineRule="auto"/>
            </w:pPr>
            <w:r w:rsidRPr="00C425C7">
              <w:t>X₁</w:t>
            </w:r>
          </w:p>
        </w:tc>
        <w:tc>
          <w:tcPr>
            <w:tcW w:w="0" w:type="auto"/>
            <w:tcBorders>
              <w:top w:val="single" w:sz="4" w:space="0" w:color="auto"/>
              <w:left w:val="single" w:sz="4" w:space="0" w:color="auto"/>
              <w:bottom w:val="single" w:sz="4" w:space="0" w:color="auto"/>
              <w:right w:val="single" w:sz="4" w:space="0" w:color="auto"/>
            </w:tcBorders>
            <w:hideMark/>
          </w:tcPr>
          <w:p w14:paraId="7615B813" w14:textId="77777777" w:rsidR="00C425C7" w:rsidRPr="00C425C7" w:rsidRDefault="00C425C7" w:rsidP="00C425C7">
            <w:pPr>
              <w:spacing w:after="160" w:line="278" w:lineRule="auto"/>
            </w:pPr>
            <w:r w:rsidRPr="00C425C7">
              <w:t xml:space="preserve">(Current Assets - Current </w:t>
            </w:r>
            <w:proofErr w:type="spellStart"/>
            <w:r w:rsidRPr="00C425C7">
              <w:t>Liab</w:t>
            </w:r>
            <w:proofErr w:type="spellEnd"/>
            <w:r w:rsidRPr="00C425C7">
              <w:t>.) / Total Assets</w:t>
            </w:r>
          </w:p>
        </w:tc>
        <w:tc>
          <w:tcPr>
            <w:tcW w:w="0" w:type="auto"/>
            <w:tcBorders>
              <w:top w:val="single" w:sz="4" w:space="0" w:color="auto"/>
              <w:left w:val="single" w:sz="4" w:space="0" w:color="auto"/>
              <w:bottom w:val="single" w:sz="4" w:space="0" w:color="auto"/>
              <w:right w:val="single" w:sz="4" w:space="0" w:color="auto"/>
            </w:tcBorders>
            <w:hideMark/>
          </w:tcPr>
          <w:p w14:paraId="3A43B84C" w14:textId="77777777" w:rsidR="00C425C7" w:rsidRPr="00C425C7" w:rsidRDefault="00C425C7" w:rsidP="00C425C7">
            <w:pPr>
              <w:spacing w:after="160" w:line="278" w:lineRule="auto"/>
            </w:pPr>
            <w:r w:rsidRPr="00C425C7">
              <w:t>(242,494-158,291)/323,354 = 0.260</w:t>
            </w:r>
          </w:p>
        </w:tc>
        <w:tc>
          <w:tcPr>
            <w:tcW w:w="0" w:type="auto"/>
            <w:tcBorders>
              <w:top w:val="single" w:sz="4" w:space="0" w:color="auto"/>
              <w:left w:val="single" w:sz="4" w:space="0" w:color="auto"/>
              <w:bottom w:val="single" w:sz="4" w:space="0" w:color="auto"/>
              <w:right w:val="single" w:sz="4" w:space="0" w:color="auto"/>
            </w:tcBorders>
            <w:hideMark/>
          </w:tcPr>
          <w:p w14:paraId="53021E24" w14:textId="77777777" w:rsidR="00C425C7" w:rsidRPr="00C425C7" w:rsidRDefault="00C425C7" w:rsidP="00C425C7">
            <w:pPr>
              <w:spacing w:after="160" w:line="278" w:lineRule="auto"/>
            </w:pPr>
            <w:r w:rsidRPr="00C425C7">
              <w:t>(258,851-161,148)/355,872 = 0.275</w:t>
            </w:r>
          </w:p>
        </w:tc>
        <w:tc>
          <w:tcPr>
            <w:tcW w:w="0" w:type="auto"/>
            <w:tcBorders>
              <w:top w:val="single" w:sz="4" w:space="0" w:color="auto"/>
              <w:left w:val="single" w:sz="4" w:space="0" w:color="auto"/>
              <w:bottom w:val="single" w:sz="4" w:space="0" w:color="auto"/>
              <w:right w:val="single" w:sz="4" w:space="0" w:color="auto"/>
            </w:tcBorders>
            <w:hideMark/>
          </w:tcPr>
          <w:p w14:paraId="134B1F73" w14:textId="77777777" w:rsidR="00C425C7" w:rsidRPr="00C425C7" w:rsidRDefault="00C425C7" w:rsidP="00C425C7">
            <w:pPr>
              <w:spacing w:after="160" w:line="278" w:lineRule="auto"/>
            </w:pPr>
            <w:r w:rsidRPr="00C425C7">
              <w:t>(338,040-216,473)/504,163 = 0.241</w:t>
            </w:r>
          </w:p>
        </w:tc>
        <w:tc>
          <w:tcPr>
            <w:tcW w:w="0" w:type="auto"/>
            <w:tcBorders>
              <w:top w:val="single" w:sz="4" w:space="0" w:color="auto"/>
              <w:left w:val="single" w:sz="4" w:space="0" w:color="auto"/>
              <w:bottom w:val="single" w:sz="4" w:space="0" w:color="auto"/>
              <w:right w:val="single" w:sz="4" w:space="0" w:color="auto"/>
            </w:tcBorders>
            <w:hideMark/>
          </w:tcPr>
          <w:p w14:paraId="4402467C" w14:textId="77777777" w:rsidR="00C425C7" w:rsidRPr="00C425C7" w:rsidRDefault="00C425C7" w:rsidP="00C425C7">
            <w:pPr>
              <w:spacing w:after="160" w:line="278" w:lineRule="auto"/>
            </w:pPr>
            <w:r w:rsidRPr="00C425C7">
              <w:t>(337,146-216,787)/510,348 = 0.236</w:t>
            </w:r>
          </w:p>
        </w:tc>
        <w:tc>
          <w:tcPr>
            <w:tcW w:w="0" w:type="auto"/>
            <w:tcBorders>
              <w:top w:val="single" w:sz="4" w:space="0" w:color="auto"/>
              <w:left w:val="single" w:sz="4" w:space="0" w:color="auto"/>
              <w:bottom w:val="single" w:sz="4" w:space="0" w:color="auto"/>
              <w:right w:val="single" w:sz="4" w:space="0" w:color="auto"/>
            </w:tcBorders>
            <w:hideMark/>
          </w:tcPr>
          <w:p w14:paraId="2656D65E" w14:textId="77777777" w:rsidR="00C425C7" w:rsidRPr="00C425C7" w:rsidRDefault="00C425C7" w:rsidP="00C425C7">
            <w:pPr>
              <w:spacing w:after="160" w:line="278" w:lineRule="auto"/>
            </w:pPr>
            <w:r w:rsidRPr="00C425C7">
              <w:t>(326,843-179,510)/510,290 = 0.289</w:t>
            </w:r>
          </w:p>
        </w:tc>
      </w:tr>
      <w:tr w:rsidR="00C425C7" w:rsidRPr="00C425C7" w14:paraId="76734AAA" w14:textId="77777777">
        <w:tc>
          <w:tcPr>
            <w:tcW w:w="0" w:type="auto"/>
            <w:tcBorders>
              <w:top w:val="single" w:sz="4" w:space="0" w:color="auto"/>
              <w:left w:val="single" w:sz="4" w:space="0" w:color="auto"/>
              <w:bottom w:val="single" w:sz="4" w:space="0" w:color="auto"/>
              <w:right w:val="single" w:sz="4" w:space="0" w:color="auto"/>
            </w:tcBorders>
            <w:hideMark/>
          </w:tcPr>
          <w:p w14:paraId="538A959E" w14:textId="77777777" w:rsidR="00C425C7" w:rsidRPr="00C425C7" w:rsidRDefault="00C425C7" w:rsidP="00C425C7">
            <w:pPr>
              <w:spacing w:after="160" w:line="278" w:lineRule="auto"/>
            </w:pPr>
            <w:r w:rsidRPr="00C425C7">
              <w:t>X₂</w:t>
            </w:r>
          </w:p>
        </w:tc>
        <w:tc>
          <w:tcPr>
            <w:tcW w:w="0" w:type="auto"/>
            <w:tcBorders>
              <w:top w:val="single" w:sz="4" w:space="0" w:color="auto"/>
              <w:left w:val="single" w:sz="4" w:space="0" w:color="auto"/>
              <w:bottom w:val="single" w:sz="4" w:space="0" w:color="auto"/>
              <w:right w:val="single" w:sz="4" w:space="0" w:color="auto"/>
            </w:tcBorders>
            <w:hideMark/>
          </w:tcPr>
          <w:p w14:paraId="069AA28C" w14:textId="77777777" w:rsidR="00C425C7" w:rsidRPr="00C425C7" w:rsidRDefault="00C425C7" w:rsidP="00C425C7">
            <w:pPr>
              <w:spacing w:after="160" w:line="278" w:lineRule="auto"/>
            </w:pPr>
            <w:r w:rsidRPr="00C425C7">
              <w:t>Retained Earnings / Total Assets</w:t>
            </w:r>
          </w:p>
        </w:tc>
        <w:tc>
          <w:tcPr>
            <w:tcW w:w="0" w:type="auto"/>
            <w:tcBorders>
              <w:top w:val="single" w:sz="4" w:space="0" w:color="auto"/>
              <w:left w:val="single" w:sz="4" w:space="0" w:color="auto"/>
              <w:bottom w:val="single" w:sz="4" w:space="0" w:color="auto"/>
              <w:right w:val="single" w:sz="4" w:space="0" w:color="auto"/>
            </w:tcBorders>
            <w:hideMark/>
          </w:tcPr>
          <w:p w14:paraId="755A87A8" w14:textId="77777777" w:rsidR="00C425C7" w:rsidRPr="00C425C7" w:rsidRDefault="00C425C7" w:rsidP="00C425C7">
            <w:pPr>
              <w:spacing w:after="160" w:line="278" w:lineRule="auto"/>
            </w:pPr>
            <w:r w:rsidRPr="00C425C7">
              <w:t>208,431 / 323,354 = 0.645</w:t>
            </w:r>
          </w:p>
        </w:tc>
        <w:tc>
          <w:tcPr>
            <w:tcW w:w="0" w:type="auto"/>
            <w:tcBorders>
              <w:top w:val="single" w:sz="4" w:space="0" w:color="auto"/>
              <w:left w:val="single" w:sz="4" w:space="0" w:color="auto"/>
              <w:bottom w:val="single" w:sz="4" w:space="0" w:color="auto"/>
              <w:right w:val="single" w:sz="4" w:space="0" w:color="auto"/>
            </w:tcBorders>
            <w:hideMark/>
          </w:tcPr>
          <w:p w14:paraId="2D133E14" w14:textId="77777777" w:rsidR="00C425C7" w:rsidRPr="00C425C7" w:rsidRDefault="00C425C7" w:rsidP="00C425C7">
            <w:pPr>
              <w:spacing w:after="160" w:line="278" w:lineRule="auto"/>
            </w:pPr>
            <w:r w:rsidRPr="00C425C7">
              <w:t>232,460 / 355,872 = 0.653</w:t>
            </w:r>
          </w:p>
        </w:tc>
        <w:tc>
          <w:tcPr>
            <w:tcW w:w="0" w:type="auto"/>
            <w:tcBorders>
              <w:top w:val="single" w:sz="4" w:space="0" w:color="auto"/>
              <w:left w:val="single" w:sz="4" w:space="0" w:color="auto"/>
              <w:bottom w:val="single" w:sz="4" w:space="0" w:color="auto"/>
              <w:right w:val="single" w:sz="4" w:space="0" w:color="auto"/>
            </w:tcBorders>
            <w:hideMark/>
          </w:tcPr>
          <w:p w14:paraId="56415D75" w14:textId="77777777" w:rsidR="00C425C7" w:rsidRPr="00C425C7" w:rsidRDefault="00C425C7" w:rsidP="00C425C7">
            <w:pPr>
              <w:spacing w:after="160" w:line="278" w:lineRule="auto"/>
            </w:pPr>
            <w:r w:rsidRPr="00C425C7">
              <w:t>330,698 / 504,163 = 0.656</w:t>
            </w:r>
          </w:p>
        </w:tc>
        <w:tc>
          <w:tcPr>
            <w:tcW w:w="0" w:type="auto"/>
            <w:tcBorders>
              <w:top w:val="single" w:sz="4" w:space="0" w:color="auto"/>
              <w:left w:val="single" w:sz="4" w:space="0" w:color="auto"/>
              <w:bottom w:val="single" w:sz="4" w:space="0" w:color="auto"/>
              <w:right w:val="single" w:sz="4" w:space="0" w:color="auto"/>
            </w:tcBorders>
            <w:hideMark/>
          </w:tcPr>
          <w:p w14:paraId="24AB2354" w14:textId="77777777" w:rsidR="00C425C7" w:rsidRPr="00C425C7" w:rsidRDefault="00C425C7" w:rsidP="00C425C7">
            <w:pPr>
              <w:spacing w:after="160" w:line="278" w:lineRule="auto"/>
            </w:pPr>
            <w:r w:rsidRPr="00C425C7">
              <w:t>330,291 / 510,348 = 0.647</w:t>
            </w:r>
          </w:p>
        </w:tc>
        <w:tc>
          <w:tcPr>
            <w:tcW w:w="0" w:type="auto"/>
            <w:tcBorders>
              <w:top w:val="single" w:sz="4" w:space="0" w:color="auto"/>
              <w:left w:val="single" w:sz="4" w:space="0" w:color="auto"/>
              <w:bottom w:val="single" w:sz="4" w:space="0" w:color="auto"/>
              <w:right w:val="single" w:sz="4" w:space="0" w:color="auto"/>
            </w:tcBorders>
            <w:hideMark/>
          </w:tcPr>
          <w:p w14:paraId="54770E7A" w14:textId="77777777" w:rsidR="00C425C7" w:rsidRPr="00C425C7" w:rsidRDefault="00C425C7" w:rsidP="00C425C7">
            <w:pPr>
              <w:spacing w:after="160" w:line="278" w:lineRule="auto"/>
            </w:pPr>
            <w:r w:rsidRPr="00C425C7">
              <w:t>324,990 / 510,290 = 0.637</w:t>
            </w:r>
          </w:p>
        </w:tc>
      </w:tr>
      <w:tr w:rsidR="00C425C7" w:rsidRPr="00C425C7" w14:paraId="001C3DD3" w14:textId="77777777">
        <w:tc>
          <w:tcPr>
            <w:tcW w:w="0" w:type="auto"/>
            <w:tcBorders>
              <w:top w:val="single" w:sz="4" w:space="0" w:color="auto"/>
              <w:left w:val="single" w:sz="4" w:space="0" w:color="auto"/>
              <w:bottom w:val="single" w:sz="4" w:space="0" w:color="auto"/>
              <w:right w:val="single" w:sz="4" w:space="0" w:color="auto"/>
            </w:tcBorders>
            <w:hideMark/>
          </w:tcPr>
          <w:p w14:paraId="40044EA0" w14:textId="77777777" w:rsidR="00C425C7" w:rsidRPr="00C425C7" w:rsidRDefault="00C425C7" w:rsidP="00C425C7">
            <w:pPr>
              <w:spacing w:after="160" w:line="278" w:lineRule="auto"/>
            </w:pPr>
            <w:r w:rsidRPr="00C425C7">
              <w:t>X₃</w:t>
            </w:r>
          </w:p>
        </w:tc>
        <w:tc>
          <w:tcPr>
            <w:tcW w:w="0" w:type="auto"/>
            <w:tcBorders>
              <w:top w:val="single" w:sz="4" w:space="0" w:color="auto"/>
              <w:left w:val="single" w:sz="4" w:space="0" w:color="auto"/>
              <w:bottom w:val="single" w:sz="4" w:space="0" w:color="auto"/>
              <w:right w:val="single" w:sz="4" w:space="0" w:color="auto"/>
            </w:tcBorders>
            <w:hideMark/>
          </w:tcPr>
          <w:p w14:paraId="00491523" w14:textId="77777777" w:rsidR="00C425C7" w:rsidRPr="00C425C7" w:rsidRDefault="00C425C7" w:rsidP="00C425C7">
            <w:pPr>
              <w:spacing w:after="160" w:line="278" w:lineRule="auto"/>
            </w:pPr>
            <w:r w:rsidRPr="00C425C7">
              <w:t>EBIT / Total Assets</w:t>
            </w:r>
          </w:p>
        </w:tc>
        <w:tc>
          <w:tcPr>
            <w:tcW w:w="0" w:type="auto"/>
            <w:tcBorders>
              <w:top w:val="single" w:sz="4" w:space="0" w:color="auto"/>
              <w:left w:val="single" w:sz="4" w:space="0" w:color="auto"/>
              <w:bottom w:val="single" w:sz="4" w:space="0" w:color="auto"/>
              <w:right w:val="single" w:sz="4" w:space="0" w:color="auto"/>
            </w:tcBorders>
            <w:hideMark/>
          </w:tcPr>
          <w:p w14:paraId="0EBC9E5C" w14:textId="77777777" w:rsidR="00C425C7" w:rsidRPr="00C425C7" w:rsidRDefault="00C425C7" w:rsidP="00C425C7">
            <w:pPr>
              <w:spacing w:after="160" w:line="278" w:lineRule="auto"/>
            </w:pPr>
            <w:r w:rsidRPr="00C425C7">
              <w:t>(15,297) / 323,354 = -0.047</w:t>
            </w:r>
          </w:p>
        </w:tc>
        <w:tc>
          <w:tcPr>
            <w:tcW w:w="0" w:type="auto"/>
            <w:tcBorders>
              <w:top w:val="single" w:sz="4" w:space="0" w:color="auto"/>
              <w:left w:val="single" w:sz="4" w:space="0" w:color="auto"/>
              <w:bottom w:val="single" w:sz="4" w:space="0" w:color="auto"/>
              <w:right w:val="single" w:sz="4" w:space="0" w:color="auto"/>
            </w:tcBorders>
            <w:hideMark/>
          </w:tcPr>
          <w:p w14:paraId="7513DD34" w14:textId="77777777" w:rsidR="00C425C7" w:rsidRPr="00C425C7" w:rsidRDefault="00C425C7" w:rsidP="00C425C7">
            <w:pPr>
              <w:spacing w:after="160" w:line="278" w:lineRule="auto"/>
            </w:pPr>
            <w:r w:rsidRPr="00C425C7">
              <w:t>(85,301) / 355,872 = -0.239</w:t>
            </w:r>
          </w:p>
        </w:tc>
        <w:tc>
          <w:tcPr>
            <w:tcW w:w="0" w:type="auto"/>
            <w:tcBorders>
              <w:top w:val="single" w:sz="4" w:space="0" w:color="auto"/>
              <w:left w:val="single" w:sz="4" w:space="0" w:color="auto"/>
              <w:bottom w:val="single" w:sz="4" w:space="0" w:color="auto"/>
              <w:right w:val="single" w:sz="4" w:space="0" w:color="auto"/>
            </w:tcBorders>
            <w:hideMark/>
          </w:tcPr>
          <w:p w14:paraId="1619FB6D" w14:textId="77777777" w:rsidR="00C425C7" w:rsidRPr="00C425C7" w:rsidRDefault="00C425C7" w:rsidP="00C425C7">
            <w:pPr>
              <w:spacing w:after="160" w:line="278" w:lineRule="auto"/>
            </w:pPr>
            <w:r w:rsidRPr="00C425C7">
              <w:t>14,548 / 504,163 = 0.029</w:t>
            </w:r>
          </w:p>
        </w:tc>
        <w:tc>
          <w:tcPr>
            <w:tcW w:w="0" w:type="auto"/>
            <w:tcBorders>
              <w:top w:val="single" w:sz="4" w:space="0" w:color="auto"/>
              <w:left w:val="single" w:sz="4" w:space="0" w:color="auto"/>
              <w:bottom w:val="single" w:sz="4" w:space="0" w:color="auto"/>
              <w:right w:val="single" w:sz="4" w:space="0" w:color="auto"/>
            </w:tcBorders>
            <w:hideMark/>
          </w:tcPr>
          <w:p w14:paraId="7DCF4110" w14:textId="77777777" w:rsidR="00C425C7" w:rsidRPr="00C425C7" w:rsidRDefault="00C425C7" w:rsidP="00C425C7">
            <w:pPr>
              <w:spacing w:after="160" w:line="278" w:lineRule="auto"/>
            </w:pPr>
            <w:r w:rsidRPr="00C425C7">
              <w:t>23,253 / 510,348 = 0.046</w:t>
            </w:r>
          </w:p>
        </w:tc>
        <w:tc>
          <w:tcPr>
            <w:tcW w:w="0" w:type="auto"/>
            <w:tcBorders>
              <w:top w:val="single" w:sz="4" w:space="0" w:color="auto"/>
              <w:left w:val="single" w:sz="4" w:space="0" w:color="auto"/>
              <w:bottom w:val="single" w:sz="4" w:space="0" w:color="auto"/>
              <w:right w:val="single" w:sz="4" w:space="0" w:color="auto"/>
            </w:tcBorders>
            <w:hideMark/>
          </w:tcPr>
          <w:p w14:paraId="12FFF30F" w14:textId="77777777" w:rsidR="00C425C7" w:rsidRPr="00C425C7" w:rsidRDefault="00C425C7" w:rsidP="00C425C7">
            <w:pPr>
              <w:spacing w:after="160" w:line="278" w:lineRule="auto"/>
            </w:pPr>
            <w:r w:rsidRPr="00C425C7">
              <w:t>37,267 / 510,290 = 0.073</w:t>
            </w:r>
          </w:p>
        </w:tc>
      </w:tr>
      <w:tr w:rsidR="00C425C7" w:rsidRPr="00C425C7" w14:paraId="5B25343F" w14:textId="77777777">
        <w:tc>
          <w:tcPr>
            <w:tcW w:w="0" w:type="auto"/>
            <w:tcBorders>
              <w:top w:val="single" w:sz="4" w:space="0" w:color="auto"/>
              <w:left w:val="single" w:sz="4" w:space="0" w:color="auto"/>
              <w:bottom w:val="single" w:sz="4" w:space="0" w:color="auto"/>
              <w:right w:val="single" w:sz="4" w:space="0" w:color="auto"/>
            </w:tcBorders>
            <w:hideMark/>
          </w:tcPr>
          <w:p w14:paraId="567C840B" w14:textId="77777777" w:rsidR="00C425C7" w:rsidRPr="00C425C7" w:rsidRDefault="00C425C7" w:rsidP="00C425C7">
            <w:pPr>
              <w:spacing w:after="160" w:line="278" w:lineRule="auto"/>
            </w:pPr>
            <w:r w:rsidRPr="00C425C7">
              <w:lastRenderedPageBreak/>
              <w:t>X₄</w:t>
            </w:r>
          </w:p>
        </w:tc>
        <w:tc>
          <w:tcPr>
            <w:tcW w:w="0" w:type="auto"/>
            <w:tcBorders>
              <w:top w:val="single" w:sz="4" w:space="0" w:color="auto"/>
              <w:left w:val="single" w:sz="4" w:space="0" w:color="auto"/>
              <w:bottom w:val="single" w:sz="4" w:space="0" w:color="auto"/>
              <w:right w:val="single" w:sz="4" w:space="0" w:color="auto"/>
            </w:tcBorders>
            <w:hideMark/>
          </w:tcPr>
          <w:p w14:paraId="01E28347" w14:textId="77777777" w:rsidR="00C425C7" w:rsidRPr="00C425C7" w:rsidRDefault="00C425C7" w:rsidP="00C425C7">
            <w:pPr>
              <w:spacing w:after="160" w:line="278" w:lineRule="auto"/>
            </w:pPr>
            <w:r w:rsidRPr="00C425C7">
              <w:t>Total Equity / Total Liabilities</w:t>
            </w:r>
          </w:p>
        </w:tc>
        <w:tc>
          <w:tcPr>
            <w:tcW w:w="0" w:type="auto"/>
            <w:tcBorders>
              <w:top w:val="single" w:sz="4" w:space="0" w:color="auto"/>
              <w:left w:val="single" w:sz="4" w:space="0" w:color="auto"/>
              <w:bottom w:val="single" w:sz="4" w:space="0" w:color="auto"/>
              <w:right w:val="single" w:sz="4" w:space="0" w:color="auto"/>
            </w:tcBorders>
            <w:hideMark/>
          </w:tcPr>
          <w:p w14:paraId="69D2DE28" w14:textId="77777777" w:rsidR="00C425C7" w:rsidRPr="00C425C7" w:rsidRDefault="00C425C7" w:rsidP="00C425C7">
            <w:pPr>
              <w:spacing w:after="160" w:line="278" w:lineRule="auto"/>
            </w:pPr>
            <w:r w:rsidRPr="00C425C7">
              <w:t>153,105 / 170,249 = 0.899</w:t>
            </w:r>
          </w:p>
        </w:tc>
        <w:tc>
          <w:tcPr>
            <w:tcW w:w="0" w:type="auto"/>
            <w:tcBorders>
              <w:top w:val="single" w:sz="4" w:space="0" w:color="auto"/>
              <w:left w:val="single" w:sz="4" w:space="0" w:color="auto"/>
              <w:bottom w:val="single" w:sz="4" w:space="0" w:color="auto"/>
              <w:right w:val="single" w:sz="4" w:space="0" w:color="auto"/>
            </w:tcBorders>
            <w:hideMark/>
          </w:tcPr>
          <w:p w14:paraId="59A19A8B" w14:textId="77777777" w:rsidR="00C425C7" w:rsidRPr="00C425C7" w:rsidRDefault="00C425C7" w:rsidP="00C425C7">
            <w:pPr>
              <w:spacing w:after="160" w:line="278" w:lineRule="auto"/>
            </w:pPr>
            <w:r w:rsidRPr="00C425C7">
              <w:t>178,920 / 176,952 = 1.011</w:t>
            </w:r>
          </w:p>
        </w:tc>
        <w:tc>
          <w:tcPr>
            <w:tcW w:w="0" w:type="auto"/>
            <w:tcBorders>
              <w:top w:val="single" w:sz="4" w:space="0" w:color="auto"/>
              <w:left w:val="single" w:sz="4" w:space="0" w:color="auto"/>
              <w:bottom w:val="single" w:sz="4" w:space="0" w:color="auto"/>
              <w:right w:val="single" w:sz="4" w:space="0" w:color="auto"/>
            </w:tcBorders>
            <w:hideMark/>
          </w:tcPr>
          <w:p w14:paraId="27B2BA90" w14:textId="77777777" w:rsidR="00C425C7" w:rsidRPr="00C425C7" w:rsidRDefault="00C425C7" w:rsidP="00C425C7">
            <w:pPr>
              <w:spacing w:after="160" w:line="278" w:lineRule="auto"/>
            </w:pPr>
            <w:r w:rsidRPr="00C425C7">
              <w:t>268,406 / 235,757 = 1.138</w:t>
            </w:r>
          </w:p>
        </w:tc>
        <w:tc>
          <w:tcPr>
            <w:tcW w:w="0" w:type="auto"/>
            <w:tcBorders>
              <w:top w:val="single" w:sz="4" w:space="0" w:color="auto"/>
              <w:left w:val="single" w:sz="4" w:space="0" w:color="auto"/>
              <w:bottom w:val="single" w:sz="4" w:space="0" w:color="auto"/>
              <w:right w:val="single" w:sz="4" w:space="0" w:color="auto"/>
            </w:tcBorders>
            <w:hideMark/>
          </w:tcPr>
          <w:p w14:paraId="0EABE7A7" w14:textId="77777777" w:rsidR="00C425C7" w:rsidRPr="00C425C7" w:rsidRDefault="00C425C7" w:rsidP="00C425C7">
            <w:pPr>
              <w:spacing w:after="160" w:line="278" w:lineRule="auto"/>
            </w:pPr>
            <w:r w:rsidRPr="00C425C7">
              <w:t>275,949 / 234,399 = 1.177</w:t>
            </w:r>
          </w:p>
        </w:tc>
        <w:tc>
          <w:tcPr>
            <w:tcW w:w="0" w:type="auto"/>
            <w:tcBorders>
              <w:top w:val="single" w:sz="4" w:space="0" w:color="auto"/>
              <w:left w:val="single" w:sz="4" w:space="0" w:color="auto"/>
              <w:bottom w:val="single" w:sz="4" w:space="0" w:color="auto"/>
              <w:right w:val="single" w:sz="4" w:space="0" w:color="auto"/>
            </w:tcBorders>
            <w:hideMark/>
          </w:tcPr>
          <w:p w14:paraId="73E2B420" w14:textId="77777777" w:rsidR="00C425C7" w:rsidRPr="00C425C7" w:rsidRDefault="00C425C7" w:rsidP="00C425C7">
            <w:pPr>
              <w:spacing w:after="160" w:line="278" w:lineRule="auto"/>
            </w:pPr>
            <w:r w:rsidRPr="00C425C7">
              <w:t>313,301 / 196,989 = 1.590</w:t>
            </w:r>
          </w:p>
        </w:tc>
      </w:tr>
      <w:tr w:rsidR="00C425C7" w:rsidRPr="00C425C7" w14:paraId="210508AD" w14:textId="77777777">
        <w:tc>
          <w:tcPr>
            <w:tcW w:w="0" w:type="auto"/>
            <w:tcBorders>
              <w:top w:val="single" w:sz="4" w:space="0" w:color="auto"/>
              <w:left w:val="single" w:sz="4" w:space="0" w:color="auto"/>
              <w:bottom w:val="single" w:sz="4" w:space="0" w:color="auto"/>
              <w:right w:val="single" w:sz="4" w:space="0" w:color="auto"/>
            </w:tcBorders>
            <w:hideMark/>
          </w:tcPr>
          <w:p w14:paraId="3D524235" w14:textId="77777777" w:rsidR="00C425C7" w:rsidRPr="00C425C7" w:rsidRDefault="00C425C7" w:rsidP="00C425C7">
            <w:pPr>
              <w:spacing w:after="160" w:line="278" w:lineRule="auto"/>
            </w:pPr>
            <w:r w:rsidRPr="00C425C7">
              <w:t>X₅</w:t>
            </w:r>
          </w:p>
        </w:tc>
        <w:tc>
          <w:tcPr>
            <w:tcW w:w="0" w:type="auto"/>
            <w:tcBorders>
              <w:top w:val="single" w:sz="4" w:space="0" w:color="auto"/>
              <w:left w:val="single" w:sz="4" w:space="0" w:color="auto"/>
              <w:bottom w:val="single" w:sz="4" w:space="0" w:color="auto"/>
              <w:right w:val="single" w:sz="4" w:space="0" w:color="auto"/>
            </w:tcBorders>
            <w:hideMark/>
          </w:tcPr>
          <w:p w14:paraId="17C2C59F" w14:textId="77777777" w:rsidR="00C425C7" w:rsidRPr="00C425C7" w:rsidRDefault="00C425C7" w:rsidP="00C425C7">
            <w:pPr>
              <w:spacing w:after="160" w:line="278" w:lineRule="auto"/>
            </w:pPr>
            <w:r w:rsidRPr="00C425C7">
              <w:t>Net Sales / Total Assets</w:t>
            </w:r>
          </w:p>
        </w:tc>
        <w:tc>
          <w:tcPr>
            <w:tcW w:w="0" w:type="auto"/>
            <w:tcBorders>
              <w:top w:val="single" w:sz="4" w:space="0" w:color="auto"/>
              <w:left w:val="single" w:sz="4" w:space="0" w:color="auto"/>
              <w:bottom w:val="single" w:sz="4" w:space="0" w:color="auto"/>
              <w:right w:val="single" w:sz="4" w:space="0" w:color="auto"/>
            </w:tcBorders>
            <w:hideMark/>
          </w:tcPr>
          <w:p w14:paraId="26241A7D" w14:textId="77777777" w:rsidR="00C425C7" w:rsidRPr="00C425C7" w:rsidRDefault="00C425C7" w:rsidP="00C425C7">
            <w:pPr>
              <w:spacing w:after="160" w:line="278" w:lineRule="auto"/>
            </w:pPr>
            <w:r w:rsidRPr="00C425C7">
              <w:t>394,879 / 323,354 = 1.221</w:t>
            </w:r>
          </w:p>
        </w:tc>
        <w:tc>
          <w:tcPr>
            <w:tcW w:w="0" w:type="auto"/>
            <w:tcBorders>
              <w:top w:val="single" w:sz="4" w:space="0" w:color="auto"/>
              <w:left w:val="single" w:sz="4" w:space="0" w:color="auto"/>
              <w:bottom w:val="single" w:sz="4" w:space="0" w:color="auto"/>
              <w:right w:val="single" w:sz="4" w:space="0" w:color="auto"/>
            </w:tcBorders>
            <w:hideMark/>
          </w:tcPr>
          <w:p w14:paraId="5218E9F4" w14:textId="77777777" w:rsidR="00C425C7" w:rsidRPr="00C425C7" w:rsidRDefault="00C425C7" w:rsidP="00C425C7">
            <w:pPr>
              <w:spacing w:after="160" w:line="278" w:lineRule="auto"/>
            </w:pPr>
            <w:r w:rsidRPr="00C425C7">
              <w:t>420,457 / 355,872 = 1.181</w:t>
            </w:r>
          </w:p>
        </w:tc>
        <w:tc>
          <w:tcPr>
            <w:tcW w:w="0" w:type="auto"/>
            <w:tcBorders>
              <w:top w:val="single" w:sz="4" w:space="0" w:color="auto"/>
              <w:left w:val="single" w:sz="4" w:space="0" w:color="auto"/>
              <w:bottom w:val="single" w:sz="4" w:space="0" w:color="auto"/>
              <w:right w:val="single" w:sz="4" w:space="0" w:color="auto"/>
            </w:tcBorders>
            <w:hideMark/>
          </w:tcPr>
          <w:p w14:paraId="20D4067E" w14:textId="77777777" w:rsidR="00C425C7" w:rsidRPr="00C425C7" w:rsidRDefault="00C425C7" w:rsidP="00C425C7">
            <w:pPr>
              <w:spacing w:after="160" w:line="278" w:lineRule="auto"/>
            </w:pPr>
            <w:r w:rsidRPr="00C425C7">
              <w:t>542,751 / 504,163 = 1.076</w:t>
            </w:r>
          </w:p>
        </w:tc>
        <w:tc>
          <w:tcPr>
            <w:tcW w:w="0" w:type="auto"/>
            <w:tcBorders>
              <w:top w:val="single" w:sz="4" w:space="0" w:color="auto"/>
              <w:left w:val="single" w:sz="4" w:space="0" w:color="auto"/>
              <w:bottom w:val="single" w:sz="4" w:space="0" w:color="auto"/>
              <w:right w:val="single" w:sz="4" w:space="0" w:color="auto"/>
            </w:tcBorders>
            <w:hideMark/>
          </w:tcPr>
          <w:p w14:paraId="0109C2E1" w14:textId="77777777" w:rsidR="00C425C7" w:rsidRPr="00C425C7" w:rsidRDefault="00C425C7" w:rsidP="00C425C7">
            <w:pPr>
              <w:spacing w:after="160" w:line="278" w:lineRule="auto"/>
            </w:pPr>
            <w:r w:rsidRPr="00C425C7">
              <w:t>601,602 / 510,348 = 1.179</w:t>
            </w:r>
          </w:p>
        </w:tc>
        <w:tc>
          <w:tcPr>
            <w:tcW w:w="0" w:type="auto"/>
            <w:tcBorders>
              <w:top w:val="single" w:sz="4" w:space="0" w:color="auto"/>
              <w:left w:val="single" w:sz="4" w:space="0" w:color="auto"/>
              <w:bottom w:val="single" w:sz="4" w:space="0" w:color="auto"/>
              <w:right w:val="single" w:sz="4" w:space="0" w:color="auto"/>
            </w:tcBorders>
            <w:hideMark/>
          </w:tcPr>
          <w:p w14:paraId="6E85E091" w14:textId="77777777" w:rsidR="00C425C7" w:rsidRPr="00C425C7" w:rsidRDefault="00C425C7" w:rsidP="00C425C7">
            <w:pPr>
              <w:spacing w:after="160" w:line="278" w:lineRule="auto"/>
            </w:pPr>
            <w:r w:rsidRPr="00C425C7">
              <w:t>614,680 / 510,290 = 1.205</w:t>
            </w:r>
          </w:p>
        </w:tc>
      </w:tr>
      <w:tr w:rsidR="00C425C7" w:rsidRPr="00C425C7" w14:paraId="1F676937" w14:textId="77777777">
        <w:tc>
          <w:tcPr>
            <w:tcW w:w="0" w:type="auto"/>
            <w:tcBorders>
              <w:top w:val="single" w:sz="4" w:space="0" w:color="auto"/>
              <w:left w:val="single" w:sz="4" w:space="0" w:color="auto"/>
              <w:bottom w:val="single" w:sz="4" w:space="0" w:color="auto"/>
              <w:right w:val="single" w:sz="4" w:space="0" w:color="auto"/>
            </w:tcBorders>
            <w:hideMark/>
          </w:tcPr>
          <w:p w14:paraId="592A8660" w14:textId="77777777" w:rsidR="00C425C7" w:rsidRPr="00C425C7" w:rsidRDefault="00C425C7" w:rsidP="00C425C7">
            <w:pPr>
              <w:spacing w:after="160" w:line="278" w:lineRule="auto"/>
            </w:pPr>
            <w:r w:rsidRPr="00C425C7">
              <w:t>Z-Score</w:t>
            </w:r>
          </w:p>
        </w:tc>
        <w:tc>
          <w:tcPr>
            <w:tcW w:w="0" w:type="auto"/>
            <w:tcBorders>
              <w:top w:val="single" w:sz="4" w:space="0" w:color="auto"/>
              <w:left w:val="single" w:sz="4" w:space="0" w:color="auto"/>
              <w:bottom w:val="single" w:sz="4" w:space="0" w:color="auto"/>
              <w:right w:val="single" w:sz="4" w:space="0" w:color="auto"/>
            </w:tcBorders>
            <w:hideMark/>
          </w:tcPr>
          <w:p w14:paraId="4F71ED30" w14:textId="77777777" w:rsidR="00C425C7" w:rsidRPr="00C425C7" w:rsidRDefault="00C425C7" w:rsidP="00C425C7">
            <w:pPr>
              <w:spacing w:after="160" w:line="278" w:lineRule="auto"/>
            </w:pPr>
            <w:r w:rsidRPr="00C425C7">
              <w:t>1.2X₁ + 1.4X₂ + 3.3X₃ + 0.6X₄ + 1.0X₅</w:t>
            </w:r>
          </w:p>
        </w:tc>
        <w:tc>
          <w:tcPr>
            <w:tcW w:w="0" w:type="auto"/>
            <w:tcBorders>
              <w:top w:val="single" w:sz="4" w:space="0" w:color="auto"/>
              <w:left w:val="single" w:sz="4" w:space="0" w:color="auto"/>
              <w:bottom w:val="single" w:sz="4" w:space="0" w:color="auto"/>
              <w:right w:val="single" w:sz="4" w:space="0" w:color="auto"/>
            </w:tcBorders>
            <w:hideMark/>
          </w:tcPr>
          <w:p w14:paraId="60A51BE2" w14:textId="77777777" w:rsidR="00C425C7" w:rsidRPr="00C425C7" w:rsidRDefault="00C425C7" w:rsidP="00C425C7">
            <w:pPr>
              <w:spacing w:after="160" w:line="278" w:lineRule="auto"/>
            </w:pPr>
            <w:r w:rsidRPr="00C425C7">
              <w:t>2.83</w:t>
            </w:r>
          </w:p>
        </w:tc>
        <w:tc>
          <w:tcPr>
            <w:tcW w:w="0" w:type="auto"/>
            <w:tcBorders>
              <w:top w:val="single" w:sz="4" w:space="0" w:color="auto"/>
              <w:left w:val="single" w:sz="4" w:space="0" w:color="auto"/>
              <w:bottom w:val="single" w:sz="4" w:space="0" w:color="auto"/>
              <w:right w:val="single" w:sz="4" w:space="0" w:color="auto"/>
            </w:tcBorders>
            <w:hideMark/>
          </w:tcPr>
          <w:p w14:paraId="392B97F3" w14:textId="77777777" w:rsidR="00C425C7" w:rsidRPr="00C425C7" w:rsidRDefault="00C425C7" w:rsidP="00C425C7">
            <w:pPr>
              <w:spacing w:after="160" w:line="278" w:lineRule="auto"/>
            </w:pPr>
            <w:r w:rsidRPr="00C425C7">
              <w:t>2.21</w:t>
            </w:r>
          </w:p>
        </w:tc>
        <w:tc>
          <w:tcPr>
            <w:tcW w:w="0" w:type="auto"/>
            <w:tcBorders>
              <w:top w:val="single" w:sz="4" w:space="0" w:color="auto"/>
              <w:left w:val="single" w:sz="4" w:space="0" w:color="auto"/>
              <w:bottom w:val="single" w:sz="4" w:space="0" w:color="auto"/>
              <w:right w:val="single" w:sz="4" w:space="0" w:color="auto"/>
            </w:tcBorders>
            <w:hideMark/>
          </w:tcPr>
          <w:p w14:paraId="58711FDD" w14:textId="77777777" w:rsidR="00C425C7" w:rsidRPr="00C425C7" w:rsidRDefault="00C425C7" w:rsidP="00C425C7">
            <w:pPr>
              <w:spacing w:after="160" w:line="278" w:lineRule="auto"/>
            </w:pPr>
            <w:r w:rsidRPr="00C425C7">
              <w:t>3.80</w:t>
            </w:r>
          </w:p>
        </w:tc>
        <w:tc>
          <w:tcPr>
            <w:tcW w:w="0" w:type="auto"/>
            <w:tcBorders>
              <w:top w:val="single" w:sz="4" w:space="0" w:color="auto"/>
              <w:left w:val="single" w:sz="4" w:space="0" w:color="auto"/>
              <w:bottom w:val="single" w:sz="4" w:space="0" w:color="auto"/>
              <w:right w:val="single" w:sz="4" w:space="0" w:color="auto"/>
            </w:tcBorders>
            <w:hideMark/>
          </w:tcPr>
          <w:p w14:paraId="06E05248" w14:textId="77777777" w:rsidR="00C425C7" w:rsidRPr="00C425C7" w:rsidRDefault="00C425C7" w:rsidP="00C425C7">
            <w:pPr>
              <w:spacing w:after="160" w:line="278" w:lineRule="auto"/>
            </w:pPr>
            <w:r w:rsidRPr="00C425C7">
              <w:t>4.04</w:t>
            </w:r>
          </w:p>
        </w:tc>
        <w:tc>
          <w:tcPr>
            <w:tcW w:w="0" w:type="auto"/>
            <w:tcBorders>
              <w:top w:val="single" w:sz="4" w:space="0" w:color="auto"/>
              <w:left w:val="single" w:sz="4" w:space="0" w:color="auto"/>
              <w:bottom w:val="single" w:sz="4" w:space="0" w:color="auto"/>
              <w:right w:val="single" w:sz="4" w:space="0" w:color="auto"/>
            </w:tcBorders>
            <w:hideMark/>
          </w:tcPr>
          <w:p w14:paraId="66C14455" w14:textId="77777777" w:rsidR="00C425C7" w:rsidRPr="00C425C7" w:rsidRDefault="00C425C7" w:rsidP="00C425C7">
            <w:pPr>
              <w:spacing w:after="160" w:line="278" w:lineRule="auto"/>
            </w:pPr>
            <w:r w:rsidRPr="00C425C7">
              <w:t>4.55</w:t>
            </w:r>
          </w:p>
        </w:tc>
      </w:tr>
    </w:tbl>
    <w:p w14:paraId="5D3C31E1" w14:textId="77777777" w:rsidR="00C425C7" w:rsidRPr="00C425C7" w:rsidRDefault="00C425C7" w:rsidP="00C425C7"/>
    <w:p w14:paraId="695268D7" w14:textId="77777777" w:rsidR="00C425C7" w:rsidRPr="00C425C7" w:rsidRDefault="00C425C7" w:rsidP="00C425C7">
      <w:pPr>
        <w:rPr>
          <w:b/>
          <w:bCs/>
        </w:rPr>
      </w:pPr>
      <w:r w:rsidRPr="00C425C7">
        <w:rPr>
          <w:b/>
          <w:bCs/>
        </w:rPr>
        <w:t>Appendix C: Cash Conversion Cycle (CCC) Calculations</w:t>
      </w:r>
    </w:p>
    <w:tbl>
      <w:tblPr>
        <w:tblStyle w:val="TableGrid"/>
        <w:tblW w:w="0" w:type="auto"/>
        <w:tblLook w:val="04A0" w:firstRow="1" w:lastRow="0" w:firstColumn="1" w:lastColumn="0" w:noHBand="0" w:noVBand="1"/>
      </w:tblPr>
      <w:tblGrid>
        <w:gridCol w:w="1456"/>
        <w:gridCol w:w="1173"/>
        <w:gridCol w:w="1279"/>
        <w:gridCol w:w="1271"/>
        <w:gridCol w:w="1279"/>
        <w:gridCol w:w="1279"/>
        <w:gridCol w:w="1279"/>
      </w:tblGrid>
      <w:tr w:rsidR="00C425C7" w:rsidRPr="00C425C7" w14:paraId="01D5D98D" w14:textId="77777777">
        <w:tc>
          <w:tcPr>
            <w:tcW w:w="0" w:type="auto"/>
            <w:tcBorders>
              <w:top w:val="single" w:sz="4" w:space="0" w:color="auto"/>
              <w:left w:val="single" w:sz="4" w:space="0" w:color="auto"/>
              <w:bottom w:val="single" w:sz="4" w:space="0" w:color="auto"/>
              <w:right w:val="single" w:sz="4" w:space="0" w:color="auto"/>
            </w:tcBorders>
            <w:hideMark/>
          </w:tcPr>
          <w:p w14:paraId="198CF3B9" w14:textId="77777777" w:rsidR="00C425C7" w:rsidRPr="00C425C7" w:rsidRDefault="00C425C7" w:rsidP="00C425C7">
            <w:pPr>
              <w:spacing w:after="160" w:line="278" w:lineRule="auto"/>
            </w:pPr>
            <w:r w:rsidRPr="00C425C7">
              <w:t>Component</w:t>
            </w:r>
          </w:p>
        </w:tc>
        <w:tc>
          <w:tcPr>
            <w:tcW w:w="0" w:type="auto"/>
            <w:tcBorders>
              <w:top w:val="single" w:sz="4" w:space="0" w:color="auto"/>
              <w:left w:val="single" w:sz="4" w:space="0" w:color="auto"/>
              <w:bottom w:val="single" w:sz="4" w:space="0" w:color="auto"/>
              <w:right w:val="single" w:sz="4" w:space="0" w:color="auto"/>
            </w:tcBorders>
            <w:hideMark/>
          </w:tcPr>
          <w:p w14:paraId="4F6EBE19" w14:textId="77777777" w:rsidR="00C425C7" w:rsidRPr="00C425C7" w:rsidRDefault="00C425C7" w:rsidP="00C425C7">
            <w:pPr>
              <w:spacing w:after="160" w:line="278" w:lineRule="auto"/>
            </w:pPr>
            <w:r w:rsidRPr="00C425C7">
              <w:t>Formula</w:t>
            </w:r>
          </w:p>
        </w:tc>
        <w:tc>
          <w:tcPr>
            <w:tcW w:w="0" w:type="auto"/>
            <w:tcBorders>
              <w:top w:val="single" w:sz="4" w:space="0" w:color="auto"/>
              <w:left w:val="single" w:sz="4" w:space="0" w:color="auto"/>
              <w:bottom w:val="single" w:sz="4" w:space="0" w:color="auto"/>
              <w:right w:val="single" w:sz="4" w:space="0" w:color="auto"/>
            </w:tcBorders>
            <w:hideMark/>
          </w:tcPr>
          <w:p w14:paraId="667FA045" w14:textId="77777777" w:rsidR="00C425C7" w:rsidRPr="00C425C7" w:rsidRDefault="00C425C7" w:rsidP="00C425C7">
            <w:pPr>
              <w:spacing w:after="160" w:line="278" w:lineRule="auto"/>
            </w:pPr>
            <w:r w:rsidRPr="00C425C7">
              <w:t>2024</w:t>
            </w:r>
          </w:p>
        </w:tc>
        <w:tc>
          <w:tcPr>
            <w:tcW w:w="0" w:type="auto"/>
            <w:tcBorders>
              <w:top w:val="single" w:sz="4" w:space="0" w:color="auto"/>
              <w:left w:val="single" w:sz="4" w:space="0" w:color="auto"/>
              <w:bottom w:val="single" w:sz="4" w:space="0" w:color="auto"/>
              <w:right w:val="single" w:sz="4" w:space="0" w:color="auto"/>
            </w:tcBorders>
            <w:hideMark/>
          </w:tcPr>
          <w:p w14:paraId="49345314" w14:textId="77777777" w:rsidR="00C425C7" w:rsidRPr="00C425C7" w:rsidRDefault="00C425C7" w:rsidP="00C425C7">
            <w:pPr>
              <w:spacing w:after="160" w:line="278" w:lineRule="auto"/>
            </w:pPr>
            <w:r w:rsidRPr="00C425C7">
              <w:t>2023</w:t>
            </w:r>
          </w:p>
        </w:tc>
        <w:tc>
          <w:tcPr>
            <w:tcW w:w="0" w:type="auto"/>
            <w:tcBorders>
              <w:top w:val="single" w:sz="4" w:space="0" w:color="auto"/>
              <w:left w:val="single" w:sz="4" w:space="0" w:color="auto"/>
              <w:bottom w:val="single" w:sz="4" w:space="0" w:color="auto"/>
              <w:right w:val="single" w:sz="4" w:space="0" w:color="auto"/>
            </w:tcBorders>
            <w:hideMark/>
          </w:tcPr>
          <w:p w14:paraId="77640233" w14:textId="77777777" w:rsidR="00C425C7" w:rsidRPr="00C425C7" w:rsidRDefault="00C425C7" w:rsidP="00C425C7">
            <w:pPr>
              <w:spacing w:after="160" w:line="278" w:lineRule="auto"/>
            </w:pPr>
            <w:r w:rsidRPr="00C425C7">
              <w:t>2022</w:t>
            </w:r>
          </w:p>
        </w:tc>
        <w:tc>
          <w:tcPr>
            <w:tcW w:w="0" w:type="auto"/>
            <w:tcBorders>
              <w:top w:val="single" w:sz="4" w:space="0" w:color="auto"/>
              <w:left w:val="single" w:sz="4" w:space="0" w:color="auto"/>
              <w:bottom w:val="single" w:sz="4" w:space="0" w:color="auto"/>
              <w:right w:val="single" w:sz="4" w:space="0" w:color="auto"/>
            </w:tcBorders>
            <w:hideMark/>
          </w:tcPr>
          <w:p w14:paraId="52B559DC" w14:textId="77777777" w:rsidR="00C425C7" w:rsidRPr="00C425C7" w:rsidRDefault="00C425C7" w:rsidP="00C425C7">
            <w:pPr>
              <w:spacing w:after="160" w:line="278" w:lineRule="auto"/>
            </w:pPr>
            <w:r w:rsidRPr="00C425C7">
              <w:t>2021</w:t>
            </w:r>
          </w:p>
        </w:tc>
        <w:tc>
          <w:tcPr>
            <w:tcW w:w="0" w:type="auto"/>
            <w:tcBorders>
              <w:top w:val="single" w:sz="4" w:space="0" w:color="auto"/>
              <w:left w:val="single" w:sz="4" w:space="0" w:color="auto"/>
              <w:bottom w:val="single" w:sz="4" w:space="0" w:color="auto"/>
              <w:right w:val="single" w:sz="4" w:space="0" w:color="auto"/>
            </w:tcBorders>
            <w:hideMark/>
          </w:tcPr>
          <w:p w14:paraId="1245262A" w14:textId="77777777" w:rsidR="00C425C7" w:rsidRPr="00C425C7" w:rsidRDefault="00C425C7" w:rsidP="00C425C7">
            <w:pPr>
              <w:spacing w:after="160" w:line="278" w:lineRule="auto"/>
            </w:pPr>
            <w:r w:rsidRPr="00C425C7">
              <w:t>2020</w:t>
            </w:r>
          </w:p>
        </w:tc>
      </w:tr>
      <w:tr w:rsidR="00C425C7" w:rsidRPr="00C425C7" w14:paraId="3C1234EC" w14:textId="77777777">
        <w:tc>
          <w:tcPr>
            <w:tcW w:w="0" w:type="auto"/>
            <w:tcBorders>
              <w:top w:val="single" w:sz="4" w:space="0" w:color="auto"/>
              <w:left w:val="single" w:sz="4" w:space="0" w:color="auto"/>
              <w:bottom w:val="single" w:sz="4" w:space="0" w:color="auto"/>
              <w:right w:val="single" w:sz="4" w:space="0" w:color="auto"/>
            </w:tcBorders>
            <w:hideMark/>
          </w:tcPr>
          <w:p w14:paraId="0407A3DC" w14:textId="77777777" w:rsidR="00C425C7" w:rsidRPr="00C425C7" w:rsidRDefault="00C425C7" w:rsidP="00C425C7">
            <w:pPr>
              <w:spacing w:after="160" w:line="278" w:lineRule="auto"/>
            </w:pPr>
            <w:r w:rsidRPr="00C425C7">
              <w:t>DIO</w:t>
            </w:r>
          </w:p>
        </w:tc>
        <w:tc>
          <w:tcPr>
            <w:tcW w:w="0" w:type="auto"/>
            <w:tcBorders>
              <w:top w:val="single" w:sz="4" w:space="0" w:color="auto"/>
              <w:left w:val="single" w:sz="4" w:space="0" w:color="auto"/>
              <w:bottom w:val="single" w:sz="4" w:space="0" w:color="auto"/>
              <w:right w:val="single" w:sz="4" w:space="0" w:color="auto"/>
            </w:tcBorders>
            <w:hideMark/>
          </w:tcPr>
          <w:p w14:paraId="3425D3CA" w14:textId="77777777" w:rsidR="00C425C7" w:rsidRPr="00C425C7" w:rsidRDefault="00C425C7" w:rsidP="00C425C7">
            <w:pPr>
              <w:spacing w:after="160" w:line="278" w:lineRule="auto"/>
            </w:pPr>
            <w:r w:rsidRPr="00C425C7">
              <w:t xml:space="preserve">(Avg. </w:t>
            </w:r>
            <w:proofErr w:type="spellStart"/>
            <w:r w:rsidRPr="00C425C7">
              <w:t>Inv</w:t>
            </w:r>
            <w:proofErr w:type="spellEnd"/>
            <w:r w:rsidRPr="00C425C7">
              <w:t xml:space="preserve"> / COGS) * 365</w:t>
            </w:r>
          </w:p>
        </w:tc>
        <w:tc>
          <w:tcPr>
            <w:tcW w:w="0" w:type="auto"/>
            <w:tcBorders>
              <w:top w:val="single" w:sz="4" w:space="0" w:color="auto"/>
              <w:left w:val="single" w:sz="4" w:space="0" w:color="auto"/>
              <w:bottom w:val="single" w:sz="4" w:space="0" w:color="auto"/>
              <w:right w:val="single" w:sz="4" w:space="0" w:color="auto"/>
            </w:tcBorders>
            <w:hideMark/>
          </w:tcPr>
          <w:p w14:paraId="2A3AC4F1" w14:textId="77777777" w:rsidR="00C425C7" w:rsidRPr="00C425C7" w:rsidRDefault="00C425C7" w:rsidP="00C425C7">
            <w:pPr>
              <w:spacing w:after="160" w:line="278" w:lineRule="auto"/>
            </w:pPr>
            <w:r w:rsidRPr="00C425C7">
              <w:t>(79,355 / 280,885) * 365 = 103.1</w:t>
            </w:r>
          </w:p>
        </w:tc>
        <w:tc>
          <w:tcPr>
            <w:tcW w:w="0" w:type="auto"/>
            <w:tcBorders>
              <w:top w:val="single" w:sz="4" w:space="0" w:color="auto"/>
              <w:left w:val="single" w:sz="4" w:space="0" w:color="auto"/>
              <w:bottom w:val="single" w:sz="4" w:space="0" w:color="auto"/>
              <w:right w:val="single" w:sz="4" w:space="0" w:color="auto"/>
            </w:tcBorders>
            <w:hideMark/>
          </w:tcPr>
          <w:p w14:paraId="2BA2109B" w14:textId="77777777" w:rsidR="00C425C7" w:rsidRPr="00C425C7" w:rsidRDefault="00C425C7" w:rsidP="00C425C7">
            <w:pPr>
              <w:spacing w:after="160" w:line="278" w:lineRule="auto"/>
            </w:pPr>
            <w:r w:rsidRPr="00C425C7">
              <w:t>(88,273 / 322,897) * 365 = 99.8</w:t>
            </w:r>
          </w:p>
        </w:tc>
        <w:tc>
          <w:tcPr>
            <w:tcW w:w="0" w:type="auto"/>
            <w:tcBorders>
              <w:top w:val="single" w:sz="4" w:space="0" w:color="auto"/>
              <w:left w:val="single" w:sz="4" w:space="0" w:color="auto"/>
              <w:bottom w:val="single" w:sz="4" w:space="0" w:color="auto"/>
              <w:right w:val="single" w:sz="4" w:space="0" w:color="auto"/>
            </w:tcBorders>
            <w:hideMark/>
          </w:tcPr>
          <w:p w14:paraId="0363CB3D" w14:textId="77777777" w:rsidR="00C425C7" w:rsidRPr="00C425C7" w:rsidRDefault="00C425C7" w:rsidP="00C425C7">
            <w:pPr>
              <w:spacing w:after="160" w:line="278" w:lineRule="auto"/>
            </w:pPr>
            <w:r w:rsidRPr="00C425C7">
              <w:t>(140,181 / 390,459) * 365 = 131.0</w:t>
            </w:r>
          </w:p>
        </w:tc>
        <w:tc>
          <w:tcPr>
            <w:tcW w:w="0" w:type="auto"/>
            <w:tcBorders>
              <w:top w:val="single" w:sz="4" w:space="0" w:color="auto"/>
              <w:left w:val="single" w:sz="4" w:space="0" w:color="auto"/>
              <w:bottom w:val="single" w:sz="4" w:space="0" w:color="auto"/>
              <w:right w:val="single" w:sz="4" w:space="0" w:color="auto"/>
            </w:tcBorders>
            <w:hideMark/>
          </w:tcPr>
          <w:p w14:paraId="2678927B" w14:textId="77777777" w:rsidR="00C425C7" w:rsidRPr="00C425C7" w:rsidRDefault="00C425C7" w:rsidP="00C425C7">
            <w:pPr>
              <w:spacing w:after="160" w:line="278" w:lineRule="auto"/>
            </w:pPr>
            <w:r w:rsidRPr="00C425C7">
              <w:t>(134,469 / 428,586) * 365 = 114.5</w:t>
            </w:r>
          </w:p>
        </w:tc>
        <w:tc>
          <w:tcPr>
            <w:tcW w:w="0" w:type="auto"/>
            <w:tcBorders>
              <w:top w:val="single" w:sz="4" w:space="0" w:color="auto"/>
              <w:left w:val="single" w:sz="4" w:space="0" w:color="auto"/>
              <w:bottom w:val="single" w:sz="4" w:space="0" w:color="auto"/>
              <w:right w:val="single" w:sz="4" w:space="0" w:color="auto"/>
            </w:tcBorders>
            <w:hideMark/>
          </w:tcPr>
          <w:p w14:paraId="7A983410" w14:textId="77777777" w:rsidR="00C425C7" w:rsidRPr="00C425C7" w:rsidRDefault="00C425C7" w:rsidP="00C425C7">
            <w:pPr>
              <w:spacing w:after="160" w:line="278" w:lineRule="auto"/>
            </w:pPr>
            <w:r w:rsidRPr="00C425C7">
              <w:t>(120,430 / 438,424) * 365 = 100.2</w:t>
            </w:r>
          </w:p>
        </w:tc>
      </w:tr>
      <w:tr w:rsidR="00C425C7" w:rsidRPr="00C425C7" w14:paraId="76C3D74F" w14:textId="77777777">
        <w:tc>
          <w:tcPr>
            <w:tcW w:w="0" w:type="auto"/>
            <w:tcBorders>
              <w:top w:val="single" w:sz="4" w:space="0" w:color="auto"/>
              <w:left w:val="single" w:sz="4" w:space="0" w:color="auto"/>
              <w:bottom w:val="single" w:sz="4" w:space="0" w:color="auto"/>
              <w:right w:val="single" w:sz="4" w:space="0" w:color="auto"/>
            </w:tcBorders>
            <w:hideMark/>
          </w:tcPr>
          <w:p w14:paraId="21852192" w14:textId="77777777" w:rsidR="00C425C7" w:rsidRPr="00C425C7" w:rsidRDefault="00C425C7" w:rsidP="00C425C7">
            <w:pPr>
              <w:spacing w:after="160" w:line="278" w:lineRule="auto"/>
            </w:pPr>
            <w:r w:rsidRPr="00C425C7">
              <w:t>DSO</w:t>
            </w:r>
          </w:p>
        </w:tc>
        <w:tc>
          <w:tcPr>
            <w:tcW w:w="0" w:type="auto"/>
            <w:tcBorders>
              <w:top w:val="single" w:sz="4" w:space="0" w:color="auto"/>
              <w:left w:val="single" w:sz="4" w:space="0" w:color="auto"/>
              <w:bottom w:val="single" w:sz="4" w:space="0" w:color="auto"/>
              <w:right w:val="single" w:sz="4" w:space="0" w:color="auto"/>
            </w:tcBorders>
            <w:hideMark/>
          </w:tcPr>
          <w:p w14:paraId="0B659DBB" w14:textId="77777777" w:rsidR="00C425C7" w:rsidRPr="00C425C7" w:rsidRDefault="00C425C7" w:rsidP="00C425C7">
            <w:pPr>
              <w:spacing w:after="160" w:line="278" w:lineRule="auto"/>
            </w:pPr>
            <w:r w:rsidRPr="00C425C7">
              <w:t>(Avg. AR / Sales) * 365</w:t>
            </w:r>
          </w:p>
        </w:tc>
        <w:tc>
          <w:tcPr>
            <w:tcW w:w="0" w:type="auto"/>
            <w:tcBorders>
              <w:top w:val="single" w:sz="4" w:space="0" w:color="auto"/>
              <w:left w:val="single" w:sz="4" w:space="0" w:color="auto"/>
              <w:bottom w:val="single" w:sz="4" w:space="0" w:color="auto"/>
              <w:right w:val="single" w:sz="4" w:space="0" w:color="auto"/>
            </w:tcBorders>
            <w:hideMark/>
          </w:tcPr>
          <w:p w14:paraId="5460D18B" w14:textId="77777777" w:rsidR="00C425C7" w:rsidRPr="00C425C7" w:rsidRDefault="00C425C7" w:rsidP="00C425C7">
            <w:pPr>
              <w:spacing w:after="160" w:line="278" w:lineRule="auto"/>
            </w:pPr>
            <w:r w:rsidRPr="00C425C7">
              <w:t>(114,182 / 394,879) * 365 = 105.5</w:t>
            </w:r>
          </w:p>
        </w:tc>
        <w:tc>
          <w:tcPr>
            <w:tcW w:w="0" w:type="auto"/>
            <w:tcBorders>
              <w:top w:val="single" w:sz="4" w:space="0" w:color="auto"/>
              <w:left w:val="single" w:sz="4" w:space="0" w:color="auto"/>
              <w:bottom w:val="single" w:sz="4" w:space="0" w:color="auto"/>
              <w:right w:val="single" w:sz="4" w:space="0" w:color="auto"/>
            </w:tcBorders>
            <w:hideMark/>
          </w:tcPr>
          <w:p w14:paraId="2153ADB2" w14:textId="77777777" w:rsidR="00C425C7" w:rsidRPr="00C425C7" w:rsidRDefault="00C425C7" w:rsidP="00C425C7">
            <w:pPr>
              <w:spacing w:after="160" w:line="278" w:lineRule="auto"/>
            </w:pPr>
            <w:r w:rsidRPr="00C425C7">
              <w:t>(112,596 / 420,457) * 365 = 97.4</w:t>
            </w:r>
          </w:p>
        </w:tc>
        <w:tc>
          <w:tcPr>
            <w:tcW w:w="0" w:type="auto"/>
            <w:tcBorders>
              <w:top w:val="single" w:sz="4" w:space="0" w:color="auto"/>
              <w:left w:val="single" w:sz="4" w:space="0" w:color="auto"/>
              <w:bottom w:val="single" w:sz="4" w:space="0" w:color="auto"/>
              <w:right w:val="single" w:sz="4" w:space="0" w:color="auto"/>
            </w:tcBorders>
            <w:hideMark/>
          </w:tcPr>
          <w:p w14:paraId="223B443B" w14:textId="77777777" w:rsidR="00C425C7" w:rsidRPr="00C425C7" w:rsidRDefault="00C425C7" w:rsidP="00C425C7">
            <w:pPr>
              <w:spacing w:after="160" w:line="278" w:lineRule="auto"/>
            </w:pPr>
            <w:r w:rsidRPr="00C425C7">
              <w:t>(112,346 / 542,751) * 365 = 75.5</w:t>
            </w:r>
          </w:p>
        </w:tc>
        <w:tc>
          <w:tcPr>
            <w:tcW w:w="0" w:type="auto"/>
            <w:tcBorders>
              <w:top w:val="single" w:sz="4" w:space="0" w:color="auto"/>
              <w:left w:val="single" w:sz="4" w:space="0" w:color="auto"/>
              <w:bottom w:val="single" w:sz="4" w:space="0" w:color="auto"/>
              <w:right w:val="single" w:sz="4" w:space="0" w:color="auto"/>
            </w:tcBorders>
            <w:hideMark/>
          </w:tcPr>
          <w:p w14:paraId="56B5589C" w14:textId="77777777" w:rsidR="00C425C7" w:rsidRPr="00C425C7" w:rsidRDefault="00C425C7" w:rsidP="00C425C7">
            <w:pPr>
              <w:spacing w:after="160" w:line="278" w:lineRule="auto"/>
            </w:pPr>
            <w:r w:rsidRPr="00C425C7">
              <w:t>(129,215 / 601,602) * 365 = 78.4</w:t>
            </w:r>
          </w:p>
        </w:tc>
        <w:tc>
          <w:tcPr>
            <w:tcW w:w="0" w:type="auto"/>
            <w:tcBorders>
              <w:top w:val="single" w:sz="4" w:space="0" w:color="auto"/>
              <w:left w:val="single" w:sz="4" w:space="0" w:color="auto"/>
              <w:bottom w:val="single" w:sz="4" w:space="0" w:color="auto"/>
              <w:right w:val="single" w:sz="4" w:space="0" w:color="auto"/>
            </w:tcBorders>
            <w:hideMark/>
          </w:tcPr>
          <w:p w14:paraId="061535F6" w14:textId="77777777" w:rsidR="00C425C7" w:rsidRPr="00C425C7" w:rsidRDefault="00C425C7" w:rsidP="00C425C7">
            <w:pPr>
              <w:spacing w:after="160" w:line="278" w:lineRule="auto"/>
            </w:pPr>
            <w:r w:rsidRPr="00C425C7">
              <w:t>(129,433 / 614,680) * 365 = 76.8</w:t>
            </w:r>
          </w:p>
        </w:tc>
      </w:tr>
      <w:tr w:rsidR="00C425C7" w:rsidRPr="00C425C7" w14:paraId="61EA44AA" w14:textId="77777777">
        <w:tc>
          <w:tcPr>
            <w:tcW w:w="0" w:type="auto"/>
            <w:tcBorders>
              <w:top w:val="single" w:sz="4" w:space="0" w:color="auto"/>
              <w:left w:val="single" w:sz="4" w:space="0" w:color="auto"/>
              <w:bottom w:val="single" w:sz="4" w:space="0" w:color="auto"/>
              <w:right w:val="single" w:sz="4" w:space="0" w:color="auto"/>
            </w:tcBorders>
            <w:hideMark/>
          </w:tcPr>
          <w:p w14:paraId="5227F3B3" w14:textId="77777777" w:rsidR="00C425C7" w:rsidRPr="00C425C7" w:rsidRDefault="00C425C7" w:rsidP="00C425C7">
            <w:pPr>
              <w:spacing w:after="160" w:line="278" w:lineRule="auto"/>
            </w:pPr>
            <w:r w:rsidRPr="00C425C7">
              <w:t>DPO</w:t>
            </w:r>
          </w:p>
        </w:tc>
        <w:tc>
          <w:tcPr>
            <w:tcW w:w="0" w:type="auto"/>
            <w:tcBorders>
              <w:top w:val="single" w:sz="4" w:space="0" w:color="auto"/>
              <w:left w:val="single" w:sz="4" w:space="0" w:color="auto"/>
              <w:bottom w:val="single" w:sz="4" w:space="0" w:color="auto"/>
              <w:right w:val="single" w:sz="4" w:space="0" w:color="auto"/>
            </w:tcBorders>
            <w:hideMark/>
          </w:tcPr>
          <w:p w14:paraId="61BCF98F" w14:textId="77777777" w:rsidR="00C425C7" w:rsidRPr="00C425C7" w:rsidRDefault="00C425C7" w:rsidP="00C425C7">
            <w:pPr>
              <w:spacing w:after="160" w:line="278" w:lineRule="auto"/>
            </w:pPr>
            <w:r w:rsidRPr="00C425C7">
              <w:t>(Avg. AP / COGS) * 365</w:t>
            </w:r>
          </w:p>
        </w:tc>
        <w:tc>
          <w:tcPr>
            <w:tcW w:w="0" w:type="auto"/>
            <w:tcBorders>
              <w:top w:val="single" w:sz="4" w:space="0" w:color="auto"/>
              <w:left w:val="single" w:sz="4" w:space="0" w:color="auto"/>
              <w:bottom w:val="single" w:sz="4" w:space="0" w:color="auto"/>
              <w:right w:val="single" w:sz="4" w:space="0" w:color="auto"/>
            </w:tcBorders>
            <w:hideMark/>
          </w:tcPr>
          <w:p w14:paraId="29BED37E" w14:textId="77777777" w:rsidR="00C425C7" w:rsidRPr="00C425C7" w:rsidRDefault="00C425C7" w:rsidP="00C425C7">
            <w:pPr>
              <w:spacing w:after="160" w:line="278" w:lineRule="auto"/>
            </w:pPr>
            <w:r w:rsidRPr="00C425C7">
              <w:t>(72,031 / 280,885) * 365 = 93.3</w:t>
            </w:r>
          </w:p>
        </w:tc>
        <w:tc>
          <w:tcPr>
            <w:tcW w:w="0" w:type="auto"/>
            <w:tcBorders>
              <w:top w:val="single" w:sz="4" w:space="0" w:color="auto"/>
              <w:left w:val="single" w:sz="4" w:space="0" w:color="auto"/>
              <w:bottom w:val="single" w:sz="4" w:space="0" w:color="auto"/>
              <w:right w:val="single" w:sz="4" w:space="0" w:color="auto"/>
            </w:tcBorders>
            <w:hideMark/>
          </w:tcPr>
          <w:p w14:paraId="18C45BDF" w14:textId="77777777" w:rsidR="00C425C7" w:rsidRPr="00C425C7" w:rsidRDefault="00C425C7" w:rsidP="00C425C7">
            <w:pPr>
              <w:spacing w:after="160" w:line="278" w:lineRule="auto"/>
            </w:pPr>
            <w:r w:rsidRPr="00C425C7">
              <w:t>(57,033 / 322,897) * 365 = 64.6</w:t>
            </w:r>
          </w:p>
        </w:tc>
        <w:tc>
          <w:tcPr>
            <w:tcW w:w="0" w:type="auto"/>
            <w:tcBorders>
              <w:top w:val="single" w:sz="4" w:space="0" w:color="auto"/>
              <w:left w:val="single" w:sz="4" w:space="0" w:color="auto"/>
              <w:bottom w:val="single" w:sz="4" w:space="0" w:color="auto"/>
              <w:right w:val="single" w:sz="4" w:space="0" w:color="auto"/>
            </w:tcBorders>
            <w:hideMark/>
          </w:tcPr>
          <w:p w14:paraId="40053E59" w14:textId="77777777" w:rsidR="00C425C7" w:rsidRPr="00C425C7" w:rsidRDefault="00C425C7" w:rsidP="00C425C7">
            <w:pPr>
              <w:spacing w:after="160" w:line="278" w:lineRule="auto"/>
            </w:pPr>
            <w:r w:rsidRPr="00C425C7">
              <w:t>(71,373 / 390,459) * 365 = 66.5</w:t>
            </w:r>
          </w:p>
        </w:tc>
        <w:tc>
          <w:tcPr>
            <w:tcW w:w="0" w:type="auto"/>
            <w:tcBorders>
              <w:top w:val="single" w:sz="4" w:space="0" w:color="auto"/>
              <w:left w:val="single" w:sz="4" w:space="0" w:color="auto"/>
              <w:bottom w:val="single" w:sz="4" w:space="0" w:color="auto"/>
              <w:right w:val="single" w:sz="4" w:space="0" w:color="auto"/>
            </w:tcBorders>
            <w:hideMark/>
          </w:tcPr>
          <w:p w14:paraId="2435A8FC" w14:textId="77777777" w:rsidR="00C425C7" w:rsidRPr="00C425C7" w:rsidRDefault="00C425C7" w:rsidP="00C425C7">
            <w:pPr>
              <w:spacing w:after="160" w:line="278" w:lineRule="auto"/>
            </w:pPr>
            <w:r w:rsidRPr="00C425C7">
              <w:t>(92,707 / 428,586) * 365 = 74.9</w:t>
            </w:r>
          </w:p>
        </w:tc>
        <w:tc>
          <w:tcPr>
            <w:tcW w:w="0" w:type="auto"/>
            <w:tcBorders>
              <w:top w:val="single" w:sz="4" w:space="0" w:color="auto"/>
              <w:left w:val="single" w:sz="4" w:space="0" w:color="auto"/>
              <w:bottom w:val="single" w:sz="4" w:space="0" w:color="auto"/>
              <w:right w:val="single" w:sz="4" w:space="0" w:color="auto"/>
            </w:tcBorders>
            <w:hideMark/>
          </w:tcPr>
          <w:p w14:paraId="39A09E6B" w14:textId="77777777" w:rsidR="00C425C7" w:rsidRPr="00C425C7" w:rsidRDefault="00C425C7" w:rsidP="00C425C7">
            <w:pPr>
              <w:spacing w:after="160" w:line="278" w:lineRule="auto"/>
            </w:pPr>
            <w:r w:rsidRPr="00C425C7">
              <w:t>(83,229 / 438,424) * 365 = 69.1</w:t>
            </w:r>
          </w:p>
        </w:tc>
      </w:tr>
      <w:tr w:rsidR="00C425C7" w:rsidRPr="00C425C7" w14:paraId="1416429A" w14:textId="77777777">
        <w:tc>
          <w:tcPr>
            <w:tcW w:w="0" w:type="auto"/>
            <w:tcBorders>
              <w:top w:val="single" w:sz="4" w:space="0" w:color="auto"/>
              <w:left w:val="single" w:sz="4" w:space="0" w:color="auto"/>
              <w:bottom w:val="single" w:sz="4" w:space="0" w:color="auto"/>
              <w:right w:val="single" w:sz="4" w:space="0" w:color="auto"/>
            </w:tcBorders>
            <w:hideMark/>
          </w:tcPr>
          <w:p w14:paraId="735906C5" w14:textId="77777777" w:rsidR="00C425C7" w:rsidRPr="00C425C7" w:rsidRDefault="00C425C7" w:rsidP="00C425C7">
            <w:pPr>
              <w:spacing w:after="160" w:line="278" w:lineRule="auto"/>
            </w:pPr>
            <w:r w:rsidRPr="00C425C7">
              <w:lastRenderedPageBreak/>
              <w:t>CCC</w:t>
            </w:r>
          </w:p>
        </w:tc>
        <w:tc>
          <w:tcPr>
            <w:tcW w:w="0" w:type="auto"/>
            <w:tcBorders>
              <w:top w:val="single" w:sz="4" w:space="0" w:color="auto"/>
              <w:left w:val="single" w:sz="4" w:space="0" w:color="auto"/>
              <w:bottom w:val="single" w:sz="4" w:space="0" w:color="auto"/>
              <w:right w:val="single" w:sz="4" w:space="0" w:color="auto"/>
            </w:tcBorders>
            <w:hideMark/>
          </w:tcPr>
          <w:p w14:paraId="3965ABAD" w14:textId="77777777" w:rsidR="00C425C7" w:rsidRPr="00C425C7" w:rsidRDefault="00C425C7" w:rsidP="00C425C7">
            <w:pPr>
              <w:spacing w:after="160" w:line="278" w:lineRule="auto"/>
            </w:pPr>
            <w:r w:rsidRPr="00C425C7">
              <w:t>DIO + DSO - DPO</w:t>
            </w:r>
          </w:p>
        </w:tc>
        <w:tc>
          <w:tcPr>
            <w:tcW w:w="0" w:type="auto"/>
            <w:tcBorders>
              <w:top w:val="single" w:sz="4" w:space="0" w:color="auto"/>
              <w:left w:val="single" w:sz="4" w:space="0" w:color="auto"/>
              <w:bottom w:val="single" w:sz="4" w:space="0" w:color="auto"/>
              <w:right w:val="single" w:sz="4" w:space="0" w:color="auto"/>
            </w:tcBorders>
            <w:hideMark/>
          </w:tcPr>
          <w:p w14:paraId="0C77EC49" w14:textId="77777777" w:rsidR="00C425C7" w:rsidRPr="00C425C7" w:rsidRDefault="00C425C7" w:rsidP="00C425C7">
            <w:pPr>
              <w:spacing w:after="160" w:line="278" w:lineRule="auto"/>
            </w:pPr>
            <w:r w:rsidRPr="00C425C7">
              <w:t>115.3</w:t>
            </w:r>
          </w:p>
        </w:tc>
        <w:tc>
          <w:tcPr>
            <w:tcW w:w="0" w:type="auto"/>
            <w:tcBorders>
              <w:top w:val="single" w:sz="4" w:space="0" w:color="auto"/>
              <w:left w:val="single" w:sz="4" w:space="0" w:color="auto"/>
              <w:bottom w:val="single" w:sz="4" w:space="0" w:color="auto"/>
              <w:right w:val="single" w:sz="4" w:space="0" w:color="auto"/>
            </w:tcBorders>
            <w:hideMark/>
          </w:tcPr>
          <w:p w14:paraId="6FB0573A" w14:textId="77777777" w:rsidR="00C425C7" w:rsidRPr="00C425C7" w:rsidRDefault="00C425C7" w:rsidP="00C425C7">
            <w:pPr>
              <w:spacing w:after="160" w:line="278" w:lineRule="auto"/>
            </w:pPr>
            <w:r w:rsidRPr="00C425C7">
              <w:t>132.6</w:t>
            </w:r>
          </w:p>
        </w:tc>
        <w:tc>
          <w:tcPr>
            <w:tcW w:w="0" w:type="auto"/>
            <w:tcBorders>
              <w:top w:val="single" w:sz="4" w:space="0" w:color="auto"/>
              <w:left w:val="single" w:sz="4" w:space="0" w:color="auto"/>
              <w:bottom w:val="single" w:sz="4" w:space="0" w:color="auto"/>
              <w:right w:val="single" w:sz="4" w:space="0" w:color="auto"/>
            </w:tcBorders>
            <w:hideMark/>
          </w:tcPr>
          <w:p w14:paraId="5B0F3A70" w14:textId="77777777" w:rsidR="00C425C7" w:rsidRPr="00C425C7" w:rsidRDefault="00C425C7" w:rsidP="00C425C7">
            <w:pPr>
              <w:spacing w:after="160" w:line="278" w:lineRule="auto"/>
            </w:pPr>
            <w:r w:rsidRPr="00C425C7">
              <w:t>140.0</w:t>
            </w:r>
          </w:p>
        </w:tc>
        <w:tc>
          <w:tcPr>
            <w:tcW w:w="0" w:type="auto"/>
            <w:tcBorders>
              <w:top w:val="single" w:sz="4" w:space="0" w:color="auto"/>
              <w:left w:val="single" w:sz="4" w:space="0" w:color="auto"/>
              <w:bottom w:val="single" w:sz="4" w:space="0" w:color="auto"/>
              <w:right w:val="single" w:sz="4" w:space="0" w:color="auto"/>
            </w:tcBorders>
            <w:hideMark/>
          </w:tcPr>
          <w:p w14:paraId="7241C9F4" w14:textId="77777777" w:rsidR="00C425C7" w:rsidRPr="00C425C7" w:rsidRDefault="00C425C7" w:rsidP="00C425C7">
            <w:pPr>
              <w:spacing w:after="160" w:line="278" w:lineRule="auto"/>
            </w:pPr>
            <w:r w:rsidRPr="00C425C7">
              <w:t>118.0</w:t>
            </w:r>
          </w:p>
        </w:tc>
        <w:tc>
          <w:tcPr>
            <w:tcW w:w="0" w:type="auto"/>
            <w:tcBorders>
              <w:top w:val="single" w:sz="4" w:space="0" w:color="auto"/>
              <w:left w:val="single" w:sz="4" w:space="0" w:color="auto"/>
              <w:bottom w:val="single" w:sz="4" w:space="0" w:color="auto"/>
              <w:right w:val="single" w:sz="4" w:space="0" w:color="auto"/>
            </w:tcBorders>
            <w:hideMark/>
          </w:tcPr>
          <w:p w14:paraId="60ED8BBA" w14:textId="77777777" w:rsidR="00C425C7" w:rsidRPr="00C425C7" w:rsidRDefault="00C425C7" w:rsidP="00C425C7">
            <w:pPr>
              <w:spacing w:after="160" w:line="278" w:lineRule="auto"/>
            </w:pPr>
            <w:r w:rsidRPr="00C425C7">
              <w:t>107.9</w:t>
            </w:r>
          </w:p>
        </w:tc>
      </w:tr>
    </w:tbl>
    <w:p w14:paraId="3505D43B" w14:textId="77777777" w:rsidR="00C425C7" w:rsidRPr="00C425C7" w:rsidRDefault="00C425C7" w:rsidP="00C425C7"/>
    <w:p w14:paraId="3BAB9D72" w14:textId="77777777" w:rsidR="00C425C7" w:rsidRPr="00C425C7" w:rsidRDefault="00C425C7" w:rsidP="00C425C7">
      <w:pPr>
        <w:rPr>
          <w:lang w:val="en-US"/>
        </w:rPr>
      </w:pPr>
      <w:r w:rsidRPr="00C425C7">
        <w:rPr>
          <w:b/>
          <w:bCs/>
          <w:lang w:val="en-US"/>
        </w:rPr>
        <w:t>Appendix D: Investment Appraisal Calculations</w:t>
      </w:r>
    </w:p>
    <w:p w14:paraId="41C3F93A" w14:textId="77777777" w:rsidR="00C425C7" w:rsidRPr="00C425C7" w:rsidRDefault="00C425C7" w:rsidP="00C425C7">
      <w:pPr>
        <w:rPr>
          <w:lang w:val="en-US"/>
        </w:rPr>
      </w:pPr>
      <w:r w:rsidRPr="00C425C7">
        <w:rPr>
          <w:lang w:val="en-US"/>
        </w:rPr>
        <w:t>This appendix details the calculations for the capital budgeting evaluation of Projects A, B, and C. The analysis uses a discount rate of 10% as stipulated in the assignment brief.</w:t>
      </w:r>
    </w:p>
    <w:p w14:paraId="163D059B" w14:textId="77777777" w:rsidR="00C425C7" w:rsidRPr="00C425C7" w:rsidRDefault="00C425C7" w:rsidP="00C425C7">
      <w:pPr>
        <w:rPr>
          <w:b/>
          <w:bCs/>
          <w:lang w:val="en-US"/>
        </w:rPr>
      </w:pPr>
      <w:r w:rsidRPr="00C425C7">
        <w:rPr>
          <w:b/>
          <w:bCs/>
          <w:lang w:val="en-US"/>
        </w:rPr>
        <w:t>1. Investment Appraisal Summary: Project A</w:t>
      </w:r>
    </w:p>
    <w:p w14:paraId="3E0CD57D" w14:textId="77777777" w:rsidR="00C425C7" w:rsidRPr="00C425C7" w:rsidRDefault="00C425C7" w:rsidP="00C425C7">
      <w:pPr>
        <w:rPr>
          <w:lang w:val="en-US"/>
        </w:rPr>
      </w:pPr>
      <w:r w:rsidRPr="00C425C7">
        <w:rPr>
          <w:b/>
          <w:bCs/>
          <w:lang w:val="en-US"/>
        </w:rPr>
        <w:t>Shared Project Data</w:t>
      </w:r>
    </w:p>
    <w:tbl>
      <w:tblPr>
        <w:tblStyle w:val="TableGrid"/>
        <w:tblW w:w="0" w:type="auto"/>
        <w:tblLook w:val="04A0" w:firstRow="1" w:lastRow="0" w:firstColumn="1" w:lastColumn="0" w:noHBand="0" w:noVBand="1"/>
      </w:tblPr>
      <w:tblGrid>
        <w:gridCol w:w="2394"/>
        <w:gridCol w:w="3068"/>
      </w:tblGrid>
      <w:tr w:rsidR="00C425C7" w:rsidRPr="00C425C7" w14:paraId="1477EAF8" w14:textId="77777777">
        <w:tc>
          <w:tcPr>
            <w:tcW w:w="0" w:type="auto"/>
            <w:tcBorders>
              <w:top w:val="single" w:sz="4" w:space="0" w:color="auto"/>
              <w:left w:val="single" w:sz="4" w:space="0" w:color="auto"/>
              <w:bottom w:val="single" w:sz="4" w:space="0" w:color="auto"/>
              <w:right w:val="single" w:sz="4" w:space="0" w:color="auto"/>
            </w:tcBorders>
            <w:hideMark/>
          </w:tcPr>
          <w:p w14:paraId="0D66EF82" w14:textId="77777777" w:rsidR="00C425C7" w:rsidRPr="00C425C7" w:rsidRDefault="00C425C7" w:rsidP="00C425C7">
            <w:pPr>
              <w:spacing w:after="160" w:line="278" w:lineRule="auto"/>
              <w:rPr>
                <w:b/>
                <w:bCs/>
                <w:lang w:val="en-US"/>
              </w:rPr>
            </w:pPr>
            <w:r w:rsidRPr="00C425C7">
              <w:rPr>
                <w:b/>
                <w:bCs/>
                <w:lang w:val="en-US"/>
              </w:rPr>
              <w:t>Parameter</w:t>
            </w:r>
          </w:p>
        </w:tc>
        <w:tc>
          <w:tcPr>
            <w:tcW w:w="0" w:type="auto"/>
            <w:tcBorders>
              <w:top w:val="single" w:sz="4" w:space="0" w:color="auto"/>
              <w:left w:val="single" w:sz="4" w:space="0" w:color="auto"/>
              <w:bottom w:val="single" w:sz="4" w:space="0" w:color="auto"/>
              <w:right w:val="single" w:sz="4" w:space="0" w:color="auto"/>
            </w:tcBorders>
            <w:hideMark/>
          </w:tcPr>
          <w:p w14:paraId="40FF1290" w14:textId="77777777" w:rsidR="00C425C7" w:rsidRPr="00C425C7" w:rsidRDefault="00C425C7" w:rsidP="00C425C7">
            <w:pPr>
              <w:spacing w:after="160" w:line="278" w:lineRule="auto"/>
              <w:rPr>
                <w:b/>
                <w:bCs/>
                <w:lang w:val="en-US"/>
              </w:rPr>
            </w:pPr>
            <w:r w:rsidRPr="00C425C7">
              <w:rPr>
                <w:b/>
                <w:bCs/>
                <w:lang w:val="en-US"/>
              </w:rPr>
              <w:t>Value</w:t>
            </w:r>
          </w:p>
        </w:tc>
      </w:tr>
      <w:tr w:rsidR="00C425C7" w:rsidRPr="00C425C7" w14:paraId="0E1168AE" w14:textId="77777777">
        <w:tc>
          <w:tcPr>
            <w:tcW w:w="0" w:type="auto"/>
            <w:tcBorders>
              <w:top w:val="single" w:sz="4" w:space="0" w:color="auto"/>
              <w:left w:val="single" w:sz="4" w:space="0" w:color="auto"/>
              <w:bottom w:val="single" w:sz="4" w:space="0" w:color="auto"/>
              <w:right w:val="single" w:sz="4" w:space="0" w:color="auto"/>
            </w:tcBorders>
            <w:hideMark/>
          </w:tcPr>
          <w:p w14:paraId="577DD89A" w14:textId="77777777" w:rsidR="00C425C7" w:rsidRPr="00C425C7" w:rsidRDefault="00C425C7" w:rsidP="00C425C7">
            <w:pPr>
              <w:spacing w:after="160" w:line="278" w:lineRule="auto"/>
              <w:rPr>
                <w:lang w:val="en-US"/>
              </w:rPr>
            </w:pPr>
            <w:r w:rsidRPr="00C425C7">
              <w:rPr>
                <w:lang w:val="en-US"/>
              </w:rPr>
              <w:t>Initial Investment</w:t>
            </w:r>
          </w:p>
        </w:tc>
        <w:tc>
          <w:tcPr>
            <w:tcW w:w="0" w:type="auto"/>
            <w:tcBorders>
              <w:top w:val="single" w:sz="4" w:space="0" w:color="auto"/>
              <w:left w:val="single" w:sz="4" w:space="0" w:color="auto"/>
              <w:bottom w:val="single" w:sz="4" w:space="0" w:color="auto"/>
              <w:right w:val="single" w:sz="4" w:space="0" w:color="auto"/>
            </w:tcBorders>
            <w:hideMark/>
          </w:tcPr>
          <w:p w14:paraId="11EB61BE" w14:textId="77777777" w:rsidR="00C425C7" w:rsidRPr="00C425C7" w:rsidRDefault="00C425C7" w:rsidP="00C425C7">
            <w:pPr>
              <w:spacing w:after="160" w:line="278" w:lineRule="auto"/>
              <w:rPr>
                <w:lang w:val="en-US"/>
              </w:rPr>
            </w:pPr>
            <w:r w:rsidRPr="00C425C7">
              <w:rPr>
                <w:lang w:val="en-US"/>
              </w:rPr>
              <w:t>£40,000,000</w:t>
            </w:r>
          </w:p>
        </w:tc>
      </w:tr>
      <w:tr w:rsidR="00C425C7" w:rsidRPr="00C425C7" w14:paraId="0728D8E0" w14:textId="77777777">
        <w:tc>
          <w:tcPr>
            <w:tcW w:w="0" w:type="auto"/>
            <w:tcBorders>
              <w:top w:val="single" w:sz="4" w:space="0" w:color="auto"/>
              <w:left w:val="single" w:sz="4" w:space="0" w:color="auto"/>
              <w:bottom w:val="single" w:sz="4" w:space="0" w:color="auto"/>
              <w:right w:val="single" w:sz="4" w:space="0" w:color="auto"/>
            </w:tcBorders>
            <w:hideMark/>
          </w:tcPr>
          <w:p w14:paraId="4CE98698" w14:textId="77777777" w:rsidR="00C425C7" w:rsidRPr="00C425C7" w:rsidRDefault="00C425C7" w:rsidP="00C425C7">
            <w:pPr>
              <w:spacing w:after="160" w:line="278" w:lineRule="auto"/>
              <w:rPr>
                <w:lang w:val="en-US"/>
              </w:rPr>
            </w:pPr>
            <w:r w:rsidRPr="00C425C7">
              <w:rPr>
                <w:lang w:val="en-US"/>
              </w:rPr>
              <w:t>Project Life</w:t>
            </w:r>
          </w:p>
        </w:tc>
        <w:tc>
          <w:tcPr>
            <w:tcW w:w="0" w:type="auto"/>
            <w:tcBorders>
              <w:top w:val="single" w:sz="4" w:space="0" w:color="auto"/>
              <w:left w:val="single" w:sz="4" w:space="0" w:color="auto"/>
              <w:bottom w:val="single" w:sz="4" w:space="0" w:color="auto"/>
              <w:right w:val="single" w:sz="4" w:space="0" w:color="auto"/>
            </w:tcBorders>
            <w:hideMark/>
          </w:tcPr>
          <w:p w14:paraId="35DD5594" w14:textId="77777777" w:rsidR="00C425C7" w:rsidRPr="00C425C7" w:rsidRDefault="00C425C7" w:rsidP="00C425C7">
            <w:pPr>
              <w:spacing w:after="160" w:line="278" w:lineRule="auto"/>
              <w:rPr>
                <w:lang w:val="en-US"/>
              </w:rPr>
            </w:pPr>
            <w:r w:rsidRPr="00C425C7">
              <w:rPr>
                <w:lang w:val="en-US"/>
              </w:rPr>
              <w:t>5 Years</w:t>
            </w:r>
          </w:p>
        </w:tc>
      </w:tr>
      <w:tr w:rsidR="00C425C7" w:rsidRPr="00C425C7" w14:paraId="36DA140C" w14:textId="77777777">
        <w:tc>
          <w:tcPr>
            <w:tcW w:w="0" w:type="auto"/>
            <w:tcBorders>
              <w:top w:val="single" w:sz="4" w:space="0" w:color="auto"/>
              <w:left w:val="single" w:sz="4" w:space="0" w:color="auto"/>
              <w:bottom w:val="single" w:sz="4" w:space="0" w:color="auto"/>
              <w:right w:val="single" w:sz="4" w:space="0" w:color="auto"/>
            </w:tcBorders>
            <w:hideMark/>
          </w:tcPr>
          <w:p w14:paraId="4514AF24" w14:textId="77777777" w:rsidR="00C425C7" w:rsidRPr="00C425C7" w:rsidRDefault="00C425C7" w:rsidP="00C425C7">
            <w:pPr>
              <w:spacing w:after="160" w:line="278" w:lineRule="auto"/>
              <w:rPr>
                <w:lang w:val="en-US"/>
              </w:rPr>
            </w:pPr>
            <w:r w:rsidRPr="00C425C7">
              <w:rPr>
                <w:lang w:val="en-US"/>
              </w:rPr>
              <w:t>Depreciation Method</w:t>
            </w:r>
          </w:p>
        </w:tc>
        <w:tc>
          <w:tcPr>
            <w:tcW w:w="0" w:type="auto"/>
            <w:tcBorders>
              <w:top w:val="single" w:sz="4" w:space="0" w:color="auto"/>
              <w:left w:val="single" w:sz="4" w:space="0" w:color="auto"/>
              <w:bottom w:val="single" w:sz="4" w:space="0" w:color="auto"/>
              <w:right w:val="single" w:sz="4" w:space="0" w:color="auto"/>
            </w:tcBorders>
            <w:hideMark/>
          </w:tcPr>
          <w:p w14:paraId="458FC089" w14:textId="77777777" w:rsidR="00C425C7" w:rsidRPr="00C425C7" w:rsidRDefault="00C425C7" w:rsidP="00C425C7">
            <w:pPr>
              <w:spacing w:after="160" w:line="278" w:lineRule="auto"/>
              <w:rPr>
                <w:lang w:val="en-US"/>
              </w:rPr>
            </w:pPr>
            <w:r w:rsidRPr="00C425C7">
              <w:rPr>
                <w:lang w:val="en-US"/>
              </w:rPr>
              <w:t>Straight-line</w:t>
            </w:r>
          </w:p>
        </w:tc>
      </w:tr>
      <w:tr w:rsidR="00C425C7" w:rsidRPr="00C425C7" w14:paraId="01510EF3" w14:textId="77777777">
        <w:tc>
          <w:tcPr>
            <w:tcW w:w="0" w:type="auto"/>
            <w:tcBorders>
              <w:top w:val="single" w:sz="4" w:space="0" w:color="auto"/>
              <w:left w:val="single" w:sz="4" w:space="0" w:color="auto"/>
              <w:bottom w:val="single" w:sz="4" w:space="0" w:color="auto"/>
              <w:right w:val="single" w:sz="4" w:space="0" w:color="auto"/>
            </w:tcBorders>
            <w:hideMark/>
          </w:tcPr>
          <w:p w14:paraId="673FE6C0" w14:textId="77777777" w:rsidR="00C425C7" w:rsidRPr="00C425C7" w:rsidRDefault="00C425C7" w:rsidP="00C425C7">
            <w:pPr>
              <w:spacing w:after="160" w:line="278" w:lineRule="auto"/>
              <w:rPr>
                <w:lang w:val="en-US"/>
              </w:rPr>
            </w:pPr>
            <w:r w:rsidRPr="00C425C7">
              <w:rPr>
                <w:lang w:val="en-US"/>
              </w:rPr>
              <w:t>Annual Depreciation</w:t>
            </w:r>
          </w:p>
        </w:tc>
        <w:tc>
          <w:tcPr>
            <w:tcW w:w="0" w:type="auto"/>
            <w:tcBorders>
              <w:top w:val="single" w:sz="4" w:space="0" w:color="auto"/>
              <w:left w:val="single" w:sz="4" w:space="0" w:color="auto"/>
              <w:bottom w:val="single" w:sz="4" w:space="0" w:color="auto"/>
              <w:right w:val="single" w:sz="4" w:space="0" w:color="auto"/>
            </w:tcBorders>
            <w:hideMark/>
          </w:tcPr>
          <w:p w14:paraId="19843E27" w14:textId="77777777" w:rsidR="00C425C7" w:rsidRPr="00C425C7" w:rsidRDefault="00C425C7" w:rsidP="00C425C7">
            <w:pPr>
              <w:spacing w:after="160" w:line="278" w:lineRule="auto"/>
              <w:rPr>
                <w:lang w:val="en-US"/>
              </w:rPr>
            </w:pPr>
            <w:r w:rsidRPr="00C425C7">
              <w:rPr>
                <w:lang w:val="en-US"/>
              </w:rPr>
              <w:t>£8,000,000 (£40m / 5 years)</w:t>
            </w:r>
          </w:p>
        </w:tc>
      </w:tr>
      <w:tr w:rsidR="00C425C7" w:rsidRPr="00C425C7" w14:paraId="02CF4007" w14:textId="77777777">
        <w:tc>
          <w:tcPr>
            <w:tcW w:w="0" w:type="auto"/>
            <w:tcBorders>
              <w:top w:val="single" w:sz="4" w:space="0" w:color="auto"/>
              <w:left w:val="single" w:sz="4" w:space="0" w:color="auto"/>
              <w:bottom w:val="single" w:sz="4" w:space="0" w:color="auto"/>
              <w:right w:val="single" w:sz="4" w:space="0" w:color="auto"/>
            </w:tcBorders>
            <w:hideMark/>
          </w:tcPr>
          <w:p w14:paraId="1DB73D45" w14:textId="77777777" w:rsidR="00C425C7" w:rsidRPr="00C425C7" w:rsidRDefault="00C425C7" w:rsidP="00C425C7">
            <w:pPr>
              <w:spacing w:after="160" w:line="278" w:lineRule="auto"/>
              <w:rPr>
                <w:lang w:val="en-US"/>
              </w:rPr>
            </w:pPr>
            <w:r w:rsidRPr="00C425C7">
              <w:rPr>
                <w:lang w:val="en-US"/>
              </w:rPr>
              <w:t>Discount Rate</w:t>
            </w:r>
          </w:p>
        </w:tc>
        <w:tc>
          <w:tcPr>
            <w:tcW w:w="0" w:type="auto"/>
            <w:tcBorders>
              <w:top w:val="single" w:sz="4" w:space="0" w:color="auto"/>
              <w:left w:val="single" w:sz="4" w:space="0" w:color="auto"/>
              <w:bottom w:val="single" w:sz="4" w:space="0" w:color="auto"/>
              <w:right w:val="single" w:sz="4" w:space="0" w:color="auto"/>
            </w:tcBorders>
            <w:hideMark/>
          </w:tcPr>
          <w:p w14:paraId="19B6545D" w14:textId="77777777" w:rsidR="00C425C7" w:rsidRPr="00C425C7" w:rsidRDefault="00C425C7" w:rsidP="00C425C7">
            <w:pPr>
              <w:spacing w:after="160" w:line="278" w:lineRule="auto"/>
              <w:rPr>
                <w:lang w:val="en-US"/>
              </w:rPr>
            </w:pPr>
            <w:r w:rsidRPr="00C425C7">
              <w:rPr>
                <w:lang w:val="en-US"/>
              </w:rPr>
              <w:t>10%</w:t>
            </w:r>
          </w:p>
        </w:tc>
      </w:tr>
    </w:tbl>
    <w:p w14:paraId="63D80C45" w14:textId="77777777" w:rsidR="00C425C7" w:rsidRPr="00C425C7" w:rsidRDefault="00C425C7" w:rsidP="00C425C7">
      <w:pPr>
        <w:rPr>
          <w:b/>
          <w:bCs/>
          <w:lang w:val="en-US"/>
        </w:rPr>
      </w:pPr>
    </w:p>
    <w:p w14:paraId="725B8C58" w14:textId="77777777" w:rsidR="00C425C7" w:rsidRPr="00C425C7" w:rsidRDefault="00C425C7" w:rsidP="00C425C7">
      <w:pPr>
        <w:rPr>
          <w:lang w:val="en-US"/>
        </w:rPr>
      </w:pPr>
      <w:r w:rsidRPr="00C425C7">
        <w:rPr>
          <w:b/>
          <w:bCs/>
          <w:lang w:val="en-US"/>
        </w:rPr>
        <w:t>Net Present Value (NPV) Calculation Details</w:t>
      </w:r>
    </w:p>
    <w:tbl>
      <w:tblPr>
        <w:tblStyle w:val="TableGrid"/>
        <w:tblW w:w="0" w:type="auto"/>
        <w:tblLook w:val="04A0" w:firstRow="1" w:lastRow="0" w:firstColumn="1" w:lastColumn="0" w:noHBand="0" w:noVBand="1"/>
      </w:tblPr>
      <w:tblGrid>
        <w:gridCol w:w="745"/>
        <w:gridCol w:w="2040"/>
        <w:gridCol w:w="2815"/>
        <w:gridCol w:w="2249"/>
      </w:tblGrid>
      <w:tr w:rsidR="00C425C7" w:rsidRPr="00C425C7" w14:paraId="7926FCC9" w14:textId="77777777">
        <w:tc>
          <w:tcPr>
            <w:tcW w:w="0" w:type="auto"/>
            <w:tcBorders>
              <w:top w:val="single" w:sz="4" w:space="0" w:color="auto"/>
              <w:left w:val="single" w:sz="4" w:space="0" w:color="auto"/>
              <w:bottom w:val="single" w:sz="4" w:space="0" w:color="auto"/>
              <w:right w:val="single" w:sz="4" w:space="0" w:color="auto"/>
            </w:tcBorders>
            <w:hideMark/>
          </w:tcPr>
          <w:p w14:paraId="3D23F9E4" w14:textId="77777777" w:rsidR="00C425C7" w:rsidRPr="00C425C7" w:rsidRDefault="00C425C7" w:rsidP="00C425C7">
            <w:pPr>
              <w:spacing w:after="160" w:line="278" w:lineRule="auto"/>
              <w:rPr>
                <w:b/>
                <w:bCs/>
                <w:lang w:val="en-US"/>
              </w:rPr>
            </w:pPr>
            <w:r w:rsidRPr="00C425C7">
              <w:rPr>
                <w:b/>
                <w:bCs/>
                <w:lang w:val="en-US"/>
              </w:rPr>
              <w:t>Year</w:t>
            </w:r>
          </w:p>
        </w:tc>
        <w:tc>
          <w:tcPr>
            <w:tcW w:w="0" w:type="auto"/>
            <w:tcBorders>
              <w:top w:val="single" w:sz="4" w:space="0" w:color="auto"/>
              <w:left w:val="single" w:sz="4" w:space="0" w:color="auto"/>
              <w:bottom w:val="single" w:sz="4" w:space="0" w:color="auto"/>
              <w:right w:val="single" w:sz="4" w:space="0" w:color="auto"/>
            </w:tcBorders>
            <w:hideMark/>
          </w:tcPr>
          <w:p w14:paraId="2836654A" w14:textId="77777777" w:rsidR="00C425C7" w:rsidRPr="00C425C7" w:rsidRDefault="00C425C7" w:rsidP="00C425C7">
            <w:pPr>
              <w:spacing w:after="160" w:line="278" w:lineRule="auto"/>
              <w:rPr>
                <w:b/>
                <w:bCs/>
                <w:lang w:val="en-US"/>
              </w:rPr>
            </w:pPr>
            <w:r w:rsidRPr="00C425C7">
              <w:rPr>
                <w:b/>
                <w:bCs/>
                <w:lang w:val="en-US"/>
              </w:rPr>
              <w:t>Cash Inflow (£m)</w:t>
            </w:r>
          </w:p>
        </w:tc>
        <w:tc>
          <w:tcPr>
            <w:tcW w:w="0" w:type="auto"/>
            <w:tcBorders>
              <w:top w:val="single" w:sz="4" w:space="0" w:color="auto"/>
              <w:left w:val="single" w:sz="4" w:space="0" w:color="auto"/>
              <w:bottom w:val="single" w:sz="4" w:space="0" w:color="auto"/>
              <w:right w:val="single" w:sz="4" w:space="0" w:color="auto"/>
            </w:tcBorders>
            <w:hideMark/>
          </w:tcPr>
          <w:p w14:paraId="49D889F8" w14:textId="77777777" w:rsidR="00C425C7" w:rsidRPr="00C425C7" w:rsidRDefault="00C425C7" w:rsidP="00C425C7">
            <w:pPr>
              <w:spacing w:after="160" w:line="278" w:lineRule="auto"/>
              <w:rPr>
                <w:b/>
                <w:bCs/>
                <w:lang w:val="en-US"/>
              </w:rPr>
            </w:pPr>
            <w:r w:rsidRPr="00C425C7">
              <w:rPr>
                <w:b/>
                <w:bCs/>
                <w:lang w:val="en-US"/>
              </w:rPr>
              <w:t xml:space="preserve">Discount </w:t>
            </w:r>
            <w:proofErr w:type="gramStart"/>
            <w:r w:rsidRPr="00C425C7">
              <w:rPr>
                <w:b/>
                <w:bCs/>
                <w:lang w:val="en-US"/>
              </w:rPr>
              <w:t>Factor (@</w:t>
            </w:r>
            <w:proofErr w:type="gramEnd"/>
            <w:r w:rsidRPr="00C425C7">
              <w:rPr>
                <w:b/>
                <w:bCs/>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1331D0E1" w14:textId="77777777" w:rsidR="00C425C7" w:rsidRPr="00C425C7" w:rsidRDefault="00C425C7" w:rsidP="00C425C7">
            <w:pPr>
              <w:spacing w:after="160" w:line="278" w:lineRule="auto"/>
              <w:rPr>
                <w:b/>
                <w:bCs/>
                <w:lang w:val="en-US"/>
              </w:rPr>
            </w:pPr>
            <w:r w:rsidRPr="00C425C7">
              <w:rPr>
                <w:b/>
                <w:bCs/>
                <w:lang w:val="en-US"/>
              </w:rPr>
              <w:t>Present Value (£m)</w:t>
            </w:r>
          </w:p>
        </w:tc>
      </w:tr>
      <w:tr w:rsidR="00C425C7" w:rsidRPr="00C425C7" w14:paraId="5100B829" w14:textId="77777777">
        <w:tc>
          <w:tcPr>
            <w:tcW w:w="0" w:type="auto"/>
            <w:tcBorders>
              <w:top w:val="single" w:sz="4" w:space="0" w:color="auto"/>
              <w:left w:val="single" w:sz="4" w:space="0" w:color="auto"/>
              <w:bottom w:val="single" w:sz="4" w:space="0" w:color="auto"/>
              <w:right w:val="single" w:sz="4" w:space="0" w:color="auto"/>
            </w:tcBorders>
            <w:hideMark/>
          </w:tcPr>
          <w:p w14:paraId="67BC9BEF" w14:textId="77777777" w:rsidR="00C425C7" w:rsidRPr="00C425C7" w:rsidRDefault="00C425C7" w:rsidP="00C425C7">
            <w:pPr>
              <w:spacing w:after="160" w:line="278" w:lineRule="auto"/>
              <w:rPr>
                <w:lang w:val="en-US"/>
              </w:rPr>
            </w:pPr>
            <w:r w:rsidRPr="00C425C7">
              <w:rPr>
                <w:lang w:val="en-US"/>
              </w:rPr>
              <w:t>1</w:t>
            </w:r>
          </w:p>
        </w:tc>
        <w:tc>
          <w:tcPr>
            <w:tcW w:w="0" w:type="auto"/>
            <w:tcBorders>
              <w:top w:val="single" w:sz="4" w:space="0" w:color="auto"/>
              <w:left w:val="single" w:sz="4" w:space="0" w:color="auto"/>
              <w:bottom w:val="single" w:sz="4" w:space="0" w:color="auto"/>
              <w:right w:val="single" w:sz="4" w:space="0" w:color="auto"/>
            </w:tcBorders>
            <w:hideMark/>
          </w:tcPr>
          <w:p w14:paraId="49B715D6" w14:textId="77777777" w:rsidR="00C425C7" w:rsidRPr="00C425C7" w:rsidRDefault="00C425C7" w:rsidP="00C425C7">
            <w:pPr>
              <w:spacing w:after="160" w:line="278" w:lineRule="auto"/>
              <w:rPr>
                <w:lang w:val="en-US"/>
              </w:rPr>
            </w:pPr>
            <w:r w:rsidRPr="00C425C7">
              <w:rPr>
                <w:lang w:val="en-US"/>
              </w:rPr>
              <w:t>10.00</w:t>
            </w:r>
          </w:p>
        </w:tc>
        <w:tc>
          <w:tcPr>
            <w:tcW w:w="0" w:type="auto"/>
            <w:tcBorders>
              <w:top w:val="single" w:sz="4" w:space="0" w:color="auto"/>
              <w:left w:val="single" w:sz="4" w:space="0" w:color="auto"/>
              <w:bottom w:val="single" w:sz="4" w:space="0" w:color="auto"/>
              <w:right w:val="single" w:sz="4" w:space="0" w:color="auto"/>
            </w:tcBorders>
            <w:hideMark/>
          </w:tcPr>
          <w:p w14:paraId="0FCD8FCE" w14:textId="77777777" w:rsidR="00C425C7" w:rsidRPr="00C425C7" w:rsidRDefault="00C425C7" w:rsidP="00C425C7">
            <w:pPr>
              <w:spacing w:after="160" w:line="278" w:lineRule="auto"/>
              <w:rPr>
                <w:lang w:val="en-US"/>
              </w:rPr>
            </w:pPr>
            <w:r w:rsidRPr="00C425C7">
              <w:rPr>
                <w:lang w:val="en-US"/>
              </w:rPr>
              <w:t>0.909</w:t>
            </w:r>
          </w:p>
        </w:tc>
        <w:tc>
          <w:tcPr>
            <w:tcW w:w="0" w:type="auto"/>
            <w:tcBorders>
              <w:top w:val="single" w:sz="4" w:space="0" w:color="auto"/>
              <w:left w:val="single" w:sz="4" w:space="0" w:color="auto"/>
              <w:bottom w:val="single" w:sz="4" w:space="0" w:color="auto"/>
              <w:right w:val="single" w:sz="4" w:space="0" w:color="auto"/>
            </w:tcBorders>
            <w:hideMark/>
          </w:tcPr>
          <w:p w14:paraId="5C129C3D" w14:textId="77777777" w:rsidR="00C425C7" w:rsidRPr="00C425C7" w:rsidRDefault="00C425C7" w:rsidP="00C425C7">
            <w:pPr>
              <w:spacing w:after="160" w:line="278" w:lineRule="auto"/>
              <w:rPr>
                <w:lang w:val="en-US"/>
              </w:rPr>
            </w:pPr>
            <w:r w:rsidRPr="00C425C7">
              <w:rPr>
                <w:lang w:val="en-US"/>
              </w:rPr>
              <w:t>9.09</w:t>
            </w:r>
          </w:p>
        </w:tc>
      </w:tr>
      <w:tr w:rsidR="00C425C7" w:rsidRPr="00C425C7" w14:paraId="5750BC52" w14:textId="77777777">
        <w:tc>
          <w:tcPr>
            <w:tcW w:w="0" w:type="auto"/>
            <w:tcBorders>
              <w:top w:val="single" w:sz="4" w:space="0" w:color="auto"/>
              <w:left w:val="single" w:sz="4" w:space="0" w:color="auto"/>
              <w:bottom w:val="single" w:sz="4" w:space="0" w:color="auto"/>
              <w:right w:val="single" w:sz="4" w:space="0" w:color="auto"/>
            </w:tcBorders>
            <w:hideMark/>
          </w:tcPr>
          <w:p w14:paraId="23A5DB3B" w14:textId="77777777" w:rsidR="00C425C7" w:rsidRPr="00C425C7" w:rsidRDefault="00C425C7" w:rsidP="00C425C7">
            <w:pPr>
              <w:spacing w:after="160" w:line="278" w:lineRule="auto"/>
              <w:rPr>
                <w:lang w:val="en-US"/>
              </w:rPr>
            </w:pPr>
            <w:r w:rsidRPr="00C425C7">
              <w:rPr>
                <w:lang w:val="en-US"/>
              </w:rPr>
              <w:t>2</w:t>
            </w:r>
          </w:p>
        </w:tc>
        <w:tc>
          <w:tcPr>
            <w:tcW w:w="0" w:type="auto"/>
            <w:tcBorders>
              <w:top w:val="single" w:sz="4" w:space="0" w:color="auto"/>
              <w:left w:val="single" w:sz="4" w:space="0" w:color="auto"/>
              <w:bottom w:val="single" w:sz="4" w:space="0" w:color="auto"/>
              <w:right w:val="single" w:sz="4" w:space="0" w:color="auto"/>
            </w:tcBorders>
            <w:hideMark/>
          </w:tcPr>
          <w:p w14:paraId="2CD83436" w14:textId="77777777" w:rsidR="00C425C7" w:rsidRPr="00C425C7" w:rsidRDefault="00C425C7" w:rsidP="00C425C7">
            <w:pPr>
              <w:spacing w:after="160" w:line="278" w:lineRule="auto"/>
              <w:rPr>
                <w:lang w:val="en-US"/>
              </w:rPr>
            </w:pPr>
            <w:r w:rsidRPr="00C425C7">
              <w:rPr>
                <w:lang w:val="en-US"/>
              </w:rPr>
              <w:t>12.00</w:t>
            </w:r>
          </w:p>
        </w:tc>
        <w:tc>
          <w:tcPr>
            <w:tcW w:w="0" w:type="auto"/>
            <w:tcBorders>
              <w:top w:val="single" w:sz="4" w:space="0" w:color="auto"/>
              <w:left w:val="single" w:sz="4" w:space="0" w:color="auto"/>
              <w:bottom w:val="single" w:sz="4" w:space="0" w:color="auto"/>
              <w:right w:val="single" w:sz="4" w:space="0" w:color="auto"/>
            </w:tcBorders>
            <w:hideMark/>
          </w:tcPr>
          <w:p w14:paraId="7D57C3EB" w14:textId="77777777" w:rsidR="00C425C7" w:rsidRPr="00C425C7" w:rsidRDefault="00C425C7" w:rsidP="00C425C7">
            <w:pPr>
              <w:spacing w:after="160" w:line="278" w:lineRule="auto"/>
              <w:rPr>
                <w:lang w:val="en-US"/>
              </w:rPr>
            </w:pPr>
            <w:r w:rsidRPr="00C425C7">
              <w:rPr>
                <w:lang w:val="en-US"/>
              </w:rPr>
              <w:t>0.826</w:t>
            </w:r>
          </w:p>
        </w:tc>
        <w:tc>
          <w:tcPr>
            <w:tcW w:w="0" w:type="auto"/>
            <w:tcBorders>
              <w:top w:val="single" w:sz="4" w:space="0" w:color="auto"/>
              <w:left w:val="single" w:sz="4" w:space="0" w:color="auto"/>
              <w:bottom w:val="single" w:sz="4" w:space="0" w:color="auto"/>
              <w:right w:val="single" w:sz="4" w:space="0" w:color="auto"/>
            </w:tcBorders>
            <w:hideMark/>
          </w:tcPr>
          <w:p w14:paraId="2B041971" w14:textId="77777777" w:rsidR="00C425C7" w:rsidRPr="00C425C7" w:rsidRDefault="00C425C7" w:rsidP="00C425C7">
            <w:pPr>
              <w:spacing w:after="160" w:line="278" w:lineRule="auto"/>
              <w:rPr>
                <w:lang w:val="en-US"/>
              </w:rPr>
            </w:pPr>
            <w:r w:rsidRPr="00C425C7">
              <w:rPr>
                <w:lang w:val="en-US"/>
              </w:rPr>
              <w:t>9.92</w:t>
            </w:r>
          </w:p>
        </w:tc>
      </w:tr>
      <w:tr w:rsidR="00C425C7" w:rsidRPr="00C425C7" w14:paraId="182FBB00" w14:textId="77777777">
        <w:tc>
          <w:tcPr>
            <w:tcW w:w="0" w:type="auto"/>
            <w:tcBorders>
              <w:top w:val="single" w:sz="4" w:space="0" w:color="auto"/>
              <w:left w:val="single" w:sz="4" w:space="0" w:color="auto"/>
              <w:bottom w:val="single" w:sz="4" w:space="0" w:color="auto"/>
              <w:right w:val="single" w:sz="4" w:space="0" w:color="auto"/>
            </w:tcBorders>
            <w:hideMark/>
          </w:tcPr>
          <w:p w14:paraId="4F557F70" w14:textId="77777777" w:rsidR="00C425C7" w:rsidRPr="00C425C7" w:rsidRDefault="00C425C7" w:rsidP="00C425C7">
            <w:pPr>
              <w:spacing w:after="160" w:line="278" w:lineRule="auto"/>
              <w:rPr>
                <w:lang w:val="en-US"/>
              </w:rPr>
            </w:pPr>
            <w:r w:rsidRPr="00C425C7">
              <w:rPr>
                <w:lang w:val="en-US"/>
              </w:rPr>
              <w:t>3</w:t>
            </w:r>
          </w:p>
        </w:tc>
        <w:tc>
          <w:tcPr>
            <w:tcW w:w="0" w:type="auto"/>
            <w:tcBorders>
              <w:top w:val="single" w:sz="4" w:space="0" w:color="auto"/>
              <w:left w:val="single" w:sz="4" w:space="0" w:color="auto"/>
              <w:bottom w:val="single" w:sz="4" w:space="0" w:color="auto"/>
              <w:right w:val="single" w:sz="4" w:space="0" w:color="auto"/>
            </w:tcBorders>
            <w:hideMark/>
          </w:tcPr>
          <w:p w14:paraId="1E06C9E0" w14:textId="77777777" w:rsidR="00C425C7" w:rsidRPr="00C425C7" w:rsidRDefault="00C425C7" w:rsidP="00C425C7">
            <w:pPr>
              <w:spacing w:after="160" w:line="278" w:lineRule="auto"/>
              <w:rPr>
                <w:lang w:val="en-US"/>
              </w:rPr>
            </w:pPr>
            <w:r w:rsidRPr="00C425C7">
              <w:rPr>
                <w:lang w:val="en-US"/>
              </w:rPr>
              <w:t>14.00</w:t>
            </w:r>
          </w:p>
        </w:tc>
        <w:tc>
          <w:tcPr>
            <w:tcW w:w="0" w:type="auto"/>
            <w:tcBorders>
              <w:top w:val="single" w:sz="4" w:space="0" w:color="auto"/>
              <w:left w:val="single" w:sz="4" w:space="0" w:color="auto"/>
              <w:bottom w:val="single" w:sz="4" w:space="0" w:color="auto"/>
              <w:right w:val="single" w:sz="4" w:space="0" w:color="auto"/>
            </w:tcBorders>
            <w:hideMark/>
          </w:tcPr>
          <w:p w14:paraId="057B5638" w14:textId="77777777" w:rsidR="00C425C7" w:rsidRPr="00C425C7" w:rsidRDefault="00C425C7" w:rsidP="00C425C7">
            <w:pPr>
              <w:spacing w:after="160" w:line="278" w:lineRule="auto"/>
              <w:rPr>
                <w:lang w:val="en-US"/>
              </w:rPr>
            </w:pPr>
            <w:r w:rsidRPr="00C425C7">
              <w:rPr>
                <w:lang w:val="en-US"/>
              </w:rPr>
              <w:t>0.751</w:t>
            </w:r>
          </w:p>
        </w:tc>
        <w:tc>
          <w:tcPr>
            <w:tcW w:w="0" w:type="auto"/>
            <w:tcBorders>
              <w:top w:val="single" w:sz="4" w:space="0" w:color="auto"/>
              <w:left w:val="single" w:sz="4" w:space="0" w:color="auto"/>
              <w:bottom w:val="single" w:sz="4" w:space="0" w:color="auto"/>
              <w:right w:val="single" w:sz="4" w:space="0" w:color="auto"/>
            </w:tcBorders>
            <w:hideMark/>
          </w:tcPr>
          <w:p w14:paraId="67A74C87" w14:textId="77777777" w:rsidR="00C425C7" w:rsidRPr="00C425C7" w:rsidRDefault="00C425C7" w:rsidP="00C425C7">
            <w:pPr>
              <w:spacing w:after="160" w:line="278" w:lineRule="auto"/>
              <w:rPr>
                <w:lang w:val="en-US"/>
              </w:rPr>
            </w:pPr>
            <w:r w:rsidRPr="00C425C7">
              <w:rPr>
                <w:lang w:val="en-US"/>
              </w:rPr>
              <w:t>10.52</w:t>
            </w:r>
          </w:p>
        </w:tc>
      </w:tr>
      <w:tr w:rsidR="00C425C7" w:rsidRPr="00C425C7" w14:paraId="10F1F69B" w14:textId="77777777">
        <w:tc>
          <w:tcPr>
            <w:tcW w:w="0" w:type="auto"/>
            <w:tcBorders>
              <w:top w:val="single" w:sz="4" w:space="0" w:color="auto"/>
              <w:left w:val="single" w:sz="4" w:space="0" w:color="auto"/>
              <w:bottom w:val="single" w:sz="4" w:space="0" w:color="auto"/>
              <w:right w:val="single" w:sz="4" w:space="0" w:color="auto"/>
            </w:tcBorders>
            <w:hideMark/>
          </w:tcPr>
          <w:p w14:paraId="7A25AE50" w14:textId="77777777" w:rsidR="00C425C7" w:rsidRPr="00C425C7" w:rsidRDefault="00C425C7" w:rsidP="00C425C7">
            <w:pPr>
              <w:spacing w:after="160" w:line="278" w:lineRule="auto"/>
              <w:rPr>
                <w:lang w:val="en-US"/>
              </w:rPr>
            </w:pPr>
            <w:r w:rsidRPr="00C425C7">
              <w:rPr>
                <w:lang w:val="en-US"/>
              </w:rPr>
              <w:t>4</w:t>
            </w:r>
          </w:p>
        </w:tc>
        <w:tc>
          <w:tcPr>
            <w:tcW w:w="0" w:type="auto"/>
            <w:tcBorders>
              <w:top w:val="single" w:sz="4" w:space="0" w:color="auto"/>
              <w:left w:val="single" w:sz="4" w:space="0" w:color="auto"/>
              <w:bottom w:val="single" w:sz="4" w:space="0" w:color="auto"/>
              <w:right w:val="single" w:sz="4" w:space="0" w:color="auto"/>
            </w:tcBorders>
            <w:hideMark/>
          </w:tcPr>
          <w:p w14:paraId="129D1F90" w14:textId="77777777" w:rsidR="00C425C7" w:rsidRPr="00C425C7" w:rsidRDefault="00C425C7" w:rsidP="00C425C7">
            <w:pPr>
              <w:spacing w:after="160" w:line="278" w:lineRule="auto"/>
              <w:rPr>
                <w:lang w:val="en-US"/>
              </w:rPr>
            </w:pPr>
            <w:r w:rsidRPr="00C425C7">
              <w:rPr>
                <w:lang w:val="en-US"/>
              </w:rPr>
              <w:t>10.00</w:t>
            </w:r>
          </w:p>
        </w:tc>
        <w:tc>
          <w:tcPr>
            <w:tcW w:w="0" w:type="auto"/>
            <w:tcBorders>
              <w:top w:val="single" w:sz="4" w:space="0" w:color="auto"/>
              <w:left w:val="single" w:sz="4" w:space="0" w:color="auto"/>
              <w:bottom w:val="single" w:sz="4" w:space="0" w:color="auto"/>
              <w:right w:val="single" w:sz="4" w:space="0" w:color="auto"/>
            </w:tcBorders>
            <w:hideMark/>
          </w:tcPr>
          <w:p w14:paraId="30D08B64" w14:textId="77777777" w:rsidR="00C425C7" w:rsidRPr="00C425C7" w:rsidRDefault="00C425C7" w:rsidP="00C425C7">
            <w:pPr>
              <w:spacing w:after="160" w:line="278" w:lineRule="auto"/>
              <w:rPr>
                <w:lang w:val="en-US"/>
              </w:rPr>
            </w:pPr>
            <w:r w:rsidRPr="00C425C7">
              <w:rPr>
                <w:lang w:val="en-US"/>
              </w:rPr>
              <w:t>0.683</w:t>
            </w:r>
          </w:p>
        </w:tc>
        <w:tc>
          <w:tcPr>
            <w:tcW w:w="0" w:type="auto"/>
            <w:tcBorders>
              <w:top w:val="single" w:sz="4" w:space="0" w:color="auto"/>
              <w:left w:val="single" w:sz="4" w:space="0" w:color="auto"/>
              <w:bottom w:val="single" w:sz="4" w:space="0" w:color="auto"/>
              <w:right w:val="single" w:sz="4" w:space="0" w:color="auto"/>
            </w:tcBorders>
            <w:hideMark/>
          </w:tcPr>
          <w:p w14:paraId="4B803805" w14:textId="77777777" w:rsidR="00C425C7" w:rsidRPr="00C425C7" w:rsidRDefault="00C425C7" w:rsidP="00C425C7">
            <w:pPr>
              <w:spacing w:after="160" w:line="278" w:lineRule="auto"/>
              <w:rPr>
                <w:lang w:val="en-US"/>
              </w:rPr>
            </w:pPr>
            <w:r w:rsidRPr="00C425C7">
              <w:rPr>
                <w:lang w:val="en-US"/>
              </w:rPr>
              <w:t>6.83</w:t>
            </w:r>
          </w:p>
        </w:tc>
      </w:tr>
      <w:tr w:rsidR="00C425C7" w:rsidRPr="00C425C7" w14:paraId="4D5D4D5C" w14:textId="77777777">
        <w:tc>
          <w:tcPr>
            <w:tcW w:w="0" w:type="auto"/>
            <w:tcBorders>
              <w:top w:val="single" w:sz="4" w:space="0" w:color="auto"/>
              <w:left w:val="single" w:sz="4" w:space="0" w:color="auto"/>
              <w:bottom w:val="single" w:sz="4" w:space="0" w:color="auto"/>
              <w:right w:val="single" w:sz="4" w:space="0" w:color="auto"/>
            </w:tcBorders>
            <w:hideMark/>
          </w:tcPr>
          <w:p w14:paraId="2D8E432B" w14:textId="77777777" w:rsidR="00C425C7" w:rsidRPr="00C425C7" w:rsidRDefault="00C425C7" w:rsidP="00C425C7">
            <w:pPr>
              <w:spacing w:after="160" w:line="278" w:lineRule="auto"/>
              <w:rPr>
                <w:lang w:val="en-US"/>
              </w:rPr>
            </w:pPr>
            <w:r w:rsidRPr="00C425C7">
              <w:rPr>
                <w:lang w:val="en-US"/>
              </w:rPr>
              <w:t>5</w:t>
            </w:r>
          </w:p>
        </w:tc>
        <w:tc>
          <w:tcPr>
            <w:tcW w:w="0" w:type="auto"/>
            <w:tcBorders>
              <w:top w:val="single" w:sz="4" w:space="0" w:color="auto"/>
              <w:left w:val="single" w:sz="4" w:space="0" w:color="auto"/>
              <w:bottom w:val="single" w:sz="4" w:space="0" w:color="auto"/>
              <w:right w:val="single" w:sz="4" w:space="0" w:color="auto"/>
            </w:tcBorders>
            <w:hideMark/>
          </w:tcPr>
          <w:p w14:paraId="45B39E90" w14:textId="77777777" w:rsidR="00C425C7" w:rsidRPr="00C425C7" w:rsidRDefault="00C425C7" w:rsidP="00C425C7">
            <w:pPr>
              <w:spacing w:after="160" w:line="278" w:lineRule="auto"/>
              <w:rPr>
                <w:lang w:val="en-US"/>
              </w:rPr>
            </w:pPr>
            <w:r w:rsidRPr="00C425C7">
              <w:rPr>
                <w:lang w:val="en-US"/>
              </w:rPr>
              <w:t>8.00</w:t>
            </w:r>
          </w:p>
        </w:tc>
        <w:tc>
          <w:tcPr>
            <w:tcW w:w="0" w:type="auto"/>
            <w:tcBorders>
              <w:top w:val="single" w:sz="4" w:space="0" w:color="auto"/>
              <w:left w:val="single" w:sz="4" w:space="0" w:color="auto"/>
              <w:bottom w:val="single" w:sz="4" w:space="0" w:color="auto"/>
              <w:right w:val="single" w:sz="4" w:space="0" w:color="auto"/>
            </w:tcBorders>
            <w:hideMark/>
          </w:tcPr>
          <w:p w14:paraId="16D6E144" w14:textId="77777777" w:rsidR="00C425C7" w:rsidRPr="00C425C7" w:rsidRDefault="00C425C7" w:rsidP="00C425C7">
            <w:pPr>
              <w:spacing w:after="160" w:line="278" w:lineRule="auto"/>
              <w:rPr>
                <w:lang w:val="en-US"/>
              </w:rPr>
            </w:pPr>
            <w:r w:rsidRPr="00C425C7">
              <w:rPr>
                <w:lang w:val="en-US"/>
              </w:rPr>
              <w:t>0.621</w:t>
            </w:r>
          </w:p>
        </w:tc>
        <w:tc>
          <w:tcPr>
            <w:tcW w:w="0" w:type="auto"/>
            <w:tcBorders>
              <w:top w:val="single" w:sz="4" w:space="0" w:color="auto"/>
              <w:left w:val="single" w:sz="4" w:space="0" w:color="auto"/>
              <w:bottom w:val="single" w:sz="4" w:space="0" w:color="auto"/>
              <w:right w:val="single" w:sz="4" w:space="0" w:color="auto"/>
            </w:tcBorders>
            <w:hideMark/>
          </w:tcPr>
          <w:p w14:paraId="4C8CB735" w14:textId="77777777" w:rsidR="00C425C7" w:rsidRPr="00C425C7" w:rsidRDefault="00C425C7" w:rsidP="00C425C7">
            <w:pPr>
              <w:spacing w:after="160" w:line="278" w:lineRule="auto"/>
              <w:rPr>
                <w:lang w:val="en-US"/>
              </w:rPr>
            </w:pPr>
            <w:r w:rsidRPr="00C425C7">
              <w:rPr>
                <w:lang w:val="en-US"/>
              </w:rPr>
              <w:t>4.97</w:t>
            </w:r>
          </w:p>
        </w:tc>
      </w:tr>
      <w:tr w:rsidR="00C425C7" w:rsidRPr="00C425C7" w14:paraId="2741B305" w14:textId="77777777">
        <w:tc>
          <w:tcPr>
            <w:tcW w:w="0" w:type="auto"/>
            <w:tcBorders>
              <w:top w:val="single" w:sz="4" w:space="0" w:color="auto"/>
              <w:left w:val="single" w:sz="4" w:space="0" w:color="auto"/>
              <w:bottom w:val="single" w:sz="4" w:space="0" w:color="auto"/>
              <w:right w:val="single" w:sz="4" w:space="0" w:color="auto"/>
            </w:tcBorders>
            <w:hideMark/>
          </w:tcPr>
          <w:p w14:paraId="0F6DABD9" w14:textId="77777777" w:rsidR="00C425C7" w:rsidRPr="00C425C7" w:rsidRDefault="00C425C7" w:rsidP="00C425C7">
            <w:pPr>
              <w:spacing w:after="160" w:line="278" w:lineRule="auto"/>
              <w:rPr>
                <w:lang w:val="en-US"/>
              </w:rPr>
            </w:pPr>
            <w:r w:rsidRPr="00C425C7">
              <w:rPr>
                <w:b/>
                <w:bCs/>
                <w:lang w:val="en-US"/>
              </w:rPr>
              <w:t>Total</w:t>
            </w:r>
          </w:p>
        </w:tc>
        <w:tc>
          <w:tcPr>
            <w:tcW w:w="0" w:type="auto"/>
            <w:tcBorders>
              <w:top w:val="single" w:sz="4" w:space="0" w:color="auto"/>
              <w:left w:val="single" w:sz="4" w:space="0" w:color="auto"/>
              <w:bottom w:val="single" w:sz="4" w:space="0" w:color="auto"/>
              <w:right w:val="single" w:sz="4" w:space="0" w:color="auto"/>
            </w:tcBorders>
            <w:hideMark/>
          </w:tcPr>
          <w:p w14:paraId="7D666D1C" w14:textId="77777777" w:rsidR="00C425C7" w:rsidRPr="00C425C7" w:rsidRDefault="00C425C7" w:rsidP="00C425C7">
            <w:pPr>
              <w:spacing w:after="160" w:line="278" w:lineRule="auto"/>
              <w:rPr>
                <w:lang w:val="en-US"/>
              </w:rPr>
            </w:pPr>
            <w:r w:rsidRPr="00C425C7">
              <w:rPr>
                <w:b/>
                <w:bCs/>
                <w:lang w:val="en-US"/>
              </w:rPr>
              <w:t>£54.00</w:t>
            </w:r>
          </w:p>
        </w:tc>
        <w:tc>
          <w:tcPr>
            <w:tcW w:w="0" w:type="auto"/>
            <w:tcBorders>
              <w:top w:val="single" w:sz="4" w:space="0" w:color="auto"/>
              <w:left w:val="single" w:sz="4" w:space="0" w:color="auto"/>
              <w:bottom w:val="single" w:sz="4" w:space="0" w:color="auto"/>
              <w:right w:val="single" w:sz="4" w:space="0" w:color="auto"/>
            </w:tcBorders>
            <w:hideMark/>
          </w:tcPr>
          <w:p w14:paraId="5D74BDBC" w14:textId="77777777" w:rsidR="00C425C7" w:rsidRPr="00C425C7" w:rsidRDefault="00C425C7" w:rsidP="00C425C7">
            <w:pPr>
              <w:spacing w:after="160" w:line="278" w:lineRule="auto"/>
              <w:rPr>
                <w:lang w:val="en-US"/>
              </w:rPr>
            </w:pPr>
          </w:p>
        </w:tc>
        <w:tc>
          <w:tcPr>
            <w:tcW w:w="0" w:type="auto"/>
            <w:tcBorders>
              <w:top w:val="single" w:sz="4" w:space="0" w:color="auto"/>
              <w:left w:val="single" w:sz="4" w:space="0" w:color="auto"/>
              <w:bottom w:val="single" w:sz="4" w:space="0" w:color="auto"/>
              <w:right w:val="single" w:sz="4" w:space="0" w:color="auto"/>
            </w:tcBorders>
            <w:hideMark/>
          </w:tcPr>
          <w:p w14:paraId="629FCB28" w14:textId="77777777" w:rsidR="00C425C7" w:rsidRPr="00C425C7" w:rsidRDefault="00C425C7" w:rsidP="00C425C7">
            <w:pPr>
              <w:spacing w:after="160" w:line="278" w:lineRule="auto"/>
              <w:rPr>
                <w:lang w:val="en-US"/>
              </w:rPr>
            </w:pPr>
            <w:r w:rsidRPr="00C425C7">
              <w:rPr>
                <w:b/>
                <w:bCs/>
                <w:lang w:val="en-US"/>
              </w:rPr>
              <w:t>£41.33</w:t>
            </w:r>
          </w:p>
        </w:tc>
      </w:tr>
    </w:tbl>
    <w:p w14:paraId="1E7D9977" w14:textId="77777777" w:rsidR="00C425C7" w:rsidRDefault="00C425C7" w:rsidP="00C425C7">
      <w:pPr>
        <w:rPr>
          <w:b/>
          <w:bCs/>
          <w:lang w:val="en-US"/>
        </w:rPr>
      </w:pPr>
    </w:p>
    <w:p w14:paraId="75C1CE29" w14:textId="77777777" w:rsidR="00B45CF4" w:rsidRDefault="00B45CF4" w:rsidP="00C425C7">
      <w:pPr>
        <w:rPr>
          <w:b/>
          <w:bCs/>
          <w:lang w:val="en-US"/>
        </w:rPr>
      </w:pPr>
    </w:p>
    <w:p w14:paraId="00E40C86" w14:textId="77777777" w:rsidR="00B45CF4" w:rsidRDefault="00B45CF4" w:rsidP="00C425C7">
      <w:pPr>
        <w:rPr>
          <w:b/>
          <w:bCs/>
          <w:lang w:val="en-US"/>
        </w:rPr>
      </w:pPr>
    </w:p>
    <w:p w14:paraId="59F368EA" w14:textId="77777777" w:rsidR="00B45CF4" w:rsidRPr="00C425C7" w:rsidRDefault="00B45CF4" w:rsidP="00C425C7">
      <w:pPr>
        <w:rPr>
          <w:b/>
          <w:bCs/>
          <w:lang w:val="en-US"/>
        </w:rPr>
      </w:pPr>
    </w:p>
    <w:p w14:paraId="53752B1E" w14:textId="77777777" w:rsidR="00C425C7" w:rsidRPr="00C425C7" w:rsidRDefault="00C425C7" w:rsidP="00C425C7">
      <w:pPr>
        <w:rPr>
          <w:lang w:val="en-US"/>
        </w:rPr>
      </w:pPr>
      <w:r w:rsidRPr="00C425C7">
        <w:rPr>
          <w:b/>
          <w:bCs/>
          <w:lang w:val="en-US"/>
        </w:rPr>
        <w:lastRenderedPageBreak/>
        <w:t>Summary of Appraisal Metrics (Project A)</w:t>
      </w:r>
    </w:p>
    <w:tbl>
      <w:tblPr>
        <w:tblStyle w:val="TableGrid"/>
        <w:tblW w:w="0" w:type="auto"/>
        <w:tblLook w:val="04A0" w:firstRow="1" w:lastRow="0" w:firstColumn="1" w:lastColumn="0" w:noHBand="0" w:noVBand="1"/>
      </w:tblPr>
      <w:tblGrid>
        <w:gridCol w:w="2945"/>
        <w:gridCol w:w="1363"/>
        <w:gridCol w:w="4708"/>
      </w:tblGrid>
      <w:tr w:rsidR="00C425C7" w:rsidRPr="00C425C7" w14:paraId="0D7BF985" w14:textId="77777777">
        <w:tc>
          <w:tcPr>
            <w:tcW w:w="0" w:type="auto"/>
            <w:tcBorders>
              <w:top w:val="single" w:sz="4" w:space="0" w:color="auto"/>
              <w:left w:val="single" w:sz="4" w:space="0" w:color="auto"/>
              <w:bottom w:val="single" w:sz="4" w:space="0" w:color="auto"/>
              <w:right w:val="single" w:sz="4" w:space="0" w:color="auto"/>
            </w:tcBorders>
            <w:hideMark/>
          </w:tcPr>
          <w:p w14:paraId="51040347" w14:textId="77777777" w:rsidR="00C425C7" w:rsidRPr="00C425C7" w:rsidRDefault="00C425C7" w:rsidP="00C425C7">
            <w:pPr>
              <w:spacing w:after="160" w:line="278" w:lineRule="auto"/>
              <w:rPr>
                <w:b/>
                <w:bCs/>
                <w:lang w:val="en-US"/>
              </w:rPr>
            </w:pPr>
            <w:r w:rsidRPr="00C425C7">
              <w:rPr>
                <w:b/>
                <w:bCs/>
                <w:lang w:val="en-US"/>
              </w:rPr>
              <w:t>Appraisal Method</w:t>
            </w:r>
          </w:p>
        </w:tc>
        <w:tc>
          <w:tcPr>
            <w:tcW w:w="0" w:type="auto"/>
            <w:tcBorders>
              <w:top w:val="single" w:sz="4" w:space="0" w:color="auto"/>
              <w:left w:val="single" w:sz="4" w:space="0" w:color="auto"/>
              <w:bottom w:val="single" w:sz="4" w:space="0" w:color="auto"/>
              <w:right w:val="single" w:sz="4" w:space="0" w:color="auto"/>
            </w:tcBorders>
            <w:hideMark/>
          </w:tcPr>
          <w:p w14:paraId="21FE8B6B" w14:textId="77777777" w:rsidR="00C425C7" w:rsidRPr="00C425C7" w:rsidRDefault="00C425C7" w:rsidP="00C425C7">
            <w:pPr>
              <w:spacing w:after="160" w:line="278" w:lineRule="auto"/>
              <w:rPr>
                <w:b/>
                <w:bCs/>
                <w:lang w:val="en-US"/>
              </w:rPr>
            </w:pPr>
            <w:proofErr w:type="gramStart"/>
            <w:r w:rsidRPr="00C425C7">
              <w:rPr>
                <w:b/>
                <w:bCs/>
                <w:lang w:val="en-US"/>
              </w:rPr>
              <w:t>Final Result</w:t>
            </w:r>
            <w:proofErr w:type="gramEnd"/>
          </w:p>
        </w:tc>
        <w:tc>
          <w:tcPr>
            <w:tcW w:w="0" w:type="auto"/>
            <w:tcBorders>
              <w:top w:val="single" w:sz="4" w:space="0" w:color="auto"/>
              <w:left w:val="single" w:sz="4" w:space="0" w:color="auto"/>
              <w:bottom w:val="single" w:sz="4" w:space="0" w:color="auto"/>
              <w:right w:val="single" w:sz="4" w:space="0" w:color="auto"/>
            </w:tcBorders>
            <w:hideMark/>
          </w:tcPr>
          <w:p w14:paraId="3D374C6E" w14:textId="77777777" w:rsidR="00C425C7" w:rsidRPr="00C425C7" w:rsidRDefault="00C425C7" w:rsidP="00C425C7">
            <w:pPr>
              <w:spacing w:after="160" w:line="278" w:lineRule="auto"/>
              <w:rPr>
                <w:b/>
                <w:bCs/>
                <w:lang w:val="en-US"/>
              </w:rPr>
            </w:pPr>
            <w:r w:rsidRPr="00C425C7">
              <w:rPr>
                <w:b/>
                <w:bCs/>
                <w:lang w:val="en-US"/>
              </w:rPr>
              <w:t>Calculation &amp; Notes</w:t>
            </w:r>
          </w:p>
        </w:tc>
      </w:tr>
      <w:tr w:rsidR="00C425C7" w:rsidRPr="00C425C7" w14:paraId="03A4D912" w14:textId="77777777">
        <w:tc>
          <w:tcPr>
            <w:tcW w:w="0" w:type="auto"/>
            <w:tcBorders>
              <w:top w:val="single" w:sz="4" w:space="0" w:color="auto"/>
              <w:left w:val="single" w:sz="4" w:space="0" w:color="auto"/>
              <w:bottom w:val="single" w:sz="4" w:space="0" w:color="auto"/>
              <w:right w:val="single" w:sz="4" w:space="0" w:color="auto"/>
            </w:tcBorders>
            <w:hideMark/>
          </w:tcPr>
          <w:p w14:paraId="682029D2" w14:textId="77777777" w:rsidR="00C425C7" w:rsidRPr="00C425C7" w:rsidRDefault="00C425C7" w:rsidP="00C425C7">
            <w:pPr>
              <w:spacing w:after="160" w:line="278" w:lineRule="auto"/>
              <w:rPr>
                <w:lang w:val="en-US"/>
              </w:rPr>
            </w:pPr>
            <w:r w:rsidRPr="00C425C7">
              <w:rPr>
                <w:lang w:val="en-US"/>
              </w:rPr>
              <w:t>Payback Period (PBP)</w:t>
            </w:r>
          </w:p>
        </w:tc>
        <w:tc>
          <w:tcPr>
            <w:tcW w:w="0" w:type="auto"/>
            <w:tcBorders>
              <w:top w:val="single" w:sz="4" w:space="0" w:color="auto"/>
              <w:left w:val="single" w:sz="4" w:space="0" w:color="auto"/>
              <w:bottom w:val="single" w:sz="4" w:space="0" w:color="auto"/>
              <w:right w:val="single" w:sz="4" w:space="0" w:color="auto"/>
            </w:tcBorders>
            <w:hideMark/>
          </w:tcPr>
          <w:p w14:paraId="34F15A92" w14:textId="77777777" w:rsidR="00C425C7" w:rsidRPr="00C425C7" w:rsidRDefault="00C425C7" w:rsidP="00C425C7">
            <w:pPr>
              <w:spacing w:after="160" w:line="278" w:lineRule="auto"/>
              <w:rPr>
                <w:lang w:val="en-US"/>
              </w:rPr>
            </w:pPr>
            <w:r w:rsidRPr="00C425C7">
              <w:rPr>
                <w:lang w:val="en-US"/>
              </w:rPr>
              <w:t>3.40 years</w:t>
            </w:r>
          </w:p>
        </w:tc>
        <w:tc>
          <w:tcPr>
            <w:tcW w:w="0" w:type="auto"/>
            <w:tcBorders>
              <w:top w:val="single" w:sz="4" w:space="0" w:color="auto"/>
              <w:left w:val="single" w:sz="4" w:space="0" w:color="auto"/>
              <w:bottom w:val="single" w:sz="4" w:space="0" w:color="auto"/>
              <w:right w:val="single" w:sz="4" w:space="0" w:color="auto"/>
            </w:tcBorders>
            <w:hideMark/>
          </w:tcPr>
          <w:p w14:paraId="2A2C617E" w14:textId="77777777" w:rsidR="00C425C7" w:rsidRPr="00C425C7" w:rsidRDefault="00C425C7" w:rsidP="00C425C7">
            <w:pPr>
              <w:spacing w:after="160" w:line="278" w:lineRule="auto"/>
              <w:rPr>
                <w:lang w:val="en-US"/>
              </w:rPr>
            </w:pPr>
            <w:r w:rsidRPr="00C425C7">
              <w:rPr>
                <w:lang w:val="en-US"/>
              </w:rPr>
              <w:t>3 years + (£4m needed / £10m Y4 inflow)</w:t>
            </w:r>
          </w:p>
        </w:tc>
      </w:tr>
      <w:tr w:rsidR="00C425C7" w:rsidRPr="00C425C7" w14:paraId="2DA84387" w14:textId="77777777">
        <w:tc>
          <w:tcPr>
            <w:tcW w:w="0" w:type="auto"/>
            <w:tcBorders>
              <w:top w:val="single" w:sz="4" w:space="0" w:color="auto"/>
              <w:left w:val="single" w:sz="4" w:space="0" w:color="auto"/>
              <w:bottom w:val="single" w:sz="4" w:space="0" w:color="auto"/>
              <w:right w:val="single" w:sz="4" w:space="0" w:color="auto"/>
            </w:tcBorders>
            <w:hideMark/>
          </w:tcPr>
          <w:p w14:paraId="66284727" w14:textId="77777777" w:rsidR="00C425C7" w:rsidRPr="00C425C7" w:rsidRDefault="00C425C7" w:rsidP="00C425C7">
            <w:pPr>
              <w:spacing w:after="160" w:line="278" w:lineRule="auto"/>
              <w:rPr>
                <w:lang w:val="en-US"/>
              </w:rPr>
            </w:pPr>
            <w:r w:rsidRPr="00C425C7">
              <w:rPr>
                <w:lang w:val="en-US"/>
              </w:rPr>
              <w:t>Accounting Rate of Return (ARR)</w:t>
            </w:r>
          </w:p>
        </w:tc>
        <w:tc>
          <w:tcPr>
            <w:tcW w:w="0" w:type="auto"/>
            <w:tcBorders>
              <w:top w:val="single" w:sz="4" w:space="0" w:color="auto"/>
              <w:left w:val="single" w:sz="4" w:space="0" w:color="auto"/>
              <w:bottom w:val="single" w:sz="4" w:space="0" w:color="auto"/>
              <w:right w:val="single" w:sz="4" w:space="0" w:color="auto"/>
            </w:tcBorders>
            <w:hideMark/>
          </w:tcPr>
          <w:p w14:paraId="323E852D" w14:textId="77777777" w:rsidR="00C425C7" w:rsidRPr="00C425C7" w:rsidRDefault="00C425C7" w:rsidP="00C425C7">
            <w:pPr>
              <w:spacing w:after="160" w:line="278" w:lineRule="auto"/>
              <w:rPr>
                <w:lang w:val="en-US"/>
              </w:rPr>
            </w:pPr>
            <w:r w:rsidRPr="00C425C7">
              <w:rPr>
                <w:lang w:val="en-US"/>
              </w:rPr>
              <w:t>14.00%</w:t>
            </w:r>
          </w:p>
        </w:tc>
        <w:tc>
          <w:tcPr>
            <w:tcW w:w="0" w:type="auto"/>
            <w:tcBorders>
              <w:top w:val="single" w:sz="4" w:space="0" w:color="auto"/>
              <w:left w:val="single" w:sz="4" w:space="0" w:color="auto"/>
              <w:bottom w:val="single" w:sz="4" w:space="0" w:color="auto"/>
              <w:right w:val="single" w:sz="4" w:space="0" w:color="auto"/>
            </w:tcBorders>
            <w:hideMark/>
          </w:tcPr>
          <w:p w14:paraId="2387D94E" w14:textId="77777777" w:rsidR="00C425C7" w:rsidRPr="00C425C7" w:rsidRDefault="00C425C7" w:rsidP="00C425C7">
            <w:pPr>
              <w:spacing w:after="160" w:line="278" w:lineRule="auto"/>
              <w:rPr>
                <w:lang w:val="en-US"/>
              </w:rPr>
            </w:pPr>
            <w:r w:rsidRPr="00C425C7">
              <w:rPr>
                <w:lang w:val="en-US"/>
              </w:rPr>
              <w:t>Avg. Annual Profit (£2.8m) / Avg. Investment (£20m)</w:t>
            </w:r>
          </w:p>
        </w:tc>
      </w:tr>
      <w:tr w:rsidR="00C425C7" w:rsidRPr="00C425C7" w14:paraId="4B5EAE5A" w14:textId="77777777">
        <w:tc>
          <w:tcPr>
            <w:tcW w:w="0" w:type="auto"/>
            <w:tcBorders>
              <w:top w:val="single" w:sz="4" w:space="0" w:color="auto"/>
              <w:left w:val="single" w:sz="4" w:space="0" w:color="auto"/>
              <w:bottom w:val="single" w:sz="4" w:space="0" w:color="auto"/>
              <w:right w:val="single" w:sz="4" w:space="0" w:color="auto"/>
            </w:tcBorders>
            <w:hideMark/>
          </w:tcPr>
          <w:p w14:paraId="2B3362BE" w14:textId="77777777" w:rsidR="00C425C7" w:rsidRPr="00C425C7" w:rsidRDefault="00C425C7" w:rsidP="00C425C7">
            <w:pPr>
              <w:spacing w:after="160" w:line="278" w:lineRule="auto"/>
              <w:rPr>
                <w:lang w:val="en-US"/>
              </w:rPr>
            </w:pPr>
            <w:r w:rsidRPr="00C425C7">
              <w:rPr>
                <w:lang w:val="en-US"/>
              </w:rPr>
              <w:t>Net Present Value (NPV)</w:t>
            </w:r>
          </w:p>
        </w:tc>
        <w:tc>
          <w:tcPr>
            <w:tcW w:w="0" w:type="auto"/>
            <w:tcBorders>
              <w:top w:val="single" w:sz="4" w:space="0" w:color="auto"/>
              <w:left w:val="single" w:sz="4" w:space="0" w:color="auto"/>
              <w:bottom w:val="single" w:sz="4" w:space="0" w:color="auto"/>
              <w:right w:val="single" w:sz="4" w:space="0" w:color="auto"/>
            </w:tcBorders>
            <w:hideMark/>
          </w:tcPr>
          <w:p w14:paraId="6D5FDE8C" w14:textId="77777777" w:rsidR="00C425C7" w:rsidRPr="00C425C7" w:rsidRDefault="00C425C7" w:rsidP="00C425C7">
            <w:pPr>
              <w:spacing w:after="160" w:line="278" w:lineRule="auto"/>
              <w:rPr>
                <w:lang w:val="en-US"/>
              </w:rPr>
            </w:pPr>
            <w:r w:rsidRPr="00C425C7">
              <w:rPr>
                <w:lang w:val="en-US"/>
              </w:rPr>
              <w:t>£1.33m</w:t>
            </w:r>
          </w:p>
        </w:tc>
        <w:tc>
          <w:tcPr>
            <w:tcW w:w="0" w:type="auto"/>
            <w:tcBorders>
              <w:top w:val="single" w:sz="4" w:space="0" w:color="auto"/>
              <w:left w:val="single" w:sz="4" w:space="0" w:color="auto"/>
              <w:bottom w:val="single" w:sz="4" w:space="0" w:color="auto"/>
              <w:right w:val="single" w:sz="4" w:space="0" w:color="auto"/>
            </w:tcBorders>
            <w:hideMark/>
          </w:tcPr>
          <w:p w14:paraId="11E9A4A9" w14:textId="77777777" w:rsidR="00C425C7" w:rsidRPr="00C425C7" w:rsidRDefault="00C425C7" w:rsidP="00C425C7">
            <w:pPr>
              <w:spacing w:after="160" w:line="278" w:lineRule="auto"/>
              <w:rPr>
                <w:lang w:val="en-US"/>
              </w:rPr>
            </w:pPr>
            <w:r w:rsidRPr="00C425C7">
              <w:rPr>
                <w:lang w:val="en-US"/>
              </w:rPr>
              <w:t>Total PV of Inflows (£41.33m) - Initial Investment (£40m)</w:t>
            </w:r>
          </w:p>
        </w:tc>
      </w:tr>
      <w:tr w:rsidR="00C425C7" w:rsidRPr="00C425C7" w14:paraId="279B33B2" w14:textId="77777777">
        <w:tc>
          <w:tcPr>
            <w:tcW w:w="0" w:type="auto"/>
            <w:tcBorders>
              <w:top w:val="single" w:sz="4" w:space="0" w:color="auto"/>
              <w:left w:val="single" w:sz="4" w:space="0" w:color="auto"/>
              <w:bottom w:val="single" w:sz="4" w:space="0" w:color="auto"/>
              <w:right w:val="single" w:sz="4" w:space="0" w:color="auto"/>
            </w:tcBorders>
            <w:hideMark/>
          </w:tcPr>
          <w:p w14:paraId="0A538D10" w14:textId="77777777" w:rsidR="00C425C7" w:rsidRPr="00C425C7" w:rsidRDefault="00C425C7" w:rsidP="00C425C7">
            <w:pPr>
              <w:spacing w:after="160" w:line="278" w:lineRule="auto"/>
              <w:rPr>
                <w:lang w:val="en-US"/>
              </w:rPr>
            </w:pPr>
            <w:r w:rsidRPr="00C425C7">
              <w:rPr>
                <w:lang w:val="en-US"/>
              </w:rPr>
              <w:t>Profitability Index (PI)</w:t>
            </w:r>
          </w:p>
        </w:tc>
        <w:tc>
          <w:tcPr>
            <w:tcW w:w="0" w:type="auto"/>
            <w:tcBorders>
              <w:top w:val="single" w:sz="4" w:space="0" w:color="auto"/>
              <w:left w:val="single" w:sz="4" w:space="0" w:color="auto"/>
              <w:bottom w:val="single" w:sz="4" w:space="0" w:color="auto"/>
              <w:right w:val="single" w:sz="4" w:space="0" w:color="auto"/>
            </w:tcBorders>
            <w:hideMark/>
          </w:tcPr>
          <w:p w14:paraId="42575489" w14:textId="77777777" w:rsidR="00C425C7" w:rsidRPr="00C425C7" w:rsidRDefault="00C425C7" w:rsidP="00C425C7">
            <w:pPr>
              <w:spacing w:after="160" w:line="278" w:lineRule="auto"/>
              <w:rPr>
                <w:lang w:val="en-US"/>
              </w:rPr>
            </w:pPr>
            <w:r w:rsidRPr="00C425C7">
              <w:rPr>
                <w:lang w:val="en-US"/>
              </w:rPr>
              <w:t>1.03</w:t>
            </w:r>
          </w:p>
        </w:tc>
        <w:tc>
          <w:tcPr>
            <w:tcW w:w="0" w:type="auto"/>
            <w:tcBorders>
              <w:top w:val="single" w:sz="4" w:space="0" w:color="auto"/>
              <w:left w:val="single" w:sz="4" w:space="0" w:color="auto"/>
              <w:bottom w:val="single" w:sz="4" w:space="0" w:color="auto"/>
              <w:right w:val="single" w:sz="4" w:space="0" w:color="auto"/>
            </w:tcBorders>
            <w:hideMark/>
          </w:tcPr>
          <w:p w14:paraId="2B52EEAD" w14:textId="77777777" w:rsidR="00C425C7" w:rsidRPr="00C425C7" w:rsidRDefault="00C425C7" w:rsidP="00C425C7">
            <w:pPr>
              <w:spacing w:after="160" w:line="278" w:lineRule="auto"/>
              <w:rPr>
                <w:lang w:val="en-US"/>
              </w:rPr>
            </w:pPr>
            <w:r w:rsidRPr="00C425C7">
              <w:rPr>
                <w:lang w:val="en-US"/>
              </w:rPr>
              <w:t>Total PV of Inflows (£41.33m) / Initial Investment (£40m)</w:t>
            </w:r>
          </w:p>
        </w:tc>
      </w:tr>
      <w:tr w:rsidR="00C425C7" w:rsidRPr="00C425C7" w14:paraId="3E16B61B" w14:textId="77777777">
        <w:tc>
          <w:tcPr>
            <w:tcW w:w="0" w:type="auto"/>
            <w:tcBorders>
              <w:top w:val="single" w:sz="4" w:space="0" w:color="auto"/>
              <w:left w:val="single" w:sz="4" w:space="0" w:color="auto"/>
              <w:bottom w:val="single" w:sz="4" w:space="0" w:color="auto"/>
              <w:right w:val="single" w:sz="4" w:space="0" w:color="auto"/>
            </w:tcBorders>
            <w:hideMark/>
          </w:tcPr>
          <w:p w14:paraId="081B0D22" w14:textId="77777777" w:rsidR="00C425C7" w:rsidRPr="00C425C7" w:rsidRDefault="00C425C7" w:rsidP="00C425C7">
            <w:pPr>
              <w:spacing w:after="160" w:line="278" w:lineRule="auto"/>
              <w:rPr>
                <w:lang w:val="en-US"/>
              </w:rPr>
            </w:pPr>
            <w:r w:rsidRPr="00C425C7">
              <w:rPr>
                <w:lang w:val="en-US"/>
              </w:rPr>
              <w:t>Internal Rate of Return (IRR)</w:t>
            </w:r>
          </w:p>
        </w:tc>
        <w:tc>
          <w:tcPr>
            <w:tcW w:w="0" w:type="auto"/>
            <w:tcBorders>
              <w:top w:val="single" w:sz="4" w:space="0" w:color="auto"/>
              <w:left w:val="single" w:sz="4" w:space="0" w:color="auto"/>
              <w:bottom w:val="single" w:sz="4" w:space="0" w:color="auto"/>
              <w:right w:val="single" w:sz="4" w:space="0" w:color="auto"/>
            </w:tcBorders>
            <w:hideMark/>
          </w:tcPr>
          <w:p w14:paraId="10D3802F" w14:textId="77777777" w:rsidR="00C425C7" w:rsidRPr="00C425C7" w:rsidRDefault="00C425C7" w:rsidP="00C425C7">
            <w:pPr>
              <w:spacing w:after="160" w:line="278" w:lineRule="auto"/>
              <w:rPr>
                <w:lang w:val="en-US"/>
              </w:rPr>
            </w:pPr>
            <w:r w:rsidRPr="00C425C7">
              <w:rPr>
                <w:lang w:val="en-US"/>
              </w:rPr>
              <w:t>12.02%</w:t>
            </w:r>
          </w:p>
        </w:tc>
        <w:tc>
          <w:tcPr>
            <w:tcW w:w="0" w:type="auto"/>
            <w:tcBorders>
              <w:top w:val="single" w:sz="4" w:space="0" w:color="auto"/>
              <w:left w:val="single" w:sz="4" w:space="0" w:color="auto"/>
              <w:bottom w:val="single" w:sz="4" w:space="0" w:color="auto"/>
              <w:right w:val="single" w:sz="4" w:space="0" w:color="auto"/>
            </w:tcBorders>
            <w:hideMark/>
          </w:tcPr>
          <w:p w14:paraId="1CE952B5" w14:textId="77777777" w:rsidR="00C425C7" w:rsidRPr="00C425C7" w:rsidRDefault="00C425C7" w:rsidP="00C425C7">
            <w:pPr>
              <w:spacing w:after="160" w:line="278" w:lineRule="auto"/>
              <w:rPr>
                <w:lang w:val="en-US"/>
              </w:rPr>
            </w:pPr>
            <w:r w:rsidRPr="00C425C7">
              <w:rPr>
                <w:lang w:val="en-US"/>
              </w:rPr>
              <w:t>The discount rate at which NPV = 0</w:t>
            </w:r>
          </w:p>
        </w:tc>
      </w:tr>
    </w:tbl>
    <w:p w14:paraId="0855072C" w14:textId="77777777" w:rsidR="00C425C7" w:rsidRPr="00C425C7" w:rsidRDefault="00C425C7" w:rsidP="00C425C7">
      <w:pPr>
        <w:rPr>
          <w:lang w:val="en-US"/>
        </w:rPr>
      </w:pPr>
    </w:p>
    <w:p w14:paraId="4100E2E6" w14:textId="77777777" w:rsidR="00C425C7" w:rsidRPr="00C425C7" w:rsidRDefault="00C425C7" w:rsidP="00C425C7">
      <w:pPr>
        <w:rPr>
          <w:b/>
          <w:bCs/>
          <w:lang w:val="en-US"/>
        </w:rPr>
      </w:pPr>
      <w:r w:rsidRPr="00C425C7">
        <w:rPr>
          <w:b/>
          <w:bCs/>
          <w:lang w:val="en-US"/>
        </w:rPr>
        <w:t>2. Investment Appraisal Summary: Project B</w:t>
      </w:r>
    </w:p>
    <w:p w14:paraId="5A0D6912" w14:textId="77777777" w:rsidR="00C425C7" w:rsidRPr="00C425C7" w:rsidRDefault="00C425C7" w:rsidP="00C425C7">
      <w:pPr>
        <w:rPr>
          <w:lang w:val="en-US"/>
        </w:rPr>
      </w:pPr>
      <w:r w:rsidRPr="00C425C7">
        <w:rPr>
          <w:b/>
          <w:bCs/>
          <w:lang w:val="en-US"/>
        </w:rPr>
        <w:t>Project Data</w:t>
      </w:r>
    </w:p>
    <w:tbl>
      <w:tblPr>
        <w:tblStyle w:val="TableGrid"/>
        <w:tblW w:w="0" w:type="auto"/>
        <w:tblLook w:val="04A0" w:firstRow="1" w:lastRow="0" w:firstColumn="1" w:lastColumn="0" w:noHBand="0" w:noVBand="1"/>
      </w:tblPr>
      <w:tblGrid>
        <w:gridCol w:w="2394"/>
        <w:gridCol w:w="3068"/>
      </w:tblGrid>
      <w:tr w:rsidR="00C425C7" w:rsidRPr="00C425C7" w14:paraId="6E588649" w14:textId="77777777">
        <w:tc>
          <w:tcPr>
            <w:tcW w:w="0" w:type="auto"/>
            <w:tcBorders>
              <w:top w:val="single" w:sz="4" w:space="0" w:color="auto"/>
              <w:left w:val="single" w:sz="4" w:space="0" w:color="auto"/>
              <w:bottom w:val="single" w:sz="4" w:space="0" w:color="auto"/>
              <w:right w:val="single" w:sz="4" w:space="0" w:color="auto"/>
            </w:tcBorders>
            <w:hideMark/>
          </w:tcPr>
          <w:p w14:paraId="4F84B75F" w14:textId="77777777" w:rsidR="00C425C7" w:rsidRPr="00C425C7" w:rsidRDefault="00C425C7" w:rsidP="00C425C7">
            <w:pPr>
              <w:spacing w:after="160" w:line="278" w:lineRule="auto"/>
              <w:rPr>
                <w:b/>
                <w:bCs/>
                <w:lang w:val="en-US"/>
              </w:rPr>
            </w:pPr>
            <w:r w:rsidRPr="00C425C7">
              <w:rPr>
                <w:b/>
                <w:bCs/>
                <w:lang w:val="en-US"/>
              </w:rPr>
              <w:t>Parameter</w:t>
            </w:r>
          </w:p>
        </w:tc>
        <w:tc>
          <w:tcPr>
            <w:tcW w:w="0" w:type="auto"/>
            <w:tcBorders>
              <w:top w:val="single" w:sz="4" w:space="0" w:color="auto"/>
              <w:left w:val="single" w:sz="4" w:space="0" w:color="auto"/>
              <w:bottom w:val="single" w:sz="4" w:space="0" w:color="auto"/>
              <w:right w:val="single" w:sz="4" w:space="0" w:color="auto"/>
            </w:tcBorders>
            <w:hideMark/>
          </w:tcPr>
          <w:p w14:paraId="317B9D91" w14:textId="77777777" w:rsidR="00C425C7" w:rsidRPr="00C425C7" w:rsidRDefault="00C425C7" w:rsidP="00C425C7">
            <w:pPr>
              <w:spacing w:after="160" w:line="278" w:lineRule="auto"/>
              <w:rPr>
                <w:b/>
                <w:bCs/>
                <w:lang w:val="en-US"/>
              </w:rPr>
            </w:pPr>
            <w:r w:rsidRPr="00C425C7">
              <w:rPr>
                <w:b/>
                <w:bCs/>
                <w:lang w:val="en-US"/>
              </w:rPr>
              <w:t>Value</w:t>
            </w:r>
          </w:p>
        </w:tc>
      </w:tr>
      <w:tr w:rsidR="00C425C7" w:rsidRPr="00C425C7" w14:paraId="3E5A5052" w14:textId="77777777">
        <w:tc>
          <w:tcPr>
            <w:tcW w:w="0" w:type="auto"/>
            <w:tcBorders>
              <w:top w:val="single" w:sz="4" w:space="0" w:color="auto"/>
              <w:left w:val="single" w:sz="4" w:space="0" w:color="auto"/>
              <w:bottom w:val="single" w:sz="4" w:space="0" w:color="auto"/>
              <w:right w:val="single" w:sz="4" w:space="0" w:color="auto"/>
            </w:tcBorders>
            <w:hideMark/>
          </w:tcPr>
          <w:p w14:paraId="55248AB7" w14:textId="77777777" w:rsidR="00C425C7" w:rsidRPr="00C425C7" w:rsidRDefault="00C425C7" w:rsidP="00C425C7">
            <w:pPr>
              <w:spacing w:after="160" w:line="278" w:lineRule="auto"/>
              <w:rPr>
                <w:lang w:val="en-US"/>
              </w:rPr>
            </w:pPr>
            <w:r w:rsidRPr="00C425C7">
              <w:rPr>
                <w:lang w:val="en-US"/>
              </w:rPr>
              <w:t>Initial Investment</w:t>
            </w:r>
          </w:p>
        </w:tc>
        <w:tc>
          <w:tcPr>
            <w:tcW w:w="0" w:type="auto"/>
            <w:tcBorders>
              <w:top w:val="single" w:sz="4" w:space="0" w:color="auto"/>
              <w:left w:val="single" w:sz="4" w:space="0" w:color="auto"/>
              <w:bottom w:val="single" w:sz="4" w:space="0" w:color="auto"/>
              <w:right w:val="single" w:sz="4" w:space="0" w:color="auto"/>
            </w:tcBorders>
            <w:hideMark/>
          </w:tcPr>
          <w:p w14:paraId="75EA7368" w14:textId="77777777" w:rsidR="00C425C7" w:rsidRPr="00C425C7" w:rsidRDefault="00C425C7" w:rsidP="00C425C7">
            <w:pPr>
              <w:spacing w:after="160" w:line="278" w:lineRule="auto"/>
              <w:rPr>
                <w:lang w:val="en-US"/>
              </w:rPr>
            </w:pPr>
            <w:r w:rsidRPr="00C425C7">
              <w:rPr>
                <w:lang w:val="en-US"/>
              </w:rPr>
              <w:t>£30,000,000</w:t>
            </w:r>
          </w:p>
        </w:tc>
      </w:tr>
      <w:tr w:rsidR="00C425C7" w:rsidRPr="00C425C7" w14:paraId="4975CE09" w14:textId="77777777">
        <w:tc>
          <w:tcPr>
            <w:tcW w:w="0" w:type="auto"/>
            <w:tcBorders>
              <w:top w:val="single" w:sz="4" w:space="0" w:color="auto"/>
              <w:left w:val="single" w:sz="4" w:space="0" w:color="auto"/>
              <w:bottom w:val="single" w:sz="4" w:space="0" w:color="auto"/>
              <w:right w:val="single" w:sz="4" w:space="0" w:color="auto"/>
            </w:tcBorders>
            <w:hideMark/>
          </w:tcPr>
          <w:p w14:paraId="29C8373A" w14:textId="77777777" w:rsidR="00C425C7" w:rsidRPr="00C425C7" w:rsidRDefault="00C425C7" w:rsidP="00C425C7">
            <w:pPr>
              <w:spacing w:after="160" w:line="278" w:lineRule="auto"/>
              <w:rPr>
                <w:lang w:val="en-US"/>
              </w:rPr>
            </w:pPr>
            <w:r w:rsidRPr="00C425C7">
              <w:rPr>
                <w:lang w:val="en-US"/>
              </w:rPr>
              <w:t>Project Life</w:t>
            </w:r>
          </w:p>
        </w:tc>
        <w:tc>
          <w:tcPr>
            <w:tcW w:w="0" w:type="auto"/>
            <w:tcBorders>
              <w:top w:val="single" w:sz="4" w:space="0" w:color="auto"/>
              <w:left w:val="single" w:sz="4" w:space="0" w:color="auto"/>
              <w:bottom w:val="single" w:sz="4" w:space="0" w:color="auto"/>
              <w:right w:val="single" w:sz="4" w:space="0" w:color="auto"/>
            </w:tcBorders>
            <w:hideMark/>
          </w:tcPr>
          <w:p w14:paraId="00FB72F5" w14:textId="77777777" w:rsidR="00C425C7" w:rsidRPr="00C425C7" w:rsidRDefault="00C425C7" w:rsidP="00C425C7">
            <w:pPr>
              <w:spacing w:after="160" w:line="278" w:lineRule="auto"/>
              <w:rPr>
                <w:lang w:val="en-US"/>
              </w:rPr>
            </w:pPr>
            <w:r w:rsidRPr="00C425C7">
              <w:rPr>
                <w:lang w:val="en-US"/>
              </w:rPr>
              <w:t>5 Years</w:t>
            </w:r>
          </w:p>
        </w:tc>
      </w:tr>
      <w:tr w:rsidR="00C425C7" w:rsidRPr="00C425C7" w14:paraId="1EF054C8" w14:textId="77777777">
        <w:tc>
          <w:tcPr>
            <w:tcW w:w="0" w:type="auto"/>
            <w:tcBorders>
              <w:top w:val="single" w:sz="4" w:space="0" w:color="auto"/>
              <w:left w:val="single" w:sz="4" w:space="0" w:color="auto"/>
              <w:bottom w:val="single" w:sz="4" w:space="0" w:color="auto"/>
              <w:right w:val="single" w:sz="4" w:space="0" w:color="auto"/>
            </w:tcBorders>
            <w:hideMark/>
          </w:tcPr>
          <w:p w14:paraId="476E0F7A" w14:textId="77777777" w:rsidR="00C425C7" w:rsidRPr="00C425C7" w:rsidRDefault="00C425C7" w:rsidP="00C425C7">
            <w:pPr>
              <w:spacing w:after="160" w:line="278" w:lineRule="auto"/>
              <w:rPr>
                <w:lang w:val="en-US"/>
              </w:rPr>
            </w:pPr>
            <w:r w:rsidRPr="00C425C7">
              <w:rPr>
                <w:lang w:val="en-US"/>
              </w:rPr>
              <w:t>Depreciation Method</w:t>
            </w:r>
          </w:p>
        </w:tc>
        <w:tc>
          <w:tcPr>
            <w:tcW w:w="0" w:type="auto"/>
            <w:tcBorders>
              <w:top w:val="single" w:sz="4" w:space="0" w:color="auto"/>
              <w:left w:val="single" w:sz="4" w:space="0" w:color="auto"/>
              <w:bottom w:val="single" w:sz="4" w:space="0" w:color="auto"/>
              <w:right w:val="single" w:sz="4" w:space="0" w:color="auto"/>
            </w:tcBorders>
            <w:hideMark/>
          </w:tcPr>
          <w:p w14:paraId="6454A950" w14:textId="77777777" w:rsidR="00C425C7" w:rsidRPr="00C425C7" w:rsidRDefault="00C425C7" w:rsidP="00C425C7">
            <w:pPr>
              <w:spacing w:after="160" w:line="278" w:lineRule="auto"/>
              <w:rPr>
                <w:lang w:val="en-US"/>
              </w:rPr>
            </w:pPr>
            <w:r w:rsidRPr="00C425C7">
              <w:rPr>
                <w:lang w:val="en-US"/>
              </w:rPr>
              <w:t>Straight-line</w:t>
            </w:r>
          </w:p>
        </w:tc>
      </w:tr>
      <w:tr w:rsidR="00C425C7" w:rsidRPr="00C425C7" w14:paraId="1A07E26F" w14:textId="77777777">
        <w:tc>
          <w:tcPr>
            <w:tcW w:w="0" w:type="auto"/>
            <w:tcBorders>
              <w:top w:val="single" w:sz="4" w:space="0" w:color="auto"/>
              <w:left w:val="single" w:sz="4" w:space="0" w:color="auto"/>
              <w:bottom w:val="single" w:sz="4" w:space="0" w:color="auto"/>
              <w:right w:val="single" w:sz="4" w:space="0" w:color="auto"/>
            </w:tcBorders>
            <w:hideMark/>
          </w:tcPr>
          <w:p w14:paraId="04F133A8" w14:textId="77777777" w:rsidR="00C425C7" w:rsidRPr="00C425C7" w:rsidRDefault="00C425C7" w:rsidP="00C425C7">
            <w:pPr>
              <w:spacing w:after="160" w:line="278" w:lineRule="auto"/>
              <w:rPr>
                <w:lang w:val="en-US"/>
              </w:rPr>
            </w:pPr>
            <w:r w:rsidRPr="00C425C7">
              <w:rPr>
                <w:lang w:val="en-US"/>
              </w:rPr>
              <w:t>Annual Depreciation</w:t>
            </w:r>
          </w:p>
        </w:tc>
        <w:tc>
          <w:tcPr>
            <w:tcW w:w="0" w:type="auto"/>
            <w:tcBorders>
              <w:top w:val="single" w:sz="4" w:space="0" w:color="auto"/>
              <w:left w:val="single" w:sz="4" w:space="0" w:color="auto"/>
              <w:bottom w:val="single" w:sz="4" w:space="0" w:color="auto"/>
              <w:right w:val="single" w:sz="4" w:space="0" w:color="auto"/>
            </w:tcBorders>
            <w:hideMark/>
          </w:tcPr>
          <w:p w14:paraId="345773F2" w14:textId="77777777" w:rsidR="00C425C7" w:rsidRPr="00C425C7" w:rsidRDefault="00C425C7" w:rsidP="00C425C7">
            <w:pPr>
              <w:spacing w:after="160" w:line="278" w:lineRule="auto"/>
              <w:rPr>
                <w:lang w:val="en-US"/>
              </w:rPr>
            </w:pPr>
            <w:r w:rsidRPr="00C425C7">
              <w:rPr>
                <w:lang w:val="en-US"/>
              </w:rPr>
              <w:t>£6,000,000 (£30m / 5 years)</w:t>
            </w:r>
          </w:p>
        </w:tc>
      </w:tr>
      <w:tr w:rsidR="00C425C7" w:rsidRPr="00C425C7" w14:paraId="33E0C516" w14:textId="77777777">
        <w:tc>
          <w:tcPr>
            <w:tcW w:w="0" w:type="auto"/>
            <w:tcBorders>
              <w:top w:val="single" w:sz="4" w:space="0" w:color="auto"/>
              <w:left w:val="single" w:sz="4" w:space="0" w:color="auto"/>
              <w:bottom w:val="single" w:sz="4" w:space="0" w:color="auto"/>
              <w:right w:val="single" w:sz="4" w:space="0" w:color="auto"/>
            </w:tcBorders>
            <w:hideMark/>
          </w:tcPr>
          <w:p w14:paraId="3B8675CB" w14:textId="77777777" w:rsidR="00C425C7" w:rsidRPr="00C425C7" w:rsidRDefault="00C425C7" w:rsidP="00C425C7">
            <w:pPr>
              <w:spacing w:after="160" w:line="278" w:lineRule="auto"/>
              <w:rPr>
                <w:lang w:val="en-US"/>
              </w:rPr>
            </w:pPr>
            <w:r w:rsidRPr="00C425C7">
              <w:rPr>
                <w:lang w:val="en-US"/>
              </w:rPr>
              <w:t>Discount Rate</w:t>
            </w:r>
          </w:p>
        </w:tc>
        <w:tc>
          <w:tcPr>
            <w:tcW w:w="0" w:type="auto"/>
            <w:tcBorders>
              <w:top w:val="single" w:sz="4" w:space="0" w:color="auto"/>
              <w:left w:val="single" w:sz="4" w:space="0" w:color="auto"/>
              <w:bottom w:val="single" w:sz="4" w:space="0" w:color="auto"/>
              <w:right w:val="single" w:sz="4" w:space="0" w:color="auto"/>
            </w:tcBorders>
            <w:hideMark/>
          </w:tcPr>
          <w:p w14:paraId="3061D2CD" w14:textId="77777777" w:rsidR="00C425C7" w:rsidRPr="00C425C7" w:rsidRDefault="00C425C7" w:rsidP="00C425C7">
            <w:pPr>
              <w:spacing w:after="160" w:line="278" w:lineRule="auto"/>
              <w:rPr>
                <w:lang w:val="en-US"/>
              </w:rPr>
            </w:pPr>
            <w:r w:rsidRPr="00C425C7">
              <w:rPr>
                <w:lang w:val="en-US"/>
              </w:rPr>
              <w:t>10%</w:t>
            </w:r>
          </w:p>
        </w:tc>
      </w:tr>
    </w:tbl>
    <w:p w14:paraId="50F5A2D3" w14:textId="77777777" w:rsidR="00C425C7" w:rsidRPr="00C425C7" w:rsidRDefault="00C425C7" w:rsidP="00C425C7">
      <w:pPr>
        <w:rPr>
          <w:b/>
          <w:bCs/>
          <w:lang w:val="en-US"/>
        </w:rPr>
      </w:pPr>
    </w:p>
    <w:p w14:paraId="7A745D94" w14:textId="77777777" w:rsidR="00C425C7" w:rsidRPr="00C425C7" w:rsidRDefault="00C425C7" w:rsidP="00C425C7">
      <w:pPr>
        <w:rPr>
          <w:lang w:val="en-US"/>
        </w:rPr>
      </w:pPr>
      <w:r w:rsidRPr="00C425C7">
        <w:rPr>
          <w:b/>
          <w:bCs/>
          <w:lang w:val="en-US"/>
        </w:rPr>
        <w:t>Net Present Value (NPV) Calculation Details</w:t>
      </w:r>
    </w:p>
    <w:tbl>
      <w:tblPr>
        <w:tblStyle w:val="TableGrid"/>
        <w:tblW w:w="0" w:type="auto"/>
        <w:tblLook w:val="04A0" w:firstRow="1" w:lastRow="0" w:firstColumn="1" w:lastColumn="0" w:noHBand="0" w:noVBand="1"/>
      </w:tblPr>
      <w:tblGrid>
        <w:gridCol w:w="745"/>
        <w:gridCol w:w="2040"/>
        <w:gridCol w:w="2815"/>
        <w:gridCol w:w="2249"/>
      </w:tblGrid>
      <w:tr w:rsidR="00C425C7" w:rsidRPr="00C425C7" w14:paraId="18FC2A37" w14:textId="77777777">
        <w:tc>
          <w:tcPr>
            <w:tcW w:w="0" w:type="auto"/>
            <w:tcBorders>
              <w:top w:val="single" w:sz="4" w:space="0" w:color="auto"/>
              <w:left w:val="single" w:sz="4" w:space="0" w:color="auto"/>
              <w:bottom w:val="single" w:sz="4" w:space="0" w:color="auto"/>
              <w:right w:val="single" w:sz="4" w:space="0" w:color="auto"/>
            </w:tcBorders>
            <w:hideMark/>
          </w:tcPr>
          <w:p w14:paraId="5D36EA4E" w14:textId="77777777" w:rsidR="00C425C7" w:rsidRPr="00C425C7" w:rsidRDefault="00C425C7" w:rsidP="00C425C7">
            <w:pPr>
              <w:spacing w:after="160" w:line="278" w:lineRule="auto"/>
              <w:rPr>
                <w:b/>
                <w:bCs/>
                <w:lang w:val="en-US"/>
              </w:rPr>
            </w:pPr>
            <w:r w:rsidRPr="00C425C7">
              <w:rPr>
                <w:b/>
                <w:bCs/>
                <w:lang w:val="en-US"/>
              </w:rPr>
              <w:t>Year</w:t>
            </w:r>
          </w:p>
        </w:tc>
        <w:tc>
          <w:tcPr>
            <w:tcW w:w="0" w:type="auto"/>
            <w:tcBorders>
              <w:top w:val="single" w:sz="4" w:space="0" w:color="auto"/>
              <w:left w:val="single" w:sz="4" w:space="0" w:color="auto"/>
              <w:bottom w:val="single" w:sz="4" w:space="0" w:color="auto"/>
              <w:right w:val="single" w:sz="4" w:space="0" w:color="auto"/>
            </w:tcBorders>
            <w:hideMark/>
          </w:tcPr>
          <w:p w14:paraId="1EC78FC6" w14:textId="77777777" w:rsidR="00C425C7" w:rsidRPr="00C425C7" w:rsidRDefault="00C425C7" w:rsidP="00C425C7">
            <w:pPr>
              <w:spacing w:after="160" w:line="278" w:lineRule="auto"/>
              <w:rPr>
                <w:b/>
                <w:bCs/>
                <w:lang w:val="en-US"/>
              </w:rPr>
            </w:pPr>
            <w:r w:rsidRPr="00C425C7">
              <w:rPr>
                <w:b/>
                <w:bCs/>
                <w:lang w:val="en-US"/>
              </w:rPr>
              <w:t>Cash Inflow (£m)</w:t>
            </w:r>
          </w:p>
        </w:tc>
        <w:tc>
          <w:tcPr>
            <w:tcW w:w="0" w:type="auto"/>
            <w:tcBorders>
              <w:top w:val="single" w:sz="4" w:space="0" w:color="auto"/>
              <w:left w:val="single" w:sz="4" w:space="0" w:color="auto"/>
              <w:bottom w:val="single" w:sz="4" w:space="0" w:color="auto"/>
              <w:right w:val="single" w:sz="4" w:space="0" w:color="auto"/>
            </w:tcBorders>
            <w:hideMark/>
          </w:tcPr>
          <w:p w14:paraId="68E365CF" w14:textId="77777777" w:rsidR="00C425C7" w:rsidRPr="00C425C7" w:rsidRDefault="00C425C7" w:rsidP="00C425C7">
            <w:pPr>
              <w:spacing w:after="160" w:line="278" w:lineRule="auto"/>
              <w:rPr>
                <w:b/>
                <w:bCs/>
                <w:lang w:val="en-US"/>
              </w:rPr>
            </w:pPr>
            <w:r w:rsidRPr="00C425C7">
              <w:rPr>
                <w:b/>
                <w:bCs/>
                <w:lang w:val="en-US"/>
              </w:rPr>
              <w:t xml:space="preserve">Discount </w:t>
            </w:r>
            <w:proofErr w:type="gramStart"/>
            <w:r w:rsidRPr="00C425C7">
              <w:rPr>
                <w:b/>
                <w:bCs/>
                <w:lang w:val="en-US"/>
              </w:rPr>
              <w:t>Factor (@</w:t>
            </w:r>
            <w:proofErr w:type="gramEnd"/>
            <w:r w:rsidRPr="00C425C7">
              <w:rPr>
                <w:b/>
                <w:bCs/>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76C5AFF4" w14:textId="77777777" w:rsidR="00C425C7" w:rsidRPr="00C425C7" w:rsidRDefault="00C425C7" w:rsidP="00C425C7">
            <w:pPr>
              <w:spacing w:after="160" w:line="278" w:lineRule="auto"/>
              <w:rPr>
                <w:b/>
                <w:bCs/>
                <w:lang w:val="en-US"/>
              </w:rPr>
            </w:pPr>
            <w:r w:rsidRPr="00C425C7">
              <w:rPr>
                <w:b/>
                <w:bCs/>
                <w:lang w:val="en-US"/>
              </w:rPr>
              <w:t>Present Value (£m)</w:t>
            </w:r>
          </w:p>
        </w:tc>
      </w:tr>
      <w:tr w:rsidR="00C425C7" w:rsidRPr="00C425C7" w14:paraId="67DFFB05" w14:textId="77777777">
        <w:tc>
          <w:tcPr>
            <w:tcW w:w="0" w:type="auto"/>
            <w:tcBorders>
              <w:top w:val="single" w:sz="4" w:space="0" w:color="auto"/>
              <w:left w:val="single" w:sz="4" w:space="0" w:color="auto"/>
              <w:bottom w:val="single" w:sz="4" w:space="0" w:color="auto"/>
              <w:right w:val="single" w:sz="4" w:space="0" w:color="auto"/>
            </w:tcBorders>
            <w:hideMark/>
          </w:tcPr>
          <w:p w14:paraId="1CEC3C26" w14:textId="77777777" w:rsidR="00C425C7" w:rsidRPr="00C425C7" w:rsidRDefault="00C425C7" w:rsidP="00C425C7">
            <w:pPr>
              <w:spacing w:after="160" w:line="278" w:lineRule="auto"/>
              <w:rPr>
                <w:lang w:val="en-US"/>
              </w:rPr>
            </w:pPr>
            <w:r w:rsidRPr="00C425C7">
              <w:rPr>
                <w:lang w:val="en-US"/>
              </w:rPr>
              <w:t>1-5</w:t>
            </w:r>
          </w:p>
        </w:tc>
        <w:tc>
          <w:tcPr>
            <w:tcW w:w="0" w:type="auto"/>
            <w:tcBorders>
              <w:top w:val="single" w:sz="4" w:space="0" w:color="auto"/>
              <w:left w:val="single" w:sz="4" w:space="0" w:color="auto"/>
              <w:bottom w:val="single" w:sz="4" w:space="0" w:color="auto"/>
              <w:right w:val="single" w:sz="4" w:space="0" w:color="auto"/>
            </w:tcBorders>
            <w:hideMark/>
          </w:tcPr>
          <w:p w14:paraId="2DCC522D" w14:textId="77777777" w:rsidR="00C425C7" w:rsidRPr="00C425C7" w:rsidRDefault="00C425C7" w:rsidP="00C425C7">
            <w:pPr>
              <w:spacing w:after="160" w:line="278" w:lineRule="auto"/>
              <w:rPr>
                <w:lang w:val="en-US"/>
              </w:rPr>
            </w:pPr>
            <w:r w:rsidRPr="00C425C7">
              <w:rPr>
                <w:lang w:val="en-US"/>
              </w:rPr>
              <w:t>6.00 (Annuity)</w:t>
            </w:r>
          </w:p>
        </w:tc>
        <w:tc>
          <w:tcPr>
            <w:tcW w:w="0" w:type="auto"/>
            <w:tcBorders>
              <w:top w:val="single" w:sz="4" w:space="0" w:color="auto"/>
              <w:left w:val="single" w:sz="4" w:space="0" w:color="auto"/>
              <w:bottom w:val="single" w:sz="4" w:space="0" w:color="auto"/>
              <w:right w:val="single" w:sz="4" w:space="0" w:color="auto"/>
            </w:tcBorders>
            <w:hideMark/>
          </w:tcPr>
          <w:p w14:paraId="1279500F" w14:textId="77777777" w:rsidR="00C425C7" w:rsidRPr="00C425C7" w:rsidRDefault="00C425C7" w:rsidP="00C425C7">
            <w:pPr>
              <w:spacing w:after="160" w:line="278" w:lineRule="auto"/>
              <w:rPr>
                <w:lang w:val="en-US"/>
              </w:rPr>
            </w:pPr>
            <w:r w:rsidRPr="00C425C7">
              <w:rPr>
                <w:lang w:val="en-US"/>
              </w:rPr>
              <w:t>3.7908*</w:t>
            </w:r>
          </w:p>
        </w:tc>
        <w:tc>
          <w:tcPr>
            <w:tcW w:w="0" w:type="auto"/>
            <w:tcBorders>
              <w:top w:val="single" w:sz="4" w:space="0" w:color="auto"/>
              <w:left w:val="single" w:sz="4" w:space="0" w:color="auto"/>
              <w:bottom w:val="single" w:sz="4" w:space="0" w:color="auto"/>
              <w:right w:val="single" w:sz="4" w:space="0" w:color="auto"/>
            </w:tcBorders>
            <w:hideMark/>
          </w:tcPr>
          <w:p w14:paraId="5300FC68" w14:textId="77777777" w:rsidR="00C425C7" w:rsidRPr="00C425C7" w:rsidRDefault="00C425C7" w:rsidP="00C425C7">
            <w:pPr>
              <w:spacing w:after="160" w:line="278" w:lineRule="auto"/>
              <w:rPr>
                <w:lang w:val="en-US"/>
              </w:rPr>
            </w:pPr>
            <w:r w:rsidRPr="00C425C7">
              <w:rPr>
                <w:lang w:val="en-US"/>
              </w:rPr>
              <w:t>22.74</w:t>
            </w:r>
          </w:p>
        </w:tc>
      </w:tr>
      <w:tr w:rsidR="00C425C7" w:rsidRPr="00C425C7" w14:paraId="266093F4" w14:textId="77777777">
        <w:tc>
          <w:tcPr>
            <w:tcW w:w="0" w:type="auto"/>
            <w:tcBorders>
              <w:top w:val="single" w:sz="4" w:space="0" w:color="auto"/>
              <w:left w:val="single" w:sz="4" w:space="0" w:color="auto"/>
              <w:bottom w:val="single" w:sz="4" w:space="0" w:color="auto"/>
              <w:right w:val="single" w:sz="4" w:space="0" w:color="auto"/>
            </w:tcBorders>
            <w:hideMark/>
          </w:tcPr>
          <w:p w14:paraId="16ADD579" w14:textId="77777777" w:rsidR="00C425C7" w:rsidRPr="00C425C7" w:rsidRDefault="00C425C7" w:rsidP="00C425C7">
            <w:pPr>
              <w:spacing w:after="160" w:line="278" w:lineRule="auto"/>
              <w:rPr>
                <w:lang w:val="en-US"/>
              </w:rPr>
            </w:pPr>
            <w:r w:rsidRPr="00C425C7">
              <w:rPr>
                <w:b/>
                <w:bCs/>
                <w:lang w:val="en-US"/>
              </w:rPr>
              <w:t>Total</w:t>
            </w:r>
          </w:p>
        </w:tc>
        <w:tc>
          <w:tcPr>
            <w:tcW w:w="0" w:type="auto"/>
            <w:tcBorders>
              <w:top w:val="single" w:sz="4" w:space="0" w:color="auto"/>
              <w:left w:val="single" w:sz="4" w:space="0" w:color="auto"/>
              <w:bottom w:val="single" w:sz="4" w:space="0" w:color="auto"/>
              <w:right w:val="single" w:sz="4" w:space="0" w:color="auto"/>
            </w:tcBorders>
            <w:hideMark/>
          </w:tcPr>
          <w:p w14:paraId="25E33097" w14:textId="77777777" w:rsidR="00C425C7" w:rsidRPr="00C425C7" w:rsidRDefault="00C425C7" w:rsidP="00C425C7">
            <w:pPr>
              <w:spacing w:after="160" w:line="278" w:lineRule="auto"/>
              <w:rPr>
                <w:lang w:val="en-US"/>
              </w:rPr>
            </w:pPr>
            <w:r w:rsidRPr="00C425C7">
              <w:rPr>
                <w:b/>
                <w:bCs/>
                <w:lang w:val="en-US"/>
              </w:rPr>
              <w:t>£30.00</w:t>
            </w:r>
          </w:p>
        </w:tc>
        <w:tc>
          <w:tcPr>
            <w:tcW w:w="0" w:type="auto"/>
            <w:tcBorders>
              <w:top w:val="single" w:sz="4" w:space="0" w:color="auto"/>
              <w:left w:val="single" w:sz="4" w:space="0" w:color="auto"/>
              <w:bottom w:val="single" w:sz="4" w:space="0" w:color="auto"/>
              <w:right w:val="single" w:sz="4" w:space="0" w:color="auto"/>
            </w:tcBorders>
            <w:hideMark/>
          </w:tcPr>
          <w:p w14:paraId="17CBDC16" w14:textId="77777777" w:rsidR="00C425C7" w:rsidRPr="00C425C7" w:rsidRDefault="00C425C7" w:rsidP="00C425C7">
            <w:pPr>
              <w:spacing w:after="160" w:line="278" w:lineRule="auto"/>
              <w:rPr>
                <w:lang w:val="en-US"/>
              </w:rPr>
            </w:pPr>
          </w:p>
        </w:tc>
        <w:tc>
          <w:tcPr>
            <w:tcW w:w="0" w:type="auto"/>
            <w:tcBorders>
              <w:top w:val="single" w:sz="4" w:space="0" w:color="auto"/>
              <w:left w:val="single" w:sz="4" w:space="0" w:color="auto"/>
              <w:bottom w:val="single" w:sz="4" w:space="0" w:color="auto"/>
              <w:right w:val="single" w:sz="4" w:space="0" w:color="auto"/>
            </w:tcBorders>
            <w:hideMark/>
          </w:tcPr>
          <w:p w14:paraId="02C6F98F" w14:textId="77777777" w:rsidR="00C425C7" w:rsidRPr="00C425C7" w:rsidRDefault="00C425C7" w:rsidP="00C425C7">
            <w:pPr>
              <w:spacing w:after="160" w:line="278" w:lineRule="auto"/>
              <w:rPr>
                <w:lang w:val="en-US"/>
              </w:rPr>
            </w:pPr>
            <w:r w:rsidRPr="00C425C7">
              <w:rPr>
                <w:b/>
                <w:bCs/>
                <w:lang w:val="en-US"/>
              </w:rPr>
              <w:t>£22.74</w:t>
            </w:r>
          </w:p>
        </w:tc>
      </w:tr>
    </w:tbl>
    <w:p w14:paraId="6218C98A" w14:textId="77777777" w:rsidR="00C425C7" w:rsidRPr="00C425C7" w:rsidRDefault="00C425C7" w:rsidP="00C425C7">
      <w:pPr>
        <w:rPr>
          <w:lang w:val="en-US"/>
        </w:rPr>
      </w:pPr>
      <w:r w:rsidRPr="00C425C7">
        <w:rPr>
          <w:i/>
          <w:iCs/>
          <w:lang w:val="en-US"/>
        </w:rPr>
        <w:t>*Note: The Present Value Interest Factor for an Annuity (PVIFA) for 5 years at 10% is 3.7908.</w:t>
      </w:r>
    </w:p>
    <w:p w14:paraId="6BF89211" w14:textId="77777777" w:rsidR="00C425C7" w:rsidRPr="00C425C7" w:rsidRDefault="00C425C7" w:rsidP="00C425C7">
      <w:pPr>
        <w:rPr>
          <w:b/>
          <w:bCs/>
          <w:lang w:val="en-US"/>
        </w:rPr>
      </w:pPr>
    </w:p>
    <w:p w14:paraId="3A087556" w14:textId="77777777" w:rsidR="00C425C7" w:rsidRPr="00C425C7" w:rsidRDefault="00C425C7" w:rsidP="00C425C7">
      <w:pPr>
        <w:rPr>
          <w:lang w:val="en-US"/>
        </w:rPr>
      </w:pPr>
      <w:r w:rsidRPr="00C425C7">
        <w:rPr>
          <w:b/>
          <w:bCs/>
          <w:lang w:val="en-US"/>
        </w:rPr>
        <w:lastRenderedPageBreak/>
        <w:t>Summary of Appraisal Metrics (Project B)</w:t>
      </w:r>
    </w:p>
    <w:tbl>
      <w:tblPr>
        <w:tblStyle w:val="TableGrid"/>
        <w:tblW w:w="0" w:type="auto"/>
        <w:tblLook w:val="04A0" w:firstRow="1" w:lastRow="0" w:firstColumn="1" w:lastColumn="0" w:noHBand="0" w:noVBand="1"/>
      </w:tblPr>
      <w:tblGrid>
        <w:gridCol w:w="2945"/>
        <w:gridCol w:w="1363"/>
        <w:gridCol w:w="4708"/>
      </w:tblGrid>
      <w:tr w:rsidR="00C425C7" w:rsidRPr="00C425C7" w14:paraId="26037950" w14:textId="77777777">
        <w:tc>
          <w:tcPr>
            <w:tcW w:w="0" w:type="auto"/>
            <w:tcBorders>
              <w:top w:val="single" w:sz="4" w:space="0" w:color="auto"/>
              <w:left w:val="single" w:sz="4" w:space="0" w:color="auto"/>
              <w:bottom w:val="single" w:sz="4" w:space="0" w:color="auto"/>
              <w:right w:val="single" w:sz="4" w:space="0" w:color="auto"/>
            </w:tcBorders>
            <w:hideMark/>
          </w:tcPr>
          <w:p w14:paraId="718A3217" w14:textId="77777777" w:rsidR="00C425C7" w:rsidRPr="00C425C7" w:rsidRDefault="00C425C7" w:rsidP="00C425C7">
            <w:pPr>
              <w:spacing w:after="160" w:line="278" w:lineRule="auto"/>
              <w:rPr>
                <w:b/>
                <w:bCs/>
                <w:lang w:val="en-US"/>
              </w:rPr>
            </w:pPr>
            <w:r w:rsidRPr="00C425C7">
              <w:rPr>
                <w:b/>
                <w:bCs/>
                <w:lang w:val="en-US"/>
              </w:rPr>
              <w:t>Appraisal Method</w:t>
            </w:r>
          </w:p>
        </w:tc>
        <w:tc>
          <w:tcPr>
            <w:tcW w:w="0" w:type="auto"/>
            <w:tcBorders>
              <w:top w:val="single" w:sz="4" w:space="0" w:color="auto"/>
              <w:left w:val="single" w:sz="4" w:space="0" w:color="auto"/>
              <w:bottom w:val="single" w:sz="4" w:space="0" w:color="auto"/>
              <w:right w:val="single" w:sz="4" w:space="0" w:color="auto"/>
            </w:tcBorders>
            <w:hideMark/>
          </w:tcPr>
          <w:p w14:paraId="5DB091FE" w14:textId="77777777" w:rsidR="00C425C7" w:rsidRPr="00C425C7" w:rsidRDefault="00C425C7" w:rsidP="00C425C7">
            <w:pPr>
              <w:spacing w:after="160" w:line="278" w:lineRule="auto"/>
              <w:rPr>
                <w:b/>
                <w:bCs/>
                <w:lang w:val="en-US"/>
              </w:rPr>
            </w:pPr>
            <w:proofErr w:type="gramStart"/>
            <w:r w:rsidRPr="00C425C7">
              <w:rPr>
                <w:b/>
                <w:bCs/>
                <w:lang w:val="en-US"/>
              </w:rPr>
              <w:t>Final Result</w:t>
            </w:r>
            <w:proofErr w:type="gramEnd"/>
          </w:p>
        </w:tc>
        <w:tc>
          <w:tcPr>
            <w:tcW w:w="0" w:type="auto"/>
            <w:tcBorders>
              <w:top w:val="single" w:sz="4" w:space="0" w:color="auto"/>
              <w:left w:val="single" w:sz="4" w:space="0" w:color="auto"/>
              <w:bottom w:val="single" w:sz="4" w:space="0" w:color="auto"/>
              <w:right w:val="single" w:sz="4" w:space="0" w:color="auto"/>
            </w:tcBorders>
            <w:hideMark/>
          </w:tcPr>
          <w:p w14:paraId="59DD9E01" w14:textId="77777777" w:rsidR="00C425C7" w:rsidRPr="00C425C7" w:rsidRDefault="00C425C7" w:rsidP="00C425C7">
            <w:pPr>
              <w:spacing w:after="160" w:line="278" w:lineRule="auto"/>
              <w:rPr>
                <w:b/>
                <w:bCs/>
                <w:lang w:val="en-US"/>
              </w:rPr>
            </w:pPr>
            <w:r w:rsidRPr="00C425C7">
              <w:rPr>
                <w:b/>
                <w:bCs/>
                <w:lang w:val="en-US"/>
              </w:rPr>
              <w:t>Calculation &amp; Notes</w:t>
            </w:r>
          </w:p>
        </w:tc>
      </w:tr>
      <w:tr w:rsidR="00C425C7" w:rsidRPr="00C425C7" w14:paraId="61F0323E" w14:textId="77777777">
        <w:tc>
          <w:tcPr>
            <w:tcW w:w="0" w:type="auto"/>
            <w:tcBorders>
              <w:top w:val="single" w:sz="4" w:space="0" w:color="auto"/>
              <w:left w:val="single" w:sz="4" w:space="0" w:color="auto"/>
              <w:bottom w:val="single" w:sz="4" w:space="0" w:color="auto"/>
              <w:right w:val="single" w:sz="4" w:space="0" w:color="auto"/>
            </w:tcBorders>
            <w:hideMark/>
          </w:tcPr>
          <w:p w14:paraId="6E51A995" w14:textId="77777777" w:rsidR="00C425C7" w:rsidRPr="00C425C7" w:rsidRDefault="00C425C7" w:rsidP="00C425C7">
            <w:pPr>
              <w:spacing w:after="160" w:line="278" w:lineRule="auto"/>
              <w:rPr>
                <w:lang w:val="en-US"/>
              </w:rPr>
            </w:pPr>
            <w:r w:rsidRPr="00C425C7">
              <w:rPr>
                <w:lang w:val="en-US"/>
              </w:rPr>
              <w:t>Payback Period (PBP)</w:t>
            </w:r>
          </w:p>
        </w:tc>
        <w:tc>
          <w:tcPr>
            <w:tcW w:w="0" w:type="auto"/>
            <w:tcBorders>
              <w:top w:val="single" w:sz="4" w:space="0" w:color="auto"/>
              <w:left w:val="single" w:sz="4" w:space="0" w:color="auto"/>
              <w:bottom w:val="single" w:sz="4" w:space="0" w:color="auto"/>
              <w:right w:val="single" w:sz="4" w:space="0" w:color="auto"/>
            </w:tcBorders>
            <w:hideMark/>
          </w:tcPr>
          <w:p w14:paraId="4DE3A9D2" w14:textId="77777777" w:rsidR="00C425C7" w:rsidRPr="00C425C7" w:rsidRDefault="00C425C7" w:rsidP="00C425C7">
            <w:pPr>
              <w:spacing w:after="160" w:line="278" w:lineRule="auto"/>
              <w:rPr>
                <w:lang w:val="en-US"/>
              </w:rPr>
            </w:pPr>
            <w:r w:rsidRPr="00C425C7">
              <w:rPr>
                <w:lang w:val="en-US"/>
              </w:rPr>
              <w:t>5.00 years</w:t>
            </w:r>
          </w:p>
        </w:tc>
        <w:tc>
          <w:tcPr>
            <w:tcW w:w="0" w:type="auto"/>
            <w:tcBorders>
              <w:top w:val="single" w:sz="4" w:space="0" w:color="auto"/>
              <w:left w:val="single" w:sz="4" w:space="0" w:color="auto"/>
              <w:bottom w:val="single" w:sz="4" w:space="0" w:color="auto"/>
              <w:right w:val="single" w:sz="4" w:space="0" w:color="auto"/>
            </w:tcBorders>
            <w:hideMark/>
          </w:tcPr>
          <w:p w14:paraId="31F6BE53" w14:textId="77777777" w:rsidR="00C425C7" w:rsidRPr="00C425C7" w:rsidRDefault="00C425C7" w:rsidP="00C425C7">
            <w:pPr>
              <w:spacing w:after="160" w:line="278" w:lineRule="auto"/>
              <w:rPr>
                <w:lang w:val="en-US"/>
              </w:rPr>
            </w:pPr>
            <w:r w:rsidRPr="00C425C7">
              <w:rPr>
                <w:lang w:val="en-US"/>
              </w:rPr>
              <w:t>£30m Investment / £6m Annual Inflow</w:t>
            </w:r>
          </w:p>
        </w:tc>
      </w:tr>
      <w:tr w:rsidR="00C425C7" w:rsidRPr="00C425C7" w14:paraId="4D06D193" w14:textId="77777777">
        <w:tc>
          <w:tcPr>
            <w:tcW w:w="0" w:type="auto"/>
            <w:tcBorders>
              <w:top w:val="single" w:sz="4" w:space="0" w:color="auto"/>
              <w:left w:val="single" w:sz="4" w:space="0" w:color="auto"/>
              <w:bottom w:val="single" w:sz="4" w:space="0" w:color="auto"/>
              <w:right w:val="single" w:sz="4" w:space="0" w:color="auto"/>
            </w:tcBorders>
            <w:hideMark/>
          </w:tcPr>
          <w:p w14:paraId="56C46849" w14:textId="77777777" w:rsidR="00C425C7" w:rsidRPr="00C425C7" w:rsidRDefault="00C425C7" w:rsidP="00C425C7">
            <w:pPr>
              <w:spacing w:after="160" w:line="278" w:lineRule="auto"/>
              <w:rPr>
                <w:lang w:val="en-US"/>
              </w:rPr>
            </w:pPr>
            <w:r w:rsidRPr="00C425C7">
              <w:rPr>
                <w:lang w:val="en-US"/>
              </w:rPr>
              <w:t>Accounting Rate of Return (ARR)</w:t>
            </w:r>
          </w:p>
        </w:tc>
        <w:tc>
          <w:tcPr>
            <w:tcW w:w="0" w:type="auto"/>
            <w:tcBorders>
              <w:top w:val="single" w:sz="4" w:space="0" w:color="auto"/>
              <w:left w:val="single" w:sz="4" w:space="0" w:color="auto"/>
              <w:bottom w:val="single" w:sz="4" w:space="0" w:color="auto"/>
              <w:right w:val="single" w:sz="4" w:space="0" w:color="auto"/>
            </w:tcBorders>
            <w:hideMark/>
          </w:tcPr>
          <w:p w14:paraId="47E1AAB6" w14:textId="77777777" w:rsidR="00C425C7" w:rsidRPr="00C425C7" w:rsidRDefault="00C425C7" w:rsidP="00C425C7">
            <w:pPr>
              <w:spacing w:after="160" w:line="278" w:lineRule="auto"/>
              <w:rPr>
                <w:lang w:val="en-US"/>
              </w:rPr>
            </w:pPr>
            <w:r w:rsidRPr="00C425C7">
              <w:rPr>
                <w:lang w:val="en-US"/>
              </w:rPr>
              <w:t>0.00%</w:t>
            </w:r>
          </w:p>
        </w:tc>
        <w:tc>
          <w:tcPr>
            <w:tcW w:w="0" w:type="auto"/>
            <w:tcBorders>
              <w:top w:val="single" w:sz="4" w:space="0" w:color="auto"/>
              <w:left w:val="single" w:sz="4" w:space="0" w:color="auto"/>
              <w:bottom w:val="single" w:sz="4" w:space="0" w:color="auto"/>
              <w:right w:val="single" w:sz="4" w:space="0" w:color="auto"/>
            </w:tcBorders>
            <w:hideMark/>
          </w:tcPr>
          <w:p w14:paraId="375EDB10" w14:textId="77777777" w:rsidR="00C425C7" w:rsidRPr="00C425C7" w:rsidRDefault="00C425C7" w:rsidP="00C425C7">
            <w:pPr>
              <w:spacing w:after="160" w:line="278" w:lineRule="auto"/>
              <w:rPr>
                <w:lang w:val="en-US"/>
              </w:rPr>
            </w:pPr>
            <w:r w:rsidRPr="00C425C7">
              <w:rPr>
                <w:lang w:val="en-US"/>
              </w:rPr>
              <w:t>Avg. Annual Profit (£0m) / Avg. Investment (£15m)</w:t>
            </w:r>
          </w:p>
        </w:tc>
      </w:tr>
      <w:tr w:rsidR="00C425C7" w:rsidRPr="00C425C7" w14:paraId="12E9056E" w14:textId="77777777">
        <w:tc>
          <w:tcPr>
            <w:tcW w:w="0" w:type="auto"/>
            <w:tcBorders>
              <w:top w:val="single" w:sz="4" w:space="0" w:color="auto"/>
              <w:left w:val="single" w:sz="4" w:space="0" w:color="auto"/>
              <w:bottom w:val="single" w:sz="4" w:space="0" w:color="auto"/>
              <w:right w:val="single" w:sz="4" w:space="0" w:color="auto"/>
            </w:tcBorders>
            <w:hideMark/>
          </w:tcPr>
          <w:p w14:paraId="19A2C94C" w14:textId="77777777" w:rsidR="00C425C7" w:rsidRPr="00C425C7" w:rsidRDefault="00C425C7" w:rsidP="00C425C7">
            <w:pPr>
              <w:spacing w:after="160" w:line="278" w:lineRule="auto"/>
              <w:rPr>
                <w:lang w:val="en-US"/>
              </w:rPr>
            </w:pPr>
            <w:r w:rsidRPr="00C425C7">
              <w:rPr>
                <w:lang w:val="en-US"/>
              </w:rPr>
              <w:t>Net Present Value (NPV)</w:t>
            </w:r>
          </w:p>
        </w:tc>
        <w:tc>
          <w:tcPr>
            <w:tcW w:w="0" w:type="auto"/>
            <w:tcBorders>
              <w:top w:val="single" w:sz="4" w:space="0" w:color="auto"/>
              <w:left w:val="single" w:sz="4" w:space="0" w:color="auto"/>
              <w:bottom w:val="single" w:sz="4" w:space="0" w:color="auto"/>
              <w:right w:val="single" w:sz="4" w:space="0" w:color="auto"/>
            </w:tcBorders>
            <w:hideMark/>
          </w:tcPr>
          <w:p w14:paraId="15113ABC" w14:textId="77777777" w:rsidR="00C425C7" w:rsidRPr="00C425C7" w:rsidRDefault="00C425C7" w:rsidP="00C425C7">
            <w:pPr>
              <w:spacing w:after="160" w:line="278" w:lineRule="auto"/>
              <w:rPr>
                <w:lang w:val="en-US"/>
              </w:rPr>
            </w:pPr>
            <w:r w:rsidRPr="00C425C7">
              <w:rPr>
                <w:lang w:val="en-US"/>
              </w:rPr>
              <w:t>-£7.26m</w:t>
            </w:r>
          </w:p>
        </w:tc>
        <w:tc>
          <w:tcPr>
            <w:tcW w:w="0" w:type="auto"/>
            <w:tcBorders>
              <w:top w:val="single" w:sz="4" w:space="0" w:color="auto"/>
              <w:left w:val="single" w:sz="4" w:space="0" w:color="auto"/>
              <w:bottom w:val="single" w:sz="4" w:space="0" w:color="auto"/>
              <w:right w:val="single" w:sz="4" w:space="0" w:color="auto"/>
            </w:tcBorders>
            <w:hideMark/>
          </w:tcPr>
          <w:p w14:paraId="5106F4C5" w14:textId="77777777" w:rsidR="00C425C7" w:rsidRPr="00C425C7" w:rsidRDefault="00C425C7" w:rsidP="00C425C7">
            <w:pPr>
              <w:spacing w:after="160" w:line="278" w:lineRule="auto"/>
              <w:rPr>
                <w:lang w:val="en-US"/>
              </w:rPr>
            </w:pPr>
            <w:r w:rsidRPr="00C425C7">
              <w:rPr>
                <w:lang w:val="en-US"/>
              </w:rPr>
              <w:t>Total PV of Inflows (£22.74m) - Initial Investment (£30m)</w:t>
            </w:r>
          </w:p>
        </w:tc>
      </w:tr>
      <w:tr w:rsidR="00C425C7" w:rsidRPr="00C425C7" w14:paraId="64E5A591" w14:textId="77777777">
        <w:tc>
          <w:tcPr>
            <w:tcW w:w="0" w:type="auto"/>
            <w:tcBorders>
              <w:top w:val="single" w:sz="4" w:space="0" w:color="auto"/>
              <w:left w:val="single" w:sz="4" w:space="0" w:color="auto"/>
              <w:bottom w:val="single" w:sz="4" w:space="0" w:color="auto"/>
              <w:right w:val="single" w:sz="4" w:space="0" w:color="auto"/>
            </w:tcBorders>
            <w:hideMark/>
          </w:tcPr>
          <w:p w14:paraId="10821AF7" w14:textId="77777777" w:rsidR="00C425C7" w:rsidRPr="00C425C7" w:rsidRDefault="00C425C7" w:rsidP="00C425C7">
            <w:pPr>
              <w:spacing w:after="160" w:line="278" w:lineRule="auto"/>
              <w:rPr>
                <w:lang w:val="en-US"/>
              </w:rPr>
            </w:pPr>
            <w:r w:rsidRPr="00C425C7">
              <w:rPr>
                <w:lang w:val="en-US"/>
              </w:rPr>
              <w:t>Profitability Index (PI)</w:t>
            </w:r>
          </w:p>
        </w:tc>
        <w:tc>
          <w:tcPr>
            <w:tcW w:w="0" w:type="auto"/>
            <w:tcBorders>
              <w:top w:val="single" w:sz="4" w:space="0" w:color="auto"/>
              <w:left w:val="single" w:sz="4" w:space="0" w:color="auto"/>
              <w:bottom w:val="single" w:sz="4" w:space="0" w:color="auto"/>
              <w:right w:val="single" w:sz="4" w:space="0" w:color="auto"/>
            </w:tcBorders>
            <w:hideMark/>
          </w:tcPr>
          <w:p w14:paraId="6A512C93" w14:textId="77777777" w:rsidR="00C425C7" w:rsidRPr="00C425C7" w:rsidRDefault="00C425C7" w:rsidP="00C425C7">
            <w:pPr>
              <w:spacing w:after="160" w:line="278" w:lineRule="auto"/>
              <w:rPr>
                <w:lang w:val="en-US"/>
              </w:rPr>
            </w:pPr>
            <w:r w:rsidRPr="00C425C7">
              <w:rPr>
                <w:lang w:val="en-US"/>
              </w:rPr>
              <w:t>0.76</w:t>
            </w:r>
          </w:p>
        </w:tc>
        <w:tc>
          <w:tcPr>
            <w:tcW w:w="0" w:type="auto"/>
            <w:tcBorders>
              <w:top w:val="single" w:sz="4" w:space="0" w:color="auto"/>
              <w:left w:val="single" w:sz="4" w:space="0" w:color="auto"/>
              <w:bottom w:val="single" w:sz="4" w:space="0" w:color="auto"/>
              <w:right w:val="single" w:sz="4" w:space="0" w:color="auto"/>
            </w:tcBorders>
            <w:hideMark/>
          </w:tcPr>
          <w:p w14:paraId="4728021B" w14:textId="77777777" w:rsidR="00C425C7" w:rsidRPr="00C425C7" w:rsidRDefault="00C425C7" w:rsidP="00C425C7">
            <w:pPr>
              <w:spacing w:after="160" w:line="278" w:lineRule="auto"/>
              <w:rPr>
                <w:lang w:val="en-US"/>
              </w:rPr>
            </w:pPr>
            <w:r w:rsidRPr="00C425C7">
              <w:rPr>
                <w:lang w:val="en-US"/>
              </w:rPr>
              <w:t>Total PV of Inflows (£22.74m) / Initial Investment (£30m)</w:t>
            </w:r>
          </w:p>
        </w:tc>
      </w:tr>
      <w:tr w:rsidR="00C425C7" w:rsidRPr="00C425C7" w14:paraId="4669E572" w14:textId="77777777">
        <w:tc>
          <w:tcPr>
            <w:tcW w:w="0" w:type="auto"/>
            <w:tcBorders>
              <w:top w:val="single" w:sz="4" w:space="0" w:color="auto"/>
              <w:left w:val="single" w:sz="4" w:space="0" w:color="auto"/>
              <w:bottom w:val="single" w:sz="4" w:space="0" w:color="auto"/>
              <w:right w:val="single" w:sz="4" w:space="0" w:color="auto"/>
            </w:tcBorders>
            <w:hideMark/>
          </w:tcPr>
          <w:p w14:paraId="590D8AC2" w14:textId="77777777" w:rsidR="00C425C7" w:rsidRPr="00C425C7" w:rsidRDefault="00C425C7" w:rsidP="00C425C7">
            <w:pPr>
              <w:spacing w:after="160" w:line="278" w:lineRule="auto"/>
              <w:rPr>
                <w:lang w:val="en-US"/>
              </w:rPr>
            </w:pPr>
            <w:r w:rsidRPr="00C425C7">
              <w:rPr>
                <w:lang w:val="en-US"/>
              </w:rPr>
              <w:t>Internal Rate of Return (IRR)</w:t>
            </w:r>
          </w:p>
        </w:tc>
        <w:tc>
          <w:tcPr>
            <w:tcW w:w="0" w:type="auto"/>
            <w:tcBorders>
              <w:top w:val="single" w:sz="4" w:space="0" w:color="auto"/>
              <w:left w:val="single" w:sz="4" w:space="0" w:color="auto"/>
              <w:bottom w:val="single" w:sz="4" w:space="0" w:color="auto"/>
              <w:right w:val="single" w:sz="4" w:space="0" w:color="auto"/>
            </w:tcBorders>
            <w:hideMark/>
          </w:tcPr>
          <w:p w14:paraId="77912192" w14:textId="77777777" w:rsidR="00C425C7" w:rsidRPr="00C425C7" w:rsidRDefault="00C425C7" w:rsidP="00C425C7">
            <w:pPr>
              <w:spacing w:after="160" w:line="278" w:lineRule="auto"/>
              <w:rPr>
                <w:lang w:val="en-US"/>
              </w:rPr>
            </w:pPr>
            <w:r w:rsidRPr="00C425C7">
              <w:rPr>
                <w:lang w:val="en-US"/>
              </w:rPr>
              <w:t>0.00%</w:t>
            </w:r>
          </w:p>
        </w:tc>
        <w:tc>
          <w:tcPr>
            <w:tcW w:w="0" w:type="auto"/>
            <w:tcBorders>
              <w:top w:val="single" w:sz="4" w:space="0" w:color="auto"/>
              <w:left w:val="single" w:sz="4" w:space="0" w:color="auto"/>
              <w:bottom w:val="single" w:sz="4" w:space="0" w:color="auto"/>
              <w:right w:val="single" w:sz="4" w:space="0" w:color="auto"/>
            </w:tcBorders>
            <w:hideMark/>
          </w:tcPr>
          <w:p w14:paraId="15C1C9DD" w14:textId="77777777" w:rsidR="00C425C7" w:rsidRPr="00C425C7" w:rsidRDefault="00C425C7" w:rsidP="00C425C7">
            <w:pPr>
              <w:spacing w:after="160" w:line="278" w:lineRule="auto"/>
              <w:rPr>
                <w:lang w:val="en-US"/>
              </w:rPr>
            </w:pPr>
            <w:r w:rsidRPr="00C425C7">
              <w:rPr>
                <w:lang w:val="en-US"/>
              </w:rPr>
              <w:t>Since Total Inflow = Total Investment, Return is 0%.</w:t>
            </w:r>
          </w:p>
        </w:tc>
      </w:tr>
    </w:tbl>
    <w:p w14:paraId="67942F29" w14:textId="77777777" w:rsidR="00C425C7" w:rsidRPr="00C425C7" w:rsidRDefault="00C425C7" w:rsidP="00C425C7">
      <w:pPr>
        <w:rPr>
          <w:lang w:val="en-US"/>
        </w:rPr>
      </w:pPr>
    </w:p>
    <w:p w14:paraId="3AE2358D" w14:textId="77777777" w:rsidR="00C425C7" w:rsidRPr="00C425C7" w:rsidRDefault="00C425C7" w:rsidP="00C425C7">
      <w:pPr>
        <w:rPr>
          <w:b/>
          <w:bCs/>
          <w:lang w:val="en-US"/>
        </w:rPr>
      </w:pPr>
      <w:r w:rsidRPr="00C425C7">
        <w:rPr>
          <w:b/>
          <w:bCs/>
          <w:lang w:val="en-US"/>
        </w:rPr>
        <w:t>3. Investment Appraisal Summary: Project C</w:t>
      </w:r>
    </w:p>
    <w:p w14:paraId="132D2D27" w14:textId="77777777" w:rsidR="00C425C7" w:rsidRPr="00C425C7" w:rsidRDefault="00C425C7" w:rsidP="00C425C7">
      <w:pPr>
        <w:rPr>
          <w:lang w:val="en-US"/>
        </w:rPr>
      </w:pPr>
      <w:r w:rsidRPr="00C425C7">
        <w:rPr>
          <w:b/>
          <w:bCs/>
          <w:lang w:val="en-US"/>
        </w:rPr>
        <w:t>Shared Project Data</w:t>
      </w:r>
    </w:p>
    <w:tbl>
      <w:tblPr>
        <w:tblStyle w:val="TableGrid"/>
        <w:tblW w:w="0" w:type="auto"/>
        <w:tblLook w:val="04A0" w:firstRow="1" w:lastRow="0" w:firstColumn="1" w:lastColumn="0" w:noHBand="0" w:noVBand="1"/>
      </w:tblPr>
      <w:tblGrid>
        <w:gridCol w:w="2394"/>
        <w:gridCol w:w="3197"/>
      </w:tblGrid>
      <w:tr w:rsidR="00C425C7" w:rsidRPr="00C425C7" w14:paraId="3DD98F90" w14:textId="77777777">
        <w:tc>
          <w:tcPr>
            <w:tcW w:w="0" w:type="auto"/>
            <w:tcBorders>
              <w:top w:val="single" w:sz="4" w:space="0" w:color="auto"/>
              <w:left w:val="single" w:sz="4" w:space="0" w:color="auto"/>
              <w:bottom w:val="single" w:sz="4" w:space="0" w:color="auto"/>
              <w:right w:val="single" w:sz="4" w:space="0" w:color="auto"/>
            </w:tcBorders>
            <w:hideMark/>
          </w:tcPr>
          <w:p w14:paraId="4729FD38" w14:textId="77777777" w:rsidR="00C425C7" w:rsidRPr="00C425C7" w:rsidRDefault="00C425C7" w:rsidP="00C425C7">
            <w:pPr>
              <w:spacing w:after="160" w:line="278" w:lineRule="auto"/>
              <w:rPr>
                <w:b/>
                <w:bCs/>
                <w:lang w:val="en-US"/>
              </w:rPr>
            </w:pPr>
            <w:r w:rsidRPr="00C425C7">
              <w:rPr>
                <w:b/>
                <w:bCs/>
                <w:lang w:val="en-US"/>
              </w:rPr>
              <w:t>Parameter</w:t>
            </w:r>
          </w:p>
        </w:tc>
        <w:tc>
          <w:tcPr>
            <w:tcW w:w="0" w:type="auto"/>
            <w:tcBorders>
              <w:top w:val="single" w:sz="4" w:space="0" w:color="auto"/>
              <w:left w:val="single" w:sz="4" w:space="0" w:color="auto"/>
              <w:bottom w:val="single" w:sz="4" w:space="0" w:color="auto"/>
              <w:right w:val="single" w:sz="4" w:space="0" w:color="auto"/>
            </w:tcBorders>
            <w:hideMark/>
          </w:tcPr>
          <w:p w14:paraId="30E43532" w14:textId="77777777" w:rsidR="00C425C7" w:rsidRPr="00C425C7" w:rsidRDefault="00C425C7" w:rsidP="00C425C7">
            <w:pPr>
              <w:spacing w:after="160" w:line="278" w:lineRule="auto"/>
              <w:rPr>
                <w:b/>
                <w:bCs/>
                <w:lang w:val="en-US"/>
              </w:rPr>
            </w:pPr>
            <w:r w:rsidRPr="00C425C7">
              <w:rPr>
                <w:b/>
                <w:bCs/>
                <w:lang w:val="en-US"/>
              </w:rPr>
              <w:t>Value</w:t>
            </w:r>
          </w:p>
        </w:tc>
      </w:tr>
      <w:tr w:rsidR="00C425C7" w:rsidRPr="00C425C7" w14:paraId="13398713" w14:textId="77777777">
        <w:tc>
          <w:tcPr>
            <w:tcW w:w="0" w:type="auto"/>
            <w:tcBorders>
              <w:top w:val="single" w:sz="4" w:space="0" w:color="auto"/>
              <w:left w:val="single" w:sz="4" w:space="0" w:color="auto"/>
              <w:bottom w:val="single" w:sz="4" w:space="0" w:color="auto"/>
              <w:right w:val="single" w:sz="4" w:space="0" w:color="auto"/>
            </w:tcBorders>
            <w:hideMark/>
          </w:tcPr>
          <w:p w14:paraId="5E655D54" w14:textId="77777777" w:rsidR="00C425C7" w:rsidRPr="00C425C7" w:rsidRDefault="00C425C7" w:rsidP="00C425C7">
            <w:pPr>
              <w:spacing w:after="160" w:line="278" w:lineRule="auto"/>
              <w:rPr>
                <w:lang w:val="en-US"/>
              </w:rPr>
            </w:pPr>
            <w:r w:rsidRPr="00C425C7">
              <w:rPr>
                <w:lang w:val="en-US"/>
              </w:rPr>
              <w:t>Initial Investment</w:t>
            </w:r>
          </w:p>
        </w:tc>
        <w:tc>
          <w:tcPr>
            <w:tcW w:w="0" w:type="auto"/>
            <w:tcBorders>
              <w:top w:val="single" w:sz="4" w:space="0" w:color="auto"/>
              <w:left w:val="single" w:sz="4" w:space="0" w:color="auto"/>
              <w:bottom w:val="single" w:sz="4" w:space="0" w:color="auto"/>
              <w:right w:val="single" w:sz="4" w:space="0" w:color="auto"/>
            </w:tcBorders>
            <w:hideMark/>
          </w:tcPr>
          <w:p w14:paraId="71BA4D6F" w14:textId="77777777" w:rsidR="00C425C7" w:rsidRPr="00C425C7" w:rsidRDefault="00C425C7" w:rsidP="00C425C7">
            <w:pPr>
              <w:spacing w:after="160" w:line="278" w:lineRule="auto"/>
              <w:rPr>
                <w:lang w:val="en-US"/>
              </w:rPr>
            </w:pPr>
            <w:r w:rsidRPr="00C425C7">
              <w:rPr>
                <w:lang w:val="en-US"/>
              </w:rPr>
              <w:t>£50,000,000</w:t>
            </w:r>
          </w:p>
        </w:tc>
      </w:tr>
      <w:tr w:rsidR="00C425C7" w:rsidRPr="00C425C7" w14:paraId="143F09AA" w14:textId="77777777">
        <w:tc>
          <w:tcPr>
            <w:tcW w:w="0" w:type="auto"/>
            <w:tcBorders>
              <w:top w:val="single" w:sz="4" w:space="0" w:color="auto"/>
              <w:left w:val="single" w:sz="4" w:space="0" w:color="auto"/>
              <w:bottom w:val="single" w:sz="4" w:space="0" w:color="auto"/>
              <w:right w:val="single" w:sz="4" w:space="0" w:color="auto"/>
            </w:tcBorders>
            <w:hideMark/>
          </w:tcPr>
          <w:p w14:paraId="20FF9F2C" w14:textId="77777777" w:rsidR="00C425C7" w:rsidRPr="00C425C7" w:rsidRDefault="00C425C7" w:rsidP="00C425C7">
            <w:pPr>
              <w:spacing w:after="160" w:line="278" w:lineRule="auto"/>
              <w:rPr>
                <w:lang w:val="en-US"/>
              </w:rPr>
            </w:pPr>
            <w:r w:rsidRPr="00C425C7">
              <w:rPr>
                <w:lang w:val="en-US"/>
              </w:rPr>
              <w:t>Project Life</w:t>
            </w:r>
          </w:p>
        </w:tc>
        <w:tc>
          <w:tcPr>
            <w:tcW w:w="0" w:type="auto"/>
            <w:tcBorders>
              <w:top w:val="single" w:sz="4" w:space="0" w:color="auto"/>
              <w:left w:val="single" w:sz="4" w:space="0" w:color="auto"/>
              <w:bottom w:val="single" w:sz="4" w:space="0" w:color="auto"/>
              <w:right w:val="single" w:sz="4" w:space="0" w:color="auto"/>
            </w:tcBorders>
            <w:hideMark/>
          </w:tcPr>
          <w:p w14:paraId="098A2877" w14:textId="77777777" w:rsidR="00C425C7" w:rsidRPr="00C425C7" w:rsidRDefault="00C425C7" w:rsidP="00C425C7">
            <w:pPr>
              <w:spacing w:after="160" w:line="278" w:lineRule="auto"/>
              <w:rPr>
                <w:lang w:val="en-US"/>
              </w:rPr>
            </w:pPr>
            <w:r w:rsidRPr="00C425C7">
              <w:rPr>
                <w:lang w:val="en-US"/>
              </w:rPr>
              <w:t>5 Years</w:t>
            </w:r>
          </w:p>
        </w:tc>
      </w:tr>
      <w:tr w:rsidR="00C425C7" w:rsidRPr="00C425C7" w14:paraId="0B9F8414" w14:textId="77777777">
        <w:tc>
          <w:tcPr>
            <w:tcW w:w="0" w:type="auto"/>
            <w:tcBorders>
              <w:top w:val="single" w:sz="4" w:space="0" w:color="auto"/>
              <w:left w:val="single" w:sz="4" w:space="0" w:color="auto"/>
              <w:bottom w:val="single" w:sz="4" w:space="0" w:color="auto"/>
              <w:right w:val="single" w:sz="4" w:space="0" w:color="auto"/>
            </w:tcBorders>
            <w:hideMark/>
          </w:tcPr>
          <w:p w14:paraId="51628D95" w14:textId="77777777" w:rsidR="00C425C7" w:rsidRPr="00C425C7" w:rsidRDefault="00C425C7" w:rsidP="00C425C7">
            <w:pPr>
              <w:spacing w:after="160" w:line="278" w:lineRule="auto"/>
              <w:rPr>
                <w:lang w:val="en-US"/>
              </w:rPr>
            </w:pPr>
            <w:r w:rsidRPr="00C425C7">
              <w:rPr>
                <w:lang w:val="en-US"/>
              </w:rPr>
              <w:t>Depreciation Method</w:t>
            </w:r>
          </w:p>
        </w:tc>
        <w:tc>
          <w:tcPr>
            <w:tcW w:w="0" w:type="auto"/>
            <w:tcBorders>
              <w:top w:val="single" w:sz="4" w:space="0" w:color="auto"/>
              <w:left w:val="single" w:sz="4" w:space="0" w:color="auto"/>
              <w:bottom w:val="single" w:sz="4" w:space="0" w:color="auto"/>
              <w:right w:val="single" w:sz="4" w:space="0" w:color="auto"/>
            </w:tcBorders>
            <w:hideMark/>
          </w:tcPr>
          <w:p w14:paraId="4CDE6A44" w14:textId="77777777" w:rsidR="00C425C7" w:rsidRPr="00C425C7" w:rsidRDefault="00C425C7" w:rsidP="00C425C7">
            <w:pPr>
              <w:spacing w:after="160" w:line="278" w:lineRule="auto"/>
              <w:rPr>
                <w:lang w:val="en-US"/>
              </w:rPr>
            </w:pPr>
            <w:r w:rsidRPr="00C425C7">
              <w:rPr>
                <w:lang w:val="en-US"/>
              </w:rPr>
              <w:t>Straight-line</w:t>
            </w:r>
          </w:p>
        </w:tc>
      </w:tr>
      <w:tr w:rsidR="00C425C7" w:rsidRPr="00C425C7" w14:paraId="1BF92B68" w14:textId="77777777">
        <w:tc>
          <w:tcPr>
            <w:tcW w:w="0" w:type="auto"/>
            <w:tcBorders>
              <w:top w:val="single" w:sz="4" w:space="0" w:color="auto"/>
              <w:left w:val="single" w:sz="4" w:space="0" w:color="auto"/>
              <w:bottom w:val="single" w:sz="4" w:space="0" w:color="auto"/>
              <w:right w:val="single" w:sz="4" w:space="0" w:color="auto"/>
            </w:tcBorders>
            <w:hideMark/>
          </w:tcPr>
          <w:p w14:paraId="019AB0C9" w14:textId="77777777" w:rsidR="00C425C7" w:rsidRPr="00C425C7" w:rsidRDefault="00C425C7" w:rsidP="00C425C7">
            <w:pPr>
              <w:spacing w:after="160" w:line="278" w:lineRule="auto"/>
              <w:rPr>
                <w:lang w:val="en-US"/>
              </w:rPr>
            </w:pPr>
            <w:r w:rsidRPr="00C425C7">
              <w:rPr>
                <w:lang w:val="en-US"/>
              </w:rPr>
              <w:t>Annual Depreciation</w:t>
            </w:r>
          </w:p>
        </w:tc>
        <w:tc>
          <w:tcPr>
            <w:tcW w:w="0" w:type="auto"/>
            <w:tcBorders>
              <w:top w:val="single" w:sz="4" w:space="0" w:color="auto"/>
              <w:left w:val="single" w:sz="4" w:space="0" w:color="auto"/>
              <w:bottom w:val="single" w:sz="4" w:space="0" w:color="auto"/>
              <w:right w:val="single" w:sz="4" w:space="0" w:color="auto"/>
            </w:tcBorders>
            <w:hideMark/>
          </w:tcPr>
          <w:p w14:paraId="267CC75E" w14:textId="77777777" w:rsidR="00C425C7" w:rsidRPr="00C425C7" w:rsidRDefault="00C425C7" w:rsidP="00C425C7">
            <w:pPr>
              <w:spacing w:after="160" w:line="278" w:lineRule="auto"/>
              <w:rPr>
                <w:lang w:val="en-US"/>
              </w:rPr>
            </w:pPr>
            <w:r w:rsidRPr="00C425C7">
              <w:rPr>
                <w:lang w:val="en-US"/>
              </w:rPr>
              <w:t>£10,000,000 (£50m / 5 years)</w:t>
            </w:r>
          </w:p>
        </w:tc>
      </w:tr>
      <w:tr w:rsidR="00C425C7" w:rsidRPr="00C425C7" w14:paraId="03DF5EA0" w14:textId="77777777">
        <w:tc>
          <w:tcPr>
            <w:tcW w:w="0" w:type="auto"/>
            <w:tcBorders>
              <w:top w:val="single" w:sz="4" w:space="0" w:color="auto"/>
              <w:left w:val="single" w:sz="4" w:space="0" w:color="auto"/>
              <w:bottom w:val="single" w:sz="4" w:space="0" w:color="auto"/>
              <w:right w:val="single" w:sz="4" w:space="0" w:color="auto"/>
            </w:tcBorders>
            <w:hideMark/>
          </w:tcPr>
          <w:p w14:paraId="4102F3FC" w14:textId="77777777" w:rsidR="00C425C7" w:rsidRPr="00C425C7" w:rsidRDefault="00C425C7" w:rsidP="00C425C7">
            <w:pPr>
              <w:spacing w:after="160" w:line="278" w:lineRule="auto"/>
              <w:rPr>
                <w:lang w:val="en-US"/>
              </w:rPr>
            </w:pPr>
            <w:r w:rsidRPr="00C425C7">
              <w:rPr>
                <w:lang w:val="en-US"/>
              </w:rPr>
              <w:t>Discount Rate</w:t>
            </w:r>
          </w:p>
        </w:tc>
        <w:tc>
          <w:tcPr>
            <w:tcW w:w="0" w:type="auto"/>
            <w:tcBorders>
              <w:top w:val="single" w:sz="4" w:space="0" w:color="auto"/>
              <w:left w:val="single" w:sz="4" w:space="0" w:color="auto"/>
              <w:bottom w:val="single" w:sz="4" w:space="0" w:color="auto"/>
              <w:right w:val="single" w:sz="4" w:space="0" w:color="auto"/>
            </w:tcBorders>
            <w:hideMark/>
          </w:tcPr>
          <w:p w14:paraId="2956D969" w14:textId="77777777" w:rsidR="00C425C7" w:rsidRPr="00C425C7" w:rsidRDefault="00C425C7" w:rsidP="00C425C7">
            <w:pPr>
              <w:spacing w:after="160" w:line="278" w:lineRule="auto"/>
              <w:rPr>
                <w:lang w:val="en-US"/>
              </w:rPr>
            </w:pPr>
            <w:r w:rsidRPr="00C425C7">
              <w:rPr>
                <w:lang w:val="en-US"/>
              </w:rPr>
              <w:t>10%</w:t>
            </w:r>
          </w:p>
        </w:tc>
      </w:tr>
    </w:tbl>
    <w:p w14:paraId="2B3DCC8F" w14:textId="77777777" w:rsidR="00C425C7" w:rsidRPr="00C425C7" w:rsidRDefault="00C425C7" w:rsidP="00C425C7">
      <w:pPr>
        <w:rPr>
          <w:b/>
          <w:bCs/>
          <w:lang w:val="en-US"/>
        </w:rPr>
      </w:pPr>
    </w:p>
    <w:p w14:paraId="7CDD58C5" w14:textId="77777777" w:rsidR="00C425C7" w:rsidRPr="00C425C7" w:rsidRDefault="00C425C7" w:rsidP="00C425C7">
      <w:pPr>
        <w:rPr>
          <w:lang w:val="en-US"/>
        </w:rPr>
      </w:pPr>
      <w:r w:rsidRPr="00C425C7">
        <w:rPr>
          <w:b/>
          <w:bCs/>
          <w:lang w:val="en-US"/>
        </w:rPr>
        <w:t>Net Present Value (NPV) Calculation Details</w:t>
      </w:r>
    </w:p>
    <w:tbl>
      <w:tblPr>
        <w:tblStyle w:val="TableGrid"/>
        <w:tblW w:w="0" w:type="auto"/>
        <w:tblLook w:val="04A0" w:firstRow="1" w:lastRow="0" w:firstColumn="1" w:lastColumn="0" w:noHBand="0" w:noVBand="1"/>
      </w:tblPr>
      <w:tblGrid>
        <w:gridCol w:w="745"/>
        <w:gridCol w:w="2040"/>
        <w:gridCol w:w="2815"/>
        <w:gridCol w:w="2249"/>
      </w:tblGrid>
      <w:tr w:rsidR="00C425C7" w:rsidRPr="00C425C7" w14:paraId="197993F9" w14:textId="77777777">
        <w:tc>
          <w:tcPr>
            <w:tcW w:w="0" w:type="auto"/>
            <w:tcBorders>
              <w:top w:val="single" w:sz="4" w:space="0" w:color="auto"/>
              <w:left w:val="single" w:sz="4" w:space="0" w:color="auto"/>
              <w:bottom w:val="single" w:sz="4" w:space="0" w:color="auto"/>
              <w:right w:val="single" w:sz="4" w:space="0" w:color="auto"/>
            </w:tcBorders>
            <w:hideMark/>
          </w:tcPr>
          <w:p w14:paraId="52A38111" w14:textId="77777777" w:rsidR="00C425C7" w:rsidRPr="00C425C7" w:rsidRDefault="00C425C7" w:rsidP="00C425C7">
            <w:pPr>
              <w:spacing w:after="160" w:line="278" w:lineRule="auto"/>
              <w:rPr>
                <w:b/>
                <w:bCs/>
                <w:lang w:val="en-US"/>
              </w:rPr>
            </w:pPr>
            <w:r w:rsidRPr="00C425C7">
              <w:rPr>
                <w:b/>
                <w:bCs/>
                <w:lang w:val="en-US"/>
              </w:rPr>
              <w:t>Year</w:t>
            </w:r>
          </w:p>
        </w:tc>
        <w:tc>
          <w:tcPr>
            <w:tcW w:w="0" w:type="auto"/>
            <w:tcBorders>
              <w:top w:val="single" w:sz="4" w:space="0" w:color="auto"/>
              <w:left w:val="single" w:sz="4" w:space="0" w:color="auto"/>
              <w:bottom w:val="single" w:sz="4" w:space="0" w:color="auto"/>
              <w:right w:val="single" w:sz="4" w:space="0" w:color="auto"/>
            </w:tcBorders>
            <w:hideMark/>
          </w:tcPr>
          <w:p w14:paraId="659B3A9F" w14:textId="77777777" w:rsidR="00C425C7" w:rsidRPr="00C425C7" w:rsidRDefault="00C425C7" w:rsidP="00C425C7">
            <w:pPr>
              <w:spacing w:after="160" w:line="278" w:lineRule="auto"/>
              <w:rPr>
                <w:b/>
                <w:bCs/>
                <w:lang w:val="en-US"/>
              </w:rPr>
            </w:pPr>
            <w:r w:rsidRPr="00C425C7">
              <w:rPr>
                <w:b/>
                <w:bCs/>
                <w:lang w:val="en-US"/>
              </w:rPr>
              <w:t>Cash Inflow (£m)</w:t>
            </w:r>
          </w:p>
        </w:tc>
        <w:tc>
          <w:tcPr>
            <w:tcW w:w="0" w:type="auto"/>
            <w:tcBorders>
              <w:top w:val="single" w:sz="4" w:space="0" w:color="auto"/>
              <w:left w:val="single" w:sz="4" w:space="0" w:color="auto"/>
              <w:bottom w:val="single" w:sz="4" w:space="0" w:color="auto"/>
              <w:right w:val="single" w:sz="4" w:space="0" w:color="auto"/>
            </w:tcBorders>
            <w:hideMark/>
          </w:tcPr>
          <w:p w14:paraId="0F24D09D" w14:textId="77777777" w:rsidR="00C425C7" w:rsidRPr="00C425C7" w:rsidRDefault="00C425C7" w:rsidP="00C425C7">
            <w:pPr>
              <w:spacing w:after="160" w:line="278" w:lineRule="auto"/>
              <w:rPr>
                <w:b/>
                <w:bCs/>
                <w:lang w:val="en-US"/>
              </w:rPr>
            </w:pPr>
            <w:r w:rsidRPr="00C425C7">
              <w:rPr>
                <w:b/>
                <w:bCs/>
                <w:lang w:val="en-US"/>
              </w:rPr>
              <w:t xml:space="preserve">Discount </w:t>
            </w:r>
            <w:proofErr w:type="gramStart"/>
            <w:r w:rsidRPr="00C425C7">
              <w:rPr>
                <w:b/>
                <w:bCs/>
                <w:lang w:val="en-US"/>
              </w:rPr>
              <w:t>Factor (@</w:t>
            </w:r>
            <w:proofErr w:type="gramEnd"/>
            <w:r w:rsidRPr="00C425C7">
              <w:rPr>
                <w:b/>
                <w:bCs/>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1263CB43" w14:textId="77777777" w:rsidR="00C425C7" w:rsidRPr="00C425C7" w:rsidRDefault="00C425C7" w:rsidP="00C425C7">
            <w:pPr>
              <w:spacing w:after="160" w:line="278" w:lineRule="auto"/>
              <w:rPr>
                <w:b/>
                <w:bCs/>
                <w:lang w:val="en-US"/>
              </w:rPr>
            </w:pPr>
            <w:r w:rsidRPr="00C425C7">
              <w:rPr>
                <w:b/>
                <w:bCs/>
                <w:lang w:val="en-US"/>
              </w:rPr>
              <w:t>Present Value (£m)</w:t>
            </w:r>
          </w:p>
        </w:tc>
      </w:tr>
      <w:tr w:rsidR="00C425C7" w:rsidRPr="00C425C7" w14:paraId="74FAC095" w14:textId="77777777">
        <w:tc>
          <w:tcPr>
            <w:tcW w:w="0" w:type="auto"/>
            <w:tcBorders>
              <w:top w:val="single" w:sz="4" w:space="0" w:color="auto"/>
              <w:left w:val="single" w:sz="4" w:space="0" w:color="auto"/>
              <w:bottom w:val="single" w:sz="4" w:space="0" w:color="auto"/>
              <w:right w:val="single" w:sz="4" w:space="0" w:color="auto"/>
            </w:tcBorders>
            <w:hideMark/>
          </w:tcPr>
          <w:p w14:paraId="682E67A2" w14:textId="77777777" w:rsidR="00C425C7" w:rsidRPr="00C425C7" w:rsidRDefault="00C425C7" w:rsidP="00C425C7">
            <w:pPr>
              <w:spacing w:after="160" w:line="278" w:lineRule="auto"/>
              <w:rPr>
                <w:lang w:val="en-US"/>
              </w:rPr>
            </w:pPr>
            <w:r w:rsidRPr="00C425C7">
              <w:rPr>
                <w:lang w:val="en-US"/>
              </w:rPr>
              <w:t>1</w:t>
            </w:r>
          </w:p>
        </w:tc>
        <w:tc>
          <w:tcPr>
            <w:tcW w:w="0" w:type="auto"/>
            <w:tcBorders>
              <w:top w:val="single" w:sz="4" w:space="0" w:color="auto"/>
              <w:left w:val="single" w:sz="4" w:space="0" w:color="auto"/>
              <w:bottom w:val="single" w:sz="4" w:space="0" w:color="auto"/>
              <w:right w:val="single" w:sz="4" w:space="0" w:color="auto"/>
            </w:tcBorders>
            <w:hideMark/>
          </w:tcPr>
          <w:p w14:paraId="574AAA2F" w14:textId="77777777" w:rsidR="00C425C7" w:rsidRPr="00C425C7" w:rsidRDefault="00C425C7" w:rsidP="00C425C7">
            <w:pPr>
              <w:spacing w:after="160" w:line="278" w:lineRule="auto"/>
              <w:rPr>
                <w:lang w:val="en-US"/>
              </w:rPr>
            </w:pPr>
            <w:r w:rsidRPr="00C425C7">
              <w:rPr>
                <w:lang w:val="en-US"/>
              </w:rPr>
              <w:t>5.00</w:t>
            </w:r>
          </w:p>
        </w:tc>
        <w:tc>
          <w:tcPr>
            <w:tcW w:w="0" w:type="auto"/>
            <w:tcBorders>
              <w:top w:val="single" w:sz="4" w:space="0" w:color="auto"/>
              <w:left w:val="single" w:sz="4" w:space="0" w:color="auto"/>
              <w:bottom w:val="single" w:sz="4" w:space="0" w:color="auto"/>
              <w:right w:val="single" w:sz="4" w:space="0" w:color="auto"/>
            </w:tcBorders>
            <w:hideMark/>
          </w:tcPr>
          <w:p w14:paraId="666FC256" w14:textId="77777777" w:rsidR="00C425C7" w:rsidRPr="00C425C7" w:rsidRDefault="00C425C7" w:rsidP="00C425C7">
            <w:pPr>
              <w:spacing w:after="160" w:line="278" w:lineRule="auto"/>
              <w:rPr>
                <w:lang w:val="en-US"/>
              </w:rPr>
            </w:pPr>
            <w:r w:rsidRPr="00C425C7">
              <w:rPr>
                <w:lang w:val="en-US"/>
              </w:rPr>
              <w:t>0.909</w:t>
            </w:r>
          </w:p>
        </w:tc>
        <w:tc>
          <w:tcPr>
            <w:tcW w:w="0" w:type="auto"/>
            <w:tcBorders>
              <w:top w:val="single" w:sz="4" w:space="0" w:color="auto"/>
              <w:left w:val="single" w:sz="4" w:space="0" w:color="auto"/>
              <w:bottom w:val="single" w:sz="4" w:space="0" w:color="auto"/>
              <w:right w:val="single" w:sz="4" w:space="0" w:color="auto"/>
            </w:tcBorders>
            <w:hideMark/>
          </w:tcPr>
          <w:p w14:paraId="687F4158" w14:textId="77777777" w:rsidR="00C425C7" w:rsidRPr="00C425C7" w:rsidRDefault="00C425C7" w:rsidP="00C425C7">
            <w:pPr>
              <w:spacing w:after="160" w:line="278" w:lineRule="auto"/>
              <w:rPr>
                <w:lang w:val="en-US"/>
              </w:rPr>
            </w:pPr>
            <w:r w:rsidRPr="00C425C7">
              <w:rPr>
                <w:lang w:val="en-US"/>
              </w:rPr>
              <w:t>4.55</w:t>
            </w:r>
          </w:p>
        </w:tc>
      </w:tr>
      <w:tr w:rsidR="00C425C7" w:rsidRPr="00C425C7" w14:paraId="7B9CEEDC" w14:textId="77777777">
        <w:tc>
          <w:tcPr>
            <w:tcW w:w="0" w:type="auto"/>
            <w:tcBorders>
              <w:top w:val="single" w:sz="4" w:space="0" w:color="auto"/>
              <w:left w:val="single" w:sz="4" w:space="0" w:color="auto"/>
              <w:bottom w:val="single" w:sz="4" w:space="0" w:color="auto"/>
              <w:right w:val="single" w:sz="4" w:space="0" w:color="auto"/>
            </w:tcBorders>
            <w:hideMark/>
          </w:tcPr>
          <w:p w14:paraId="52BAF862" w14:textId="77777777" w:rsidR="00C425C7" w:rsidRPr="00C425C7" w:rsidRDefault="00C425C7" w:rsidP="00C425C7">
            <w:pPr>
              <w:spacing w:after="160" w:line="278" w:lineRule="auto"/>
              <w:rPr>
                <w:lang w:val="en-US"/>
              </w:rPr>
            </w:pPr>
            <w:r w:rsidRPr="00C425C7">
              <w:rPr>
                <w:lang w:val="en-US"/>
              </w:rPr>
              <w:t>2</w:t>
            </w:r>
          </w:p>
        </w:tc>
        <w:tc>
          <w:tcPr>
            <w:tcW w:w="0" w:type="auto"/>
            <w:tcBorders>
              <w:top w:val="single" w:sz="4" w:space="0" w:color="auto"/>
              <w:left w:val="single" w:sz="4" w:space="0" w:color="auto"/>
              <w:bottom w:val="single" w:sz="4" w:space="0" w:color="auto"/>
              <w:right w:val="single" w:sz="4" w:space="0" w:color="auto"/>
            </w:tcBorders>
            <w:hideMark/>
          </w:tcPr>
          <w:p w14:paraId="69D7A2F0" w14:textId="77777777" w:rsidR="00C425C7" w:rsidRPr="00C425C7" w:rsidRDefault="00C425C7" w:rsidP="00C425C7">
            <w:pPr>
              <w:spacing w:after="160" w:line="278" w:lineRule="auto"/>
              <w:rPr>
                <w:lang w:val="en-US"/>
              </w:rPr>
            </w:pPr>
            <w:r w:rsidRPr="00C425C7">
              <w:rPr>
                <w:lang w:val="en-US"/>
              </w:rPr>
              <w:t>10.00</w:t>
            </w:r>
          </w:p>
        </w:tc>
        <w:tc>
          <w:tcPr>
            <w:tcW w:w="0" w:type="auto"/>
            <w:tcBorders>
              <w:top w:val="single" w:sz="4" w:space="0" w:color="auto"/>
              <w:left w:val="single" w:sz="4" w:space="0" w:color="auto"/>
              <w:bottom w:val="single" w:sz="4" w:space="0" w:color="auto"/>
              <w:right w:val="single" w:sz="4" w:space="0" w:color="auto"/>
            </w:tcBorders>
            <w:hideMark/>
          </w:tcPr>
          <w:p w14:paraId="1092BB24" w14:textId="77777777" w:rsidR="00C425C7" w:rsidRPr="00C425C7" w:rsidRDefault="00C425C7" w:rsidP="00C425C7">
            <w:pPr>
              <w:spacing w:after="160" w:line="278" w:lineRule="auto"/>
              <w:rPr>
                <w:lang w:val="en-US"/>
              </w:rPr>
            </w:pPr>
            <w:r w:rsidRPr="00C425C7">
              <w:rPr>
                <w:lang w:val="en-US"/>
              </w:rPr>
              <w:t>0.826</w:t>
            </w:r>
          </w:p>
        </w:tc>
        <w:tc>
          <w:tcPr>
            <w:tcW w:w="0" w:type="auto"/>
            <w:tcBorders>
              <w:top w:val="single" w:sz="4" w:space="0" w:color="auto"/>
              <w:left w:val="single" w:sz="4" w:space="0" w:color="auto"/>
              <w:bottom w:val="single" w:sz="4" w:space="0" w:color="auto"/>
              <w:right w:val="single" w:sz="4" w:space="0" w:color="auto"/>
            </w:tcBorders>
            <w:hideMark/>
          </w:tcPr>
          <w:p w14:paraId="68220168" w14:textId="77777777" w:rsidR="00C425C7" w:rsidRPr="00C425C7" w:rsidRDefault="00C425C7" w:rsidP="00C425C7">
            <w:pPr>
              <w:spacing w:after="160" w:line="278" w:lineRule="auto"/>
              <w:rPr>
                <w:lang w:val="en-US"/>
              </w:rPr>
            </w:pPr>
            <w:r w:rsidRPr="00C425C7">
              <w:rPr>
                <w:lang w:val="en-US"/>
              </w:rPr>
              <w:t>8.26</w:t>
            </w:r>
          </w:p>
        </w:tc>
      </w:tr>
      <w:tr w:rsidR="00C425C7" w:rsidRPr="00C425C7" w14:paraId="28B5E8A7" w14:textId="77777777">
        <w:tc>
          <w:tcPr>
            <w:tcW w:w="0" w:type="auto"/>
            <w:tcBorders>
              <w:top w:val="single" w:sz="4" w:space="0" w:color="auto"/>
              <w:left w:val="single" w:sz="4" w:space="0" w:color="auto"/>
              <w:bottom w:val="single" w:sz="4" w:space="0" w:color="auto"/>
              <w:right w:val="single" w:sz="4" w:space="0" w:color="auto"/>
            </w:tcBorders>
            <w:hideMark/>
          </w:tcPr>
          <w:p w14:paraId="4E846655" w14:textId="77777777" w:rsidR="00C425C7" w:rsidRPr="00C425C7" w:rsidRDefault="00C425C7" w:rsidP="00C425C7">
            <w:pPr>
              <w:spacing w:after="160" w:line="278" w:lineRule="auto"/>
              <w:rPr>
                <w:lang w:val="en-US"/>
              </w:rPr>
            </w:pPr>
            <w:r w:rsidRPr="00C425C7">
              <w:rPr>
                <w:lang w:val="en-US"/>
              </w:rPr>
              <w:t>3</w:t>
            </w:r>
          </w:p>
        </w:tc>
        <w:tc>
          <w:tcPr>
            <w:tcW w:w="0" w:type="auto"/>
            <w:tcBorders>
              <w:top w:val="single" w:sz="4" w:space="0" w:color="auto"/>
              <w:left w:val="single" w:sz="4" w:space="0" w:color="auto"/>
              <w:bottom w:val="single" w:sz="4" w:space="0" w:color="auto"/>
              <w:right w:val="single" w:sz="4" w:space="0" w:color="auto"/>
            </w:tcBorders>
            <w:hideMark/>
          </w:tcPr>
          <w:p w14:paraId="4856A0D2" w14:textId="77777777" w:rsidR="00C425C7" w:rsidRPr="00C425C7" w:rsidRDefault="00C425C7" w:rsidP="00C425C7">
            <w:pPr>
              <w:spacing w:after="160" w:line="278" w:lineRule="auto"/>
              <w:rPr>
                <w:lang w:val="en-US"/>
              </w:rPr>
            </w:pPr>
            <w:r w:rsidRPr="00C425C7">
              <w:rPr>
                <w:lang w:val="en-US"/>
              </w:rPr>
              <w:t>20.00</w:t>
            </w:r>
          </w:p>
        </w:tc>
        <w:tc>
          <w:tcPr>
            <w:tcW w:w="0" w:type="auto"/>
            <w:tcBorders>
              <w:top w:val="single" w:sz="4" w:space="0" w:color="auto"/>
              <w:left w:val="single" w:sz="4" w:space="0" w:color="auto"/>
              <w:bottom w:val="single" w:sz="4" w:space="0" w:color="auto"/>
              <w:right w:val="single" w:sz="4" w:space="0" w:color="auto"/>
            </w:tcBorders>
            <w:hideMark/>
          </w:tcPr>
          <w:p w14:paraId="3E647F3E" w14:textId="77777777" w:rsidR="00C425C7" w:rsidRPr="00C425C7" w:rsidRDefault="00C425C7" w:rsidP="00C425C7">
            <w:pPr>
              <w:spacing w:after="160" w:line="278" w:lineRule="auto"/>
              <w:rPr>
                <w:lang w:val="en-US"/>
              </w:rPr>
            </w:pPr>
            <w:r w:rsidRPr="00C425C7">
              <w:rPr>
                <w:lang w:val="en-US"/>
              </w:rPr>
              <w:t>0.751</w:t>
            </w:r>
          </w:p>
        </w:tc>
        <w:tc>
          <w:tcPr>
            <w:tcW w:w="0" w:type="auto"/>
            <w:tcBorders>
              <w:top w:val="single" w:sz="4" w:space="0" w:color="auto"/>
              <w:left w:val="single" w:sz="4" w:space="0" w:color="auto"/>
              <w:bottom w:val="single" w:sz="4" w:space="0" w:color="auto"/>
              <w:right w:val="single" w:sz="4" w:space="0" w:color="auto"/>
            </w:tcBorders>
            <w:hideMark/>
          </w:tcPr>
          <w:p w14:paraId="30723708" w14:textId="77777777" w:rsidR="00C425C7" w:rsidRPr="00C425C7" w:rsidRDefault="00C425C7" w:rsidP="00C425C7">
            <w:pPr>
              <w:spacing w:after="160" w:line="278" w:lineRule="auto"/>
              <w:rPr>
                <w:lang w:val="en-US"/>
              </w:rPr>
            </w:pPr>
            <w:r w:rsidRPr="00C425C7">
              <w:rPr>
                <w:lang w:val="en-US"/>
              </w:rPr>
              <w:t>15.03</w:t>
            </w:r>
          </w:p>
        </w:tc>
      </w:tr>
      <w:tr w:rsidR="00C425C7" w:rsidRPr="00C425C7" w14:paraId="209FCE87" w14:textId="77777777">
        <w:tc>
          <w:tcPr>
            <w:tcW w:w="0" w:type="auto"/>
            <w:tcBorders>
              <w:top w:val="single" w:sz="4" w:space="0" w:color="auto"/>
              <w:left w:val="single" w:sz="4" w:space="0" w:color="auto"/>
              <w:bottom w:val="single" w:sz="4" w:space="0" w:color="auto"/>
              <w:right w:val="single" w:sz="4" w:space="0" w:color="auto"/>
            </w:tcBorders>
            <w:hideMark/>
          </w:tcPr>
          <w:p w14:paraId="65AB11BA" w14:textId="77777777" w:rsidR="00C425C7" w:rsidRPr="00C425C7" w:rsidRDefault="00C425C7" w:rsidP="00C425C7">
            <w:pPr>
              <w:spacing w:after="160" w:line="278" w:lineRule="auto"/>
              <w:rPr>
                <w:lang w:val="en-US"/>
              </w:rPr>
            </w:pPr>
            <w:r w:rsidRPr="00C425C7">
              <w:rPr>
                <w:lang w:val="en-US"/>
              </w:rPr>
              <w:t>4</w:t>
            </w:r>
          </w:p>
        </w:tc>
        <w:tc>
          <w:tcPr>
            <w:tcW w:w="0" w:type="auto"/>
            <w:tcBorders>
              <w:top w:val="single" w:sz="4" w:space="0" w:color="auto"/>
              <w:left w:val="single" w:sz="4" w:space="0" w:color="auto"/>
              <w:bottom w:val="single" w:sz="4" w:space="0" w:color="auto"/>
              <w:right w:val="single" w:sz="4" w:space="0" w:color="auto"/>
            </w:tcBorders>
            <w:hideMark/>
          </w:tcPr>
          <w:p w14:paraId="6ED3FC36" w14:textId="77777777" w:rsidR="00C425C7" w:rsidRPr="00C425C7" w:rsidRDefault="00C425C7" w:rsidP="00C425C7">
            <w:pPr>
              <w:spacing w:after="160" w:line="278" w:lineRule="auto"/>
              <w:rPr>
                <w:lang w:val="en-US"/>
              </w:rPr>
            </w:pPr>
            <w:r w:rsidRPr="00C425C7">
              <w:rPr>
                <w:lang w:val="en-US"/>
              </w:rPr>
              <w:t>25.00</w:t>
            </w:r>
          </w:p>
        </w:tc>
        <w:tc>
          <w:tcPr>
            <w:tcW w:w="0" w:type="auto"/>
            <w:tcBorders>
              <w:top w:val="single" w:sz="4" w:space="0" w:color="auto"/>
              <w:left w:val="single" w:sz="4" w:space="0" w:color="auto"/>
              <w:bottom w:val="single" w:sz="4" w:space="0" w:color="auto"/>
              <w:right w:val="single" w:sz="4" w:space="0" w:color="auto"/>
            </w:tcBorders>
            <w:hideMark/>
          </w:tcPr>
          <w:p w14:paraId="557F962E" w14:textId="77777777" w:rsidR="00C425C7" w:rsidRPr="00C425C7" w:rsidRDefault="00C425C7" w:rsidP="00C425C7">
            <w:pPr>
              <w:spacing w:after="160" w:line="278" w:lineRule="auto"/>
              <w:rPr>
                <w:lang w:val="en-US"/>
              </w:rPr>
            </w:pPr>
            <w:r w:rsidRPr="00C425C7">
              <w:rPr>
                <w:lang w:val="en-US"/>
              </w:rPr>
              <w:t>0.683</w:t>
            </w:r>
          </w:p>
        </w:tc>
        <w:tc>
          <w:tcPr>
            <w:tcW w:w="0" w:type="auto"/>
            <w:tcBorders>
              <w:top w:val="single" w:sz="4" w:space="0" w:color="auto"/>
              <w:left w:val="single" w:sz="4" w:space="0" w:color="auto"/>
              <w:bottom w:val="single" w:sz="4" w:space="0" w:color="auto"/>
              <w:right w:val="single" w:sz="4" w:space="0" w:color="auto"/>
            </w:tcBorders>
            <w:hideMark/>
          </w:tcPr>
          <w:p w14:paraId="1AB15893" w14:textId="77777777" w:rsidR="00C425C7" w:rsidRPr="00C425C7" w:rsidRDefault="00C425C7" w:rsidP="00C425C7">
            <w:pPr>
              <w:spacing w:after="160" w:line="278" w:lineRule="auto"/>
              <w:rPr>
                <w:lang w:val="en-US"/>
              </w:rPr>
            </w:pPr>
            <w:r w:rsidRPr="00C425C7">
              <w:rPr>
                <w:lang w:val="en-US"/>
              </w:rPr>
              <w:t>17.07</w:t>
            </w:r>
          </w:p>
        </w:tc>
      </w:tr>
      <w:tr w:rsidR="00C425C7" w:rsidRPr="00C425C7" w14:paraId="69E63BC8" w14:textId="77777777">
        <w:tc>
          <w:tcPr>
            <w:tcW w:w="0" w:type="auto"/>
            <w:tcBorders>
              <w:top w:val="single" w:sz="4" w:space="0" w:color="auto"/>
              <w:left w:val="single" w:sz="4" w:space="0" w:color="auto"/>
              <w:bottom w:val="single" w:sz="4" w:space="0" w:color="auto"/>
              <w:right w:val="single" w:sz="4" w:space="0" w:color="auto"/>
            </w:tcBorders>
            <w:hideMark/>
          </w:tcPr>
          <w:p w14:paraId="2DC2E3B1" w14:textId="77777777" w:rsidR="00C425C7" w:rsidRPr="00C425C7" w:rsidRDefault="00C425C7" w:rsidP="00C425C7">
            <w:pPr>
              <w:spacing w:after="160" w:line="278" w:lineRule="auto"/>
              <w:rPr>
                <w:lang w:val="en-US"/>
              </w:rPr>
            </w:pPr>
            <w:r w:rsidRPr="00C425C7">
              <w:rPr>
                <w:lang w:val="en-US"/>
              </w:rPr>
              <w:t>5</w:t>
            </w:r>
          </w:p>
        </w:tc>
        <w:tc>
          <w:tcPr>
            <w:tcW w:w="0" w:type="auto"/>
            <w:tcBorders>
              <w:top w:val="single" w:sz="4" w:space="0" w:color="auto"/>
              <w:left w:val="single" w:sz="4" w:space="0" w:color="auto"/>
              <w:bottom w:val="single" w:sz="4" w:space="0" w:color="auto"/>
              <w:right w:val="single" w:sz="4" w:space="0" w:color="auto"/>
            </w:tcBorders>
            <w:hideMark/>
          </w:tcPr>
          <w:p w14:paraId="28A5BE31" w14:textId="77777777" w:rsidR="00C425C7" w:rsidRPr="00C425C7" w:rsidRDefault="00C425C7" w:rsidP="00C425C7">
            <w:pPr>
              <w:spacing w:after="160" w:line="278" w:lineRule="auto"/>
              <w:rPr>
                <w:lang w:val="en-US"/>
              </w:rPr>
            </w:pPr>
            <w:r w:rsidRPr="00C425C7">
              <w:rPr>
                <w:lang w:val="en-US"/>
              </w:rPr>
              <w:t>15.00</w:t>
            </w:r>
          </w:p>
        </w:tc>
        <w:tc>
          <w:tcPr>
            <w:tcW w:w="0" w:type="auto"/>
            <w:tcBorders>
              <w:top w:val="single" w:sz="4" w:space="0" w:color="auto"/>
              <w:left w:val="single" w:sz="4" w:space="0" w:color="auto"/>
              <w:bottom w:val="single" w:sz="4" w:space="0" w:color="auto"/>
              <w:right w:val="single" w:sz="4" w:space="0" w:color="auto"/>
            </w:tcBorders>
            <w:hideMark/>
          </w:tcPr>
          <w:p w14:paraId="797E1CD0" w14:textId="77777777" w:rsidR="00C425C7" w:rsidRPr="00C425C7" w:rsidRDefault="00C425C7" w:rsidP="00C425C7">
            <w:pPr>
              <w:spacing w:after="160" w:line="278" w:lineRule="auto"/>
              <w:rPr>
                <w:lang w:val="en-US"/>
              </w:rPr>
            </w:pPr>
            <w:r w:rsidRPr="00C425C7">
              <w:rPr>
                <w:lang w:val="en-US"/>
              </w:rPr>
              <w:t>0.621</w:t>
            </w:r>
          </w:p>
        </w:tc>
        <w:tc>
          <w:tcPr>
            <w:tcW w:w="0" w:type="auto"/>
            <w:tcBorders>
              <w:top w:val="single" w:sz="4" w:space="0" w:color="auto"/>
              <w:left w:val="single" w:sz="4" w:space="0" w:color="auto"/>
              <w:bottom w:val="single" w:sz="4" w:space="0" w:color="auto"/>
              <w:right w:val="single" w:sz="4" w:space="0" w:color="auto"/>
            </w:tcBorders>
            <w:hideMark/>
          </w:tcPr>
          <w:p w14:paraId="76244E8C" w14:textId="77777777" w:rsidR="00C425C7" w:rsidRPr="00C425C7" w:rsidRDefault="00C425C7" w:rsidP="00C425C7">
            <w:pPr>
              <w:spacing w:after="160" w:line="278" w:lineRule="auto"/>
              <w:rPr>
                <w:lang w:val="en-US"/>
              </w:rPr>
            </w:pPr>
            <w:r w:rsidRPr="00C425C7">
              <w:rPr>
                <w:lang w:val="en-US"/>
              </w:rPr>
              <w:t>9.31</w:t>
            </w:r>
          </w:p>
        </w:tc>
      </w:tr>
      <w:tr w:rsidR="00C425C7" w:rsidRPr="00C425C7" w14:paraId="692E3EA0" w14:textId="77777777">
        <w:tc>
          <w:tcPr>
            <w:tcW w:w="0" w:type="auto"/>
            <w:tcBorders>
              <w:top w:val="single" w:sz="4" w:space="0" w:color="auto"/>
              <w:left w:val="single" w:sz="4" w:space="0" w:color="auto"/>
              <w:bottom w:val="single" w:sz="4" w:space="0" w:color="auto"/>
              <w:right w:val="single" w:sz="4" w:space="0" w:color="auto"/>
            </w:tcBorders>
            <w:hideMark/>
          </w:tcPr>
          <w:p w14:paraId="4090494A" w14:textId="77777777" w:rsidR="00C425C7" w:rsidRPr="00C425C7" w:rsidRDefault="00C425C7" w:rsidP="00C425C7">
            <w:pPr>
              <w:spacing w:after="160" w:line="278" w:lineRule="auto"/>
              <w:rPr>
                <w:lang w:val="en-US"/>
              </w:rPr>
            </w:pPr>
            <w:r w:rsidRPr="00C425C7">
              <w:rPr>
                <w:b/>
                <w:bCs/>
                <w:lang w:val="en-US"/>
              </w:rPr>
              <w:lastRenderedPageBreak/>
              <w:t>Total</w:t>
            </w:r>
          </w:p>
        </w:tc>
        <w:tc>
          <w:tcPr>
            <w:tcW w:w="0" w:type="auto"/>
            <w:tcBorders>
              <w:top w:val="single" w:sz="4" w:space="0" w:color="auto"/>
              <w:left w:val="single" w:sz="4" w:space="0" w:color="auto"/>
              <w:bottom w:val="single" w:sz="4" w:space="0" w:color="auto"/>
              <w:right w:val="single" w:sz="4" w:space="0" w:color="auto"/>
            </w:tcBorders>
            <w:hideMark/>
          </w:tcPr>
          <w:p w14:paraId="7A58695B" w14:textId="77777777" w:rsidR="00C425C7" w:rsidRPr="00C425C7" w:rsidRDefault="00C425C7" w:rsidP="00C425C7">
            <w:pPr>
              <w:spacing w:after="160" w:line="278" w:lineRule="auto"/>
              <w:rPr>
                <w:lang w:val="en-US"/>
              </w:rPr>
            </w:pPr>
            <w:r w:rsidRPr="00C425C7">
              <w:rPr>
                <w:b/>
                <w:bCs/>
                <w:lang w:val="en-US"/>
              </w:rPr>
              <w:t>£75.00</w:t>
            </w:r>
          </w:p>
        </w:tc>
        <w:tc>
          <w:tcPr>
            <w:tcW w:w="0" w:type="auto"/>
            <w:tcBorders>
              <w:top w:val="single" w:sz="4" w:space="0" w:color="auto"/>
              <w:left w:val="single" w:sz="4" w:space="0" w:color="auto"/>
              <w:bottom w:val="single" w:sz="4" w:space="0" w:color="auto"/>
              <w:right w:val="single" w:sz="4" w:space="0" w:color="auto"/>
            </w:tcBorders>
            <w:hideMark/>
          </w:tcPr>
          <w:p w14:paraId="2CCEC138" w14:textId="77777777" w:rsidR="00C425C7" w:rsidRPr="00C425C7" w:rsidRDefault="00C425C7" w:rsidP="00C425C7">
            <w:pPr>
              <w:spacing w:after="160" w:line="278" w:lineRule="auto"/>
              <w:rPr>
                <w:lang w:val="en-US"/>
              </w:rPr>
            </w:pPr>
          </w:p>
        </w:tc>
        <w:tc>
          <w:tcPr>
            <w:tcW w:w="0" w:type="auto"/>
            <w:tcBorders>
              <w:top w:val="single" w:sz="4" w:space="0" w:color="auto"/>
              <w:left w:val="single" w:sz="4" w:space="0" w:color="auto"/>
              <w:bottom w:val="single" w:sz="4" w:space="0" w:color="auto"/>
              <w:right w:val="single" w:sz="4" w:space="0" w:color="auto"/>
            </w:tcBorders>
            <w:hideMark/>
          </w:tcPr>
          <w:p w14:paraId="12D7503F" w14:textId="77777777" w:rsidR="00C425C7" w:rsidRPr="00C425C7" w:rsidRDefault="00C425C7" w:rsidP="00C425C7">
            <w:pPr>
              <w:spacing w:after="160" w:line="278" w:lineRule="auto"/>
              <w:rPr>
                <w:lang w:val="en-US"/>
              </w:rPr>
            </w:pPr>
            <w:r w:rsidRPr="00C425C7">
              <w:rPr>
                <w:b/>
                <w:bCs/>
                <w:lang w:val="en-US"/>
              </w:rPr>
              <w:t>£54.22</w:t>
            </w:r>
          </w:p>
        </w:tc>
      </w:tr>
    </w:tbl>
    <w:p w14:paraId="2E2573BE" w14:textId="77777777" w:rsidR="00C425C7" w:rsidRPr="00C425C7" w:rsidRDefault="00C425C7" w:rsidP="00C425C7">
      <w:pPr>
        <w:rPr>
          <w:b/>
          <w:bCs/>
          <w:lang w:val="en-US"/>
        </w:rPr>
      </w:pPr>
    </w:p>
    <w:p w14:paraId="6DD5FDE9" w14:textId="77777777" w:rsidR="00C425C7" w:rsidRPr="00C425C7" w:rsidRDefault="00C425C7" w:rsidP="00C425C7">
      <w:pPr>
        <w:rPr>
          <w:lang w:val="en-US"/>
        </w:rPr>
      </w:pPr>
      <w:r w:rsidRPr="00C425C7">
        <w:rPr>
          <w:b/>
          <w:bCs/>
          <w:lang w:val="en-US"/>
        </w:rPr>
        <w:t>Summary of Appraisal Metrics (Project C)</w:t>
      </w:r>
    </w:p>
    <w:tbl>
      <w:tblPr>
        <w:tblStyle w:val="TableGrid"/>
        <w:tblW w:w="0" w:type="auto"/>
        <w:tblLook w:val="04A0" w:firstRow="1" w:lastRow="0" w:firstColumn="1" w:lastColumn="0" w:noHBand="0" w:noVBand="1"/>
      </w:tblPr>
      <w:tblGrid>
        <w:gridCol w:w="2945"/>
        <w:gridCol w:w="1363"/>
        <w:gridCol w:w="4708"/>
      </w:tblGrid>
      <w:tr w:rsidR="00C425C7" w:rsidRPr="00C425C7" w14:paraId="1893F462" w14:textId="77777777">
        <w:tc>
          <w:tcPr>
            <w:tcW w:w="0" w:type="auto"/>
            <w:tcBorders>
              <w:top w:val="single" w:sz="4" w:space="0" w:color="auto"/>
              <w:left w:val="single" w:sz="4" w:space="0" w:color="auto"/>
              <w:bottom w:val="single" w:sz="4" w:space="0" w:color="auto"/>
              <w:right w:val="single" w:sz="4" w:space="0" w:color="auto"/>
            </w:tcBorders>
            <w:hideMark/>
          </w:tcPr>
          <w:p w14:paraId="457AD532" w14:textId="77777777" w:rsidR="00C425C7" w:rsidRPr="00C425C7" w:rsidRDefault="00C425C7" w:rsidP="00C425C7">
            <w:pPr>
              <w:spacing w:after="160" w:line="278" w:lineRule="auto"/>
              <w:rPr>
                <w:b/>
                <w:bCs/>
                <w:lang w:val="en-US"/>
              </w:rPr>
            </w:pPr>
            <w:r w:rsidRPr="00C425C7">
              <w:rPr>
                <w:b/>
                <w:bCs/>
                <w:lang w:val="en-US"/>
              </w:rPr>
              <w:t>Appraisal Method</w:t>
            </w:r>
          </w:p>
        </w:tc>
        <w:tc>
          <w:tcPr>
            <w:tcW w:w="0" w:type="auto"/>
            <w:tcBorders>
              <w:top w:val="single" w:sz="4" w:space="0" w:color="auto"/>
              <w:left w:val="single" w:sz="4" w:space="0" w:color="auto"/>
              <w:bottom w:val="single" w:sz="4" w:space="0" w:color="auto"/>
              <w:right w:val="single" w:sz="4" w:space="0" w:color="auto"/>
            </w:tcBorders>
            <w:hideMark/>
          </w:tcPr>
          <w:p w14:paraId="1451BB41" w14:textId="77777777" w:rsidR="00C425C7" w:rsidRPr="00C425C7" w:rsidRDefault="00C425C7" w:rsidP="00C425C7">
            <w:pPr>
              <w:spacing w:after="160" w:line="278" w:lineRule="auto"/>
              <w:rPr>
                <w:b/>
                <w:bCs/>
                <w:lang w:val="en-US"/>
              </w:rPr>
            </w:pPr>
            <w:proofErr w:type="gramStart"/>
            <w:r w:rsidRPr="00C425C7">
              <w:rPr>
                <w:b/>
                <w:bCs/>
                <w:lang w:val="en-US"/>
              </w:rPr>
              <w:t>Final Result</w:t>
            </w:r>
            <w:proofErr w:type="gramEnd"/>
          </w:p>
        </w:tc>
        <w:tc>
          <w:tcPr>
            <w:tcW w:w="0" w:type="auto"/>
            <w:tcBorders>
              <w:top w:val="single" w:sz="4" w:space="0" w:color="auto"/>
              <w:left w:val="single" w:sz="4" w:space="0" w:color="auto"/>
              <w:bottom w:val="single" w:sz="4" w:space="0" w:color="auto"/>
              <w:right w:val="single" w:sz="4" w:space="0" w:color="auto"/>
            </w:tcBorders>
            <w:hideMark/>
          </w:tcPr>
          <w:p w14:paraId="1E896928" w14:textId="77777777" w:rsidR="00C425C7" w:rsidRPr="00C425C7" w:rsidRDefault="00C425C7" w:rsidP="00C425C7">
            <w:pPr>
              <w:spacing w:after="160" w:line="278" w:lineRule="auto"/>
              <w:rPr>
                <w:b/>
                <w:bCs/>
                <w:lang w:val="en-US"/>
              </w:rPr>
            </w:pPr>
            <w:r w:rsidRPr="00C425C7">
              <w:rPr>
                <w:b/>
                <w:bCs/>
                <w:lang w:val="en-US"/>
              </w:rPr>
              <w:t>Calculation &amp; Notes</w:t>
            </w:r>
          </w:p>
        </w:tc>
      </w:tr>
      <w:tr w:rsidR="00C425C7" w:rsidRPr="00C425C7" w14:paraId="64154DD9" w14:textId="77777777">
        <w:tc>
          <w:tcPr>
            <w:tcW w:w="0" w:type="auto"/>
            <w:tcBorders>
              <w:top w:val="single" w:sz="4" w:space="0" w:color="auto"/>
              <w:left w:val="single" w:sz="4" w:space="0" w:color="auto"/>
              <w:bottom w:val="single" w:sz="4" w:space="0" w:color="auto"/>
              <w:right w:val="single" w:sz="4" w:space="0" w:color="auto"/>
            </w:tcBorders>
            <w:hideMark/>
          </w:tcPr>
          <w:p w14:paraId="7F1306B3" w14:textId="77777777" w:rsidR="00C425C7" w:rsidRPr="00C425C7" w:rsidRDefault="00C425C7" w:rsidP="00C425C7">
            <w:pPr>
              <w:spacing w:after="160" w:line="278" w:lineRule="auto"/>
              <w:rPr>
                <w:lang w:val="en-US"/>
              </w:rPr>
            </w:pPr>
            <w:r w:rsidRPr="00C425C7">
              <w:rPr>
                <w:lang w:val="en-US"/>
              </w:rPr>
              <w:t>Payback Period (PBP)</w:t>
            </w:r>
          </w:p>
        </w:tc>
        <w:tc>
          <w:tcPr>
            <w:tcW w:w="0" w:type="auto"/>
            <w:tcBorders>
              <w:top w:val="single" w:sz="4" w:space="0" w:color="auto"/>
              <w:left w:val="single" w:sz="4" w:space="0" w:color="auto"/>
              <w:bottom w:val="single" w:sz="4" w:space="0" w:color="auto"/>
              <w:right w:val="single" w:sz="4" w:space="0" w:color="auto"/>
            </w:tcBorders>
            <w:hideMark/>
          </w:tcPr>
          <w:p w14:paraId="17F4FC96" w14:textId="77777777" w:rsidR="00C425C7" w:rsidRPr="00C425C7" w:rsidRDefault="00C425C7" w:rsidP="00C425C7">
            <w:pPr>
              <w:spacing w:after="160" w:line="278" w:lineRule="auto"/>
              <w:rPr>
                <w:lang w:val="en-US"/>
              </w:rPr>
            </w:pPr>
            <w:r w:rsidRPr="00C425C7">
              <w:rPr>
                <w:lang w:val="en-US"/>
              </w:rPr>
              <w:t>3.60 years</w:t>
            </w:r>
          </w:p>
        </w:tc>
        <w:tc>
          <w:tcPr>
            <w:tcW w:w="0" w:type="auto"/>
            <w:tcBorders>
              <w:top w:val="single" w:sz="4" w:space="0" w:color="auto"/>
              <w:left w:val="single" w:sz="4" w:space="0" w:color="auto"/>
              <w:bottom w:val="single" w:sz="4" w:space="0" w:color="auto"/>
              <w:right w:val="single" w:sz="4" w:space="0" w:color="auto"/>
            </w:tcBorders>
            <w:hideMark/>
          </w:tcPr>
          <w:p w14:paraId="2C8ACE33" w14:textId="77777777" w:rsidR="00C425C7" w:rsidRPr="00C425C7" w:rsidRDefault="00C425C7" w:rsidP="00C425C7">
            <w:pPr>
              <w:spacing w:after="160" w:line="278" w:lineRule="auto"/>
              <w:rPr>
                <w:lang w:val="en-US"/>
              </w:rPr>
            </w:pPr>
            <w:r w:rsidRPr="00C425C7">
              <w:rPr>
                <w:lang w:val="en-US"/>
              </w:rPr>
              <w:t>3 years + (£15m needed / £25m Y4 inflow)</w:t>
            </w:r>
          </w:p>
        </w:tc>
      </w:tr>
      <w:tr w:rsidR="00C425C7" w:rsidRPr="00C425C7" w14:paraId="34C6D06A" w14:textId="77777777">
        <w:tc>
          <w:tcPr>
            <w:tcW w:w="0" w:type="auto"/>
            <w:tcBorders>
              <w:top w:val="single" w:sz="4" w:space="0" w:color="auto"/>
              <w:left w:val="single" w:sz="4" w:space="0" w:color="auto"/>
              <w:bottom w:val="single" w:sz="4" w:space="0" w:color="auto"/>
              <w:right w:val="single" w:sz="4" w:space="0" w:color="auto"/>
            </w:tcBorders>
            <w:hideMark/>
          </w:tcPr>
          <w:p w14:paraId="20585713" w14:textId="77777777" w:rsidR="00C425C7" w:rsidRPr="00C425C7" w:rsidRDefault="00C425C7" w:rsidP="00C425C7">
            <w:pPr>
              <w:spacing w:after="160" w:line="278" w:lineRule="auto"/>
              <w:rPr>
                <w:lang w:val="en-US"/>
              </w:rPr>
            </w:pPr>
            <w:r w:rsidRPr="00C425C7">
              <w:rPr>
                <w:lang w:val="en-US"/>
              </w:rPr>
              <w:t>Accounting Rate of Return (ARR)</w:t>
            </w:r>
          </w:p>
        </w:tc>
        <w:tc>
          <w:tcPr>
            <w:tcW w:w="0" w:type="auto"/>
            <w:tcBorders>
              <w:top w:val="single" w:sz="4" w:space="0" w:color="auto"/>
              <w:left w:val="single" w:sz="4" w:space="0" w:color="auto"/>
              <w:bottom w:val="single" w:sz="4" w:space="0" w:color="auto"/>
              <w:right w:val="single" w:sz="4" w:space="0" w:color="auto"/>
            </w:tcBorders>
            <w:hideMark/>
          </w:tcPr>
          <w:p w14:paraId="78113430" w14:textId="77777777" w:rsidR="00C425C7" w:rsidRPr="00C425C7" w:rsidRDefault="00C425C7" w:rsidP="00C425C7">
            <w:pPr>
              <w:spacing w:after="160" w:line="278" w:lineRule="auto"/>
              <w:rPr>
                <w:lang w:val="en-US"/>
              </w:rPr>
            </w:pPr>
            <w:r w:rsidRPr="00C425C7">
              <w:rPr>
                <w:lang w:val="en-US"/>
              </w:rPr>
              <w:t>20.00%</w:t>
            </w:r>
          </w:p>
        </w:tc>
        <w:tc>
          <w:tcPr>
            <w:tcW w:w="0" w:type="auto"/>
            <w:tcBorders>
              <w:top w:val="single" w:sz="4" w:space="0" w:color="auto"/>
              <w:left w:val="single" w:sz="4" w:space="0" w:color="auto"/>
              <w:bottom w:val="single" w:sz="4" w:space="0" w:color="auto"/>
              <w:right w:val="single" w:sz="4" w:space="0" w:color="auto"/>
            </w:tcBorders>
            <w:hideMark/>
          </w:tcPr>
          <w:p w14:paraId="470C0FCC" w14:textId="77777777" w:rsidR="00C425C7" w:rsidRPr="00C425C7" w:rsidRDefault="00C425C7" w:rsidP="00C425C7">
            <w:pPr>
              <w:spacing w:after="160" w:line="278" w:lineRule="auto"/>
              <w:rPr>
                <w:lang w:val="en-US"/>
              </w:rPr>
            </w:pPr>
            <w:r w:rsidRPr="00C425C7">
              <w:rPr>
                <w:lang w:val="en-US"/>
              </w:rPr>
              <w:t>Avg. Annual Profit (£5m) / Avg. Investment (£25m)</w:t>
            </w:r>
          </w:p>
        </w:tc>
      </w:tr>
      <w:tr w:rsidR="00C425C7" w:rsidRPr="00C425C7" w14:paraId="5460E280" w14:textId="77777777">
        <w:tc>
          <w:tcPr>
            <w:tcW w:w="0" w:type="auto"/>
            <w:tcBorders>
              <w:top w:val="single" w:sz="4" w:space="0" w:color="auto"/>
              <w:left w:val="single" w:sz="4" w:space="0" w:color="auto"/>
              <w:bottom w:val="single" w:sz="4" w:space="0" w:color="auto"/>
              <w:right w:val="single" w:sz="4" w:space="0" w:color="auto"/>
            </w:tcBorders>
            <w:hideMark/>
          </w:tcPr>
          <w:p w14:paraId="4A363B0A" w14:textId="77777777" w:rsidR="00C425C7" w:rsidRPr="00C425C7" w:rsidRDefault="00C425C7" w:rsidP="00C425C7">
            <w:pPr>
              <w:spacing w:after="160" w:line="278" w:lineRule="auto"/>
              <w:rPr>
                <w:lang w:val="en-US"/>
              </w:rPr>
            </w:pPr>
            <w:r w:rsidRPr="00C425C7">
              <w:rPr>
                <w:lang w:val="en-US"/>
              </w:rPr>
              <w:t>Net Present Value (NPV)</w:t>
            </w:r>
          </w:p>
        </w:tc>
        <w:tc>
          <w:tcPr>
            <w:tcW w:w="0" w:type="auto"/>
            <w:tcBorders>
              <w:top w:val="single" w:sz="4" w:space="0" w:color="auto"/>
              <w:left w:val="single" w:sz="4" w:space="0" w:color="auto"/>
              <w:bottom w:val="single" w:sz="4" w:space="0" w:color="auto"/>
              <w:right w:val="single" w:sz="4" w:space="0" w:color="auto"/>
            </w:tcBorders>
            <w:hideMark/>
          </w:tcPr>
          <w:p w14:paraId="1D83C1E1" w14:textId="77777777" w:rsidR="00C425C7" w:rsidRPr="00C425C7" w:rsidRDefault="00C425C7" w:rsidP="00C425C7">
            <w:pPr>
              <w:spacing w:after="160" w:line="278" w:lineRule="auto"/>
              <w:rPr>
                <w:lang w:val="en-US"/>
              </w:rPr>
            </w:pPr>
            <w:r w:rsidRPr="00C425C7">
              <w:rPr>
                <w:lang w:val="en-US"/>
              </w:rPr>
              <w:t>£4.22m</w:t>
            </w:r>
          </w:p>
        </w:tc>
        <w:tc>
          <w:tcPr>
            <w:tcW w:w="0" w:type="auto"/>
            <w:tcBorders>
              <w:top w:val="single" w:sz="4" w:space="0" w:color="auto"/>
              <w:left w:val="single" w:sz="4" w:space="0" w:color="auto"/>
              <w:bottom w:val="single" w:sz="4" w:space="0" w:color="auto"/>
              <w:right w:val="single" w:sz="4" w:space="0" w:color="auto"/>
            </w:tcBorders>
            <w:hideMark/>
          </w:tcPr>
          <w:p w14:paraId="62B1A702" w14:textId="77777777" w:rsidR="00C425C7" w:rsidRPr="00C425C7" w:rsidRDefault="00C425C7" w:rsidP="00C425C7">
            <w:pPr>
              <w:spacing w:after="160" w:line="278" w:lineRule="auto"/>
              <w:rPr>
                <w:lang w:val="en-US"/>
              </w:rPr>
            </w:pPr>
            <w:r w:rsidRPr="00C425C7">
              <w:rPr>
                <w:lang w:val="en-US"/>
              </w:rPr>
              <w:t>Total PV of Inflows (£54.22m) - Initial Investment (£50m)</w:t>
            </w:r>
          </w:p>
        </w:tc>
      </w:tr>
      <w:tr w:rsidR="00C425C7" w:rsidRPr="00C425C7" w14:paraId="644EDE78" w14:textId="77777777">
        <w:tc>
          <w:tcPr>
            <w:tcW w:w="0" w:type="auto"/>
            <w:tcBorders>
              <w:top w:val="single" w:sz="4" w:space="0" w:color="auto"/>
              <w:left w:val="single" w:sz="4" w:space="0" w:color="auto"/>
              <w:bottom w:val="single" w:sz="4" w:space="0" w:color="auto"/>
              <w:right w:val="single" w:sz="4" w:space="0" w:color="auto"/>
            </w:tcBorders>
            <w:hideMark/>
          </w:tcPr>
          <w:p w14:paraId="23DE1C1F" w14:textId="77777777" w:rsidR="00C425C7" w:rsidRPr="00C425C7" w:rsidRDefault="00C425C7" w:rsidP="00C425C7">
            <w:pPr>
              <w:spacing w:after="160" w:line="278" w:lineRule="auto"/>
              <w:rPr>
                <w:lang w:val="en-US"/>
              </w:rPr>
            </w:pPr>
            <w:r w:rsidRPr="00C425C7">
              <w:rPr>
                <w:lang w:val="en-US"/>
              </w:rPr>
              <w:t>Profitability Index (PI)</w:t>
            </w:r>
          </w:p>
        </w:tc>
        <w:tc>
          <w:tcPr>
            <w:tcW w:w="0" w:type="auto"/>
            <w:tcBorders>
              <w:top w:val="single" w:sz="4" w:space="0" w:color="auto"/>
              <w:left w:val="single" w:sz="4" w:space="0" w:color="auto"/>
              <w:bottom w:val="single" w:sz="4" w:space="0" w:color="auto"/>
              <w:right w:val="single" w:sz="4" w:space="0" w:color="auto"/>
            </w:tcBorders>
            <w:hideMark/>
          </w:tcPr>
          <w:p w14:paraId="1AE9A004" w14:textId="77777777" w:rsidR="00C425C7" w:rsidRPr="00C425C7" w:rsidRDefault="00C425C7" w:rsidP="00C425C7">
            <w:pPr>
              <w:spacing w:after="160" w:line="278" w:lineRule="auto"/>
              <w:rPr>
                <w:lang w:val="en-US"/>
              </w:rPr>
            </w:pPr>
            <w:r w:rsidRPr="00C425C7">
              <w:rPr>
                <w:lang w:val="en-US"/>
              </w:rPr>
              <w:t>1.08</w:t>
            </w:r>
          </w:p>
        </w:tc>
        <w:tc>
          <w:tcPr>
            <w:tcW w:w="0" w:type="auto"/>
            <w:tcBorders>
              <w:top w:val="single" w:sz="4" w:space="0" w:color="auto"/>
              <w:left w:val="single" w:sz="4" w:space="0" w:color="auto"/>
              <w:bottom w:val="single" w:sz="4" w:space="0" w:color="auto"/>
              <w:right w:val="single" w:sz="4" w:space="0" w:color="auto"/>
            </w:tcBorders>
            <w:hideMark/>
          </w:tcPr>
          <w:p w14:paraId="0FAC6943" w14:textId="77777777" w:rsidR="00C425C7" w:rsidRPr="00C425C7" w:rsidRDefault="00C425C7" w:rsidP="00C425C7">
            <w:pPr>
              <w:spacing w:after="160" w:line="278" w:lineRule="auto"/>
              <w:rPr>
                <w:lang w:val="en-US"/>
              </w:rPr>
            </w:pPr>
            <w:r w:rsidRPr="00C425C7">
              <w:rPr>
                <w:lang w:val="en-US"/>
              </w:rPr>
              <w:t>Total PV of Inflows (£54.22m) / Initial Investment (£50m)</w:t>
            </w:r>
          </w:p>
        </w:tc>
      </w:tr>
      <w:tr w:rsidR="00C425C7" w:rsidRPr="00C425C7" w14:paraId="1C2CC6ED" w14:textId="77777777">
        <w:tc>
          <w:tcPr>
            <w:tcW w:w="0" w:type="auto"/>
            <w:tcBorders>
              <w:top w:val="single" w:sz="4" w:space="0" w:color="auto"/>
              <w:left w:val="single" w:sz="4" w:space="0" w:color="auto"/>
              <w:bottom w:val="single" w:sz="4" w:space="0" w:color="auto"/>
              <w:right w:val="single" w:sz="4" w:space="0" w:color="auto"/>
            </w:tcBorders>
            <w:hideMark/>
          </w:tcPr>
          <w:p w14:paraId="40B98519" w14:textId="77777777" w:rsidR="00C425C7" w:rsidRPr="00C425C7" w:rsidRDefault="00C425C7" w:rsidP="00C425C7">
            <w:pPr>
              <w:spacing w:after="160" w:line="278" w:lineRule="auto"/>
              <w:rPr>
                <w:lang w:val="en-US"/>
              </w:rPr>
            </w:pPr>
            <w:r w:rsidRPr="00C425C7">
              <w:rPr>
                <w:lang w:val="en-US"/>
              </w:rPr>
              <w:t>Internal Rate of Return (IRR)</w:t>
            </w:r>
          </w:p>
        </w:tc>
        <w:tc>
          <w:tcPr>
            <w:tcW w:w="0" w:type="auto"/>
            <w:tcBorders>
              <w:top w:val="single" w:sz="4" w:space="0" w:color="auto"/>
              <w:left w:val="single" w:sz="4" w:space="0" w:color="auto"/>
              <w:bottom w:val="single" w:sz="4" w:space="0" w:color="auto"/>
              <w:right w:val="single" w:sz="4" w:space="0" w:color="auto"/>
            </w:tcBorders>
            <w:hideMark/>
          </w:tcPr>
          <w:p w14:paraId="2833F251" w14:textId="77777777" w:rsidR="00C425C7" w:rsidRPr="00C425C7" w:rsidRDefault="00C425C7" w:rsidP="00C425C7">
            <w:pPr>
              <w:spacing w:after="160" w:line="278" w:lineRule="auto"/>
              <w:rPr>
                <w:lang w:val="en-US"/>
              </w:rPr>
            </w:pPr>
            <w:r w:rsidRPr="00C425C7">
              <w:rPr>
                <w:lang w:val="en-US"/>
              </w:rPr>
              <w:t>12.82%</w:t>
            </w:r>
          </w:p>
        </w:tc>
        <w:tc>
          <w:tcPr>
            <w:tcW w:w="0" w:type="auto"/>
            <w:tcBorders>
              <w:top w:val="single" w:sz="4" w:space="0" w:color="auto"/>
              <w:left w:val="single" w:sz="4" w:space="0" w:color="auto"/>
              <w:bottom w:val="single" w:sz="4" w:space="0" w:color="auto"/>
              <w:right w:val="single" w:sz="4" w:space="0" w:color="auto"/>
            </w:tcBorders>
            <w:hideMark/>
          </w:tcPr>
          <w:p w14:paraId="6BE3C5EB" w14:textId="77777777" w:rsidR="00C425C7" w:rsidRPr="00C425C7" w:rsidRDefault="00C425C7" w:rsidP="00C425C7">
            <w:pPr>
              <w:spacing w:after="160" w:line="278" w:lineRule="auto"/>
              <w:rPr>
                <w:lang w:val="en-US"/>
              </w:rPr>
            </w:pPr>
            <w:r w:rsidRPr="00C425C7">
              <w:rPr>
                <w:lang w:val="en-US"/>
              </w:rPr>
              <w:t>The discount rate at which NPV = 0</w:t>
            </w:r>
          </w:p>
        </w:tc>
      </w:tr>
    </w:tbl>
    <w:p w14:paraId="7CD843FE" w14:textId="77777777" w:rsidR="00C425C7" w:rsidRPr="00C425C7" w:rsidRDefault="00C425C7" w:rsidP="00C425C7"/>
    <w:p w14:paraId="77CB8FE1" w14:textId="65536DAF" w:rsidR="00943C96" w:rsidRPr="00C425C7" w:rsidRDefault="00943C96" w:rsidP="00C425C7"/>
    <w:sectPr w:rsidR="00943C96" w:rsidRPr="00C42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E4D41"/>
    <w:multiLevelType w:val="multilevel"/>
    <w:tmpl w:val="DA163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B571CD"/>
    <w:multiLevelType w:val="multilevel"/>
    <w:tmpl w:val="36D6FB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EE569CD"/>
    <w:multiLevelType w:val="hybridMultilevel"/>
    <w:tmpl w:val="BF781754"/>
    <w:lvl w:ilvl="0" w:tplc="FCFE64D6">
      <w:start w:val="1"/>
      <w:numFmt w:val="lowerLetter"/>
      <w:lvlText w:val="(%1)"/>
      <w:lvlJc w:val="left"/>
      <w:pPr>
        <w:ind w:left="420" w:hanging="360"/>
      </w:pPr>
      <w:rPr>
        <w:b/>
      </w:rPr>
    </w:lvl>
    <w:lvl w:ilvl="1" w:tplc="08090019">
      <w:start w:val="1"/>
      <w:numFmt w:val="lowerLetter"/>
      <w:lvlText w:val="%2."/>
      <w:lvlJc w:val="left"/>
      <w:pPr>
        <w:ind w:left="1140" w:hanging="360"/>
      </w:pPr>
    </w:lvl>
    <w:lvl w:ilvl="2" w:tplc="0809001B">
      <w:start w:val="1"/>
      <w:numFmt w:val="lowerRoman"/>
      <w:lvlText w:val="%3."/>
      <w:lvlJc w:val="right"/>
      <w:pPr>
        <w:ind w:left="1860" w:hanging="180"/>
      </w:pPr>
    </w:lvl>
    <w:lvl w:ilvl="3" w:tplc="0809000F">
      <w:start w:val="1"/>
      <w:numFmt w:val="decimal"/>
      <w:lvlText w:val="%4."/>
      <w:lvlJc w:val="left"/>
      <w:pPr>
        <w:ind w:left="2580" w:hanging="360"/>
      </w:pPr>
    </w:lvl>
    <w:lvl w:ilvl="4" w:tplc="08090019">
      <w:start w:val="1"/>
      <w:numFmt w:val="lowerLetter"/>
      <w:lvlText w:val="%5."/>
      <w:lvlJc w:val="left"/>
      <w:pPr>
        <w:ind w:left="3300" w:hanging="360"/>
      </w:pPr>
    </w:lvl>
    <w:lvl w:ilvl="5" w:tplc="0809001B">
      <w:start w:val="1"/>
      <w:numFmt w:val="lowerRoman"/>
      <w:lvlText w:val="%6."/>
      <w:lvlJc w:val="right"/>
      <w:pPr>
        <w:ind w:left="4020" w:hanging="180"/>
      </w:pPr>
    </w:lvl>
    <w:lvl w:ilvl="6" w:tplc="0809000F">
      <w:start w:val="1"/>
      <w:numFmt w:val="decimal"/>
      <w:lvlText w:val="%7."/>
      <w:lvlJc w:val="left"/>
      <w:pPr>
        <w:ind w:left="4740" w:hanging="360"/>
      </w:pPr>
    </w:lvl>
    <w:lvl w:ilvl="7" w:tplc="08090019">
      <w:start w:val="1"/>
      <w:numFmt w:val="lowerLetter"/>
      <w:lvlText w:val="%8."/>
      <w:lvlJc w:val="left"/>
      <w:pPr>
        <w:ind w:left="5460" w:hanging="360"/>
      </w:pPr>
    </w:lvl>
    <w:lvl w:ilvl="8" w:tplc="0809001B">
      <w:start w:val="1"/>
      <w:numFmt w:val="lowerRoman"/>
      <w:lvlText w:val="%9."/>
      <w:lvlJc w:val="right"/>
      <w:pPr>
        <w:ind w:left="6180" w:hanging="180"/>
      </w:pPr>
    </w:lvl>
  </w:abstractNum>
  <w:num w:numId="1" w16cid:durableId="2075157097">
    <w:abstractNumId w:val="2"/>
  </w:num>
  <w:num w:numId="2" w16cid:durableId="4477040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904306">
    <w:abstractNumId w:val="0"/>
  </w:num>
  <w:num w:numId="4" w16cid:durableId="1522933164">
    <w:abstractNumId w:val="1"/>
  </w:num>
  <w:num w:numId="5" w16cid:durableId="391586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F6E"/>
    <w:rsid w:val="00014DB5"/>
    <w:rsid w:val="00075841"/>
    <w:rsid w:val="000C424E"/>
    <w:rsid w:val="000D573F"/>
    <w:rsid w:val="000F5EB8"/>
    <w:rsid w:val="00135EF6"/>
    <w:rsid w:val="001C36BA"/>
    <w:rsid w:val="002416A9"/>
    <w:rsid w:val="00267F4F"/>
    <w:rsid w:val="00293799"/>
    <w:rsid w:val="003E6F5B"/>
    <w:rsid w:val="00445C57"/>
    <w:rsid w:val="005435D4"/>
    <w:rsid w:val="005A6F6E"/>
    <w:rsid w:val="005E0BEA"/>
    <w:rsid w:val="005F0E57"/>
    <w:rsid w:val="006061F0"/>
    <w:rsid w:val="0061666A"/>
    <w:rsid w:val="0064040F"/>
    <w:rsid w:val="006C5308"/>
    <w:rsid w:val="007747CF"/>
    <w:rsid w:val="00784DAE"/>
    <w:rsid w:val="007F1B5D"/>
    <w:rsid w:val="00813AE3"/>
    <w:rsid w:val="008837FE"/>
    <w:rsid w:val="008E1D3B"/>
    <w:rsid w:val="00943C96"/>
    <w:rsid w:val="009E3B0E"/>
    <w:rsid w:val="00A73EFE"/>
    <w:rsid w:val="00A83917"/>
    <w:rsid w:val="00AD74A1"/>
    <w:rsid w:val="00B26E44"/>
    <w:rsid w:val="00B45CF4"/>
    <w:rsid w:val="00BD761C"/>
    <w:rsid w:val="00C425C7"/>
    <w:rsid w:val="00D2642B"/>
    <w:rsid w:val="00DA39FD"/>
    <w:rsid w:val="00F30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9B57C"/>
  <w15:chartTrackingRefBased/>
  <w15:docId w15:val="{829BD84E-23A9-4A61-A7BE-C7B9C692E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F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F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F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F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F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F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F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F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F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F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F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F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F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F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F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F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F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F6E"/>
    <w:rPr>
      <w:rFonts w:eastAsiaTheme="majorEastAsia" w:cstheme="majorBidi"/>
      <w:color w:val="272727" w:themeColor="text1" w:themeTint="D8"/>
    </w:rPr>
  </w:style>
  <w:style w:type="paragraph" w:styleId="Title">
    <w:name w:val="Title"/>
    <w:basedOn w:val="Normal"/>
    <w:next w:val="Normal"/>
    <w:link w:val="TitleChar"/>
    <w:uiPriority w:val="10"/>
    <w:qFormat/>
    <w:rsid w:val="005A6F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F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F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F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F6E"/>
    <w:pPr>
      <w:spacing w:before="160"/>
      <w:jc w:val="center"/>
    </w:pPr>
    <w:rPr>
      <w:i/>
      <w:iCs/>
      <w:color w:val="404040" w:themeColor="text1" w:themeTint="BF"/>
    </w:rPr>
  </w:style>
  <w:style w:type="character" w:customStyle="1" w:styleId="QuoteChar">
    <w:name w:val="Quote Char"/>
    <w:basedOn w:val="DefaultParagraphFont"/>
    <w:link w:val="Quote"/>
    <w:uiPriority w:val="29"/>
    <w:rsid w:val="005A6F6E"/>
    <w:rPr>
      <w:i/>
      <w:iCs/>
      <w:color w:val="404040" w:themeColor="text1" w:themeTint="BF"/>
    </w:rPr>
  </w:style>
  <w:style w:type="paragraph" w:styleId="ListParagraph">
    <w:name w:val="List Paragraph"/>
    <w:basedOn w:val="Normal"/>
    <w:uiPriority w:val="34"/>
    <w:qFormat/>
    <w:rsid w:val="005A6F6E"/>
    <w:pPr>
      <w:ind w:left="720"/>
      <w:contextualSpacing/>
    </w:pPr>
  </w:style>
  <w:style w:type="character" w:styleId="IntenseEmphasis">
    <w:name w:val="Intense Emphasis"/>
    <w:basedOn w:val="DefaultParagraphFont"/>
    <w:uiPriority w:val="21"/>
    <w:qFormat/>
    <w:rsid w:val="005A6F6E"/>
    <w:rPr>
      <w:i/>
      <w:iCs/>
      <w:color w:val="0F4761" w:themeColor="accent1" w:themeShade="BF"/>
    </w:rPr>
  </w:style>
  <w:style w:type="paragraph" w:styleId="IntenseQuote">
    <w:name w:val="Intense Quote"/>
    <w:basedOn w:val="Normal"/>
    <w:next w:val="Normal"/>
    <w:link w:val="IntenseQuoteChar"/>
    <w:uiPriority w:val="30"/>
    <w:qFormat/>
    <w:rsid w:val="005A6F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F6E"/>
    <w:rPr>
      <w:i/>
      <w:iCs/>
      <w:color w:val="0F4761" w:themeColor="accent1" w:themeShade="BF"/>
    </w:rPr>
  </w:style>
  <w:style w:type="character" w:styleId="IntenseReference">
    <w:name w:val="Intense Reference"/>
    <w:basedOn w:val="DefaultParagraphFont"/>
    <w:uiPriority w:val="32"/>
    <w:qFormat/>
    <w:rsid w:val="005A6F6E"/>
    <w:rPr>
      <w:b/>
      <w:bCs/>
      <w:smallCaps/>
      <w:color w:val="0F4761" w:themeColor="accent1" w:themeShade="BF"/>
      <w:spacing w:val="5"/>
    </w:rPr>
  </w:style>
  <w:style w:type="table" w:styleId="TableGrid">
    <w:name w:val="Table Grid"/>
    <w:basedOn w:val="TableNormal"/>
    <w:uiPriority w:val="39"/>
    <w:rsid w:val="00C42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25C7"/>
    <w:rPr>
      <w:color w:val="467886" w:themeColor="hyperlink"/>
      <w:u w:val="single"/>
    </w:rPr>
  </w:style>
  <w:style w:type="character" w:styleId="FollowedHyperlink">
    <w:name w:val="FollowedHyperlink"/>
    <w:basedOn w:val="DefaultParagraphFont"/>
    <w:uiPriority w:val="99"/>
    <w:semiHidden/>
    <w:unhideWhenUsed/>
    <w:rsid w:val="00C425C7"/>
    <w:rPr>
      <w:color w:val="96607D" w:themeColor="followedHyperlink"/>
      <w:u w:val="single"/>
    </w:rPr>
  </w:style>
  <w:style w:type="character" w:styleId="Emphasis">
    <w:name w:val="Emphasis"/>
    <w:basedOn w:val="DefaultParagraphFont"/>
    <w:uiPriority w:val="20"/>
    <w:qFormat/>
    <w:rsid w:val="00C425C7"/>
    <w:rPr>
      <w:i/>
      <w:iCs/>
      <w:color w:val="auto"/>
    </w:rPr>
  </w:style>
  <w:style w:type="character" w:styleId="Strong">
    <w:name w:val="Strong"/>
    <w:basedOn w:val="DefaultParagraphFont"/>
    <w:uiPriority w:val="22"/>
    <w:qFormat/>
    <w:rsid w:val="00C425C7"/>
    <w:rPr>
      <w:b/>
      <w:bCs/>
      <w:color w:val="000000" w:themeColor="text1"/>
    </w:rPr>
  </w:style>
  <w:style w:type="paragraph" w:customStyle="1" w:styleId="msonormal0">
    <w:name w:val="msonormal"/>
    <w:basedOn w:val="Normal"/>
    <w:rsid w:val="00C425C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semiHidden/>
    <w:unhideWhenUsed/>
    <w:rsid w:val="00C425C7"/>
    <w:pPr>
      <w:spacing w:after="100" w:line="256" w:lineRule="auto"/>
    </w:pPr>
    <w:rPr>
      <w:rFonts w:ascii="Times New Roman" w:eastAsiaTheme="minorEastAsia" w:hAnsi="Times New Roman"/>
      <w:kern w:val="0"/>
      <w:szCs w:val="22"/>
      <w14:ligatures w14:val="none"/>
    </w:rPr>
  </w:style>
  <w:style w:type="paragraph" w:styleId="TOC2">
    <w:name w:val="toc 2"/>
    <w:basedOn w:val="Normal"/>
    <w:next w:val="Normal"/>
    <w:autoRedefine/>
    <w:uiPriority w:val="39"/>
    <w:semiHidden/>
    <w:unhideWhenUsed/>
    <w:rsid w:val="00C425C7"/>
    <w:pPr>
      <w:spacing w:after="100" w:line="256" w:lineRule="auto"/>
      <w:ind w:left="220"/>
    </w:pPr>
    <w:rPr>
      <w:rFonts w:ascii="Times New Roman" w:eastAsiaTheme="minorEastAsia" w:hAnsi="Times New Roman"/>
      <w:kern w:val="0"/>
      <w:szCs w:val="22"/>
      <w14:ligatures w14:val="none"/>
    </w:rPr>
  </w:style>
  <w:style w:type="paragraph" w:styleId="Caption">
    <w:name w:val="caption"/>
    <w:basedOn w:val="Normal"/>
    <w:next w:val="Normal"/>
    <w:uiPriority w:val="35"/>
    <w:semiHidden/>
    <w:unhideWhenUsed/>
    <w:qFormat/>
    <w:rsid w:val="00C425C7"/>
    <w:pPr>
      <w:spacing w:after="200" w:line="240" w:lineRule="auto"/>
    </w:pPr>
    <w:rPr>
      <w:rFonts w:ascii="Times New Roman" w:eastAsiaTheme="minorEastAsia" w:hAnsi="Times New Roman"/>
      <w:i/>
      <w:iCs/>
      <w:color w:val="0E2841" w:themeColor="text2"/>
      <w:kern w:val="0"/>
      <w:sz w:val="18"/>
      <w:szCs w:val="18"/>
      <w14:ligatures w14:val="none"/>
    </w:rPr>
  </w:style>
  <w:style w:type="paragraph" w:styleId="NoSpacing">
    <w:name w:val="No Spacing"/>
    <w:uiPriority w:val="1"/>
    <w:qFormat/>
    <w:rsid w:val="00C425C7"/>
    <w:pPr>
      <w:spacing w:after="0" w:line="240" w:lineRule="auto"/>
    </w:pPr>
    <w:rPr>
      <w:rFonts w:eastAsiaTheme="minorEastAsia"/>
      <w:kern w:val="0"/>
      <w:sz w:val="22"/>
      <w:szCs w:val="22"/>
      <w14:ligatures w14:val="none"/>
    </w:rPr>
  </w:style>
  <w:style w:type="paragraph" w:styleId="TOCHeading">
    <w:name w:val="TOC Heading"/>
    <w:basedOn w:val="Heading1"/>
    <w:next w:val="Normal"/>
    <w:uiPriority w:val="39"/>
    <w:semiHidden/>
    <w:unhideWhenUsed/>
    <w:qFormat/>
    <w:rsid w:val="00C425C7"/>
    <w:pPr>
      <w:pBdr>
        <w:bottom w:val="single" w:sz="4" w:space="1" w:color="595959" w:themeColor="text1" w:themeTint="A6"/>
      </w:pBdr>
      <w:spacing w:after="160" w:line="256" w:lineRule="auto"/>
      <w:ind w:left="432" w:hanging="432"/>
      <w:outlineLvl w:val="9"/>
    </w:pPr>
    <w:rPr>
      <w:b/>
      <w:bCs/>
      <w:smallCaps/>
      <w:color w:val="000000" w:themeColor="text1"/>
      <w:kern w:val="0"/>
      <w:sz w:val="36"/>
      <w:szCs w:val="36"/>
      <w14:ligatures w14:val="none"/>
    </w:rPr>
  </w:style>
  <w:style w:type="character" w:styleId="SubtleEmphasis">
    <w:name w:val="Subtle Emphasis"/>
    <w:basedOn w:val="DefaultParagraphFont"/>
    <w:uiPriority w:val="19"/>
    <w:qFormat/>
    <w:rsid w:val="00C425C7"/>
    <w:rPr>
      <w:i/>
      <w:iCs/>
      <w:color w:val="404040" w:themeColor="text1" w:themeTint="BF"/>
    </w:rPr>
  </w:style>
  <w:style w:type="character" w:styleId="SubtleReference">
    <w:name w:val="Subtle Reference"/>
    <w:basedOn w:val="DefaultParagraphFont"/>
    <w:uiPriority w:val="31"/>
    <w:qFormat/>
    <w:rsid w:val="00C425C7"/>
    <w:rPr>
      <w:smallCaps/>
      <w:color w:val="404040" w:themeColor="text1" w:themeTint="BF"/>
      <w:u w:val="single" w:color="7F7F7F" w:themeColor="text1" w:themeTint="80"/>
    </w:rPr>
  </w:style>
  <w:style w:type="character" w:styleId="BookTitle">
    <w:name w:val="Book Title"/>
    <w:basedOn w:val="DefaultParagraphFont"/>
    <w:uiPriority w:val="33"/>
    <w:qFormat/>
    <w:rsid w:val="00C425C7"/>
    <w:rPr>
      <w:b w:val="0"/>
      <w:bCs w:val="0"/>
      <w:smallCaps/>
      <w:spacing w:val="5"/>
    </w:rPr>
  </w:style>
  <w:style w:type="character" w:customStyle="1" w:styleId="ng-star-inserted">
    <w:name w:val="ng-star-inserted"/>
    <w:basedOn w:val="DefaultParagraphFont"/>
    <w:rsid w:val="00C425C7"/>
  </w:style>
  <w:style w:type="table" w:styleId="TableGridLight">
    <w:name w:val="Grid Table Light"/>
    <w:basedOn w:val="TableNormal"/>
    <w:uiPriority w:val="40"/>
    <w:rsid w:val="00C425C7"/>
    <w:pPr>
      <w:spacing w:after="0" w:line="240" w:lineRule="auto"/>
    </w:pPr>
    <w:rPr>
      <w:rFonts w:eastAsiaTheme="minorEastAsia"/>
      <w:kern w:val="0"/>
      <w:sz w:val="22"/>
      <w:szCs w:val="22"/>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C425C7"/>
    <w:pPr>
      <w:spacing w:after="0" w:line="240" w:lineRule="auto"/>
    </w:pPr>
    <w:rPr>
      <w:rFonts w:eastAsiaTheme="minorEastAsia"/>
      <w:kern w:val="0"/>
      <w:sz w:val="22"/>
      <w:szCs w:val="22"/>
      <w14:ligatures w14:val="none"/>
    </w:rPr>
    <w:tblPr>
      <w:tblStyleRowBandSize w:val="1"/>
      <w:tblStyleColBandSize w:val="1"/>
      <w:tblInd w:w="0" w:type="nil"/>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C42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18"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34" Type="http://schemas.openxmlformats.org/officeDocument/2006/relationships/hyperlink" Target="https://www.google.com/url?sa=E&amp;q=https%3A%2F%2Fdoi.org%2F10.1016%2F0304-405X(84)90023-0" TargetMode="External"/><Relationship Id="rId7"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12"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17"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5"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33" Type="http://schemas.openxmlformats.org/officeDocument/2006/relationships/hyperlink" Target="https://www.google.com/url?sa=E&amp;q=https%3A%2F%2Fwww.aeaweb.org%2Farticles%3Fid%3D10.1257%2Fjep.23.1.121" TargetMode="External"/><Relationship Id="rId2" Type="http://schemas.openxmlformats.org/officeDocument/2006/relationships/styles" Target="styles.xml"/><Relationship Id="rId16"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0"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11"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4"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32" Type="http://schemas.openxmlformats.org/officeDocument/2006/relationships/hyperlink" Target="https://www.google.com/url?sa=E&amp;q=http%3A%2F%2Fwww.jstor.org%2Fstable%2F1818789" TargetMode="External"/><Relationship Id="rId5" Type="http://schemas.openxmlformats.org/officeDocument/2006/relationships/image" Target="media/image1.jpeg"/><Relationship Id="rId15"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3"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8" Type="http://schemas.openxmlformats.org/officeDocument/2006/relationships/image" Target="media/image4.png"/><Relationship Id="rId36" Type="http://schemas.openxmlformats.org/officeDocument/2006/relationships/theme" Target="theme/theme1.xml"/><Relationship Id="rId10"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19"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31" Type="http://schemas.openxmlformats.org/officeDocument/2006/relationships/hyperlink" Target="https://www.google.com/url?sa=E&amp;q=https%3A%2F%2Fdoi.org%2F10.1111%2F1468-5957.00008" TargetMode="External"/><Relationship Id="rId4" Type="http://schemas.openxmlformats.org/officeDocument/2006/relationships/webSettings" Target="webSettings.xml"/><Relationship Id="rId9"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14"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2"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 Id="rId27" Type="http://schemas.openxmlformats.org/officeDocument/2006/relationships/image" Target="media/image3.png"/><Relationship Id="rId30" Type="http://schemas.openxmlformats.org/officeDocument/2006/relationships/hyperlink" Target="https://www.google.com/url?sa=E&amp;q=https%3A%2F%2Fdoi.org%2F10.1111%2Fj.1540-6261.1968.tb00843.x" TargetMode="External"/><Relationship Id="rId35" Type="http://schemas.openxmlformats.org/officeDocument/2006/relationships/fontTable" Target="fontTable.xml"/><Relationship Id="rId8" Type="http://schemas.openxmlformats.org/officeDocument/2006/relationships/hyperlink" Target="file:///C:\Users\crist\AppData\Local\Packages\5319275A.WhatsAppDesktop_cv1g1gvanyjgm\LocalState\sessions\899BB5FDB36F452107222A4D86F1F46E973C22C3\transfers\2025-50\LCMB7002%20Completed%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27</Pages>
  <Words>8206</Words>
  <Characters>43826</Characters>
  <Application>Microsoft Office Word</Application>
  <DocSecurity>0</DocSecurity>
  <Lines>1460</Lines>
  <Paragraphs>825</Paragraphs>
  <ScaleCrop>false</ScaleCrop>
  <Company/>
  <LinksUpToDate>false</LinksUpToDate>
  <CharactersWithSpaces>51207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34</cp:revision>
  <dcterms:created xsi:type="dcterms:W3CDTF">2025-11-23T23:50:00Z</dcterms:created>
  <dcterms:modified xsi:type="dcterms:W3CDTF">2025-12-17T00:13:00Z</dcterms:modified>
</cp:coreProperties>
</file>