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E5C" w:rsidRDefault="00456E5C" w:rsidP="00456E5C">
      <w:pPr>
        <w:spacing w:after="0" w:line="240" w:lineRule="auto"/>
        <w:ind w:left="-180" w:right="-334"/>
        <w:rPr>
          <w:rFonts w:ascii="Arial" w:eastAsia="SimSun" w:hAnsi="Arial" w:cs="Arial"/>
          <w:b/>
          <w:color w:val="000000"/>
          <w:sz w:val="28"/>
          <w:szCs w:val="28"/>
          <w:lang w:val="cy-GB" w:eastAsia="zh-CN"/>
        </w:rPr>
      </w:pPr>
      <w:r>
        <w:rPr>
          <w:noProof/>
          <w:lang w:eastAsia="en-GB"/>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56E5C" w:rsidRPr="00456E5C" w:rsidRDefault="00456E5C" w:rsidP="00A2275C">
      <w:pPr>
        <w:spacing w:after="0" w:line="240" w:lineRule="auto"/>
        <w:ind w:left="1440" w:right="-334" w:firstLine="720"/>
        <w:rPr>
          <w:rFonts w:ascii="Arial" w:eastAsia="SimSun" w:hAnsi="Arial" w:cs="Arial"/>
          <w:b/>
          <w:color w:val="000000"/>
          <w:sz w:val="28"/>
          <w:szCs w:val="28"/>
          <w:lang w:val="cy-GB" w:eastAsia="zh-CN"/>
        </w:rPr>
      </w:pPr>
      <w:r w:rsidRPr="00456E5C">
        <w:rPr>
          <w:rFonts w:ascii="Arial" w:eastAsia="SimSun" w:hAnsi="Arial" w:cs="Arial"/>
          <w:b/>
          <w:color w:val="000000"/>
          <w:sz w:val="28"/>
          <w:szCs w:val="28"/>
          <w:lang w:val="cy-GB" w:eastAsia="zh-CN"/>
        </w:rPr>
        <w:t xml:space="preserve">Postgraduate/Distance Learning </w:t>
      </w:r>
    </w:p>
    <w:p w:rsidR="00456E5C" w:rsidRPr="00456E5C" w:rsidRDefault="00456E5C" w:rsidP="00456E5C">
      <w:pPr>
        <w:spacing w:after="0" w:line="240" w:lineRule="auto"/>
        <w:ind w:left="-180" w:right="-334"/>
        <w:jc w:val="center"/>
        <w:rPr>
          <w:rFonts w:ascii="Arial" w:eastAsia="SimSun" w:hAnsi="Arial" w:cs="Arial"/>
          <w:b/>
          <w:color w:val="000000"/>
          <w:sz w:val="28"/>
          <w:szCs w:val="28"/>
          <w:lang w:eastAsia="zh-CN"/>
        </w:rPr>
      </w:pPr>
      <w:r w:rsidRPr="00456E5C">
        <w:rPr>
          <w:rFonts w:ascii="Arial" w:eastAsia="SimSun" w:hAnsi="Arial" w:cs="Arial"/>
          <w:b/>
          <w:color w:val="000000"/>
          <w:sz w:val="28"/>
          <w:szCs w:val="28"/>
          <w:lang w:val="cy-GB" w:eastAsia="zh-CN"/>
        </w:rPr>
        <w:t>Assignment coversheet &amp; feedback form</w:t>
      </w:r>
    </w:p>
    <w:p w:rsidR="00456E5C" w:rsidRPr="00456E5C" w:rsidRDefault="00456E5C" w:rsidP="00456E5C">
      <w:pPr>
        <w:spacing w:after="0" w:line="240" w:lineRule="auto"/>
        <w:rPr>
          <w:rFonts w:ascii="Arial" w:eastAsia="SimSun" w:hAnsi="Arial" w:cs="Arial"/>
          <w:sz w:val="28"/>
          <w:szCs w:val="28"/>
          <w:lang w:val="cy-GB" w:eastAsia="zh-CN"/>
        </w:rPr>
      </w:pPr>
    </w:p>
    <w:p w:rsidR="00456E5C" w:rsidRPr="00456E5C" w:rsidRDefault="00456E5C" w:rsidP="00456E5C">
      <w:pPr>
        <w:keepNext/>
        <w:spacing w:after="0" w:line="240" w:lineRule="auto"/>
        <w:ind w:left="720"/>
        <w:jc w:val="center"/>
        <w:outlineLvl w:val="2"/>
        <w:rPr>
          <w:rFonts w:ascii="Tahoma" w:eastAsia="SimSun" w:hAnsi="Tahoma" w:cs="Tahoma"/>
          <w:b/>
          <w:bCs/>
          <w:sz w:val="20"/>
          <w:szCs w:val="20"/>
          <w:lang w:val="cy-GB" w:eastAsia="zh-CN"/>
        </w:rPr>
      </w:pPr>
      <w:r w:rsidRPr="00456E5C">
        <w:rPr>
          <w:rFonts w:ascii="Tahoma" w:eastAsia="SimSun" w:hAnsi="Tahoma" w:cs="Tahoma"/>
          <w:b/>
          <w:bCs/>
          <w:sz w:val="20"/>
          <w:szCs w:val="20"/>
          <w:lang w:val="cy-GB" w:eastAsia="zh-CN"/>
        </w:rPr>
        <w:t>THIS SHEET MUST BE THE FIRST PAGE OF THE ASSIGNMENT YOU ARE SUBMITTING  (DO NOT SEND AS A SEPARATE FILE)</w:t>
      </w:r>
    </w:p>
    <w:p w:rsidR="00456E5C" w:rsidRPr="00456E5C" w:rsidRDefault="00456E5C" w:rsidP="00456E5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6E5C" w:rsidRPr="00456E5C" w:rsidTr="005022D7">
        <w:trPr>
          <w:trHeight w:val="614"/>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b/>
                <w:color w:val="000000"/>
                <w:lang w:eastAsia="zh-CN"/>
              </w:rPr>
              <w:t>For completion by the student</w:t>
            </w:r>
            <w:r w:rsidRPr="00456E5C">
              <w:rPr>
                <w:rFonts w:ascii="Arial" w:eastAsia="SimSun" w:hAnsi="Arial" w:cs="Arial"/>
                <w:color w:val="000000"/>
                <w:lang w:eastAsia="zh-CN"/>
              </w:rPr>
              <w:t>:</w:t>
            </w:r>
          </w:p>
        </w:tc>
      </w:tr>
      <w:tr w:rsidR="00456E5C" w:rsidRPr="00456E5C" w:rsidTr="005022D7">
        <w:trPr>
          <w:trHeight w:val="718"/>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Name: Niema Bohrayba</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Student </w:t>
            </w:r>
            <w:r w:rsidRPr="00456E5C">
              <w:rPr>
                <w:rFonts w:ascii="Arial" w:eastAsia="SimSun" w:hAnsi="Arial" w:cs="Arial"/>
                <w:b/>
                <w:bCs/>
                <w:color w:val="000000"/>
                <w:u w:val="single"/>
                <w:lang w:eastAsia="zh-CN"/>
              </w:rPr>
              <w:t>University</w:t>
            </w:r>
            <w:r w:rsidRPr="00456E5C">
              <w:rPr>
                <w:rFonts w:ascii="Arial" w:eastAsia="SimSun" w:hAnsi="Arial" w:cs="Arial"/>
                <w:color w:val="000000"/>
                <w:u w:val="single"/>
                <w:lang w:eastAsia="zh-CN"/>
              </w:rPr>
              <w:t xml:space="preserve"> </w:t>
            </w:r>
            <w:r w:rsidRPr="00456E5C">
              <w:rPr>
                <w:rFonts w:ascii="Arial" w:eastAsia="SimSun" w:hAnsi="Arial" w:cs="Arial"/>
                <w:color w:val="000000"/>
                <w:lang w:eastAsia="zh-CN"/>
              </w:rPr>
              <w:t xml:space="preserve">Email: </w:t>
            </w:r>
            <w:r w:rsidRPr="00456E5C">
              <w:rPr>
                <w:rFonts w:ascii="Arial" w:eastAsia="SimSun" w:hAnsi="Arial" w:cs="Arial"/>
                <w:color w:val="333333"/>
                <w:sz w:val="21"/>
                <w:szCs w:val="21"/>
                <w:lang w:eastAsia="zh-CN"/>
              </w:rPr>
              <w:t>1707539@student.uwtsd.ac.uk</w:t>
            </w:r>
          </w:p>
        </w:tc>
      </w:tr>
      <w:tr w:rsidR="00456E5C" w:rsidRPr="00456E5C" w:rsidTr="005022D7">
        <w:trPr>
          <w:trHeight w:val="849"/>
        </w:trPr>
        <w:tc>
          <w:tcPr>
            <w:tcW w:w="4788"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code: </w:t>
            </w:r>
            <w:r w:rsidR="000F399B">
              <w:rPr>
                <w:rFonts w:ascii="Arial" w:eastAsia="SimSun" w:hAnsi="Arial" w:cs="Arial"/>
                <w:bCs/>
                <w:color w:val="000000" w:themeColor="text1"/>
                <w:sz w:val="24"/>
                <w:szCs w:val="24"/>
                <w:lang w:val="de-DE" w:eastAsia="zh-CN"/>
              </w:rPr>
              <w:t>HPCA7002</w:t>
            </w:r>
            <w:bookmarkStart w:id="0" w:name="_GoBack"/>
            <w:bookmarkEnd w:id="0"/>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title: </w:t>
            </w:r>
            <w:r w:rsidR="00FB4FC4">
              <w:rPr>
                <w:rFonts w:ascii="Arial" w:eastAsia="SimSun" w:hAnsi="Arial" w:cs="Arial"/>
                <w:color w:val="000000"/>
                <w:lang w:eastAsia="zh-CN"/>
              </w:rPr>
              <w:t xml:space="preserve">Researching </w:t>
            </w:r>
            <w:r w:rsidR="00F85EEC">
              <w:rPr>
                <w:rFonts w:ascii="Arial" w:eastAsia="SimSun" w:hAnsi="Arial" w:cs="Arial"/>
                <w:color w:val="000000"/>
                <w:lang w:eastAsia="zh-CN"/>
              </w:rPr>
              <w:t xml:space="preserve">Contemporary  </w:t>
            </w:r>
            <w:r w:rsidR="00FB4FC4">
              <w:rPr>
                <w:rFonts w:ascii="Arial" w:eastAsia="SimSun" w:hAnsi="Arial" w:cs="Arial"/>
                <w:color w:val="000000"/>
                <w:lang w:eastAsia="zh-CN"/>
              </w:rPr>
              <w:t xml:space="preserve">Cosmologies. </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tc>
        <w:tc>
          <w:tcPr>
            <w:tcW w:w="2266" w:type="dxa"/>
            <w:gridSpan w:val="3"/>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ID number:</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Times New Roman" w:hAnsi="Arial" w:cs="Arial"/>
                <w:color w:val="000000"/>
                <w:sz w:val="21"/>
                <w:szCs w:val="21"/>
                <w:lang w:eastAsia="zh-CN"/>
              </w:rPr>
              <w:t>1707539</w:t>
            </w:r>
          </w:p>
        </w:tc>
        <w:tc>
          <w:tcPr>
            <w:tcW w:w="1802"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Educational support needs: No</w:t>
            </w:r>
          </w:p>
        </w:tc>
      </w:tr>
      <w:tr w:rsidR="00456E5C" w:rsidRPr="00456E5C" w:rsidTr="005022D7">
        <w:trPr>
          <w:trHeight w:val="1139"/>
        </w:trPr>
        <w:tc>
          <w:tcPr>
            <w:tcW w:w="8856" w:type="dxa"/>
            <w:gridSpan w:val="5"/>
          </w:tcPr>
          <w:p w:rsidR="003E4293" w:rsidRPr="008901B5" w:rsidRDefault="00456E5C" w:rsidP="003E4293">
            <w:pPr>
              <w:spacing w:line="360" w:lineRule="auto"/>
              <w:rPr>
                <w:rFonts w:ascii="Arial" w:hAnsi="Arial" w:cs="Arial"/>
                <w:sz w:val="24"/>
                <w:szCs w:val="24"/>
              </w:rPr>
            </w:pPr>
            <w:r w:rsidRPr="00456E5C">
              <w:rPr>
                <w:rFonts w:ascii="Arial" w:eastAsia="SimSun" w:hAnsi="Arial" w:cs="Arial"/>
                <w:lang w:eastAsia="zh-CN"/>
              </w:rPr>
              <w:t xml:space="preserve">Assignment title: </w:t>
            </w:r>
            <w:r w:rsidR="003E4293">
              <w:rPr>
                <w:rFonts w:ascii="Arial" w:hAnsi="Arial" w:cs="Arial"/>
                <w:sz w:val="24"/>
                <w:szCs w:val="24"/>
              </w:rPr>
              <w:t>Compare and Contrast</w:t>
            </w:r>
            <w:r w:rsidR="003E4293" w:rsidRPr="008901B5">
              <w:rPr>
                <w:rFonts w:ascii="Arial" w:hAnsi="Arial" w:cs="Arial"/>
                <w:sz w:val="24"/>
                <w:szCs w:val="24"/>
              </w:rPr>
              <w:t xml:space="preserve"> two papers exploring their methodologies. </w:t>
            </w:r>
          </w:p>
          <w:p w:rsidR="00456E5C" w:rsidRPr="00456E5C" w:rsidRDefault="00456E5C" w:rsidP="00456E5C">
            <w:pPr>
              <w:spacing w:after="0" w:line="240" w:lineRule="auto"/>
              <w:rPr>
                <w:rFonts w:ascii="Arial" w:eastAsia="Calibri" w:hAnsi="Arial" w:cs="Arial"/>
                <w:sz w:val="24"/>
                <w:szCs w:val="24"/>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3E4293"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18.03.2019</w:t>
            </w:r>
          </w:p>
        </w:tc>
      </w:tr>
      <w:tr w:rsidR="00456E5C" w:rsidRPr="00456E5C" w:rsidTr="005022D7">
        <w:trPr>
          <w:trHeight w:val="978"/>
        </w:trPr>
        <w:tc>
          <w:tcPr>
            <w:tcW w:w="8856" w:type="dxa"/>
            <w:gridSpan w:val="5"/>
            <w:tcBorders>
              <w:bottom w:val="single" w:sz="4" w:space="0" w:color="000000"/>
            </w:tcBorders>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This assignment is for the       1</w:t>
            </w:r>
            <w:r w:rsidRPr="00456E5C">
              <w:rPr>
                <w:rFonts w:ascii="Arial" w:eastAsia="SimSun" w:hAnsi="Arial" w:cs="Arial"/>
                <w:vertAlign w:val="superscript"/>
                <w:lang w:eastAsia="zh-CN"/>
              </w:rPr>
              <w:t xml:space="preserve">st </w:t>
            </w:r>
            <w:r w:rsidRPr="00456E5C">
              <w:rPr>
                <w:rFonts w:ascii="Arial" w:eastAsia="SimSun" w:hAnsi="Arial" w:cs="Arial"/>
                <w:lang w:eastAsia="zh-CN"/>
              </w:rPr>
              <w:t>X    2</w:t>
            </w:r>
            <w:r w:rsidRPr="00456E5C">
              <w:rPr>
                <w:rFonts w:ascii="Arial" w:eastAsia="SimSun" w:hAnsi="Arial" w:cs="Arial"/>
                <w:vertAlign w:val="superscript"/>
                <w:lang w:eastAsia="zh-CN"/>
              </w:rPr>
              <w:t>nd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4"/>
                  <w:enabled/>
                  <w:calcOnExit w:val="0"/>
                  <w:checkBox>
                    <w:sizeAuto/>
                    <w:default w:val="0"/>
                  </w:checkBox>
                </w:ffData>
              </w:fldChar>
            </w:r>
            <w:bookmarkStart w:id="1" w:name="Check14"/>
            <w:r w:rsidRPr="00456E5C">
              <w:rPr>
                <w:rFonts w:ascii="Arial" w:eastAsia="SimSun" w:hAnsi="Arial" w:cs="Arial"/>
                <w:lang w:eastAsia="zh-CN"/>
              </w:rPr>
              <w:instrText xml:space="preserve"> FORMCHECKBOX </w:instrText>
            </w:r>
            <w:r w:rsidR="000F399B">
              <w:rPr>
                <w:rFonts w:ascii="Arial" w:eastAsia="SimSun" w:hAnsi="Arial" w:cs="Arial"/>
                <w:lang w:eastAsia="zh-CN"/>
              </w:rPr>
            </w:r>
            <w:r w:rsidR="000F399B">
              <w:rPr>
                <w:rFonts w:ascii="Arial" w:eastAsia="SimSun" w:hAnsi="Arial" w:cs="Arial"/>
                <w:lang w:eastAsia="zh-CN"/>
              </w:rPr>
              <w:fldChar w:fldCharType="separate"/>
            </w:r>
            <w:r w:rsidRPr="00456E5C">
              <w:rPr>
                <w:rFonts w:ascii="Arial" w:eastAsia="SimSun" w:hAnsi="Arial" w:cs="Arial"/>
                <w:lang w:eastAsia="zh-CN"/>
              </w:rPr>
              <w:fldChar w:fldCharType="end"/>
            </w:r>
            <w:bookmarkEnd w:id="1"/>
            <w:r w:rsidRPr="00456E5C">
              <w:rPr>
                <w:rFonts w:ascii="Arial" w:eastAsia="SimSun" w:hAnsi="Arial" w:cs="Arial"/>
                <w:lang w:eastAsia="zh-CN"/>
              </w:rPr>
              <w:t xml:space="preserve">     3</w:t>
            </w:r>
            <w:r w:rsidRPr="00456E5C">
              <w:rPr>
                <w:rFonts w:ascii="Arial" w:eastAsia="SimSun" w:hAnsi="Arial" w:cs="Arial"/>
                <w:vertAlign w:val="superscript"/>
                <w:lang w:eastAsia="zh-CN"/>
              </w:rPr>
              <w:t>rd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5"/>
                  <w:enabled/>
                  <w:calcOnExit w:val="0"/>
                  <w:checkBox>
                    <w:sizeAuto/>
                    <w:default w:val="0"/>
                  </w:checkBox>
                </w:ffData>
              </w:fldChar>
            </w:r>
            <w:bookmarkStart w:id="2" w:name="Check15"/>
            <w:r w:rsidRPr="00456E5C">
              <w:rPr>
                <w:rFonts w:ascii="Arial" w:eastAsia="SimSun" w:hAnsi="Arial" w:cs="Arial"/>
                <w:lang w:eastAsia="zh-CN"/>
              </w:rPr>
              <w:instrText xml:space="preserve"> FORMCHECKBOX </w:instrText>
            </w:r>
            <w:r w:rsidR="000F399B">
              <w:rPr>
                <w:rFonts w:ascii="Arial" w:eastAsia="SimSun" w:hAnsi="Arial" w:cs="Arial"/>
                <w:lang w:eastAsia="zh-CN"/>
              </w:rPr>
            </w:r>
            <w:r w:rsidR="000F399B">
              <w:rPr>
                <w:rFonts w:ascii="Arial" w:eastAsia="SimSun" w:hAnsi="Arial" w:cs="Arial"/>
                <w:lang w:eastAsia="zh-CN"/>
              </w:rPr>
              <w:fldChar w:fldCharType="separate"/>
            </w:r>
            <w:r w:rsidRPr="00456E5C">
              <w:rPr>
                <w:rFonts w:ascii="Arial" w:eastAsia="SimSun" w:hAnsi="Arial" w:cs="Arial"/>
                <w:lang w:eastAsia="zh-CN"/>
              </w:rPr>
              <w:fldChar w:fldCharType="end"/>
            </w:r>
            <w:bookmarkEnd w:id="2"/>
            <w:r w:rsidRPr="00456E5C">
              <w:rPr>
                <w:rFonts w:ascii="Arial" w:eastAsia="SimSun" w:hAnsi="Arial" w:cs="Arial"/>
                <w:lang w:eastAsia="zh-CN"/>
              </w:rPr>
              <w:t xml:space="preserve">      4</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6"/>
                  <w:enabled/>
                  <w:calcOnExit w:val="0"/>
                  <w:checkBox>
                    <w:sizeAuto/>
                    <w:default w:val="0"/>
                  </w:checkBox>
                </w:ffData>
              </w:fldChar>
            </w:r>
            <w:bookmarkStart w:id="3" w:name="Check16"/>
            <w:r w:rsidRPr="00456E5C">
              <w:rPr>
                <w:rFonts w:ascii="Arial" w:eastAsia="SimSun" w:hAnsi="Arial" w:cs="Arial"/>
                <w:lang w:eastAsia="zh-CN"/>
              </w:rPr>
              <w:instrText xml:space="preserve"> FORMCHECKBOX </w:instrText>
            </w:r>
            <w:r w:rsidR="000F399B">
              <w:rPr>
                <w:rFonts w:ascii="Arial" w:eastAsia="SimSun" w:hAnsi="Arial" w:cs="Arial"/>
                <w:lang w:eastAsia="zh-CN"/>
              </w:rPr>
            </w:r>
            <w:r w:rsidR="000F399B">
              <w:rPr>
                <w:rFonts w:ascii="Arial" w:eastAsia="SimSun" w:hAnsi="Arial" w:cs="Arial"/>
                <w:lang w:eastAsia="zh-CN"/>
              </w:rPr>
              <w:fldChar w:fldCharType="separate"/>
            </w:r>
            <w:r w:rsidRPr="00456E5C">
              <w:rPr>
                <w:rFonts w:ascii="Arial" w:eastAsia="SimSun" w:hAnsi="Arial" w:cs="Arial"/>
                <w:lang w:eastAsia="zh-CN"/>
              </w:rPr>
              <w:fldChar w:fldCharType="end"/>
            </w:r>
            <w:bookmarkEnd w:id="3"/>
            <w:r w:rsidRPr="00456E5C">
              <w:rPr>
                <w:rFonts w:ascii="Arial" w:eastAsia="SimSun" w:hAnsi="Arial" w:cs="Arial"/>
                <w:lang w:eastAsia="zh-CN"/>
              </w:rPr>
              <w:t xml:space="preserve">      5</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7"/>
                  <w:enabled/>
                  <w:calcOnExit w:val="0"/>
                  <w:checkBox>
                    <w:sizeAuto/>
                    <w:default w:val="0"/>
                  </w:checkBox>
                </w:ffData>
              </w:fldChar>
            </w:r>
            <w:bookmarkStart w:id="4" w:name="Check17"/>
            <w:r w:rsidRPr="00456E5C">
              <w:rPr>
                <w:rFonts w:ascii="Arial" w:eastAsia="SimSun" w:hAnsi="Arial" w:cs="Arial"/>
                <w:lang w:eastAsia="zh-CN"/>
              </w:rPr>
              <w:instrText xml:space="preserve"> FORMCHECKBOX </w:instrText>
            </w:r>
            <w:r w:rsidR="000F399B">
              <w:rPr>
                <w:rFonts w:ascii="Arial" w:eastAsia="SimSun" w:hAnsi="Arial" w:cs="Arial"/>
                <w:lang w:eastAsia="zh-CN"/>
              </w:rPr>
            </w:r>
            <w:r w:rsidR="000F399B">
              <w:rPr>
                <w:rFonts w:ascii="Arial" w:eastAsia="SimSun" w:hAnsi="Arial" w:cs="Arial"/>
                <w:lang w:eastAsia="zh-CN"/>
              </w:rPr>
              <w:fldChar w:fldCharType="separate"/>
            </w:r>
            <w:r w:rsidRPr="00456E5C">
              <w:rPr>
                <w:rFonts w:ascii="Arial" w:eastAsia="SimSun" w:hAnsi="Arial" w:cs="Arial"/>
                <w:lang w:eastAsia="zh-CN"/>
              </w:rPr>
              <w:fldChar w:fldCharType="end"/>
            </w:r>
            <w:bookmarkEnd w:id="4"/>
            <w:r w:rsidRPr="00456E5C">
              <w:rPr>
                <w:rFonts w:ascii="Arial" w:eastAsia="SimSun" w:hAnsi="Arial" w:cs="Arial"/>
                <w:lang w:eastAsia="zh-CN"/>
              </w:rPr>
              <w:t xml:space="preserve">      6</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8"/>
                  <w:enabled/>
                  <w:calcOnExit w:val="0"/>
                  <w:checkBox>
                    <w:sizeAuto/>
                    <w:default w:val="0"/>
                  </w:checkBox>
                </w:ffData>
              </w:fldChar>
            </w:r>
            <w:bookmarkStart w:id="5" w:name="Check18"/>
            <w:r w:rsidRPr="00456E5C">
              <w:rPr>
                <w:rFonts w:ascii="Arial" w:eastAsia="SimSun" w:hAnsi="Arial" w:cs="Arial"/>
                <w:lang w:eastAsia="zh-CN"/>
              </w:rPr>
              <w:instrText xml:space="preserve"> FORMCHECKBOX </w:instrText>
            </w:r>
            <w:r w:rsidR="000F399B">
              <w:rPr>
                <w:rFonts w:ascii="Arial" w:eastAsia="SimSun" w:hAnsi="Arial" w:cs="Arial"/>
                <w:lang w:eastAsia="zh-CN"/>
              </w:rPr>
            </w:r>
            <w:r w:rsidR="000F399B">
              <w:rPr>
                <w:rFonts w:ascii="Arial" w:eastAsia="SimSun" w:hAnsi="Arial" w:cs="Arial"/>
                <w:lang w:eastAsia="zh-CN"/>
              </w:rPr>
              <w:fldChar w:fldCharType="separate"/>
            </w:r>
            <w:r w:rsidRPr="00456E5C">
              <w:rPr>
                <w:rFonts w:ascii="Arial" w:eastAsia="SimSun" w:hAnsi="Arial" w:cs="Arial"/>
                <w:lang w:eastAsia="zh-CN"/>
              </w:rPr>
              <w:fldChar w:fldCharType="end"/>
            </w:r>
            <w:bookmarkEnd w:id="5"/>
            <w:r w:rsidRPr="00456E5C">
              <w:rPr>
                <w:rFonts w:ascii="Arial" w:eastAsia="SimSun" w:hAnsi="Arial" w:cs="Arial"/>
                <w:b/>
                <w:lang w:eastAsia="zh-CN"/>
              </w:rPr>
              <w:t xml:space="preserve">   </w:t>
            </w:r>
            <w:r w:rsidRPr="00456E5C">
              <w:rPr>
                <w:rFonts w:ascii="Arial" w:eastAsia="SimSun" w:hAnsi="Arial" w:cs="Arial"/>
                <w:lang w:eastAsia="zh-CN"/>
              </w:rPr>
              <w:t>module of the degree</w:t>
            </w:r>
          </w:p>
        </w:tc>
      </w:tr>
      <w:tr w:rsidR="00456E5C" w:rsidRPr="00456E5C" w:rsidTr="005022D7">
        <w:trPr>
          <w:trHeight w:val="978"/>
        </w:trPr>
        <w:tc>
          <w:tcPr>
            <w:tcW w:w="8856" w:type="dxa"/>
            <w:gridSpan w:val="5"/>
            <w:shd w:val="clear" w:color="auto" w:fill="D9D9D9"/>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I confirm that this is my original work and that I have adhered to the University policy on plagiarism.</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Signed …</w:t>
            </w:r>
            <w:r w:rsidR="00746DFA">
              <w:rPr>
                <w:rFonts w:ascii="Arial" w:eastAsia="SimSun" w:hAnsi="Arial" w:cs="Arial"/>
                <w:color w:val="000000"/>
                <w:lang w:eastAsia="zh-CN"/>
              </w:rPr>
              <w:t>Niema Bohrayba</w:t>
            </w:r>
            <w:r w:rsidRPr="00456E5C">
              <w:rPr>
                <w:rFonts w:ascii="Arial" w:eastAsia="SimSun" w:hAnsi="Arial" w:cs="Arial"/>
                <w:color w:val="000000"/>
                <w:lang w:eastAsia="zh-CN"/>
              </w:rPr>
              <w:t>…………………………………………………………</w:t>
            </w:r>
          </w:p>
          <w:p w:rsidR="00456E5C" w:rsidRPr="00456E5C" w:rsidRDefault="00456E5C" w:rsidP="00456E5C">
            <w:pPr>
              <w:spacing w:after="0" w:line="240" w:lineRule="auto"/>
              <w:ind w:right="34"/>
              <w:rPr>
                <w:rFonts w:ascii="Calibri" w:eastAsia="SimSun" w:hAnsi="Calibri" w:cs="Calibri"/>
                <w:b/>
                <w:color w:val="000000"/>
                <w:sz w:val="44"/>
                <w:szCs w:val="44"/>
                <w:lang w:eastAsia="zh-CN"/>
              </w:rPr>
            </w:pPr>
            <w:r w:rsidRPr="00456E5C">
              <w:rPr>
                <w:rFonts w:ascii="Calibri" w:eastAsia="SimSun" w:hAnsi="Calibri" w:cs="Tahoma"/>
                <w:b/>
                <w:color w:val="000000"/>
                <w:sz w:val="24"/>
                <w:szCs w:val="24"/>
                <w:lang w:eastAsia="zh-CN"/>
              </w:rPr>
              <w:t xml:space="preserve">Email submission:if you are submitting this form via email, please tick this box </w:t>
            </w:r>
            <w:r w:rsidRPr="00456E5C">
              <w:rPr>
                <w:rFonts w:ascii="Calibri" w:eastAsia="SimSun" w:hAnsi="Calibri" w:cs="Calibri"/>
                <w:b/>
                <w:color w:val="000000"/>
                <w:sz w:val="44"/>
                <w:szCs w:val="44"/>
                <w:lang w:eastAsia="zh-CN"/>
              </w:rPr>
              <w:t>□</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Calibri" w:eastAsia="SimSun" w:hAnsi="Calibri" w:cs="Tahoma"/>
                <w:b/>
                <w:color w:val="000000"/>
                <w:sz w:val="24"/>
                <w:szCs w:val="24"/>
                <w:lang w:eastAsia="zh-CN"/>
              </w:rPr>
              <w:t>(as a substitute for your signature) to confirm that you agree to the above declaration.</w:t>
            </w:r>
          </w:p>
        </w:tc>
      </w:tr>
      <w:tr w:rsidR="00456E5C" w:rsidRPr="00456E5C" w:rsidTr="005022D7">
        <w:trPr>
          <w:trHeight w:val="3972"/>
        </w:trPr>
        <w:tc>
          <w:tcPr>
            <w:tcW w:w="8856" w:type="dxa"/>
            <w:gridSpan w:val="5"/>
          </w:tcPr>
          <w:p w:rsidR="00456E5C" w:rsidRPr="00456E5C" w:rsidRDefault="00456E5C" w:rsidP="00456E5C">
            <w:pPr>
              <w:spacing w:after="0" w:line="240" w:lineRule="auto"/>
              <w:rPr>
                <w:rFonts w:ascii="Arial" w:eastAsia="SimSun" w:hAnsi="Arial" w:cs="Times New Roman"/>
                <w:b/>
                <w:sz w:val="24"/>
                <w:szCs w:val="24"/>
                <w:lang w:eastAsia="zh-CN"/>
              </w:rPr>
            </w:pPr>
          </w:p>
          <w:p w:rsidR="00456E5C" w:rsidRPr="00456E5C" w:rsidRDefault="00456E5C" w:rsidP="00456E5C">
            <w:pPr>
              <w:spacing w:after="0" w:line="240" w:lineRule="auto"/>
              <w:rPr>
                <w:rFonts w:ascii="Arial" w:eastAsia="SimSun" w:hAnsi="Arial" w:cs="Times New Roman"/>
                <w:sz w:val="24"/>
                <w:szCs w:val="24"/>
                <w:lang w:eastAsia="zh-CN"/>
              </w:rPr>
            </w:pPr>
            <w:r w:rsidRPr="00456E5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1</w:t>
                  </w:r>
                  <w:r w:rsidRPr="00456E5C">
                    <w:rPr>
                      <w:rFonts w:ascii="Arial" w:eastAsia="SimSun" w:hAnsi="Arial" w:cs="Times New Roman"/>
                      <w:sz w:val="20"/>
                      <w:szCs w:val="20"/>
                      <w:vertAlign w:val="superscript"/>
                      <w:lang w:eastAsia="zh-CN"/>
                    </w:rPr>
                    <w:t>st</w:t>
                  </w:r>
                  <w:r w:rsidRPr="00456E5C">
                    <w:rPr>
                      <w:rFonts w:ascii="Arial" w:eastAsia="SimSun" w:hAnsi="Arial" w:cs="Times New Roman"/>
                      <w:sz w:val="20"/>
                      <w:szCs w:val="20"/>
                      <w:lang w:eastAsia="zh-CN"/>
                    </w:rPr>
                    <w:t xml:space="preserve"> Marker’s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2</w:t>
                  </w:r>
                  <w:r w:rsidRPr="00456E5C">
                    <w:rPr>
                      <w:rFonts w:ascii="Arial" w:eastAsia="SimSun" w:hAnsi="Arial" w:cs="Times New Roman"/>
                      <w:sz w:val="20"/>
                      <w:szCs w:val="20"/>
                      <w:vertAlign w:val="superscript"/>
                      <w:lang w:eastAsia="zh-CN"/>
                    </w:rPr>
                    <w:t>nd</w:t>
                  </w:r>
                  <w:r w:rsidRPr="00456E5C">
                    <w:rPr>
                      <w:rFonts w:ascii="Arial" w:eastAsia="SimSun" w:hAnsi="Arial" w:cs="Times New Roman"/>
                      <w:sz w:val="20"/>
                      <w:szCs w:val="20"/>
                      <w:lang w:eastAsia="zh-CN"/>
                    </w:rPr>
                    <w:t xml:space="preserve"> Marker’s/Moderator’s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External Examiner’s mark (if relevant)</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b/>
                      <w:sz w:val="20"/>
                      <w:szCs w:val="20"/>
                      <w:lang w:eastAsia="zh-CN"/>
                    </w:rPr>
                  </w:pPr>
                  <w:r w:rsidRPr="00456E5C">
                    <w:rPr>
                      <w:rFonts w:ascii="Arial" w:eastAsia="SimSun" w:hAnsi="Arial" w:cs="Times New Roman"/>
                      <w:b/>
                      <w:sz w:val="20"/>
                      <w:szCs w:val="20"/>
                      <w:lang w:eastAsia="zh-CN"/>
                    </w:rPr>
                    <w:t>Final Mark</w:t>
                  </w:r>
                </w:p>
                <w:p w:rsidR="00456E5C" w:rsidRPr="00456E5C" w:rsidRDefault="00456E5C" w:rsidP="00456E5C">
                  <w:pPr>
                    <w:spacing w:after="0" w:line="240" w:lineRule="auto"/>
                    <w:rPr>
                      <w:rFonts w:ascii="Arial" w:eastAsia="SimSun" w:hAnsi="Arial" w:cs="Times New Roman"/>
                      <w:sz w:val="20"/>
                      <w:szCs w:val="20"/>
                      <w:lang w:eastAsia="zh-CN"/>
                    </w:rPr>
                  </w:pP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bl>
          <w:p w:rsidR="00456E5C" w:rsidRPr="00456E5C" w:rsidRDefault="00456E5C" w:rsidP="00456E5C">
            <w:pPr>
              <w:spacing w:after="0" w:line="240" w:lineRule="auto"/>
              <w:ind w:left="142" w:right="34"/>
              <w:rPr>
                <w:rFonts w:ascii="Arial" w:eastAsia="SimSun" w:hAnsi="Arial" w:cs="Arial"/>
                <w:b/>
                <w:color w:val="000000"/>
                <w:lang w:eastAsia="zh-CN"/>
              </w:rPr>
            </w:pPr>
          </w:p>
          <w:p w:rsidR="00456E5C" w:rsidRPr="00456E5C" w:rsidRDefault="00456E5C" w:rsidP="00456E5C">
            <w:pPr>
              <w:spacing w:after="0" w:line="240" w:lineRule="auto"/>
              <w:ind w:left="142" w:right="34"/>
              <w:rPr>
                <w:rFonts w:ascii="Arial" w:eastAsia="SimSun" w:hAnsi="Arial" w:cs="Arial"/>
                <w:color w:val="000000"/>
                <w:lang w:eastAsia="zh-CN"/>
              </w:rPr>
            </w:pPr>
            <w:r w:rsidRPr="00456E5C">
              <w:rPr>
                <w:rFonts w:ascii="Arial" w:eastAsia="SimSun" w:hAnsi="Arial" w:cs="Arial"/>
                <w:b/>
                <w:color w:val="000000"/>
                <w:lang w:eastAsia="zh-CN"/>
              </w:rPr>
              <w:t>NB.</w:t>
            </w:r>
            <w:r w:rsidRPr="00456E5C">
              <w:rPr>
                <w:rFonts w:ascii="Arial" w:eastAsia="SimSun" w:hAnsi="Arial" w:cs="Arial"/>
                <w:color w:val="000000"/>
                <w:lang w:eastAsia="zh-CN"/>
              </w:rPr>
              <w:t xml:space="preserve">  All marks are provisional until confirmed by the Final Examination Board.</w:t>
            </w: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r w:rsidRPr="00456E5C">
              <w:rPr>
                <w:rFonts w:ascii="Arial" w:eastAsia="SimSun" w:hAnsi="Arial" w:cs="Arial"/>
                <w:b/>
                <w:color w:val="000000"/>
                <w:lang w:eastAsia="zh-CN"/>
              </w:rPr>
              <w:t>For completion by Marker 1 :</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r w:rsidRPr="00456E5C">
              <w:rPr>
                <w:rFonts w:ascii="Arial" w:eastAsia="SimSun" w:hAnsi="Arial" w:cs="Arial"/>
                <w:color w:val="000000"/>
                <w:lang w:eastAsia="zh-CN"/>
              </w:rPr>
              <w:t>Comments:</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p>
        </w:tc>
      </w:tr>
      <w:tr w:rsidR="00456E5C" w:rsidRPr="00456E5C" w:rsidTr="005022D7">
        <w:trPr>
          <w:trHeight w:val="492"/>
        </w:trPr>
        <w:tc>
          <w:tcPr>
            <w:tcW w:w="6768" w:type="dxa"/>
            <w:gridSpan w:val="3"/>
          </w:tcPr>
          <w:p w:rsidR="00456E5C" w:rsidRPr="00456E5C" w:rsidRDefault="00456E5C" w:rsidP="00456E5C">
            <w:pPr>
              <w:spacing w:before="100" w:beforeAutospacing="1" w:after="10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Marker’s signature:</w:t>
            </w:r>
          </w:p>
        </w:tc>
        <w:tc>
          <w:tcPr>
            <w:tcW w:w="2088" w:type="dxa"/>
            <w:gridSpan w:val="2"/>
          </w:tcPr>
          <w:p w:rsidR="00456E5C" w:rsidRPr="00456E5C" w:rsidRDefault="00456E5C" w:rsidP="00456E5C">
            <w:pPr>
              <w:spacing w:before="100" w:beforeAutospacing="1" w:after="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Date:</w:t>
            </w:r>
          </w:p>
        </w:tc>
      </w:tr>
      <w:tr w:rsidR="00456E5C" w:rsidRPr="00456E5C" w:rsidTr="005022D7">
        <w:tc>
          <w:tcPr>
            <w:tcW w:w="8856" w:type="dxa"/>
            <w:gridSpan w:val="5"/>
          </w:tcPr>
          <w:p w:rsidR="00456E5C" w:rsidRPr="00456E5C" w:rsidRDefault="00456E5C" w:rsidP="00456E5C">
            <w:pPr>
              <w:spacing w:after="0" w:line="240" w:lineRule="auto"/>
              <w:ind w:right="-334"/>
              <w:rPr>
                <w:rFonts w:ascii="Arial" w:eastAsia="SimSun" w:hAnsi="Arial" w:cs="Arial"/>
                <w:bCs/>
                <w:i/>
                <w:color w:val="000000"/>
                <w:lang w:eastAsia="zh-CN"/>
              </w:rPr>
            </w:pPr>
          </w:p>
          <w:p w:rsidR="00456E5C" w:rsidRPr="00456E5C" w:rsidRDefault="00456E5C" w:rsidP="00456E5C">
            <w:pPr>
              <w:spacing w:after="0" w:line="240" w:lineRule="auto"/>
              <w:ind w:right="-334"/>
              <w:rPr>
                <w:rFonts w:ascii="Arial" w:eastAsia="SimSun" w:hAnsi="Arial" w:cs="Arial"/>
                <w:b/>
                <w:bCs/>
                <w:color w:val="000000"/>
                <w:lang w:eastAsia="zh-CN"/>
              </w:rPr>
            </w:pPr>
            <w:r w:rsidRPr="00456E5C">
              <w:rPr>
                <w:rFonts w:ascii="Arial" w:eastAsia="SimSun" w:hAnsi="Arial" w:cs="Arial"/>
                <w:b/>
                <w:bCs/>
                <w:color w:val="000000"/>
                <w:lang w:eastAsia="zh-CN"/>
              </w:rPr>
              <w:t>For completion by Marker 2/Moderator:</w:t>
            </w:r>
          </w:p>
          <w:p w:rsidR="00456E5C" w:rsidRPr="00456E5C" w:rsidRDefault="00456E5C" w:rsidP="00456E5C">
            <w:pPr>
              <w:spacing w:after="0" w:line="240" w:lineRule="auto"/>
              <w:ind w:right="-334"/>
              <w:rPr>
                <w:rFonts w:ascii="Arial" w:eastAsia="SimSun" w:hAnsi="Arial" w:cs="Arial"/>
                <w:b/>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Comments:</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Marker’s Signature:</w:t>
            </w:r>
          </w:p>
        </w:tc>
        <w:tc>
          <w:tcPr>
            <w:tcW w:w="3645" w:type="dxa"/>
            <w:gridSpan w:val="3"/>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Date:</w:t>
            </w:r>
          </w:p>
        </w:tc>
      </w:tr>
      <w:tr w:rsidR="00456E5C" w:rsidRPr="00456E5C" w:rsidTr="005022D7">
        <w:trPr>
          <w:trHeight w:val="720"/>
        </w:trPr>
        <w:tc>
          <w:tcPr>
            <w:tcW w:w="8856" w:type="dxa"/>
            <w:gridSpan w:val="5"/>
          </w:tcPr>
          <w:p w:rsidR="00456E5C" w:rsidRPr="00456E5C" w:rsidRDefault="00456E5C" w:rsidP="00456E5C">
            <w:pPr>
              <w:spacing w:after="0" w:line="240" w:lineRule="auto"/>
              <w:rPr>
                <w:rFonts w:ascii="Arial" w:eastAsia="SimSun" w:hAnsi="Arial" w:cs="Arial"/>
                <w:b/>
                <w:lang w:eastAsia="zh-CN"/>
              </w:rPr>
            </w:pPr>
            <w:r w:rsidRPr="00456E5C">
              <w:rPr>
                <w:rFonts w:ascii="Arial" w:eastAsia="SimSun" w:hAnsi="Arial" w:cs="Arial"/>
                <w:b/>
                <w:lang w:eastAsia="zh-CN"/>
              </w:rPr>
              <w:t>External Examiner’s comments (if relevant)</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lastRenderedPageBreak/>
              <w:t>External Examiner’s Signature:</w:t>
            </w:r>
          </w:p>
        </w:tc>
        <w:tc>
          <w:tcPr>
            <w:tcW w:w="3645" w:type="dxa"/>
            <w:gridSpan w:val="3"/>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Date:</w:t>
            </w:r>
          </w:p>
        </w:tc>
      </w:tr>
    </w:tbl>
    <w:p w:rsidR="00A2275C" w:rsidRDefault="00A2275C" w:rsidP="00456E5C">
      <w:pPr>
        <w:rPr>
          <w:rFonts w:ascii="Arial" w:hAnsi="Arial" w:cs="Arial"/>
          <w:b/>
          <w:sz w:val="24"/>
          <w:szCs w:val="24"/>
        </w:rPr>
      </w:pPr>
    </w:p>
    <w:p w:rsidR="00CD3A63" w:rsidRDefault="00CD3A6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3E4293" w:rsidRDefault="003E4293"/>
    <w:p w:rsidR="00BF4C8B" w:rsidRDefault="00BF4C8B" w:rsidP="00BF4C8B">
      <w:pPr>
        <w:spacing w:line="360" w:lineRule="auto"/>
        <w:rPr>
          <w:rFonts w:ascii="Arial" w:hAnsi="Arial" w:cs="Arial"/>
          <w:sz w:val="24"/>
          <w:szCs w:val="24"/>
        </w:rPr>
      </w:pPr>
      <w:r>
        <w:rPr>
          <w:rFonts w:ascii="Arial" w:hAnsi="Arial" w:cs="Arial"/>
          <w:sz w:val="24"/>
          <w:szCs w:val="24"/>
        </w:rPr>
        <w:lastRenderedPageBreak/>
        <w:t>Compare and Contrast</w:t>
      </w:r>
      <w:r w:rsidRPr="008901B5">
        <w:rPr>
          <w:rFonts w:ascii="Arial" w:hAnsi="Arial" w:cs="Arial"/>
          <w:sz w:val="24"/>
          <w:szCs w:val="24"/>
        </w:rPr>
        <w:t xml:space="preserve"> two papers exploring their methodologies. </w:t>
      </w:r>
    </w:p>
    <w:p w:rsidR="00BF4C8B" w:rsidRPr="00BF4C8B" w:rsidRDefault="00BF4C8B" w:rsidP="00BF4C8B">
      <w:pPr>
        <w:spacing w:line="360" w:lineRule="auto"/>
        <w:rPr>
          <w:rFonts w:ascii="Arial" w:hAnsi="Arial" w:cs="Arial"/>
          <w:b/>
          <w:sz w:val="24"/>
          <w:szCs w:val="24"/>
        </w:rPr>
      </w:pPr>
      <w:r w:rsidRPr="00BF4C8B">
        <w:rPr>
          <w:rFonts w:ascii="Arial" w:hAnsi="Arial" w:cs="Arial"/>
          <w:b/>
          <w:sz w:val="24"/>
          <w:szCs w:val="24"/>
        </w:rPr>
        <w:t>Word Count: 1014</w:t>
      </w:r>
    </w:p>
    <w:p w:rsidR="00BF4C8B" w:rsidRPr="008901B5" w:rsidRDefault="00BF4C8B" w:rsidP="00BF4C8B">
      <w:pPr>
        <w:spacing w:line="360" w:lineRule="auto"/>
        <w:rPr>
          <w:rFonts w:ascii="Arial" w:hAnsi="Arial" w:cs="Arial"/>
          <w:sz w:val="24"/>
          <w:szCs w:val="24"/>
        </w:rPr>
      </w:pPr>
      <w:r>
        <w:rPr>
          <w:rFonts w:ascii="Arial" w:hAnsi="Arial" w:cs="Arial"/>
          <w:sz w:val="24"/>
          <w:szCs w:val="24"/>
        </w:rPr>
        <w:t>This</w:t>
      </w:r>
      <w:r w:rsidRPr="008901B5">
        <w:rPr>
          <w:rFonts w:ascii="Arial" w:hAnsi="Arial" w:cs="Arial"/>
          <w:sz w:val="24"/>
          <w:szCs w:val="24"/>
        </w:rPr>
        <w:t xml:space="preserve"> essay compares and contrasts the methodologies used in G. Bennett’s 1995 paper “If I knew You were Coming I’d Have Baked a Cake: The folklore of Foreknowledge in a Neighbourhood Group”, and T. L. Brink’s 1978 paper: “Inconsistency in Belief among Roman Catholic Girls: Concerning Religion, Astrology, Reincarnation”.</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Bennett’s</w:t>
      </w:r>
      <w:r w:rsidRPr="008901B5">
        <w:rPr>
          <w:rStyle w:val="FootnoteReference"/>
          <w:rFonts w:ascii="Arial" w:hAnsi="Arial" w:cs="Arial"/>
          <w:sz w:val="24"/>
          <w:szCs w:val="24"/>
        </w:rPr>
        <w:footnoteReference w:id="1"/>
      </w:r>
      <w:r w:rsidRPr="008901B5">
        <w:rPr>
          <w:rFonts w:ascii="Arial" w:hAnsi="Arial" w:cs="Arial"/>
          <w:sz w:val="24"/>
          <w:szCs w:val="24"/>
        </w:rPr>
        <w:t xml:space="preserve"> methodology was to conduct interviews with her participants whom happened to be her podiatrist father’s patients. The setting for these interviews would be her father’s well established podiatry practice, and conduct her interviews with her father’s patients whilst they were undergoing their treatment sessions. It would appear that Bennet’s selection of what Hennink, Hutter and Bailey</w:t>
      </w:r>
      <w:r w:rsidRPr="008901B5">
        <w:rPr>
          <w:rStyle w:val="FootnoteReference"/>
          <w:rFonts w:ascii="Arial" w:hAnsi="Arial" w:cs="Arial"/>
          <w:sz w:val="24"/>
          <w:szCs w:val="24"/>
        </w:rPr>
        <w:footnoteReference w:id="2"/>
      </w:r>
      <w:r w:rsidRPr="008901B5">
        <w:rPr>
          <w:rFonts w:ascii="Arial" w:hAnsi="Arial" w:cs="Arial"/>
          <w:sz w:val="24"/>
          <w:szCs w:val="24"/>
        </w:rPr>
        <w:t xml:space="preserve"> describe as a “population study”, was coincidental, since in her own words, she describes having “several false starts” before arriving at approaching her father to utilise his patients as her population study.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According to Hennink, Hutter and Bailey</w:t>
      </w:r>
      <w:r w:rsidRPr="008901B5">
        <w:rPr>
          <w:rStyle w:val="FootnoteReference"/>
          <w:rFonts w:ascii="Arial" w:hAnsi="Arial" w:cs="Arial"/>
          <w:sz w:val="24"/>
          <w:szCs w:val="24"/>
        </w:rPr>
        <w:footnoteReference w:id="3"/>
      </w:r>
      <w:r w:rsidRPr="008901B5">
        <w:rPr>
          <w:rFonts w:ascii="Arial" w:hAnsi="Arial" w:cs="Arial"/>
          <w:sz w:val="24"/>
          <w:szCs w:val="24"/>
        </w:rPr>
        <w:t xml:space="preserve">, some of the ethical concerns with this approach can be outlined as the lack of consideration for informed consent to participate since the researcher imposed her research onto the participants in the presence of her father whom was in a position of authority to the participants. Additionally, there are concerns around patient confidentiality since the researcher imposed herself on the appointments of the patients without any specific details as to how this had come about.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Conversely, the methodology utilised by Brink</w:t>
      </w:r>
      <w:r w:rsidRPr="008901B5">
        <w:rPr>
          <w:rStyle w:val="FootnoteReference"/>
          <w:rFonts w:ascii="Arial" w:hAnsi="Arial" w:cs="Arial"/>
          <w:sz w:val="24"/>
          <w:szCs w:val="24"/>
        </w:rPr>
        <w:footnoteReference w:id="4"/>
      </w:r>
      <w:r w:rsidRPr="008901B5">
        <w:rPr>
          <w:rFonts w:ascii="Arial" w:hAnsi="Arial" w:cs="Arial"/>
          <w:sz w:val="24"/>
          <w:szCs w:val="24"/>
        </w:rPr>
        <w:t xml:space="preserve"> utilises questionnaires distributed to students at a Catholic girl’s high school. These questionnaires were distributed to “whoever was present in religious class that day”. The “population study” is </w:t>
      </w:r>
      <w:r w:rsidRPr="008901B5">
        <w:rPr>
          <w:rFonts w:ascii="Arial" w:hAnsi="Arial" w:cs="Arial"/>
          <w:sz w:val="24"/>
          <w:szCs w:val="24"/>
        </w:rPr>
        <w:lastRenderedPageBreak/>
        <w:t xml:space="preserve">predetermined in this study and seemingly, matches the research outcome. It is assumed that “whoever was present” refers to students and doesn’t’ include teaching staff or others. One of the features of some of the statements that the participants were expected to respond to also raises the question of how suitable these questions since one of them asks the participants to comment on if they “would have my children baptised”.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 xml:space="preserve">Some of the ethical concerns about this approach as highlighted in Hennink, Hutter and Bailey, include no clear mechanism for participants to opt in or out of this research, and an imposition on the participant’s learning space.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Both papers do not make reference to any confidentiality statements, this could be due to the time frame in which each paper is set, however the other factor to consider is that Bennet’s research appears to be set in the UK, whilst Brink’s paper appears to be set in the US. Each country has different legislative requirements around data.</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Bennett’s relationship to her research group would have been facilitated by her father. Although her father would have been the common denominator between her and the population group, Bennett’s father and would have fulfilled the role of a “community gatekeeper”. This is because a community gatekeeper, according to Hennink, Hutter and Bailey</w:t>
      </w:r>
      <w:r w:rsidRPr="008901B5">
        <w:rPr>
          <w:rStyle w:val="FootnoteReference"/>
          <w:rFonts w:ascii="Arial" w:hAnsi="Arial" w:cs="Arial"/>
          <w:sz w:val="24"/>
          <w:szCs w:val="24"/>
        </w:rPr>
        <w:footnoteReference w:id="5"/>
      </w:r>
      <w:r w:rsidRPr="008901B5">
        <w:rPr>
          <w:rFonts w:ascii="Arial" w:hAnsi="Arial" w:cs="Arial"/>
          <w:sz w:val="24"/>
          <w:szCs w:val="24"/>
        </w:rPr>
        <w:t xml:space="preserve">, can be a local service provider and doesn’t always have to be a member of said community. Through this set up, Bennett would have been perceived by the participants in her research as an outsider, and through her association with her father, as a person in a position of authority.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 xml:space="preserve">Similarly, it is assumed that Brink would have gained access to his research participants through the school leadership team. There is no insinuation that this was ethical given the issues highlighted above, however this is a description of how the researcher would have used an intermediary to access his research participants. The gender differences along with the assumed age difference between the researcher and his participants makes a case to position Brink as an outsider on the insider/ outsider continuum.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lastRenderedPageBreak/>
        <w:t>The literature review presented by Bennett in her paper, does suggest a very limited exploration of literature relating to her research topic. Her write up does demonstrate that she has attempted to locate her paper in the wider body of related work. She does not however reference any literature that she consulted to support her in developing her methodology, or her population group selection. Undertaking this may have helped her consider some of the ethical issues raised earlier.</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 xml:space="preserve">Brink’s literature review appeared to be very minimal considering the wide range of topics that was covered in his questionnaire. Most notable was also the complete lack of reference to any core texts on astrology or reincarnation when these were critical to the research question. There was also no reference as to the rationale of the methodology selected of why the researcher felt that this was the most appropriate to the topic. There is not reference to how this research is positioned in the context of other or similar research. </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Both papers are limited in how they frame their research in the context of other research in their respective fields, however Bennett’s paper does provide a bit more context that Brinks’s paper.</w:t>
      </w:r>
    </w:p>
    <w:p w:rsidR="00BF4C8B" w:rsidRPr="008901B5" w:rsidRDefault="00BF4C8B" w:rsidP="00BF4C8B">
      <w:pPr>
        <w:spacing w:line="360" w:lineRule="auto"/>
        <w:rPr>
          <w:rFonts w:ascii="Arial" w:hAnsi="Arial" w:cs="Arial"/>
          <w:sz w:val="24"/>
          <w:szCs w:val="24"/>
        </w:rPr>
      </w:pPr>
      <w:r w:rsidRPr="008901B5">
        <w:rPr>
          <w:rFonts w:ascii="Arial" w:hAnsi="Arial" w:cs="Arial"/>
          <w:sz w:val="24"/>
          <w:szCs w:val="24"/>
        </w:rPr>
        <w:t>This essay looked at comparing and contrasting a range research papers by Bennett and Brink from the perspective of their methodologies, the position of the researcher from the insider/ outsider continuum and the context of their literature review. The essay identified a number of ethical and structural concerns that would fit outside of what would be expected in an ethical and modern piece of qualitative research in the 21</w:t>
      </w:r>
      <w:r w:rsidRPr="008901B5">
        <w:rPr>
          <w:rFonts w:ascii="Arial" w:hAnsi="Arial" w:cs="Arial"/>
          <w:sz w:val="24"/>
          <w:szCs w:val="24"/>
          <w:vertAlign w:val="superscript"/>
        </w:rPr>
        <w:t>st</w:t>
      </w:r>
      <w:r w:rsidRPr="008901B5">
        <w:rPr>
          <w:rFonts w:ascii="Arial" w:hAnsi="Arial" w:cs="Arial"/>
          <w:sz w:val="24"/>
          <w:szCs w:val="24"/>
        </w:rPr>
        <w:t xml:space="preserve"> century. It also highlighted how research can be a snap shot of the practices that were acceptable in the time that the research was carried out.   </w:t>
      </w:r>
    </w:p>
    <w:p w:rsidR="003E4293" w:rsidRDefault="003E4293"/>
    <w:p w:rsidR="00BF4C8B" w:rsidRDefault="00BF4C8B"/>
    <w:p w:rsidR="00BF4C8B" w:rsidRDefault="00BF4C8B"/>
    <w:p w:rsidR="00BF4C8B" w:rsidRDefault="00BF4C8B"/>
    <w:p w:rsidR="00BF4C8B" w:rsidRDefault="00BF4C8B"/>
    <w:p w:rsidR="00BF4C8B" w:rsidRDefault="00BF4C8B"/>
    <w:p w:rsidR="00BF4C8B" w:rsidRPr="00BF4C8B" w:rsidRDefault="00BF4C8B">
      <w:pPr>
        <w:rPr>
          <w:rFonts w:ascii="Arial" w:hAnsi="Arial" w:cs="Arial"/>
          <w:b/>
          <w:sz w:val="24"/>
          <w:szCs w:val="24"/>
        </w:rPr>
      </w:pPr>
      <w:r w:rsidRPr="00BF4C8B">
        <w:rPr>
          <w:rFonts w:ascii="Arial" w:hAnsi="Arial" w:cs="Arial"/>
          <w:b/>
          <w:sz w:val="24"/>
          <w:szCs w:val="24"/>
        </w:rPr>
        <w:lastRenderedPageBreak/>
        <w:t>References:</w:t>
      </w:r>
    </w:p>
    <w:p w:rsidR="00BF4C8B" w:rsidRDefault="00BF4C8B" w:rsidP="00BF4C8B">
      <w:pPr>
        <w:rPr>
          <w:rFonts w:ascii="Arial" w:hAnsi="Arial" w:cs="Arial"/>
          <w:sz w:val="24"/>
          <w:szCs w:val="24"/>
        </w:rPr>
      </w:pPr>
      <w:r w:rsidRPr="00BF4C8B">
        <w:rPr>
          <w:rFonts w:ascii="Arial" w:hAnsi="Arial" w:cs="Arial"/>
          <w:sz w:val="24"/>
          <w:szCs w:val="24"/>
        </w:rPr>
        <w:t>Bennett,</w:t>
      </w:r>
      <w:r w:rsidR="00FB4FC4">
        <w:rPr>
          <w:rFonts w:ascii="Arial" w:hAnsi="Arial" w:cs="Arial"/>
          <w:sz w:val="24"/>
          <w:szCs w:val="24"/>
        </w:rPr>
        <w:t>G.</w:t>
      </w:r>
      <w:r w:rsidRPr="00BF4C8B">
        <w:rPr>
          <w:rFonts w:ascii="Arial" w:hAnsi="Arial" w:cs="Arial"/>
          <w:sz w:val="24"/>
          <w:szCs w:val="24"/>
        </w:rPr>
        <w:t xml:space="preserve"> “</w:t>
      </w:r>
      <w:r w:rsidRPr="00BF4C8B">
        <w:rPr>
          <w:rFonts w:ascii="Arial" w:hAnsi="Arial" w:cs="Arial"/>
          <w:i/>
          <w:sz w:val="24"/>
          <w:szCs w:val="24"/>
        </w:rPr>
        <w:t>If I knew you were Coming I’d Have Baked a Cake”: The Folklore of Foreknowledge in a Neighbourhood Group, In out of the Ordinary: Folklore and the Supernatural</w:t>
      </w:r>
      <w:r w:rsidRPr="00BF4C8B">
        <w:rPr>
          <w:rFonts w:ascii="Arial" w:hAnsi="Arial" w:cs="Arial"/>
          <w:sz w:val="24"/>
          <w:szCs w:val="24"/>
        </w:rPr>
        <w:t>, Logan, Utah: Utah University Press, 1995</w:t>
      </w:r>
      <w:r>
        <w:rPr>
          <w:rFonts w:ascii="Arial" w:hAnsi="Arial" w:cs="Arial"/>
          <w:sz w:val="24"/>
          <w:szCs w:val="24"/>
        </w:rPr>
        <w:t>.</w:t>
      </w:r>
    </w:p>
    <w:p w:rsidR="00BF4C8B" w:rsidRDefault="00BF4C8B" w:rsidP="00BF4C8B">
      <w:pPr>
        <w:rPr>
          <w:rFonts w:ascii="Arial" w:hAnsi="Arial" w:cs="Arial"/>
          <w:sz w:val="24"/>
          <w:szCs w:val="24"/>
        </w:rPr>
      </w:pPr>
    </w:p>
    <w:p w:rsidR="00BF4C8B" w:rsidRDefault="00BF4C8B" w:rsidP="00BF4C8B">
      <w:pPr>
        <w:rPr>
          <w:rFonts w:ascii="Arial" w:hAnsi="Arial" w:cs="Arial"/>
          <w:sz w:val="24"/>
          <w:szCs w:val="24"/>
        </w:rPr>
      </w:pPr>
      <w:r w:rsidRPr="00BF4C8B">
        <w:rPr>
          <w:rFonts w:ascii="Arial" w:hAnsi="Arial" w:cs="Arial"/>
          <w:sz w:val="24"/>
          <w:szCs w:val="24"/>
        </w:rPr>
        <w:t>Hennink,</w:t>
      </w:r>
      <w:r w:rsidR="00FB4FC4">
        <w:rPr>
          <w:rFonts w:ascii="Arial" w:hAnsi="Arial" w:cs="Arial"/>
          <w:sz w:val="24"/>
          <w:szCs w:val="24"/>
        </w:rPr>
        <w:t xml:space="preserve"> M., </w:t>
      </w:r>
      <w:r w:rsidRPr="00BF4C8B">
        <w:rPr>
          <w:rFonts w:ascii="Arial" w:hAnsi="Arial" w:cs="Arial"/>
          <w:sz w:val="24"/>
          <w:szCs w:val="24"/>
        </w:rPr>
        <w:t xml:space="preserve">Hutter, </w:t>
      </w:r>
      <w:r w:rsidR="00FB4FC4">
        <w:rPr>
          <w:rFonts w:ascii="Arial" w:hAnsi="Arial" w:cs="Arial"/>
          <w:sz w:val="24"/>
          <w:szCs w:val="24"/>
        </w:rPr>
        <w:t xml:space="preserve">I., </w:t>
      </w:r>
      <w:r w:rsidRPr="00BF4C8B">
        <w:rPr>
          <w:rFonts w:ascii="Arial" w:hAnsi="Arial" w:cs="Arial"/>
          <w:sz w:val="24"/>
          <w:szCs w:val="24"/>
        </w:rPr>
        <w:t xml:space="preserve">Bailey, </w:t>
      </w:r>
      <w:r w:rsidR="00FB4FC4">
        <w:rPr>
          <w:rFonts w:ascii="Arial" w:hAnsi="Arial" w:cs="Arial"/>
          <w:sz w:val="24"/>
          <w:szCs w:val="24"/>
        </w:rPr>
        <w:t xml:space="preserve">A., </w:t>
      </w:r>
      <w:r w:rsidRPr="00BF4C8B">
        <w:rPr>
          <w:rFonts w:ascii="Arial" w:hAnsi="Arial" w:cs="Arial"/>
          <w:i/>
          <w:sz w:val="24"/>
          <w:szCs w:val="24"/>
        </w:rPr>
        <w:t>Qualitative Research Methods</w:t>
      </w:r>
      <w:r w:rsidRPr="00BF4C8B">
        <w:rPr>
          <w:rFonts w:ascii="Arial" w:hAnsi="Arial" w:cs="Arial"/>
          <w:sz w:val="24"/>
          <w:szCs w:val="24"/>
        </w:rPr>
        <w:t>,</w:t>
      </w:r>
      <w:r w:rsidR="00FB4FC4">
        <w:rPr>
          <w:rFonts w:ascii="Arial" w:hAnsi="Arial" w:cs="Arial"/>
          <w:sz w:val="24"/>
          <w:szCs w:val="24"/>
        </w:rPr>
        <w:t xml:space="preserve"> </w:t>
      </w:r>
      <w:r w:rsidRPr="00BF4C8B">
        <w:rPr>
          <w:rFonts w:ascii="Arial" w:hAnsi="Arial" w:cs="Arial"/>
          <w:sz w:val="24"/>
          <w:szCs w:val="24"/>
        </w:rPr>
        <w:t xml:space="preserve">London, SAGE Publications Ltd, </w:t>
      </w:r>
      <w:r w:rsidR="00FB4FC4">
        <w:rPr>
          <w:rFonts w:ascii="Arial" w:hAnsi="Arial" w:cs="Arial"/>
          <w:sz w:val="24"/>
          <w:szCs w:val="24"/>
        </w:rPr>
        <w:t>2015.</w:t>
      </w:r>
    </w:p>
    <w:p w:rsidR="00BF4C8B" w:rsidRDefault="00BF4C8B" w:rsidP="00BF4C8B">
      <w:pPr>
        <w:rPr>
          <w:rFonts w:ascii="Arial" w:hAnsi="Arial" w:cs="Arial"/>
          <w:sz w:val="24"/>
          <w:szCs w:val="24"/>
        </w:rPr>
      </w:pPr>
    </w:p>
    <w:p w:rsidR="00BF4C8B" w:rsidRPr="00BF4C8B" w:rsidRDefault="00BF4C8B" w:rsidP="00BF4C8B">
      <w:pPr>
        <w:rPr>
          <w:rFonts w:ascii="Arial" w:hAnsi="Arial" w:cs="Arial"/>
          <w:sz w:val="24"/>
          <w:szCs w:val="24"/>
        </w:rPr>
      </w:pPr>
      <w:r w:rsidRPr="00BF4C8B">
        <w:rPr>
          <w:rFonts w:ascii="Arial" w:hAnsi="Arial" w:cs="Arial"/>
          <w:sz w:val="24"/>
          <w:szCs w:val="24"/>
        </w:rPr>
        <w:t>Brink,</w:t>
      </w:r>
      <w:r w:rsidR="00FB4FC4">
        <w:rPr>
          <w:rFonts w:ascii="Arial" w:hAnsi="Arial" w:cs="Arial"/>
          <w:sz w:val="24"/>
          <w:szCs w:val="24"/>
        </w:rPr>
        <w:t xml:space="preserve"> T. L.,</w:t>
      </w:r>
      <w:r w:rsidRPr="00BF4C8B">
        <w:rPr>
          <w:rFonts w:ascii="Arial" w:hAnsi="Arial" w:cs="Arial"/>
          <w:sz w:val="24"/>
          <w:szCs w:val="24"/>
        </w:rPr>
        <w:t xml:space="preserve"> </w:t>
      </w:r>
      <w:r w:rsidRPr="00FB4FC4">
        <w:rPr>
          <w:rFonts w:ascii="Arial" w:hAnsi="Arial" w:cs="Arial"/>
          <w:i/>
          <w:sz w:val="24"/>
          <w:szCs w:val="24"/>
        </w:rPr>
        <w:t>Inconsistency of Belief among Roman Catholic Girls: Concerning Religion, Astrology, Reincarnation. Review of Religious Research</w:t>
      </w:r>
      <w:r w:rsidRPr="00BF4C8B">
        <w:rPr>
          <w:rFonts w:ascii="Arial" w:hAnsi="Arial" w:cs="Arial"/>
          <w:sz w:val="24"/>
          <w:szCs w:val="24"/>
        </w:rPr>
        <w:t>, (Religious Research Association</w:t>
      </w:r>
      <w:r w:rsidR="00FB4FC4">
        <w:rPr>
          <w:rFonts w:ascii="Arial" w:hAnsi="Arial" w:cs="Arial"/>
          <w:sz w:val="24"/>
          <w:szCs w:val="24"/>
        </w:rPr>
        <w:t xml:space="preserve"> Inc, 1978.</w:t>
      </w:r>
    </w:p>
    <w:sectPr w:rsidR="00BF4C8B" w:rsidRPr="00BF4C8B" w:rsidSect="00456E5C">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85D" w:rsidRDefault="001E485D" w:rsidP="001E485D">
      <w:pPr>
        <w:spacing w:after="0" w:line="240" w:lineRule="auto"/>
      </w:pPr>
      <w:r>
        <w:separator/>
      </w:r>
    </w:p>
  </w:endnote>
  <w:endnote w:type="continuationSeparator" w:id="0">
    <w:p w:rsidR="001E485D" w:rsidRDefault="001E485D" w:rsidP="001E4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85D" w:rsidRDefault="001E485D" w:rsidP="001E485D">
      <w:pPr>
        <w:spacing w:after="0" w:line="240" w:lineRule="auto"/>
      </w:pPr>
      <w:r>
        <w:separator/>
      </w:r>
    </w:p>
  </w:footnote>
  <w:footnote w:type="continuationSeparator" w:id="0">
    <w:p w:rsidR="001E485D" w:rsidRDefault="001E485D" w:rsidP="001E485D">
      <w:pPr>
        <w:spacing w:after="0" w:line="240" w:lineRule="auto"/>
      </w:pPr>
      <w:r>
        <w:continuationSeparator/>
      </w:r>
    </w:p>
  </w:footnote>
  <w:footnote w:id="1">
    <w:p w:rsidR="00BF4C8B" w:rsidRDefault="00BF4C8B" w:rsidP="00BF4C8B">
      <w:pPr>
        <w:pStyle w:val="FootnoteText"/>
      </w:pPr>
      <w:r>
        <w:rPr>
          <w:rStyle w:val="FootnoteReference"/>
        </w:rPr>
        <w:footnoteRef/>
      </w:r>
      <w:r>
        <w:t xml:space="preserve"> G. Bennett, “</w:t>
      </w:r>
      <w:r w:rsidRPr="0012098E">
        <w:rPr>
          <w:i/>
        </w:rPr>
        <w:t>If I knew you were Coming I’d Have Baked a Cake”: The Folklore of Foreknowledge in a Neighbourhood Group, In out of the Ordinary: Folklore and the Supernatural</w:t>
      </w:r>
      <w:r>
        <w:t>, (Logan, Utah: Utah University Press, 1995), 122-124</w:t>
      </w:r>
    </w:p>
  </w:footnote>
  <w:footnote w:id="2">
    <w:p w:rsidR="00BF4C8B" w:rsidRDefault="00BF4C8B" w:rsidP="00BF4C8B">
      <w:pPr>
        <w:pStyle w:val="FootnoteText"/>
      </w:pPr>
      <w:r>
        <w:rPr>
          <w:rStyle w:val="FootnoteReference"/>
        </w:rPr>
        <w:footnoteRef/>
      </w:r>
      <w:r>
        <w:t xml:space="preserve"> M. Hennink, Inge Hutter, A, Bailey, </w:t>
      </w:r>
      <w:r w:rsidRPr="00E84D4E">
        <w:rPr>
          <w:i/>
        </w:rPr>
        <w:t>Qualitative Research Methods</w:t>
      </w:r>
      <w:r>
        <w:t xml:space="preserve">, (London, SAGE Publications Ltd, 2015), 85. </w:t>
      </w:r>
    </w:p>
  </w:footnote>
  <w:footnote w:id="3">
    <w:p w:rsidR="00BF4C8B" w:rsidRDefault="00BF4C8B" w:rsidP="00BF4C8B">
      <w:pPr>
        <w:pStyle w:val="FootnoteText"/>
      </w:pPr>
      <w:r>
        <w:rPr>
          <w:rStyle w:val="FootnoteReference"/>
        </w:rPr>
        <w:footnoteRef/>
      </w:r>
      <w:r>
        <w:t xml:space="preserve"> M. Hennink, Inge Hutter, A, Bailey, </w:t>
      </w:r>
      <w:r w:rsidRPr="00E84D4E">
        <w:rPr>
          <w:i/>
        </w:rPr>
        <w:t>Qualitative Research Methods</w:t>
      </w:r>
      <w:r>
        <w:t>, (London, SAGE Publications Ltd, 2015), 66-69</w:t>
      </w:r>
    </w:p>
  </w:footnote>
  <w:footnote w:id="4">
    <w:p w:rsidR="00BF4C8B" w:rsidRDefault="00BF4C8B" w:rsidP="00BF4C8B">
      <w:pPr>
        <w:pStyle w:val="FootnoteText"/>
      </w:pPr>
      <w:r>
        <w:rPr>
          <w:rStyle w:val="FootnoteReference"/>
        </w:rPr>
        <w:footnoteRef/>
      </w:r>
      <w:r>
        <w:t xml:space="preserve"> T. L. Brink, Inconsistency of Belief among Roman Catholic Girls: Concerning Religion, Astrology, Reincarnation. Review of Religious Research, (Religious Research Association Inc, 1978), 82-85.</w:t>
      </w:r>
    </w:p>
  </w:footnote>
  <w:footnote w:id="5">
    <w:p w:rsidR="00BF4C8B" w:rsidRDefault="00BF4C8B" w:rsidP="00BF4C8B">
      <w:pPr>
        <w:pStyle w:val="FootnoteText"/>
      </w:pPr>
      <w:r>
        <w:rPr>
          <w:rStyle w:val="FootnoteReference"/>
        </w:rPr>
        <w:footnoteRef/>
      </w:r>
      <w:r>
        <w:t xml:space="preserve"> M. Hennink, Inge Hutter, A, Bailey, </w:t>
      </w:r>
      <w:r w:rsidRPr="00E84D4E">
        <w:rPr>
          <w:i/>
        </w:rPr>
        <w:t>Qualitative Research Methods</w:t>
      </w:r>
      <w:r>
        <w:t>, (London, SAGE Publications Ltd, 2015), 92-93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746DFA" w:rsidRDefault="00746DFA" w:rsidP="00746DFA">
        <w:pPr>
          <w:pStyle w:val="Header"/>
        </w:pPr>
        <w:r>
          <w:t xml:space="preserve">Niema Bohrayba  </w:t>
        </w:r>
        <w:r>
          <w:rPr>
            <w:rFonts w:eastAsia="Times New Roman"/>
          </w:rPr>
          <w:t>1707539</w:t>
        </w:r>
      </w:p>
      <w:p w:rsidR="00746DFA" w:rsidRDefault="00746DFA">
        <w:pPr>
          <w:pStyle w:val="Header"/>
          <w:jc w:val="right"/>
        </w:pPr>
      </w:p>
      <w:p w:rsidR="00746DFA" w:rsidRDefault="00746DF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F399B">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F399B">
          <w:rPr>
            <w:b/>
            <w:bCs/>
            <w:noProof/>
          </w:rPr>
          <w:t>7</w:t>
        </w:r>
        <w:r>
          <w:rPr>
            <w:b/>
            <w:bCs/>
            <w:sz w:val="24"/>
            <w:szCs w:val="24"/>
          </w:rPr>
          <w:fldChar w:fldCharType="end"/>
        </w:r>
      </w:p>
    </w:sdtContent>
  </w:sdt>
  <w:p w:rsidR="001E485D" w:rsidRDefault="001E48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38"/>
    <w:rsid w:val="00070D9A"/>
    <w:rsid w:val="00083797"/>
    <w:rsid w:val="000B284A"/>
    <w:rsid w:val="000F399B"/>
    <w:rsid w:val="000F638A"/>
    <w:rsid w:val="00160D4F"/>
    <w:rsid w:val="00196DBB"/>
    <w:rsid w:val="001D6191"/>
    <w:rsid w:val="001E485D"/>
    <w:rsid w:val="00266FAF"/>
    <w:rsid w:val="002842F0"/>
    <w:rsid w:val="002D0CD4"/>
    <w:rsid w:val="002E216A"/>
    <w:rsid w:val="003241C9"/>
    <w:rsid w:val="0039016B"/>
    <w:rsid w:val="003B38AF"/>
    <w:rsid w:val="003B63D6"/>
    <w:rsid w:val="003E3688"/>
    <w:rsid w:val="003E4293"/>
    <w:rsid w:val="003E561D"/>
    <w:rsid w:val="00411534"/>
    <w:rsid w:val="00456E5C"/>
    <w:rsid w:val="004670EB"/>
    <w:rsid w:val="004A2527"/>
    <w:rsid w:val="004C23E8"/>
    <w:rsid w:val="0051470F"/>
    <w:rsid w:val="0051740B"/>
    <w:rsid w:val="00523046"/>
    <w:rsid w:val="00566A9F"/>
    <w:rsid w:val="006344C5"/>
    <w:rsid w:val="00650BB0"/>
    <w:rsid w:val="00654EF2"/>
    <w:rsid w:val="0065519B"/>
    <w:rsid w:val="00674138"/>
    <w:rsid w:val="006A063B"/>
    <w:rsid w:val="006C5501"/>
    <w:rsid w:val="006D79AA"/>
    <w:rsid w:val="006E26E3"/>
    <w:rsid w:val="006F3005"/>
    <w:rsid w:val="00746DFA"/>
    <w:rsid w:val="00772EDD"/>
    <w:rsid w:val="007E385F"/>
    <w:rsid w:val="007F0857"/>
    <w:rsid w:val="008201BA"/>
    <w:rsid w:val="008E1720"/>
    <w:rsid w:val="008E3380"/>
    <w:rsid w:val="008F0808"/>
    <w:rsid w:val="0093047B"/>
    <w:rsid w:val="009308A1"/>
    <w:rsid w:val="00930C09"/>
    <w:rsid w:val="00934262"/>
    <w:rsid w:val="0098448F"/>
    <w:rsid w:val="009C157D"/>
    <w:rsid w:val="00A2275C"/>
    <w:rsid w:val="00A54C1F"/>
    <w:rsid w:val="00A867E1"/>
    <w:rsid w:val="00B676C5"/>
    <w:rsid w:val="00BF4C8B"/>
    <w:rsid w:val="00C51316"/>
    <w:rsid w:val="00C533FB"/>
    <w:rsid w:val="00C64F27"/>
    <w:rsid w:val="00C907DF"/>
    <w:rsid w:val="00CD3A63"/>
    <w:rsid w:val="00CD460C"/>
    <w:rsid w:val="00CE1CC3"/>
    <w:rsid w:val="00D24A53"/>
    <w:rsid w:val="00D32AEA"/>
    <w:rsid w:val="00D421DC"/>
    <w:rsid w:val="00D64056"/>
    <w:rsid w:val="00D86017"/>
    <w:rsid w:val="00D95AEA"/>
    <w:rsid w:val="00E05110"/>
    <w:rsid w:val="00E163C1"/>
    <w:rsid w:val="00E355E9"/>
    <w:rsid w:val="00F76EE3"/>
    <w:rsid w:val="00F85EEC"/>
    <w:rsid w:val="00FB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D3ACD7"/>
  <w15:docId w15:val="{3D02F2ED-6C8F-4D51-B480-16F55C07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semiHidden/>
    <w:unhideWhenUsed/>
    <w:rsid w:val="00BF4C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4C8B"/>
    <w:rPr>
      <w:sz w:val="20"/>
      <w:szCs w:val="20"/>
    </w:rPr>
  </w:style>
  <w:style w:type="character" w:styleId="FootnoteReference">
    <w:name w:val="footnote reference"/>
    <w:basedOn w:val="DefaultParagraphFont"/>
    <w:uiPriority w:val="99"/>
    <w:semiHidden/>
    <w:unhideWhenUsed/>
    <w:rsid w:val="00BF4C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57937">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3">
          <w:marLeft w:val="0"/>
          <w:marRight w:val="0"/>
          <w:marTop w:val="0"/>
          <w:marBottom w:val="0"/>
          <w:divBdr>
            <w:top w:val="none" w:sz="0" w:space="0" w:color="auto"/>
            <w:left w:val="none" w:sz="0" w:space="0" w:color="auto"/>
            <w:bottom w:val="none" w:sz="0" w:space="0" w:color="auto"/>
            <w:right w:val="none" w:sz="0" w:space="0" w:color="auto"/>
          </w:divBdr>
          <w:divsChild>
            <w:div w:id="371728689">
              <w:marLeft w:val="0"/>
              <w:marRight w:val="0"/>
              <w:marTop w:val="750"/>
              <w:marBottom w:val="0"/>
              <w:divBdr>
                <w:top w:val="none" w:sz="0" w:space="0" w:color="auto"/>
                <w:left w:val="none" w:sz="0" w:space="0" w:color="auto"/>
                <w:bottom w:val="none" w:sz="0" w:space="0" w:color="auto"/>
                <w:right w:val="none" w:sz="0" w:space="0" w:color="auto"/>
              </w:divBdr>
              <w:divsChild>
                <w:div w:id="1720090603">
                  <w:marLeft w:val="0"/>
                  <w:marRight w:val="0"/>
                  <w:marTop w:val="1500"/>
                  <w:marBottom w:val="0"/>
                  <w:divBdr>
                    <w:top w:val="single" w:sz="6" w:space="0" w:color="FFFFFF"/>
                    <w:left w:val="single" w:sz="6" w:space="0" w:color="FFFFFF"/>
                    <w:bottom w:val="single" w:sz="6" w:space="0" w:color="FFFFFF"/>
                    <w:right w:val="single" w:sz="6" w:space="0" w:color="FFFFFF"/>
                  </w:divBdr>
                  <w:divsChild>
                    <w:div w:id="1913930713">
                      <w:marLeft w:val="-225"/>
                      <w:marRight w:val="-225"/>
                      <w:marTop w:val="0"/>
                      <w:marBottom w:val="0"/>
                      <w:divBdr>
                        <w:top w:val="none" w:sz="0" w:space="0" w:color="auto"/>
                        <w:left w:val="none" w:sz="0" w:space="0" w:color="auto"/>
                        <w:bottom w:val="none" w:sz="0" w:space="0" w:color="auto"/>
                        <w:right w:val="none" w:sz="0" w:space="0" w:color="auto"/>
                      </w:divBdr>
                      <w:divsChild>
                        <w:div w:id="1647903270">
                          <w:marLeft w:val="0"/>
                          <w:marRight w:val="0"/>
                          <w:marTop w:val="0"/>
                          <w:marBottom w:val="0"/>
                          <w:divBdr>
                            <w:top w:val="none" w:sz="0" w:space="0" w:color="auto"/>
                            <w:left w:val="none" w:sz="0" w:space="0" w:color="auto"/>
                            <w:bottom w:val="none" w:sz="0" w:space="0" w:color="auto"/>
                            <w:right w:val="none" w:sz="0" w:space="0" w:color="auto"/>
                          </w:divBdr>
                          <w:divsChild>
                            <w:div w:id="1240217980">
                              <w:marLeft w:val="0"/>
                              <w:marRight w:val="0"/>
                              <w:marTop w:val="0"/>
                              <w:marBottom w:val="0"/>
                              <w:divBdr>
                                <w:top w:val="none" w:sz="0" w:space="0" w:color="auto"/>
                                <w:left w:val="none" w:sz="0" w:space="0" w:color="auto"/>
                                <w:bottom w:val="none" w:sz="0" w:space="0" w:color="auto"/>
                                <w:right w:val="none" w:sz="0" w:space="0" w:color="auto"/>
                              </w:divBdr>
                              <w:divsChild>
                                <w:div w:id="405952857">
                                  <w:marLeft w:val="0"/>
                                  <w:marRight w:val="0"/>
                                  <w:marTop w:val="0"/>
                                  <w:marBottom w:val="0"/>
                                  <w:divBdr>
                                    <w:top w:val="none" w:sz="0" w:space="0" w:color="auto"/>
                                    <w:left w:val="none" w:sz="0" w:space="0" w:color="auto"/>
                                    <w:bottom w:val="none" w:sz="0" w:space="0" w:color="auto"/>
                                    <w:right w:val="none" w:sz="0" w:space="0" w:color="auto"/>
                                  </w:divBdr>
                                  <w:divsChild>
                                    <w:div w:id="865027371">
                                      <w:marLeft w:val="0"/>
                                      <w:marRight w:val="0"/>
                                      <w:marTop w:val="0"/>
                                      <w:marBottom w:val="0"/>
                                      <w:divBdr>
                                        <w:top w:val="none" w:sz="0" w:space="0" w:color="auto"/>
                                        <w:left w:val="none" w:sz="0" w:space="0" w:color="auto"/>
                                        <w:bottom w:val="none" w:sz="0" w:space="0" w:color="auto"/>
                                        <w:right w:val="none" w:sz="0" w:space="0" w:color="auto"/>
                                      </w:divBdr>
                                      <w:divsChild>
                                        <w:div w:id="1690134633">
                                          <w:marLeft w:val="0"/>
                                          <w:marRight w:val="0"/>
                                          <w:marTop w:val="0"/>
                                          <w:marBottom w:val="0"/>
                                          <w:divBdr>
                                            <w:top w:val="none" w:sz="0" w:space="0" w:color="auto"/>
                                            <w:left w:val="none" w:sz="0" w:space="0" w:color="auto"/>
                                            <w:bottom w:val="none" w:sz="0" w:space="0" w:color="auto"/>
                                            <w:right w:val="none" w:sz="0" w:space="0" w:color="auto"/>
                                          </w:divBdr>
                                          <w:divsChild>
                                            <w:div w:id="2067410576">
                                              <w:marLeft w:val="0"/>
                                              <w:marRight w:val="0"/>
                                              <w:marTop w:val="0"/>
                                              <w:marBottom w:val="0"/>
                                              <w:divBdr>
                                                <w:top w:val="none" w:sz="0" w:space="0" w:color="auto"/>
                                                <w:left w:val="none" w:sz="0" w:space="0" w:color="auto"/>
                                                <w:bottom w:val="none" w:sz="0" w:space="0" w:color="auto"/>
                                                <w:right w:val="none" w:sz="0" w:space="0" w:color="auto"/>
                                              </w:divBdr>
                                              <w:divsChild>
                                                <w:div w:id="323516457">
                                                  <w:marLeft w:val="0"/>
                                                  <w:marRight w:val="0"/>
                                                  <w:marTop w:val="0"/>
                                                  <w:marBottom w:val="0"/>
                                                  <w:divBdr>
                                                    <w:top w:val="none" w:sz="0" w:space="0" w:color="auto"/>
                                                    <w:left w:val="none" w:sz="0" w:space="0" w:color="auto"/>
                                                    <w:bottom w:val="none" w:sz="0" w:space="0" w:color="auto"/>
                                                    <w:right w:val="none" w:sz="0" w:space="0" w:color="auto"/>
                                                  </w:divBdr>
                                                  <w:divsChild>
                                                    <w:div w:id="1362363062">
                                                      <w:marLeft w:val="0"/>
                                                      <w:marRight w:val="0"/>
                                                      <w:marTop w:val="0"/>
                                                      <w:marBottom w:val="240"/>
                                                      <w:divBdr>
                                                        <w:top w:val="single" w:sz="6" w:space="0" w:color="FFFFFF"/>
                                                        <w:left w:val="single" w:sz="6" w:space="0" w:color="FFFFFF"/>
                                                        <w:bottom w:val="single" w:sz="6" w:space="0" w:color="FFFFFF"/>
                                                        <w:right w:val="single" w:sz="6" w:space="0" w:color="FFFFFF"/>
                                                      </w:divBdr>
                                                      <w:divsChild>
                                                        <w:div w:id="1045062138">
                                                          <w:marLeft w:val="-225"/>
                                                          <w:marRight w:val="-225"/>
                                                          <w:marTop w:val="0"/>
                                                          <w:marBottom w:val="0"/>
                                                          <w:divBdr>
                                                            <w:top w:val="none" w:sz="0" w:space="0" w:color="auto"/>
                                                            <w:left w:val="none" w:sz="0" w:space="0" w:color="auto"/>
                                                            <w:bottom w:val="none" w:sz="0" w:space="0" w:color="auto"/>
                                                            <w:right w:val="none" w:sz="0" w:space="0" w:color="auto"/>
                                                          </w:divBdr>
                                                          <w:divsChild>
                                                            <w:div w:id="1072116444">
                                                              <w:marLeft w:val="0"/>
                                                              <w:marRight w:val="0"/>
                                                              <w:marTop w:val="0"/>
                                                              <w:marBottom w:val="0"/>
                                                              <w:divBdr>
                                                                <w:top w:val="none" w:sz="0" w:space="0" w:color="auto"/>
                                                                <w:left w:val="none" w:sz="0" w:space="0" w:color="auto"/>
                                                                <w:bottom w:val="none" w:sz="0" w:space="0" w:color="auto"/>
                                                                <w:right w:val="none" w:sz="0" w:space="0" w:color="auto"/>
                                                              </w:divBdr>
                                                              <w:divsChild>
                                                                <w:div w:id="1651976560">
                                                                  <w:marLeft w:val="0"/>
                                                                  <w:marRight w:val="0"/>
                                                                  <w:marTop w:val="0"/>
                                                                  <w:marBottom w:val="0"/>
                                                                  <w:divBdr>
                                                                    <w:top w:val="none" w:sz="0" w:space="0" w:color="auto"/>
                                                                    <w:left w:val="none" w:sz="0" w:space="0" w:color="auto"/>
                                                                    <w:bottom w:val="none" w:sz="0" w:space="0" w:color="auto"/>
                                                                    <w:right w:val="none" w:sz="0" w:space="0" w:color="auto"/>
                                                                  </w:divBdr>
                                                                  <w:divsChild>
                                                                    <w:div w:id="18695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8C7A4-306E-4EC0-8D4B-0E7BD1148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Niema (Bristol CCG)</dc:creator>
  <cp:lastModifiedBy>Burns Niema (BNSSG CCG)</cp:lastModifiedBy>
  <cp:revision>2</cp:revision>
  <dcterms:created xsi:type="dcterms:W3CDTF">2019-03-18T23:45:00Z</dcterms:created>
  <dcterms:modified xsi:type="dcterms:W3CDTF">2019-03-18T23:45:00Z</dcterms:modified>
</cp:coreProperties>
</file>