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9BDE4" w14:textId="02D67FA9" w:rsidR="008447AA" w:rsidRPr="00527A07" w:rsidRDefault="008447AA" w:rsidP="00527A07">
      <w:pPr>
        <w:rPr>
          <w:szCs w:val="20"/>
        </w:rPr>
      </w:pPr>
      <w:bookmarkStart w:id="0" w:name="_GoBack"/>
      <w:bookmarkEnd w:id="0"/>
    </w:p>
    <w:p w14:paraId="423B7AC8" w14:textId="4761C465" w:rsidR="008447AA" w:rsidRPr="00527A07" w:rsidRDefault="008447AA" w:rsidP="00527A07">
      <w:pPr>
        <w:rPr>
          <w:rFonts w:ascii="Arial" w:hAnsi="Arial" w:cs="Arial"/>
          <w:sz w:val="20"/>
          <w:szCs w:val="20"/>
        </w:rPr>
      </w:pPr>
      <w:r w:rsidRPr="00527A07">
        <w:rPr>
          <w:rFonts w:ascii="Arial" w:hAnsi="Arial" w:cs="Arial"/>
          <w:sz w:val="20"/>
          <w:szCs w:val="20"/>
        </w:rPr>
        <w:t>Q1)</w:t>
      </w:r>
    </w:p>
    <w:p w14:paraId="65ED63BD" w14:textId="74FBE1E7" w:rsidR="008447AA" w:rsidRPr="00527A07" w:rsidRDefault="008447AA" w:rsidP="008447AA">
      <w:pPr>
        <w:spacing w:line="360" w:lineRule="auto"/>
        <w:rPr>
          <w:rFonts w:ascii="Arial" w:hAnsi="Arial" w:cs="Arial"/>
          <w:bCs/>
          <w:color w:val="000000"/>
          <w:sz w:val="20"/>
          <w:szCs w:val="20"/>
          <w:shd w:val="clear" w:color="auto" w:fill="FFFFFF"/>
        </w:rPr>
      </w:pPr>
      <w:r w:rsidRPr="00527A07">
        <w:rPr>
          <w:rFonts w:ascii="Arial" w:hAnsi="Arial" w:cs="Arial"/>
          <w:sz w:val="20"/>
          <w:szCs w:val="20"/>
        </w:rPr>
        <w:t xml:space="preserve">Initially the offer to sell the Blueray is Offer to treat in the form of an advert (Citing Partridge v </w:t>
      </w:r>
      <w:r w:rsidRPr="00527A07">
        <w:rPr>
          <w:rFonts w:ascii="Arial" w:hAnsi="Arial" w:cs="Arial"/>
          <w:bCs/>
          <w:i/>
          <w:iCs/>
          <w:color w:val="000000"/>
          <w:sz w:val="20"/>
          <w:szCs w:val="20"/>
          <w:shd w:val="clear" w:color="auto" w:fill="FFFFFF"/>
        </w:rPr>
        <w:t>Crittenden</w:t>
      </w:r>
      <w:r w:rsidRPr="00527A07">
        <w:rPr>
          <w:rFonts w:ascii="Arial" w:hAnsi="Arial" w:cs="Arial"/>
          <w:bCs/>
          <w:color w:val="000000"/>
          <w:sz w:val="20"/>
          <w:szCs w:val="20"/>
          <w:shd w:val="clear" w:color="auto" w:fill="FFFFFF"/>
        </w:rPr>
        <w:t> (1968)</w:t>
      </w:r>
      <w:r w:rsidRPr="00527A07">
        <w:rPr>
          <w:rFonts w:ascii="Arial" w:hAnsi="Arial" w:cs="Arial"/>
          <w:bCs/>
          <w:color w:val="000000"/>
          <w:sz w:val="20"/>
          <w:szCs w:val="20"/>
          <w:shd w:val="clear" w:color="auto" w:fill="FFFFFF"/>
        </w:rPr>
        <w:t>) Fred explains that the Blueray player is for sale but does not state a price so the price was therefore open to interpretation. George offers Fred £20 in return for the player, however, Fred explains that this was not enough money and proposes a counter offer of £35 for payment of the goods. From the case study presented it seems George neither declined or excepted this £35 proposed offer, Fred must however be aware that silence cannot amount to acceptance.</w:t>
      </w:r>
    </w:p>
    <w:p w14:paraId="7E164071" w14:textId="36B3340D" w:rsidR="008447AA" w:rsidRPr="00527A07" w:rsidRDefault="008447AA" w:rsidP="008447AA">
      <w:pPr>
        <w:spacing w:line="360" w:lineRule="auto"/>
        <w:rPr>
          <w:rFonts w:ascii="Arial" w:hAnsi="Arial" w:cs="Arial"/>
          <w:bCs/>
          <w:color w:val="000000"/>
          <w:sz w:val="20"/>
          <w:szCs w:val="20"/>
          <w:shd w:val="clear" w:color="auto" w:fill="FFFFFF"/>
        </w:rPr>
      </w:pPr>
    </w:p>
    <w:p w14:paraId="517CDFCA" w14:textId="1CECF474" w:rsidR="008447AA" w:rsidRPr="00527A07" w:rsidRDefault="008447AA" w:rsidP="008447AA">
      <w:pPr>
        <w:spacing w:line="360" w:lineRule="auto"/>
        <w:rPr>
          <w:rFonts w:ascii="Arial" w:hAnsi="Arial" w:cs="Arial"/>
          <w:color w:val="000000" w:themeColor="text1"/>
          <w:sz w:val="20"/>
          <w:szCs w:val="20"/>
        </w:rPr>
      </w:pPr>
      <w:r w:rsidRPr="00527A07">
        <w:rPr>
          <w:rFonts w:ascii="Arial" w:hAnsi="Arial" w:cs="Arial"/>
          <w:bCs/>
          <w:color w:val="000000" w:themeColor="text1"/>
          <w:sz w:val="20"/>
          <w:szCs w:val="20"/>
          <w:shd w:val="clear" w:color="auto" w:fill="FFFFFF"/>
        </w:rPr>
        <w:t xml:space="preserve">The second part of this case states an invitation to treat through shop window advertisement. Window advertisement is an invitation to treat not an offer to sell (Citing </w:t>
      </w:r>
      <w:r w:rsidRPr="00527A07">
        <w:rPr>
          <w:rFonts w:ascii="Arial" w:hAnsi="Arial" w:cs="Arial"/>
          <w:color w:val="000000" w:themeColor="text1"/>
          <w:sz w:val="20"/>
          <w:szCs w:val="20"/>
          <w:shd w:val="clear" w:color="auto" w:fill="FFFFFF"/>
        </w:rPr>
        <w:t xml:space="preserve">Pharmaceutical Society v Boots </w:t>
      </w:r>
      <w:r w:rsidRPr="00527A07">
        <w:rPr>
          <w:rFonts w:ascii="Arial" w:hAnsi="Arial" w:cs="Arial"/>
          <w:color w:val="000000" w:themeColor="text1"/>
          <w:sz w:val="20"/>
          <w:szCs w:val="20"/>
          <w:shd w:val="clear" w:color="auto" w:fill="FFFFFF"/>
        </w:rPr>
        <w:t>(</w:t>
      </w:r>
      <w:r w:rsidRPr="00527A07">
        <w:rPr>
          <w:rFonts w:ascii="Arial" w:hAnsi="Arial" w:cs="Arial"/>
          <w:color w:val="000000" w:themeColor="text1"/>
          <w:sz w:val="20"/>
          <w:szCs w:val="20"/>
          <w:shd w:val="clear" w:color="auto" w:fill="FFFFFF"/>
        </w:rPr>
        <w:t>1953</w:t>
      </w:r>
      <w:r w:rsidRPr="00527A07">
        <w:rPr>
          <w:rFonts w:ascii="Arial" w:hAnsi="Arial" w:cs="Arial"/>
          <w:color w:val="000000" w:themeColor="text1"/>
          <w:sz w:val="20"/>
          <w:szCs w:val="20"/>
          <w:shd w:val="clear" w:color="auto" w:fill="FFFFFF"/>
        </w:rPr>
        <w:t>)</w:t>
      </w:r>
      <w:r w:rsidRPr="00527A07">
        <w:rPr>
          <w:rFonts w:ascii="Arial" w:hAnsi="Arial" w:cs="Arial"/>
          <w:color w:val="000000" w:themeColor="text1"/>
          <w:sz w:val="20"/>
          <w:szCs w:val="20"/>
        </w:rPr>
        <w:t>. Mike refuses to sell the goods on the principles of wrong pricing, therefore invoking a revocation of the offer, note “revocation of an offer can occur at any time before acceptance”. George leaving the shop insinuated that he was not willing to further negotiate with Mike price at the current time.</w:t>
      </w:r>
    </w:p>
    <w:p w14:paraId="496AC7C7" w14:textId="77777777" w:rsidR="008447AA" w:rsidRPr="00527A07" w:rsidRDefault="008447AA" w:rsidP="008447AA">
      <w:pPr>
        <w:spacing w:line="360" w:lineRule="auto"/>
        <w:rPr>
          <w:rFonts w:ascii="Arial" w:hAnsi="Arial" w:cs="Arial"/>
          <w:color w:val="000000" w:themeColor="text1"/>
          <w:sz w:val="20"/>
          <w:szCs w:val="20"/>
        </w:rPr>
      </w:pPr>
    </w:p>
    <w:p w14:paraId="6E694678" w14:textId="08738532" w:rsidR="008447AA" w:rsidRPr="00527A07" w:rsidRDefault="008447AA" w:rsidP="008447AA">
      <w:pPr>
        <w:spacing w:line="360" w:lineRule="auto"/>
        <w:rPr>
          <w:rFonts w:ascii="Arial" w:hAnsi="Arial" w:cs="Arial"/>
          <w:color w:val="000000" w:themeColor="text1"/>
          <w:sz w:val="20"/>
          <w:szCs w:val="20"/>
        </w:rPr>
      </w:pPr>
      <w:r w:rsidRPr="00527A07">
        <w:rPr>
          <w:rFonts w:ascii="Arial" w:hAnsi="Arial" w:cs="Arial"/>
          <w:color w:val="000000" w:themeColor="text1"/>
          <w:sz w:val="20"/>
          <w:szCs w:val="20"/>
        </w:rPr>
        <w:t>George then returned to the shop and purchased the player off of Mike for £40. George accepted the initial counter offer that Mike proposed the day before which could be considered payment of the goods, thus the bi-lateral contract is complete.</w:t>
      </w:r>
    </w:p>
    <w:p w14:paraId="70631A4F" w14:textId="24F52D7B" w:rsidR="008447AA" w:rsidRPr="00527A07" w:rsidRDefault="008447AA" w:rsidP="008447AA">
      <w:pPr>
        <w:spacing w:line="360" w:lineRule="auto"/>
        <w:rPr>
          <w:rFonts w:ascii="Arial" w:hAnsi="Arial" w:cs="Arial"/>
          <w:color w:val="000000" w:themeColor="text1"/>
          <w:sz w:val="20"/>
          <w:szCs w:val="20"/>
        </w:rPr>
      </w:pPr>
    </w:p>
    <w:p w14:paraId="6CDE86FF" w14:textId="7AD78201" w:rsidR="008447AA" w:rsidRPr="00527A07" w:rsidRDefault="008447AA" w:rsidP="008447AA">
      <w:pPr>
        <w:spacing w:line="360" w:lineRule="auto"/>
        <w:rPr>
          <w:rFonts w:ascii="Arial" w:hAnsi="Arial" w:cs="Arial"/>
          <w:color w:val="000000" w:themeColor="text1"/>
          <w:sz w:val="20"/>
          <w:szCs w:val="20"/>
        </w:rPr>
      </w:pPr>
      <w:r w:rsidRPr="00527A07">
        <w:rPr>
          <w:rFonts w:ascii="Arial" w:hAnsi="Arial" w:cs="Arial"/>
          <w:color w:val="000000" w:themeColor="text1"/>
          <w:sz w:val="20"/>
          <w:szCs w:val="20"/>
        </w:rPr>
        <w:t>Fred tried to sell his blue-ray player to George previously. George stated that he was willing to pay £20 for the appliance, and Fred said this was not enough so issued a counter offer which proposed that a payment of £35 could be made for the product. This counter offer meant that the original £20 offer was not accepted and therefore made the contract between George and Fred void. Furthermore, the postal rule may have applied if Fred specifically asked for the acceptance using post, however if Fred had accepted Georges initial proposed offer of £20 this could be deemed reasonable, but as a counter offer had been invoked, there was no acceptance of the price therefore no contract between wither party.</w:t>
      </w:r>
    </w:p>
    <w:p w14:paraId="4B0672BD" w14:textId="324FC2D0" w:rsidR="008447AA" w:rsidRPr="00527A07" w:rsidRDefault="008447AA" w:rsidP="008447AA">
      <w:pPr>
        <w:spacing w:line="360" w:lineRule="auto"/>
        <w:rPr>
          <w:rFonts w:ascii="Arial" w:hAnsi="Arial" w:cs="Arial"/>
          <w:color w:val="000000" w:themeColor="text1"/>
          <w:sz w:val="20"/>
          <w:szCs w:val="20"/>
        </w:rPr>
      </w:pPr>
    </w:p>
    <w:p w14:paraId="35DB512C" w14:textId="39C5D3F6" w:rsidR="008447AA" w:rsidRPr="00527A07" w:rsidRDefault="008447AA" w:rsidP="008447AA">
      <w:pPr>
        <w:spacing w:line="360" w:lineRule="auto"/>
        <w:rPr>
          <w:rFonts w:ascii="Arial" w:hAnsi="Arial" w:cs="Arial"/>
          <w:sz w:val="20"/>
          <w:szCs w:val="20"/>
        </w:rPr>
      </w:pPr>
    </w:p>
    <w:p w14:paraId="7E43D171" w14:textId="1AA65E1F" w:rsidR="00CC4B62" w:rsidRPr="00527A07" w:rsidRDefault="00CC4B62" w:rsidP="00CC4B62">
      <w:pPr>
        <w:ind w:left="720"/>
        <w:rPr>
          <w:rFonts w:ascii="Arial" w:hAnsi="Arial" w:cs="Arial"/>
          <w:sz w:val="20"/>
          <w:szCs w:val="20"/>
        </w:rPr>
      </w:pPr>
    </w:p>
    <w:p w14:paraId="7B7591EA" w14:textId="686BC939" w:rsidR="005A194C" w:rsidRPr="00527A07" w:rsidRDefault="005A194C" w:rsidP="00CC4B62">
      <w:pPr>
        <w:ind w:left="720"/>
        <w:rPr>
          <w:rFonts w:ascii="Arial" w:hAnsi="Arial" w:cs="Arial"/>
          <w:sz w:val="20"/>
          <w:szCs w:val="20"/>
        </w:rPr>
      </w:pPr>
    </w:p>
    <w:p w14:paraId="0A137C6E" w14:textId="289950F1" w:rsidR="005A194C" w:rsidRPr="00527A07" w:rsidRDefault="005A194C" w:rsidP="00CC4B62">
      <w:pPr>
        <w:ind w:left="720"/>
        <w:rPr>
          <w:rFonts w:ascii="Arial" w:hAnsi="Arial" w:cs="Arial"/>
          <w:sz w:val="20"/>
          <w:szCs w:val="20"/>
        </w:rPr>
      </w:pPr>
    </w:p>
    <w:p w14:paraId="1CC3043F" w14:textId="0101F059" w:rsidR="005A194C" w:rsidRPr="00527A07" w:rsidRDefault="005A194C" w:rsidP="00CC4B62">
      <w:pPr>
        <w:ind w:left="720"/>
        <w:rPr>
          <w:rFonts w:ascii="Arial" w:hAnsi="Arial" w:cs="Arial"/>
          <w:sz w:val="20"/>
          <w:szCs w:val="20"/>
        </w:rPr>
      </w:pPr>
    </w:p>
    <w:p w14:paraId="426E3011" w14:textId="1836DCB0" w:rsidR="008447AA" w:rsidRPr="00527A07" w:rsidRDefault="008447AA" w:rsidP="00CC4B62">
      <w:pPr>
        <w:ind w:left="720"/>
        <w:rPr>
          <w:rFonts w:ascii="Arial" w:hAnsi="Arial" w:cs="Arial"/>
          <w:sz w:val="20"/>
          <w:szCs w:val="20"/>
        </w:rPr>
      </w:pPr>
    </w:p>
    <w:p w14:paraId="0BBD0915" w14:textId="6E12267E" w:rsidR="008447AA" w:rsidRPr="00527A07" w:rsidRDefault="008447AA" w:rsidP="00CC4B62">
      <w:pPr>
        <w:ind w:left="720"/>
        <w:rPr>
          <w:rFonts w:ascii="Arial" w:hAnsi="Arial" w:cs="Arial"/>
          <w:sz w:val="20"/>
          <w:szCs w:val="20"/>
        </w:rPr>
      </w:pPr>
    </w:p>
    <w:p w14:paraId="495BB4FF" w14:textId="38A36B6E" w:rsidR="008447AA" w:rsidRPr="00527A07" w:rsidRDefault="008447AA" w:rsidP="00CC4B62">
      <w:pPr>
        <w:ind w:left="720"/>
        <w:rPr>
          <w:rFonts w:ascii="Arial" w:hAnsi="Arial" w:cs="Arial"/>
          <w:sz w:val="20"/>
          <w:szCs w:val="20"/>
        </w:rPr>
      </w:pPr>
    </w:p>
    <w:p w14:paraId="705D3998" w14:textId="437765DE" w:rsidR="008447AA" w:rsidRPr="00527A07" w:rsidRDefault="008447AA" w:rsidP="00CC4B62">
      <w:pPr>
        <w:ind w:left="720"/>
        <w:rPr>
          <w:rFonts w:ascii="Arial" w:hAnsi="Arial" w:cs="Arial"/>
          <w:sz w:val="20"/>
          <w:szCs w:val="20"/>
        </w:rPr>
      </w:pPr>
    </w:p>
    <w:p w14:paraId="568BD3FB" w14:textId="4D503852" w:rsidR="008447AA" w:rsidRPr="00527A07" w:rsidRDefault="008447AA" w:rsidP="00CC4B62">
      <w:pPr>
        <w:ind w:left="720"/>
        <w:rPr>
          <w:rFonts w:ascii="Arial" w:hAnsi="Arial" w:cs="Arial"/>
          <w:sz w:val="20"/>
          <w:szCs w:val="20"/>
        </w:rPr>
      </w:pPr>
    </w:p>
    <w:p w14:paraId="198D9076" w14:textId="77777777" w:rsidR="008447AA" w:rsidRPr="00527A07" w:rsidRDefault="008447AA" w:rsidP="00CC4B62">
      <w:pPr>
        <w:ind w:left="720"/>
        <w:rPr>
          <w:rFonts w:ascii="Arial" w:hAnsi="Arial" w:cs="Arial"/>
          <w:sz w:val="20"/>
          <w:szCs w:val="20"/>
        </w:rPr>
      </w:pPr>
    </w:p>
    <w:p w14:paraId="29B6C095" w14:textId="6306CCD9" w:rsidR="008447AA" w:rsidRPr="00527A07" w:rsidRDefault="008447AA" w:rsidP="00CC4B62">
      <w:pPr>
        <w:ind w:left="720"/>
        <w:rPr>
          <w:rFonts w:ascii="Arial" w:hAnsi="Arial" w:cs="Arial"/>
          <w:sz w:val="20"/>
          <w:szCs w:val="20"/>
        </w:rPr>
      </w:pPr>
    </w:p>
    <w:p w14:paraId="16ED8DEE" w14:textId="0DFE8F52" w:rsidR="008447AA" w:rsidRDefault="008447AA" w:rsidP="00CC4B62">
      <w:pPr>
        <w:ind w:left="720"/>
        <w:rPr>
          <w:rFonts w:ascii="Arial" w:hAnsi="Arial" w:cs="Arial"/>
          <w:sz w:val="20"/>
          <w:szCs w:val="20"/>
        </w:rPr>
      </w:pPr>
    </w:p>
    <w:p w14:paraId="79CD04CB" w14:textId="493DCEF0" w:rsidR="00527A07" w:rsidRDefault="00527A07" w:rsidP="00CC4B62">
      <w:pPr>
        <w:ind w:left="720"/>
        <w:rPr>
          <w:rFonts w:ascii="Arial" w:hAnsi="Arial" w:cs="Arial"/>
          <w:sz w:val="20"/>
          <w:szCs w:val="20"/>
        </w:rPr>
      </w:pPr>
    </w:p>
    <w:p w14:paraId="6338BC4E" w14:textId="129CE47D" w:rsidR="00527A07" w:rsidRDefault="00527A07" w:rsidP="00CC4B62">
      <w:pPr>
        <w:ind w:left="720"/>
        <w:rPr>
          <w:rFonts w:ascii="Arial" w:hAnsi="Arial" w:cs="Arial"/>
          <w:sz w:val="20"/>
          <w:szCs w:val="20"/>
        </w:rPr>
      </w:pPr>
    </w:p>
    <w:p w14:paraId="27F65552" w14:textId="3033F053" w:rsidR="00527A07" w:rsidRDefault="00527A07" w:rsidP="00CC4B62">
      <w:pPr>
        <w:ind w:left="720"/>
        <w:rPr>
          <w:rFonts w:ascii="Arial" w:hAnsi="Arial" w:cs="Arial"/>
          <w:sz w:val="20"/>
          <w:szCs w:val="20"/>
        </w:rPr>
      </w:pPr>
    </w:p>
    <w:p w14:paraId="53976935" w14:textId="77777777" w:rsidR="00527A07" w:rsidRPr="00527A07" w:rsidRDefault="00527A07" w:rsidP="00CC4B62">
      <w:pPr>
        <w:ind w:left="720"/>
        <w:rPr>
          <w:rFonts w:ascii="Arial" w:hAnsi="Arial" w:cs="Arial"/>
          <w:sz w:val="20"/>
          <w:szCs w:val="20"/>
        </w:rPr>
      </w:pPr>
    </w:p>
    <w:p w14:paraId="40DF27D2" w14:textId="77777777" w:rsidR="008447AA" w:rsidRPr="00527A07" w:rsidRDefault="008447AA" w:rsidP="00CC4B62">
      <w:pPr>
        <w:ind w:left="720"/>
        <w:rPr>
          <w:rFonts w:ascii="Arial" w:hAnsi="Arial" w:cs="Arial"/>
          <w:sz w:val="20"/>
          <w:szCs w:val="20"/>
        </w:rPr>
      </w:pPr>
    </w:p>
    <w:p w14:paraId="44A4FA64" w14:textId="043E11BC" w:rsidR="008447AA" w:rsidRPr="00527A07" w:rsidRDefault="00152BA4" w:rsidP="008447AA">
      <w:pPr>
        <w:pStyle w:val="style1"/>
        <w:shd w:val="clear" w:color="auto" w:fill="FFFFFF"/>
        <w:rPr>
          <w:rFonts w:ascii="Arial" w:hAnsi="Arial" w:cs="Arial"/>
          <w:color w:val="232323"/>
          <w:sz w:val="20"/>
          <w:szCs w:val="20"/>
        </w:rPr>
      </w:pPr>
      <w:r w:rsidRPr="00527A07">
        <w:rPr>
          <w:rFonts w:ascii="Arial" w:hAnsi="Arial" w:cs="Arial"/>
          <w:color w:val="232323"/>
          <w:sz w:val="20"/>
          <w:szCs w:val="20"/>
        </w:rPr>
        <w:t>2</w:t>
      </w:r>
    </w:p>
    <w:p w14:paraId="5C3B1C5B" w14:textId="578FCB97" w:rsidR="00152BA4" w:rsidRPr="00527A07" w:rsidRDefault="00152BA4" w:rsidP="008447AA">
      <w:pPr>
        <w:pStyle w:val="style1"/>
        <w:shd w:val="clear" w:color="auto" w:fill="FFFFFF"/>
        <w:rPr>
          <w:rFonts w:ascii="Arial" w:hAnsi="Arial" w:cs="Arial"/>
          <w:color w:val="232323"/>
          <w:sz w:val="20"/>
          <w:szCs w:val="20"/>
        </w:rPr>
      </w:pPr>
      <w:r w:rsidRPr="00527A07">
        <w:rPr>
          <w:rFonts w:ascii="Arial" w:hAnsi="Arial" w:cs="Arial"/>
          <w:color w:val="232323"/>
          <w:sz w:val="20"/>
          <w:szCs w:val="20"/>
        </w:rPr>
        <w:t>A)</w:t>
      </w:r>
    </w:p>
    <w:p w14:paraId="35C4B181" w14:textId="4B3829B6" w:rsidR="008447AA" w:rsidRPr="00527A07" w:rsidRDefault="008447AA" w:rsidP="008447AA">
      <w:pPr>
        <w:pStyle w:val="style1"/>
        <w:shd w:val="clear" w:color="auto" w:fill="FFFFFF"/>
        <w:rPr>
          <w:rFonts w:ascii="Arial" w:hAnsi="Arial" w:cs="Arial"/>
          <w:color w:val="232323"/>
          <w:sz w:val="20"/>
          <w:szCs w:val="20"/>
          <w:u w:val="single"/>
        </w:rPr>
      </w:pPr>
      <w:r w:rsidRPr="00527A07">
        <w:rPr>
          <w:rFonts w:ascii="Arial" w:hAnsi="Arial" w:cs="Arial"/>
          <w:color w:val="232323"/>
          <w:sz w:val="20"/>
          <w:szCs w:val="20"/>
          <w:u w:val="single"/>
        </w:rPr>
        <w:t>Cutter v Powell (1795)</w:t>
      </w:r>
    </w:p>
    <w:p w14:paraId="2957EAC5" w14:textId="77777777" w:rsidR="008447AA" w:rsidRPr="00527A07" w:rsidRDefault="008447AA" w:rsidP="008447AA">
      <w:pPr>
        <w:spacing w:line="360" w:lineRule="auto"/>
        <w:rPr>
          <w:rFonts w:ascii="Arial" w:hAnsi="Arial" w:cs="Arial"/>
          <w:color w:val="000000"/>
          <w:sz w:val="20"/>
          <w:szCs w:val="20"/>
          <w:shd w:val="clear" w:color="auto" w:fill="FFFFFF"/>
        </w:rPr>
      </w:pPr>
      <w:r w:rsidRPr="00527A07">
        <w:rPr>
          <w:rFonts w:ascii="Arial" w:hAnsi="Arial" w:cs="Arial"/>
          <w:color w:val="000000"/>
          <w:sz w:val="20"/>
          <w:szCs w:val="20"/>
          <w:shd w:val="clear" w:color="auto" w:fill="FFFFFF"/>
        </w:rPr>
        <w:t>T</w:t>
      </w:r>
      <w:r w:rsidRPr="008447AA">
        <w:rPr>
          <w:rFonts w:ascii="Arial" w:hAnsi="Arial" w:cs="Arial"/>
          <w:color w:val="000000"/>
          <w:sz w:val="20"/>
          <w:szCs w:val="20"/>
          <w:shd w:val="clear" w:color="auto" w:fill="FFFFFF"/>
        </w:rPr>
        <w:t xml:space="preserve">he claimant's husband agreed </w:t>
      </w:r>
      <w:r w:rsidRPr="00527A07">
        <w:rPr>
          <w:rFonts w:ascii="Arial" w:hAnsi="Arial" w:cs="Arial"/>
          <w:color w:val="000000"/>
          <w:sz w:val="20"/>
          <w:szCs w:val="20"/>
          <w:shd w:val="clear" w:color="auto" w:fill="FFFFFF"/>
        </w:rPr>
        <w:t xml:space="preserve">to complete a </w:t>
      </w:r>
      <w:r w:rsidRPr="008447AA">
        <w:rPr>
          <w:rFonts w:ascii="Arial" w:hAnsi="Arial" w:cs="Arial"/>
          <w:color w:val="000000"/>
          <w:sz w:val="20"/>
          <w:szCs w:val="20"/>
          <w:shd w:val="clear" w:color="auto" w:fill="FFFFFF"/>
        </w:rPr>
        <w:t xml:space="preserve">contract </w:t>
      </w:r>
      <w:r w:rsidRPr="00527A07">
        <w:rPr>
          <w:rFonts w:ascii="Arial" w:hAnsi="Arial" w:cs="Arial"/>
          <w:color w:val="000000"/>
          <w:sz w:val="20"/>
          <w:szCs w:val="20"/>
          <w:shd w:val="clear" w:color="auto" w:fill="FFFFFF"/>
        </w:rPr>
        <w:t>by</w:t>
      </w:r>
      <w:r w:rsidRPr="008447AA">
        <w:rPr>
          <w:rFonts w:ascii="Arial" w:hAnsi="Arial" w:cs="Arial"/>
          <w:color w:val="000000"/>
          <w:sz w:val="20"/>
          <w:szCs w:val="20"/>
          <w:shd w:val="clear" w:color="auto" w:fill="FFFFFF"/>
        </w:rPr>
        <w:t xml:space="preserve"> act</w:t>
      </w:r>
      <w:r w:rsidRPr="00527A07">
        <w:rPr>
          <w:rFonts w:ascii="Arial" w:hAnsi="Arial" w:cs="Arial"/>
          <w:color w:val="000000"/>
          <w:sz w:val="20"/>
          <w:szCs w:val="20"/>
          <w:shd w:val="clear" w:color="auto" w:fill="FFFFFF"/>
        </w:rPr>
        <w:t>ing</w:t>
      </w:r>
      <w:r w:rsidRPr="008447AA">
        <w:rPr>
          <w:rFonts w:ascii="Arial" w:hAnsi="Arial" w:cs="Arial"/>
          <w:color w:val="000000"/>
          <w:sz w:val="20"/>
          <w:szCs w:val="20"/>
          <w:shd w:val="clear" w:color="auto" w:fill="FFFFFF"/>
        </w:rPr>
        <w:t xml:space="preserve"> as a second mate on the ship the 'Governor Parry'</w:t>
      </w:r>
      <w:r w:rsidRPr="00527A07">
        <w:rPr>
          <w:rFonts w:ascii="Arial" w:hAnsi="Arial" w:cs="Arial"/>
          <w:color w:val="000000"/>
          <w:sz w:val="20"/>
          <w:szCs w:val="20"/>
          <w:shd w:val="clear" w:color="auto" w:fill="FFFFFF"/>
        </w:rPr>
        <w:t>. The terms the contract stated that it was a</w:t>
      </w:r>
      <w:r w:rsidRPr="008447AA">
        <w:rPr>
          <w:rFonts w:ascii="Arial" w:hAnsi="Arial" w:cs="Arial"/>
          <w:color w:val="000000"/>
          <w:sz w:val="20"/>
          <w:szCs w:val="20"/>
          <w:shd w:val="clear" w:color="auto" w:fill="FFFFFF"/>
        </w:rPr>
        <w:t xml:space="preserve"> return voyage to Jamaica. The voyage was to take eight weeks and he was to be paid </w:t>
      </w:r>
      <w:r w:rsidRPr="00527A07">
        <w:rPr>
          <w:rFonts w:ascii="Arial" w:hAnsi="Arial" w:cs="Arial"/>
          <w:color w:val="000000"/>
          <w:sz w:val="20"/>
          <w:szCs w:val="20"/>
          <w:shd w:val="clear" w:color="auto" w:fill="FFFFFF"/>
        </w:rPr>
        <w:t xml:space="preserve">10 days after </w:t>
      </w:r>
      <w:r w:rsidRPr="008447AA">
        <w:rPr>
          <w:rFonts w:ascii="Arial" w:hAnsi="Arial" w:cs="Arial"/>
          <w:color w:val="000000"/>
          <w:sz w:val="20"/>
          <w:szCs w:val="20"/>
          <w:shd w:val="clear" w:color="auto" w:fill="FFFFFF"/>
        </w:rPr>
        <w:t xml:space="preserve">completion. </w:t>
      </w:r>
    </w:p>
    <w:p w14:paraId="37806329" w14:textId="77777777" w:rsidR="008447AA" w:rsidRPr="00527A07" w:rsidRDefault="008447AA" w:rsidP="008447AA">
      <w:pPr>
        <w:spacing w:line="360" w:lineRule="auto"/>
        <w:rPr>
          <w:rFonts w:ascii="Arial" w:hAnsi="Arial" w:cs="Arial"/>
          <w:color w:val="000000"/>
          <w:sz w:val="20"/>
          <w:szCs w:val="20"/>
          <w:shd w:val="clear" w:color="auto" w:fill="FFFFFF"/>
        </w:rPr>
      </w:pPr>
    </w:p>
    <w:p w14:paraId="78DDE4DE" w14:textId="74B66952" w:rsidR="008447AA" w:rsidRPr="00527A07" w:rsidRDefault="008447AA" w:rsidP="008447AA">
      <w:pPr>
        <w:spacing w:line="360" w:lineRule="auto"/>
        <w:rPr>
          <w:rFonts w:ascii="Arial" w:hAnsi="Arial" w:cs="Arial"/>
          <w:color w:val="000000"/>
          <w:sz w:val="20"/>
          <w:szCs w:val="20"/>
          <w:shd w:val="clear" w:color="auto" w:fill="FFFFFF"/>
        </w:rPr>
      </w:pPr>
      <w:r w:rsidRPr="008447AA">
        <w:rPr>
          <w:rFonts w:ascii="Arial" w:hAnsi="Arial" w:cs="Arial"/>
          <w:color w:val="000000"/>
          <w:sz w:val="20"/>
          <w:szCs w:val="20"/>
          <w:shd w:val="clear" w:color="auto" w:fill="FFFFFF"/>
        </w:rPr>
        <w:t>A term in the contract stated</w:t>
      </w:r>
      <w:r w:rsidRPr="00527A07">
        <w:rPr>
          <w:rFonts w:ascii="Arial" w:hAnsi="Arial" w:cs="Arial"/>
          <w:color w:val="000000"/>
          <w:sz w:val="20"/>
          <w:szCs w:val="20"/>
          <w:shd w:val="clear" w:color="auto" w:fill="FFFFFF"/>
        </w:rPr>
        <w:t xml:space="preserve"> that:</w:t>
      </w:r>
      <w:r w:rsidRPr="008447AA">
        <w:rPr>
          <w:rFonts w:ascii="Arial" w:hAnsi="Arial" w:cs="Arial"/>
          <w:color w:val="000000"/>
          <w:sz w:val="20"/>
          <w:szCs w:val="20"/>
        </w:rPr>
        <w:br/>
      </w:r>
      <w:r w:rsidRPr="008447AA">
        <w:rPr>
          <w:rFonts w:ascii="Arial" w:hAnsi="Arial" w:cs="Arial"/>
          <w:color w:val="000000"/>
          <w:sz w:val="20"/>
          <w:szCs w:val="20"/>
          <w:shd w:val="clear" w:color="auto" w:fill="FFFFFF"/>
        </w:rPr>
        <w:t>"Ten days after the ship 'Governor Parry,' myself master, arrives at Liverpool, I promise to pay to Mr. T. Cutter the sum of thirty guineas, provided he proceeds, continues and does his duty as second mate in the said ship from hence to the port of Liverpool. Kingston, July 31st, 1793."</w:t>
      </w:r>
      <w:r w:rsidRPr="008447AA">
        <w:rPr>
          <w:rFonts w:ascii="Arial" w:hAnsi="Arial" w:cs="Arial"/>
          <w:color w:val="000000"/>
          <w:sz w:val="20"/>
          <w:szCs w:val="20"/>
        </w:rPr>
        <w:br/>
      </w:r>
      <w:r w:rsidRPr="008447AA">
        <w:rPr>
          <w:rFonts w:ascii="Arial" w:hAnsi="Arial" w:cs="Arial"/>
          <w:color w:val="000000"/>
          <w:sz w:val="20"/>
          <w:szCs w:val="20"/>
        </w:rPr>
        <w:br/>
      </w:r>
      <w:r w:rsidRPr="008447AA">
        <w:rPr>
          <w:rFonts w:ascii="Arial" w:hAnsi="Arial" w:cs="Arial"/>
          <w:color w:val="000000"/>
          <w:sz w:val="20"/>
          <w:szCs w:val="20"/>
          <w:shd w:val="clear" w:color="auto" w:fill="FFFFFF"/>
        </w:rPr>
        <w:t xml:space="preserve">Six weeks into the voyage the claimant's husband died. The claimant sought to claim a sum </w:t>
      </w:r>
      <w:r w:rsidRPr="00527A07">
        <w:rPr>
          <w:rFonts w:ascii="Arial" w:hAnsi="Arial" w:cs="Arial"/>
          <w:color w:val="000000"/>
          <w:sz w:val="20"/>
          <w:szCs w:val="20"/>
          <w:shd w:val="clear" w:color="auto" w:fill="FFFFFF"/>
        </w:rPr>
        <w:t>which</w:t>
      </w:r>
      <w:r w:rsidRPr="008447AA">
        <w:rPr>
          <w:rFonts w:ascii="Arial" w:hAnsi="Arial" w:cs="Arial"/>
          <w:color w:val="000000"/>
          <w:sz w:val="20"/>
          <w:szCs w:val="20"/>
          <w:shd w:val="clear" w:color="auto" w:fill="FFFFFF"/>
        </w:rPr>
        <w:t xml:space="preserve"> represent</w:t>
      </w:r>
      <w:r w:rsidRPr="00527A07">
        <w:rPr>
          <w:rFonts w:ascii="Arial" w:hAnsi="Arial" w:cs="Arial"/>
          <w:color w:val="000000"/>
          <w:sz w:val="20"/>
          <w:szCs w:val="20"/>
          <w:shd w:val="clear" w:color="auto" w:fill="FFFFFF"/>
        </w:rPr>
        <w:t>ed</w:t>
      </w:r>
      <w:r w:rsidRPr="008447AA">
        <w:rPr>
          <w:rFonts w:ascii="Arial" w:hAnsi="Arial" w:cs="Arial"/>
          <w:color w:val="000000"/>
          <w:sz w:val="20"/>
          <w:szCs w:val="20"/>
          <w:shd w:val="clear" w:color="auto" w:fill="FFFFFF"/>
        </w:rPr>
        <w:t xml:space="preserve"> the six </w:t>
      </w:r>
      <w:r w:rsidRPr="00527A07">
        <w:rPr>
          <w:rFonts w:ascii="Arial" w:hAnsi="Arial" w:cs="Arial"/>
          <w:color w:val="000000"/>
          <w:sz w:val="20"/>
          <w:szCs w:val="20"/>
          <w:shd w:val="clear" w:color="auto" w:fill="FFFFFF"/>
        </w:rPr>
        <w:t xml:space="preserve">weeks’ worth of </w:t>
      </w:r>
      <w:r w:rsidRPr="008447AA">
        <w:rPr>
          <w:rFonts w:ascii="Arial" w:hAnsi="Arial" w:cs="Arial"/>
          <w:color w:val="000000"/>
          <w:sz w:val="20"/>
          <w:szCs w:val="20"/>
          <w:shd w:val="clear" w:color="auto" w:fill="FFFFFF"/>
        </w:rPr>
        <w:t xml:space="preserve">work </w:t>
      </w:r>
      <w:r w:rsidRPr="00527A07">
        <w:rPr>
          <w:rFonts w:ascii="Arial" w:hAnsi="Arial" w:cs="Arial"/>
          <w:color w:val="000000"/>
          <w:sz w:val="20"/>
          <w:szCs w:val="20"/>
          <w:shd w:val="clear" w:color="auto" w:fill="FFFFFF"/>
        </w:rPr>
        <w:t xml:space="preserve">that was </w:t>
      </w:r>
      <w:r w:rsidRPr="008447AA">
        <w:rPr>
          <w:rFonts w:ascii="Arial" w:hAnsi="Arial" w:cs="Arial"/>
          <w:color w:val="000000"/>
          <w:sz w:val="20"/>
          <w:szCs w:val="20"/>
          <w:shd w:val="clear" w:color="auto" w:fill="FFFFFF"/>
        </w:rPr>
        <w:t>undertaken.</w:t>
      </w:r>
      <w:r w:rsidRPr="00527A07">
        <w:rPr>
          <w:rFonts w:ascii="Arial" w:hAnsi="Arial" w:cs="Arial"/>
          <w:color w:val="000000"/>
          <w:sz w:val="20"/>
          <w:szCs w:val="20"/>
          <w:shd w:val="clear" w:color="auto" w:fill="FFFFFF"/>
        </w:rPr>
        <w:t xml:space="preserve"> </w:t>
      </w:r>
    </w:p>
    <w:p w14:paraId="5F8DCA04" w14:textId="5D8BE447" w:rsidR="008447AA" w:rsidRPr="00527A07" w:rsidRDefault="008447AA" w:rsidP="008447AA">
      <w:pPr>
        <w:spacing w:line="360" w:lineRule="auto"/>
        <w:rPr>
          <w:rFonts w:ascii="Arial" w:hAnsi="Arial" w:cs="Arial"/>
          <w:color w:val="000000"/>
          <w:sz w:val="20"/>
          <w:szCs w:val="20"/>
          <w:shd w:val="clear" w:color="auto" w:fill="FFFFFF"/>
        </w:rPr>
      </w:pPr>
    </w:p>
    <w:p w14:paraId="798F92EC" w14:textId="78A0BC27" w:rsidR="008447AA" w:rsidRPr="00527A07" w:rsidRDefault="008447AA" w:rsidP="008447AA">
      <w:pPr>
        <w:spacing w:line="360" w:lineRule="auto"/>
        <w:rPr>
          <w:rFonts w:ascii="Arial" w:hAnsi="Arial" w:cs="Arial"/>
          <w:sz w:val="20"/>
          <w:szCs w:val="20"/>
        </w:rPr>
      </w:pPr>
      <w:r w:rsidRPr="00527A07">
        <w:rPr>
          <w:rFonts w:ascii="Arial" w:hAnsi="Arial" w:cs="Arial"/>
          <w:color w:val="000000"/>
          <w:sz w:val="20"/>
          <w:szCs w:val="20"/>
          <w:shd w:val="clear" w:color="auto" w:fill="FFFFFF"/>
        </w:rPr>
        <w:t>In the case of Cutter vs Powell, the widows claim for payment of the work completed (</w:t>
      </w:r>
      <w:hyperlink r:id="rId8" w:history="1">
        <w:r w:rsidRPr="00527A07">
          <w:rPr>
            <w:rStyle w:val="Hyperlink"/>
            <w:rFonts w:ascii="Arial" w:hAnsi="Arial" w:cs="Arial"/>
            <w:iCs/>
            <w:color w:val="0B0080"/>
            <w:sz w:val="20"/>
            <w:szCs w:val="20"/>
            <w:u w:val="none"/>
            <w:shd w:val="clear" w:color="auto" w:fill="FFFFFF"/>
          </w:rPr>
          <w:t xml:space="preserve">quantum </w:t>
        </w:r>
        <w:proofErr w:type="spellStart"/>
        <w:r w:rsidRPr="00527A07">
          <w:rPr>
            <w:rStyle w:val="Hyperlink"/>
            <w:rFonts w:ascii="Arial" w:hAnsi="Arial" w:cs="Arial"/>
            <w:iCs/>
            <w:color w:val="0B0080"/>
            <w:sz w:val="20"/>
            <w:szCs w:val="20"/>
            <w:u w:val="none"/>
            <w:shd w:val="clear" w:color="auto" w:fill="FFFFFF"/>
          </w:rPr>
          <w:t>meruit</w:t>
        </w:r>
        <w:proofErr w:type="spellEnd"/>
      </w:hyperlink>
      <w:r w:rsidRPr="00527A07">
        <w:rPr>
          <w:rFonts w:ascii="Arial" w:hAnsi="Arial" w:cs="Arial"/>
          <w:color w:val="202122"/>
          <w:sz w:val="20"/>
          <w:szCs w:val="20"/>
          <w:shd w:val="clear" w:color="auto" w:fill="FFFFFF"/>
        </w:rPr>
        <w:t>)</w:t>
      </w:r>
    </w:p>
    <w:p w14:paraId="5AC1560D" w14:textId="3EC4D91B" w:rsidR="008447AA" w:rsidRPr="00527A07" w:rsidRDefault="008447AA" w:rsidP="008447AA">
      <w:pPr>
        <w:spacing w:line="360" w:lineRule="auto"/>
        <w:rPr>
          <w:rFonts w:ascii="Arial" w:hAnsi="Arial" w:cs="Arial"/>
          <w:color w:val="000000"/>
          <w:sz w:val="20"/>
          <w:szCs w:val="20"/>
          <w:shd w:val="clear" w:color="auto" w:fill="FFFFFF"/>
        </w:rPr>
      </w:pPr>
      <w:r w:rsidRPr="00527A07">
        <w:rPr>
          <w:rFonts w:ascii="Arial" w:hAnsi="Arial" w:cs="Arial"/>
          <w:color w:val="000000"/>
          <w:sz w:val="20"/>
          <w:szCs w:val="20"/>
          <w:shd w:val="clear" w:color="auto" w:fill="FFFFFF"/>
        </w:rPr>
        <w:t xml:space="preserve"> by her late husband was quashed. The widow’s late husband did not fulfil his contractual obligation to arrive at Liverpool, therefore only partially performing his contract, this case study features a discharge of the contract through the means of discharge by performance.</w:t>
      </w:r>
    </w:p>
    <w:p w14:paraId="2AD169D7" w14:textId="4F10FFA7" w:rsidR="008447AA" w:rsidRPr="00527A07" w:rsidRDefault="008447AA" w:rsidP="008447AA">
      <w:pPr>
        <w:rPr>
          <w:rFonts w:ascii="Arial" w:hAnsi="Arial" w:cs="Arial"/>
          <w:color w:val="000000"/>
          <w:sz w:val="20"/>
          <w:szCs w:val="20"/>
        </w:rPr>
      </w:pPr>
    </w:p>
    <w:p w14:paraId="5A2C8FCB" w14:textId="51EC5925" w:rsidR="008447AA" w:rsidRPr="00527A07" w:rsidRDefault="008447AA" w:rsidP="008447AA">
      <w:pPr>
        <w:rPr>
          <w:rFonts w:ascii="Arial" w:hAnsi="Arial" w:cs="Arial"/>
          <w:color w:val="000000"/>
          <w:sz w:val="20"/>
          <w:szCs w:val="20"/>
          <w:u w:val="single"/>
        </w:rPr>
      </w:pPr>
      <w:r w:rsidRPr="00527A07">
        <w:rPr>
          <w:rFonts w:ascii="Arial" w:hAnsi="Arial" w:cs="Arial"/>
          <w:iCs/>
          <w:color w:val="232323"/>
          <w:sz w:val="20"/>
          <w:szCs w:val="20"/>
          <w:u w:val="single"/>
        </w:rPr>
        <w:t>Bolton v Mahadeva</w:t>
      </w:r>
      <w:r w:rsidRPr="00527A07">
        <w:rPr>
          <w:rFonts w:ascii="Arial" w:hAnsi="Arial" w:cs="Arial"/>
          <w:iCs/>
          <w:color w:val="232323"/>
          <w:sz w:val="20"/>
          <w:szCs w:val="20"/>
          <w:u w:val="single"/>
        </w:rPr>
        <w:t xml:space="preserve"> (1972)</w:t>
      </w:r>
    </w:p>
    <w:p w14:paraId="1827D58C" w14:textId="77777777" w:rsidR="008447AA" w:rsidRPr="00527A07" w:rsidRDefault="008447AA" w:rsidP="008447AA">
      <w:pPr>
        <w:rPr>
          <w:rFonts w:ascii="Arial" w:hAnsi="Arial" w:cs="Arial"/>
          <w:color w:val="000000"/>
          <w:sz w:val="20"/>
          <w:szCs w:val="20"/>
        </w:rPr>
      </w:pPr>
    </w:p>
    <w:p w14:paraId="3C9B8B59" w14:textId="5FE1969A" w:rsidR="008447AA" w:rsidRPr="00527A07" w:rsidRDefault="008447AA" w:rsidP="008447AA">
      <w:pPr>
        <w:spacing w:line="360" w:lineRule="auto"/>
        <w:rPr>
          <w:rFonts w:ascii="Arial" w:hAnsi="Arial" w:cs="Arial"/>
          <w:color w:val="000000"/>
          <w:sz w:val="20"/>
          <w:szCs w:val="20"/>
          <w:shd w:val="clear" w:color="auto" w:fill="FFFFFF"/>
        </w:rPr>
      </w:pPr>
      <w:r w:rsidRPr="008447AA">
        <w:rPr>
          <w:rFonts w:ascii="Arial" w:hAnsi="Arial" w:cs="Arial"/>
          <w:color w:val="000000"/>
          <w:sz w:val="20"/>
          <w:szCs w:val="20"/>
          <w:shd w:val="clear" w:color="auto" w:fill="FFFFFF"/>
        </w:rPr>
        <w:t xml:space="preserve">The claimant installed central heating in the defendant's home. The agreed </w:t>
      </w:r>
      <w:r w:rsidRPr="00527A07">
        <w:rPr>
          <w:rFonts w:ascii="Arial" w:hAnsi="Arial" w:cs="Arial"/>
          <w:color w:val="000000"/>
          <w:sz w:val="20"/>
          <w:szCs w:val="20"/>
          <w:shd w:val="clear" w:color="auto" w:fill="FFFFFF"/>
        </w:rPr>
        <w:t xml:space="preserve">contractual </w:t>
      </w:r>
      <w:r w:rsidRPr="008447AA">
        <w:rPr>
          <w:rFonts w:ascii="Arial" w:hAnsi="Arial" w:cs="Arial"/>
          <w:color w:val="000000"/>
          <w:sz w:val="20"/>
          <w:szCs w:val="20"/>
          <w:shd w:val="clear" w:color="auto" w:fill="FFFFFF"/>
        </w:rPr>
        <w:t>price was £560. The defendant was not happy with the work and refused to pay. Defects in the work amounted to £174. The action by the claimant to enforce the payment failed since the court held there was no substantial performance.</w:t>
      </w:r>
    </w:p>
    <w:p w14:paraId="6C5B8C87" w14:textId="0F2AF72E" w:rsidR="008447AA" w:rsidRPr="00527A07" w:rsidRDefault="008447AA" w:rsidP="008447AA">
      <w:pPr>
        <w:spacing w:line="360" w:lineRule="auto"/>
        <w:rPr>
          <w:rFonts w:ascii="Arial" w:hAnsi="Arial" w:cs="Arial"/>
          <w:color w:val="000000"/>
          <w:sz w:val="20"/>
          <w:szCs w:val="20"/>
          <w:shd w:val="clear" w:color="auto" w:fill="FFFFFF"/>
        </w:rPr>
      </w:pPr>
    </w:p>
    <w:p w14:paraId="7E5954FB" w14:textId="7BAE1626" w:rsidR="008447AA" w:rsidRPr="00527A07" w:rsidRDefault="008447AA" w:rsidP="008447AA">
      <w:pPr>
        <w:spacing w:line="360" w:lineRule="auto"/>
        <w:rPr>
          <w:rFonts w:ascii="Arial" w:hAnsi="Arial" w:cs="Arial"/>
          <w:color w:val="000000"/>
          <w:sz w:val="20"/>
          <w:szCs w:val="20"/>
          <w:shd w:val="clear" w:color="auto" w:fill="FFFFFF"/>
        </w:rPr>
      </w:pPr>
      <w:r w:rsidRPr="00527A07">
        <w:rPr>
          <w:rFonts w:ascii="Arial" w:hAnsi="Arial" w:cs="Arial"/>
          <w:color w:val="000000"/>
          <w:sz w:val="20"/>
          <w:szCs w:val="20"/>
          <w:shd w:val="clear" w:color="auto" w:fill="FFFFFF"/>
        </w:rPr>
        <w:t xml:space="preserve">In the case of Bolton v Mahadeva the work wasn’t up to standard agreed so the contract was discharged through substantial performance. So, no payment had to be made. </w:t>
      </w:r>
    </w:p>
    <w:p w14:paraId="69504F57" w14:textId="4900A548" w:rsidR="008447AA" w:rsidRPr="00527A07" w:rsidRDefault="008447AA" w:rsidP="008447AA">
      <w:pPr>
        <w:spacing w:line="360" w:lineRule="auto"/>
        <w:rPr>
          <w:rFonts w:ascii="Arial" w:hAnsi="Arial" w:cs="Arial"/>
          <w:color w:val="000000"/>
          <w:sz w:val="20"/>
          <w:szCs w:val="20"/>
          <w:shd w:val="clear" w:color="auto" w:fill="FFFFFF"/>
        </w:rPr>
      </w:pPr>
    </w:p>
    <w:p w14:paraId="264A6438" w14:textId="60A59723" w:rsidR="008447AA" w:rsidRPr="00527A07" w:rsidRDefault="008447AA" w:rsidP="008447AA">
      <w:pPr>
        <w:spacing w:line="360" w:lineRule="auto"/>
        <w:rPr>
          <w:rFonts w:ascii="Arial" w:hAnsi="Arial" w:cs="Arial"/>
          <w:color w:val="232323"/>
          <w:sz w:val="20"/>
          <w:szCs w:val="20"/>
          <w:u w:val="single"/>
        </w:rPr>
      </w:pPr>
      <w:r w:rsidRPr="00527A07">
        <w:rPr>
          <w:rFonts w:ascii="Arial" w:hAnsi="Arial" w:cs="Arial"/>
          <w:color w:val="000000"/>
          <w:sz w:val="20"/>
          <w:szCs w:val="20"/>
          <w:u w:val="single"/>
          <w:shd w:val="clear" w:color="auto" w:fill="FFFFFF"/>
        </w:rPr>
        <w:t xml:space="preserve">Would the judgments at the time </w:t>
      </w:r>
      <w:r w:rsidRPr="00527A07">
        <w:rPr>
          <w:rFonts w:ascii="Arial" w:hAnsi="Arial" w:cs="Arial"/>
          <w:color w:val="232323"/>
          <w:sz w:val="20"/>
          <w:szCs w:val="20"/>
          <w:u w:val="single"/>
        </w:rPr>
        <w:t>would be upheld today</w:t>
      </w:r>
      <w:r w:rsidRPr="00527A07">
        <w:rPr>
          <w:rFonts w:ascii="Arial" w:hAnsi="Arial" w:cs="Arial"/>
          <w:color w:val="232323"/>
          <w:sz w:val="20"/>
          <w:szCs w:val="20"/>
          <w:u w:val="single"/>
        </w:rPr>
        <w:t>?</w:t>
      </w:r>
    </w:p>
    <w:p w14:paraId="1E72F782" w14:textId="0FC11974" w:rsidR="008447AA" w:rsidRPr="00527A07" w:rsidRDefault="008447AA" w:rsidP="008447AA">
      <w:pPr>
        <w:spacing w:line="360" w:lineRule="auto"/>
        <w:rPr>
          <w:rFonts w:ascii="Arial" w:hAnsi="Arial" w:cs="Arial"/>
          <w:sz w:val="20"/>
          <w:szCs w:val="20"/>
        </w:rPr>
      </w:pPr>
      <w:r w:rsidRPr="00527A07">
        <w:rPr>
          <w:rFonts w:ascii="Arial" w:hAnsi="Arial" w:cs="Arial"/>
          <w:color w:val="232323"/>
          <w:sz w:val="20"/>
          <w:szCs w:val="20"/>
        </w:rPr>
        <w:t>The law reform act of 1943 “</w:t>
      </w:r>
      <w:r w:rsidRPr="00527A07">
        <w:rPr>
          <w:rFonts w:ascii="Arial" w:hAnsi="Arial" w:cs="Arial"/>
          <w:color w:val="212529"/>
          <w:sz w:val="20"/>
          <w:szCs w:val="20"/>
          <w:shd w:val="clear" w:color="auto" w:fill="FFFFFF"/>
        </w:rPr>
        <w:t>enables the courts to designate liability in a just and equitable manner for damages between an injured party and a defendant liable in tort in the United Kingdom. This was an important piece of legislation in the context of governing the laws for negligence to allow injured parties, who may have been partly at fault for their injury, to still be able to claim for damages.</w:t>
      </w:r>
      <w:r w:rsidRPr="00527A07">
        <w:rPr>
          <w:rFonts w:ascii="Arial" w:hAnsi="Arial" w:cs="Arial"/>
          <w:color w:val="212529"/>
          <w:sz w:val="20"/>
          <w:szCs w:val="20"/>
          <w:shd w:val="clear" w:color="auto" w:fill="FFFFFF"/>
        </w:rPr>
        <w:t>”</w:t>
      </w:r>
    </w:p>
    <w:p w14:paraId="7183B8F1" w14:textId="40A31468" w:rsidR="008447AA" w:rsidRPr="00527A07" w:rsidRDefault="008447AA" w:rsidP="008447AA">
      <w:pPr>
        <w:pStyle w:val="legclearfix"/>
        <w:shd w:val="clear" w:color="auto" w:fill="FFFFFF"/>
        <w:spacing w:before="0" w:beforeAutospacing="0" w:after="120" w:afterAutospacing="0" w:line="360" w:lineRule="atLeast"/>
        <w:rPr>
          <w:rFonts w:ascii="Arial" w:hAnsi="Arial" w:cs="Arial"/>
          <w:color w:val="000000"/>
          <w:sz w:val="20"/>
          <w:szCs w:val="20"/>
        </w:rPr>
      </w:pPr>
      <w:r w:rsidRPr="00527A07">
        <w:rPr>
          <w:rFonts w:ascii="Arial" w:hAnsi="Arial" w:cs="Arial"/>
          <w:color w:val="232323"/>
          <w:sz w:val="20"/>
          <w:szCs w:val="20"/>
          <w:lang w:eastAsia="en-GB"/>
        </w:rPr>
        <w:t xml:space="preserve">In the case of Cutter v Powell, the introduced Law reform act section 1.3 would enable the widow to receive payment for the services that her husband completed before his death. Section 1.2 of the Law reform (Frustrated contracts) states that </w:t>
      </w:r>
      <w:r w:rsidRPr="00527A07">
        <w:rPr>
          <w:rFonts w:ascii="Arial" w:hAnsi="Arial" w:cs="Arial"/>
          <w:i/>
          <w:color w:val="232323"/>
          <w:sz w:val="20"/>
          <w:szCs w:val="20"/>
          <w:lang w:eastAsia="en-GB"/>
        </w:rPr>
        <w:t>“</w:t>
      </w:r>
      <w:r w:rsidRPr="00527A07">
        <w:rPr>
          <w:rStyle w:val="legds"/>
          <w:rFonts w:ascii="Arial" w:hAnsi="Arial" w:cs="Arial"/>
          <w:color w:val="000000"/>
          <w:sz w:val="20"/>
          <w:szCs w:val="20"/>
        </w:rPr>
        <w:t xml:space="preserve">the amount of any expenses incurred before the time of discharge by the benefited party in, or for the purpose of, the performance of the contract, including any sums paid or payable by him to any other party in pursuance of the contract and retained or </w:t>
      </w:r>
      <w:r w:rsidRPr="00527A07">
        <w:rPr>
          <w:rStyle w:val="legds"/>
          <w:rFonts w:ascii="Arial" w:hAnsi="Arial" w:cs="Arial"/>
          <w:color w:val="000000"/>
          <w:sz w:val="20"/>
          <w:szCs w:val="20"/>
        </w:rPr>
        <w:lastRenderedPageBreak/>
        <w:t>recoverable by that party under the last foregoing subsection,)the effect, in relation to the said benefit, of the circumstances giving rise to the frustration of the contract.</w:t>
      </w:r>
      <w:r w:rsidRPr="00527A07">
        <w:rPr>
          <w:rStyle w:val="legds"/>
          <w:rFonts w:ascii="Arial" w:hAnsi="Arial" w:cs="Arial"/>
          <w:color w:val="000000"/>
          <w:sz w:val="20"/>
          <w:szCs w:val="20"/>
        </w:rPr>
        <w:t>”</w:t>
      </w:r>
    </w:p>
    <w:p w14:paraId="4305305B" w14:textId="77777777" w:rsidR="008447AA" w:rsidRPr="00527A07" w:rsidRDefault="008447AA" w:rsidP="008447AA">
      <w:pPr>
        <w:spacing w:line="360" w:lineRule="auto"/>
        <w:rPr>
          <w:rFonts w:ascii="Arial" w:hAnsi="Arial" w:cs="Arial"/>
          <w:color w:val="232323"/>
          <w:sz w:val="20"/>
          <w:szCs w:val="20"/>
          <w:lang w:eastAsia="en-GB"/>
        </w:rPr>
      </w:pPr>
    </w:p>
    <w:p w14:paraId="510EB935" w14:textId="7D1AE752" w:rsidR="008447AA" w:rsidRPr="00527A07" w:rsidRDefault="008447AA" w:rsidP="008447AA">
      <w:pPr>
        <w:spacing w:line="360" w:lineRule="auto"/>
        <w:rPr>
          <w:rFonts w:ascii="Arial" w:hAnsi="Arial" w:cs="Arial"/>
          <w:sz w:val="20"/>
          <w:szCs w:val="20"/>
        </w:rPr>
      </w:pPr>
      <w:r w:rsidRPr="00527A07">
        <w:rPr>
          <w:rFonts w:ascii="Arial" w:hAnsi="Arial" w:cs="Arial"/>
          <w:color w:val="232323"/>
          <w:sz w:val="20"/>
          <w:szCs w:val="20"/>
          <w:lang w:eastAsia="en-GB"/>
        </w:rPr>
        <w:t>In the case of Bolton vs Mahadeva the law reform act states that the defendant would have to be paid for for the work that has already been completed (the work that is not affiliated to the defected work) the act states in section 1.2 “</w:t>
      </w:r>
      <w:r w:rsidRPr="00527A07">
        <w:rPr>
          <w:rFonts w:ascii="Arial" w:hAnsi="Arial" w:cs="Arial"/>
          <w:color w:val="000000"/>
          <w:sz w:val="20"/>
          <w:szCs w:val="20"/>
          <w:shd w:val="clear" w:color="auto" w:fill="FFFFFF"/>
        </w:rPr>
        <w:t>All sums paid or payable to any party in pursuance of the contract before the time when the parties were so discharged (in this Act referred to as " the time of discharge ") shall, in the case of sums so paid, be recoverable from him as money received by him for the use of the party by whom the sums were paid, and, in the case of sums so payable, cease to be so payable</w:t>
      </w:r>
      <w:r w:rsidRPr="00527A07">
        <w:rPr>
          <w:rFonts w:ascii="Arial" w:hAnsi="Arial" w:cs="Arial"/>
          <w:color w:val="000000"/>
          <w:sz w:val="20"/>
          <w:szCs w:val="20"/>
          <w:shd w:val="clear" w:color="auto" w:fill="FFFFFF"/>
        </w:rPr>
        <w:t>”</w:t>
      </w:r>
    </w:p>
    <w:p w14:paraId="02C6CC7B" w14:textId="28704251" w:rsidR="008447AA" w:rsidRPr="00527A07" w:rsidRDefault="008447AA" w:rsidP="008447AA">
      <w:pPr>
        <w:rPr>
          <w:rFonts w:ascii="Arial" w:hAnsi="Arial" w:cs="Arial"/>
          <w:color w:val="000000"/>
          <w:sz w:val="20"/>
          <w:szCs w:val="20"/>
        </w:rPr>
      </w:pPr>
    </w:p>
    <w:p w14:paraId="2E81CF69" w14:textId="77777777" w:rsidR="005A194C" w:rsidRPr="00527A07" w:rsidRDefault="005A194C" w:rsidP="00CC4B62">
      <w:pPr>
        <w:pStyle w:val="style1"/>
        <w:shd w:val="clear" w:color="auto" w:fill="FFFFFF"/>
        <w:ind w:left="720"/>
        <w:rPr>
          <w:rFonts w:ascii="Arial" w:hAnsi="Arial" w:cs="Arial"/>
          <w:color w:val="232323"/>
          <w:sz w:val="20"/>
          <w:szCs w:val="20"/>
        </w:rPr>
      </w:pPr>
    </w:p>
    <w:p w14:paraId="3ABCAD3A" w14:textId="1FD1E509" w:rsidR="00152BA4" w:rsidRPr="00527A07" w:rsidRDefault="00152BA4" w:rsidP="008447AA">
      <w:pPr>
        <w:rPr>
          <w:rFonts w:ascii="Arial" w:hAnsi="Arial" w:cs="Arial"/>
          <w:color w:val="232323"/>
          <w:sz w:val="20"/>
          <w:szCs w:val="20"/>
        </w:rPr>
      </w:pPr>
      <w:r w:rsidRPr="00527A07">
        <w:rPr>
          <w:rFonts w:ascii="Arial" w:hAnsi="Arial" w:cs="Arial"/>
          <w:color w:val="232323"/>
          <w:sz w:val="20"/>
          <w:szCs w:val="20"/>
        </w:rPr>
        <w:t>B)</w:t>
      </w:r>
    </w:p>
    <w:p w14:paraId="5D7A1B6B" w14:textId="272E6A9C" w:rsidR="008447AA" w:rsidRPr="00527A07" w:rsidRDefault="008447AA" w:rsidP="00152BA4">
      <w:pPr>
        <w:spacing w:line="360" w:lineRule="auto"/>
        <w:rPr>
          <w:rFonts w:ascii="Arial" w:hAnsi="Arial" w:cs="Arial"/>
          <w:color w:val="000000" w:themeColor="text1"/>
          <w:sz w:val="20"/>
          <w:szCs w:val="20"/>
          <w:shd w:val="clear" w:color="auto" w:fill="FFFFFF"/>
        </w:rPr>
      </w:pPr>
      <w:r w:rsidRPr="00527A07">
        <w:rPr>
          <w:rFonts w:ascii="Arial" w:hAnsi="Arial" w:cs="Arial"/>
          <w:color w:val="000000" w:themeColor="text1"/>
          <w:sz w:val="20"/>
          <w:szCs w:val="20"/>
        </w:rPr>
        <w:t>In the discharge of a bi-lateral contract, either party in the contract have some right to surrender their agreement and nothing more, discharge of bi lateral contract can be performed through various effects such as</w:t>
      </w:r>
      <w:r w:rsidRPr="00527A07">
        <w:rPr>
          <w:rFonts w:ascii="Arial" w:hAnsi="Arial" w:cs="Arial"/>
          <w:color w:val="000000" w:themeColor="text1"/>
          <w:sz w:val="20"/>
          <w:szCs w:val="20"/>
          <w:shd w:val="clear" w:color="auto" w:fill="FFFFFF"/>
        </w:rPr>
        <w:t xml:space="preserve"> rescission, variation and </w:t>
      </w:r>
      <w:r w:rsidR="00152BA4" w:rsidRPr="00527A07">
        <w:rPr>
          <w:rFonts w:ascii="Arial" w:hAnsi="Arial" w:cs="Arial"/>
          <w:color w:val="000000" w:themeColor="text1"/>
          <w:sz w:val="20"/>
          <w:szCs w:val="20"/>
          <w:shd w:val="clear" w:color="auto" w:fill="FFFFFF"/>
        </w:rPr>
        <w:t>wavering</w:t>
      </w:r>
      <w:r w:rsidRPr="00527A07">
        <w:rPr>
          <w:rFonts w:ascii="Arial" w:hAnsi="Arial" w:cs="Arial"/>
          <w:color w:val="000000" w:themeColor="text1"/>
          <w:sz w:val="20"/>
          <w:szCs w:val="20"/>
          <w:shd w:val="clear" w:color="auto" w:fill="FFFFFF"/>
        </w:rPr>
        <w:t>.</w:t>
      </w:r>
    </w:p>
    <w:p w14:paraId="3146D76A" w14:textId="05C2B87B" w:rsidR="008447AA" w:rsidRPr="00527A07" w:rsidRDefault="008447AA" w:rsidP="00152BA4">
      <w:pPr>
        <w:spacing w:line="360" w:lineRule="auto"/>
        <w:rPr>
          <w:rFonts w:ascii="Arial" w:hAnsi="Arial" w:cs="Arial"/>
          <w:color w:val="000000" w:themeColor="text1"/>
          <w:sz w:val="20"/>
          <w:szCs w:val="20"/>
        </w:rPr>
      </w:pPr>
    </w:p>
    <w:p w14:paraId="7299342A" w14:textId="46C7ED63" w:rsidR="008447AA" w:rsidRPr="00527A07" w:rsidRDefault="008447AA" w:rsidP="00527A07">
      <w:pPr>
        <w:spacing w:line="360" w:lineRule="auto"/>
        <w:rPr>
          <w:rFonts w:ascii="Arial" w:hAnsi="Arial" w:cs="Arial"/>
          <w:color w:val="000000" w:themeColor="text1"/>
          <w:sz w:val="20"/>
          <w:szCs w:val="20"/>
        </w:rPr>
      </w:pPr>
      <w:r w:rsidRPr="00527A07">
        <w:rPr>
          <w:rFonts w:ascii="Arial" w:hAnsi="Arial" w:cs="Arial"/>
          <w:color w:val="000000" w:themeColor="text1"/>
          <w:sz w:val="20"/>
          <w:szCs w:val="20"/>
        </w:rPr>
        <w:t xml:space="preserve">In the case of unilateral contract discharge, only one party holds the rights to surrender as long as the one party has fully completed their contractual obligations. </w:t>
      </w:r>
      <w:r w:rsidRPr="00527A07">
        <w:rPr>
          <w:rFonts w:ascii="Arial" w:hAnsi="Arial" w:cs="Arial"/>
          <w:color w:val="000000" w:themeColor="text1"/>
          <w:sz w:val="20"/>
          <w:szCs w:val="20"/>
          <w:shd w:val="clear" w:color="auto" w:fill="FFFFFF"/>
        </w:rPr>
        <w:t xml:space="preserve">The party bound by unilateral contract </w:t>
      </w:r>
      <w:r w:rsidRPr="00527A07">
        <w:rPr>
          <w:rFonts w:ascii="Arial" w:hAnsi="Arial" w:cs="Arial"/>
          <w:color w:val="000000" w:themeColor="text1"/>
          <w:sz w:val="20"/>
          <w:szCs w:val="20"/>
          <w:shd w:val="clear" w:color="auto" w:fill="FFFFFF"/>
        </w:rPr>
        <w:t xml:space="preserve">is no longer under obligation but </w:t>
      </w:r>
      <w:r w:rsidRPr="00527A07">
        <w:rPr>
          <w:rFonts w:ascii="Arial" w:hAnsi="Arial" w:cs="Arial"/>
          <w:color w:val="000000" w:themeColor="text1"/>
          <w:sz w:val="20"/>
          <w:szCs w:val="20"/>
          <w:shd w:val="clear" w:color="auto" w:fill="FFFFFF"/>
        </w:rPr>
        <w:t xml:space="preserve">does have the right to </w:t>
      </w:r>
      <w:r w:rsidRPr="00527A07">
        <w:rPr>
          <w:rFonts w:ascii="Arial" w:hAnsi="Arial" w:cs="Arial"/>
          <w:color w:val="000000" w:themeColor="text1"/>
          <w:sz w:val="20"/>
          <w:szCs w:val="20"/>
          <w:shd w:val="clear" w:color="auto" w:fill="FFFFFF"/>
        </w:rPr>
        <w:t>compel performance agreement of other.</w:t>
      </w:r>
    </w:p>
    <w:p w14:paraId="31BFAC7F" w14:textId="77777777" w:rsidR="00CC4B62" w:rsidRPr="00527A07" w:rsidRDefault="00CC4B62" w:rsidP="00CC4B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0"/>
          <w:szCs w:val="20"/>
        </w:rPr>
      </w:pPr>
    </w:p>
    <w:p w14:paraId="65128CD9" w14:textId="4C35716C" w:rsidR="00152BA4" w:rsidRPr="00527A07" w:rsidRDefault="00152BA4" w:rsidP="00CC4B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0"/>
          <w:szCs w:val="20"/>
        </w:rPr>
      </w:pPr>
    </w:p>
    <w:p w14:paraId="773D7142" w14:textId="55E25F2F" w:rsidR="00152BA4" w:rsidRPr="00527A07" w:rsidRDefault="00152BA4" w:rsidP="00152BA4">
      <w:pPr>
        <w:spacing w:line="360" w:lineRule="auto"/>
        <w:rPr>
          <w:rFonts w:ascii="Arial" w:hAnsi="Arial" w:cs="Arial"/>
          <w:sz w:val="20"/>
          <w:szCs w:val="20"/>
        </w:rPr>
      </w:pPr>
      <w:r w:rsidRPr="00527A07">
        <w:rPr>
          <w:rFonts w:ascii="Arial" w:hAnsi="Arial" w:cs="Arial"/>
          <w:sz w:val="20"/>
          <w:szCs w:val="20"/>
        </w:rPr>
        <w:t>The meaning of a terms is “</w:t>
      </w:r>
      <w:r w:rsidRPr="00527A07">
        <w:rPr>
          <w:rFonts w:ascii="Arial" w:hAnsi="Arial" w:cs="Arial"/>
          <w:color w:val="212529"/>
          <w:sz w:val="20"/>
          <w:szCs w:val="20"/>
          <w:shd w:val="clear" w:color="auto" w:fill="FFFFFF"/>
        </w:rPr>
        <w:t>A promise as to the truth of a statement</w:t>
      </w:r>
      <w:r w:rsidRPr="00527A07">
        <w:rPr>
          <w:rFonts w:ascii="Arial" w:hAnsi="Arial" w:cs="Arial"/>
          <w:color w:val="212529"/>
          <w:sz w:val="20"/>
          <w:szCs w:val="20"/>
          <w:shd w:val="clear" w:color="auto" w:fill="FFFFFF"/>
        </w:rPr>
        <w:t>” on the other hand the meaning of a representation is “</w:t>
      </w:r>
      <w:r w:rsidRPr="00527A07">
        <w:rPr>
          <w:rFonts w:ascii="Arial" w:hAnsi="Arial" w:cs="Arial"/>
          <w:color w:val="212529"/>
          <w:sz w:val="20"/>
          <w:szCs w:val="20"/>
        </w:rPr>
        <w:t>There is no promise, but the statement induces the making of the contract</w:t>
      </w:r>
      <w:r w:rsidRPr="00527A07">
        <w:rPr>
          <w:rFonts w:ascii="Arial" w:hAnsi="Arial" w:cs="Arial"/>
          <w:color w:val="212529"/>
          <w:sz w:val="20"/>
          <w:szCs w:val="20"/>
        </w:rPr>
        <w:t>”. Oral statements can be used at any point during the construction of a contract or agreement “</w:t>
      </w:r>
      <w:r w:rsidRPr="00527A07">
        <w:rPr>
          <w:rFonts w:ascii="Arial" w:hAnsi="Arial" w:cs="Arial"/>
          <w:sz w:val="20"/>
          <w:szCs w:val="20"/>
        </w:rPr>
        <w:t>oral statement made during negotiations prior to conclusion of contract becomes a term of the contract or remains mere representation/promise</w:t>
      </w:r>
      <w:r w:rsidRPr="00527A07">
        <w:rPr>
          <w:rFonts w:ascii="Arial" w:hAnsi="Arial" w:cs="Arial"/>
          <w:sz w:val="20"/>
          <w:szCs w:val="20"/>
        </w:rPr>
        <w:t>.” Importance of the oral statement is a key factor to ensure validity, a prime example of this can be seen in Bannerman v White (1861) where one party specifically asks for un-sulphured hops to be provided and sulphured hops were in fact given.</w:t>
      </w:r>
    </w:p>
    <w:p w14:paraId="3F712E70" w14:textId="288C29A3" w:rsidR="00152BA4" w:rsidRPr="00527A07" w:rsidRDefault="00152BA4" w:rsidP="00152BA4">
      <w:pPr>
        <w:spacing w:line="360" w:lineRule="auto"/>
        <w:rPr>
          <w:rFonts w:ascii="Arial" w:hAnsi="Arial" w:cs="Arial"/>
          <w:sz w:val="20"/>
          <w:szCs w:val="20"/>
        </w:rPr>
      </w:pPr>
      <w:r w:rsidRPr="00527A07">
        <w:rPr>
          <w:rFonts w:ascii="Arial" w:hAnsi="Arial" w:cs="Arial"/>
          <w:sz w:val="20"/>
          <w:szCs w:val="20"/>
        </w:rPr>
        <w:t>Timing of a statement is also crucial “</w:t>
      </w:r>
      <w:r w:rsidRPr="00527A07">
        <w:rPr>
          <w:rFonts w:ascii="Arial" w:hAnsi="Arial" w:cs="Arial"/>
          <w:sz w:val="20"/>
          <w:szCs w:val="20"/>
        </w:rPr>
        <w:t>If statement is otherwise strong and important then this may override significant delay between when it was made and when contract made.</w:t>
      </w:r>
      <w:r w:rsidRPr="00527A07">
        <w:rPr>
          <w:rFonts w:ascii="Arial" w:hAnsi="Arial" w:cs="Arial"/>
          <w:sz w:val="20"/>
          <w:szCs w:val="20"/>
        </w:rPr>
        <w:t xml:space="preserve">” See </w:t>
      </w:r>
      <w:r w:rsidRPr="00527A07">
        <w:rPr>
          <w:rFonts w:ascii="Arial" w:hAnsi="Arial" w:cs="Arial"/>
          <w:sz w:val="20"/>
          <w:szCs w:val="20"/>
        </w:rPr>
        <w:t>Routledge v. McKay (1954)</w:t>
      </w:r>
      <w:r w:rsidRPr="00527A07">
        <w:rPr>
          <w:rFonts w:ascii="Arial" w:hAnsi="Arial" w:cs="Arial"/>
          <w:sz w:val="20"/>
          <w:szCs w:val="20"/>
        </w:rPr>
        <w:t xml:space="preserve"> as an adequate case example for this</w:t>
      </w:r>
    </w:p>
    <w:p w14:paraId="4CA66870" w14:textId="2FDBDC79" w:rsidR="00152BA4" w:rsidRPr="00527A07" w:rsidRDefault="00152BA4" w:rsidP="00152BA4">
      <w:pPr>
        <w:spacing w:line="360" w:lineRule="auto"/>
        <w:rPr>
          <w:rFonts w:ascii="Arial" w:hAnsi="Arial" w:cs="Arial"/>
          <w:sz w:val="20"/>
          <w:szCs w:val="20"/>
        </w:rPr>
      </w:pPr>
    </w:p>
    <w:p w14:paraId="38E6F419" w14:textId="77777777" w:rsidR="005A194C" w:rsidRPr="00527A07" w:rsidRDefault="005A194C" w:rsidP="00152B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0"/>
          <w:szCs w:val="20"/>
        </w:rPr>
      </w:pPr>
    </w:p>
    <w:p w14:paraId="25415DCF" w14:textId="5C999C5C" w:rsidR="00152BA4" w:rsidRPr="00527A07" w:rsidRDefault="00152BA4" w:rsidP="00152B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0"/>
          <w:szCs w:val="20"/>
        </w:rPr>
      </w:pPr>
    </w:p>
    <w:p w14:paraId="480E4503" w14:textId="77777777" w:rsidR="00152BA4" w:rsidRPr="00527A07" w:rsidRDefault="00152BA4" w:rsidP="00152BA4">
      <w:pPr>
        <w:spacing w:line="360" w:lineRule="auto"/>
        <w:rPr>
          <w:rFonts w:ascii="Arial" w:hAnsi="Arial" w:cs="Arial"/>
          <w:sz w:val="20"/>
          <w:szCs w:val="20"/>
        </w:rPr>
      </w:pPr>
      <w:r w:rsidRPr="00527A07">
        <w:rPr>
          <w:rFonts w:ascii="Arial" w:hAnsi="Arial" w:cs="Arial"/>
          <w:sz w:val="20"/>
          <w:szCs w:val="20"/>
        </w:rPr>
        <w:t>law- “</w:t>
      </w:r>
      <w:r w:rsidRPr="00527A07">
        <w:rPr>
          <w:rFonts w:ascii="Arial" w:hAnsi="Arial" w:cs="Arial"/>
          <w:sz w:val="20"/>
          <w:szCs w:val="20"/>
        </w:rPr>
        <w:t>These are terms which the law requires present in certain types of contracts (i.e. not just on “one-off” basis and sometimes irrespective of the wishes of the parties).</w:t>
      </w:r>
      <w:r w:rsidRPr="00527A07">
        <w:rPr>
          <w:rFonts w:ascii="Arial" w:hAnsi="Arial" w:cs="Arial"/>
          <w:sz w:val="20"/>
          <w:szCs w:val="20"/>
        </w:rPr>
        <w:t xml:space="preserve"> Law terms</w:t>
      </w:r>
      <w:r w:rsidRPr="00527A07">
        <w:rPr>
          <w:rFonts w:ascii="Arial" w:hAnsi="Arial" w:cs="Arial"/>
          <w:sz w:val="20"/>
          <w:szCs w:val="20"/>
        </w:rPr>
        <w:t xml:space="preserve"> are terms which the law requires present in certain types of contracts </w:t>
      </w:r>
      <w:r w:rsidRPr="00527A07">
        <w:rPr>
          <w:rFonts w:ascii="Arial" w:hAnsi="Arial" w:cs="Arial"/>
          <w:sz w:val="20"/>
          <w:szCs w:val="20"/>
        </w:rPr>
        <w:t xml:space="preserve">so </w:t>
      </w:r>
      <w:r w:rsidRPr="00527A07">
        <w:rPr>
          <w:rFonts w:ascii="Arial" w:hAnsi="Arial" w:cs="Arial"/>
          <w:sz w:val="20"/>
          <w:szCs w:val="20"/>
        </w:rPr>
        <w:t xml:space="preserve">not just on “one-off” basis and sometimes irrespective of the wishes of the parties). </w:t>
      </w:r>
      <w:r w:rsidRPr="00527A07">
        <w:rPr>
          <w:rFonts w:ascii="Arial" w:hAnsi="Arial" w:cs="Arial"/>
          <w:sz w:val="20"/>
          <w:szCs w:val="20"/>
        </w:rPr>
        <w:t xml:space="preserve">See </w:t>
      </w:r>
      <w:r w:rsidRPr="00527A07">
        <w:rPr>
          <w:rFonts w:ascii="Arial" w:hAnsi="Arial" w:cs="Arial"/>
          <w:sz w:val="20"/>
          <w:szCs w:val="20"/>
        </w:rPr>
        <w:t>Liverpool City Council v. Irwin</w:t>
      </w:r>
    </w:p>
    <w:p w14:paraId="5D6BB849" w14:textId="03487ED9" w:rsidR="00152BA4" w:rsidRPr="00527A07" w:rsidRDefault="00152BA4" w:rsidP="00152BA4">
      <w:pPr>
        <w:spacing w:line="360" w:lineRule="auto"/>
        <w:rPr>
          <w:rFonts w:ascii="Arial" w:hAnsi="Arial" w:cs="Arial"/>
          <w:sz w:val="20"/>
          <w:szCs w:val="20"/>
        </w:rPr>
      </w:pPr>
    </w:p>
    <w:p w14:paraId="5BD1C22D" w14:textId="090DDCEC" w:rsidR="00152BA4" w:rsidRPr="00527A07" w:rsidRDefault="00152BA4" w:rsidP="00152BA4">
      <w:pPr>
        <w:spacing w:line="360" w:lineRule="auto"/>
        <w:rPr>
          <w:rFonts w:ascii="Arial" w:hAnsi="Arial" w:cs="Arial"/>
          <w:sz w:val="20"/>
          <w:szCs w:val="20"/>
        </w:rPr>
      </w:pPr>
    </w:p>
    <w:p w14:paraId="59B050D4" w14:textId="4022972B" w:rsidR="00152BA4" w:rsidRPr="00527A07" w:rsidRDefault="00152BA4" w:rsidP="00152BA4">
      <w:pPr>
        <w:spacing w:line="360" w:lineRule="auto"/>
        <w:rPr>
          <w:rFonts w:ascii="Arial" w:hAnsi="Arial" w:cs="Arial"/>
          <w:sz w:val="20"/>
          <w:szCs w:val="20"/>
        </w:rPr>
      </w:pPr>
      <w:r w:rsidRPr="00527A07">
        <w:rPr>
          <w:rFonts w:ascii="Arial" w:hAnsi="Arial" w:cs="Arial"/>
          <w:sz w:val="20"/>
          <w:szCs w:val="20"/>
        </w:rPr>
        <w:t>F</w:t>
      </w:r>
      <w:r w:rsidRPr="00527A07">
        <w:rPr>
          <w:rFonts w:ascii="Arial" w:hAnsi="Arial" w:cs="Arial"/>
          <w:sz w:val="20"/>
          <w:szCs w:val="20"/>
        </w:rPr>
        <w:t xml:space="preserve">act- </w:t>
      </w:r>
      <w:r w:rsidRPr="00527A07">
        <w:rPr>
          <w:rFonts w:ascii="Arial" w:hAnsi="Arial" w:cs="Arial"/>
          <w:color w:val="000000"/>
          <w:sz w:val="20"/>
          <w:szCs w:val="20"/>
          <w:shd w:val="clear" w:color="auto" w:fill="FFFFFF"/>
        </w:rPr>
        <w:t>Terms implied as fact are based on the imputed intention of the parties</w:t>
      </w:r>
    </w:p>
    <w:p w14:paraId="1A0DB71C" w14:textId="0AB7D98A" w:rsidR="00152BA4" w:rsidRPr="00527A07" w:rsidRDefault="00152BA4" w:rsidP="00152BA4">
      <w:pPr>
        <w:spacing w:line="360" w:lineRule="auto"/>
        <w:rPr>
          <w:rFonts w:ascii="Arial" w:hAnsi="Arial" w:cs="Arial"/>
          <w:sz w:val="20"/>
          <w:szCs w:val="20"/>
        </w:rPr>
      </w:pPr>
      <w:r w:rsidRPr="00527A07">
        <w:rPr>
          <w:rFonts w:ascii="Arial" w:hAnsi="Arial" w:cs="Arial"/>
          <w:sz w:val="20"/>
          <w:szCs w:val="20"/>
        </w:rPr>
        <w:lastRenderedPageBreak/>
        <w:t>“These are terms that courts assume both parties would have intended to include in the contract had they thought about the issue. They are implied on a “one-off” basis”</w:t>
      </w:r>
    </w:p>
    <w:p w14:paraId="5C6A9A7C" w14:textId="3DE5CA11" w:rsidR="00152BA4" w:rsidRPr="00527A07" w:rsidRDefault="00152BA4" w:rsidP="00152B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0"/>
          <w:szCs w:val="20"/>
        </w:rPr>
      </w:pPr>
    </w:p>
    <w:p w14:paraId="482CC420" w14:textId="786CD185" w:rsidR="00152BA4" w:rsidRPr="00527A07" w:rsidRDefault="00152BA4" w:rsidP="00152B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0"/>
          <w:szCs w:val="20"/>
        </w:rPr>
      </w:pPr>
    </w:p>
    <w:p w14:paraId="03EB79F2" w14:textId="4D4718F3" w:rsidR="00152BA4" w:rsidRPr="00527A07" w:rsidRDefault="00152BA4" w:rsidP="00152BA4">
      <w:pPr>
        <w:spacing w:line="360" w:lineRule="auto"/>
        <w:rPr>
          <w:rFonts w:ascii="Arial" w:hAnsi="Arial" w:cs="Arial"/>
          <w:color w:val="000000" w:themeColor="text1"/>
          <w:sz w:val="20"/>
          <w:szCs w:val="20"/>
          <w:shd w:val="clear" w:color="auto" w:fill="FFFFFF"/>
        </w:rPr>
      </w:pPr>
      <w:r w:rsidRPr="00527A07">
        <w:rPr>
          <w:rFonts w:ascii="Arial" w:hAnsi="Arial" w:cs="Arial"/>
          <w:sz w:val="20"/>
          <w:szCs w:val="20"/>
        </w:rPr>
        <w:t xml:space="preserve">Custom- </w:t>
      </w:r>
      <w:r w:rsidRPr="00527A07">
        <w:rPr>
          <w:rFonts w:ascii="Arial" w:hAnsi="Arial" w:cs="Arial"/>
          <w:sz w:val="20"/>
          <w:szCs w:val="20"/>
        </w:rPr>
        <w:br/>
      </w:r>
      <w:r w:rsidRPr="00527A07">
        <w:rPr>
          <w:rFonts w:ascii="Arial" w:hAnsi="Arial" w:cs="Arial"/>
          <w:color w:val="000000" w:themeColor="text1"/>
          <w:sz w:val="20"/>
          <w:szCs w:val="20"/>
          <w:shd w:val="clear" w:color="auto" w:fill="FFFFFF"/>
        </w:rPr>
        <w:t xml:space="preserve">custom implied terms look towards </w:t>
      </w:r>
      <w:r w:rsidRPr="00527A07">
        <w:rPr>
          <w:rFonts w:ascii="Arial" w:hAnsi="Arial" w:cs="Arial"/>
          <w:color w:val="000000" w:themeColor="text1"/>
          <w:sz w:val="20"/>
          <w:szCs w:val="20"/>
          <w:shd w:val="clear" w:color="auto" w:fill="FFFFFF"/>
        </w:rPr>
        <w:t>a particular term is prevalent in a trade the courts may imply a term in a contract of the same type in that trade</w:t>
      </w:r>
      <w:r w:rsidRPr="00527A07">
        <w:rPr>
          <w:rFonts w:ascii="Arial" w:hAnsi="Arial" w:cs="Arial"/>
          <w:color w:val="000000" w:themeColor="text1"/>
          <w:sz w:val="20"/>
          <w:szCs w:val="20"/>
          <w:shd w:val="clear" w:color="auto" w:fill="FFFFFF"/>
        </w:rPr>
        <w:t xml:space="preserve"> this can be seen in the </w:t>
      </w:r>
      <w:r w:rsidRPr="00527A07">
        <w:rPr>
          <w:rFonts w:ascii="Arial" w:hAnsi="Arial" w:cs="Arial"/>
          <w:color w:val="000000" w:themeColor="text1"/>
          <w:sz w:val="20"/>
          <w:szCs w:val="20"/>
          <w:shd w:val="clear" w:color="auto" w:fill="FFFFFF"/>
        </w:rPr>
        <w:t>H</w:t>
      </w:r>
      <w:hyperlink r:id="rId9" w:history="1">
        <w:r w:rsidRPr="00527A07">
          <w:rPr>
            <w:rStyle w:val="Emphasis"/>
            <w:rFonts w:ascii="Arial" w:hAnsi="Arial" w:cs="Arial"/>
            <w:color w:val="000000" w:themeColor="text1"/>
            <w:sz w:val="20"/>
            <w:szCs w:val="20"/>
            <w:shd w:val="clear" w:color="auto" w:fill="FFFFFF"/>
          </w:rPr>
          <w:t>utton v Warren</w:t>
        </w:r>
      </w:hyperlink>
      <w:r w:rsidRPr="00527A07">
        <w:rPr>
          <w:rFonts w:ascii="Arial" w:hAnsi="Arial" w:cs="Arial"/>
          <w:color w:val="000000" w:themeColor="text1"/>
          <w:sz w:val="20"/>
          <w:szCs w:val="20"/>
          <w:shd w:val="clear" w:color="auto" w:fill="FFFFFF"/>
        </w:rPr>
        <w:t> </w:t>
      </w:r>
      <w:r w:rsidRPr="00527A07">
        <w:rPr>
          <w:rFonts w:ascii="Arial" w:hAnsi="Arial" w:cs="Arial"/>
          <w:color w:val="000000" w:themeColor="text1"/>
          <w:sz w:val="20"/>
          <w:szCs w:val="20"/>
          <w:shd w:val="clear" w:color="auto" w:fill="FFFFFF"/>
        </w:rPr>
        <w:t>(</w:t>
      </w:r>
      <w:r w:rsidRPr="00527A07">
        <w:rPr>
          <w:rFonts w:ascii="Arial" w:hAnsi="Arial" w:cs="Arial"/>
          <w:color w:val="000000" w:themeColor="text1"/>
          <w:sz w:val="20"/>
          <w:szCs w:val="20"/>
          <w:shd w:val="clear" w:color="auto" w:fill="FFFFFF"/>
        </w:rPr>
        <w:t>1836</w:t>
      </w:r>
      <w:r w:rsidRPr="00527A07">
        <w:rPr>
          <w:rFonts w:ascii="Arial" w:hAnsi="Arial" w:cs="Arial"/>
          <w:color w:val="000000" w:themeColor="text1"/>
          <w:sz w:val="20"/>
          <w:szCs w:val="20"/>
          <w:shd w:val="clear" w:color="auto" w:fill="FFFFFF"/>
        </w:rPr>
        <w:t>) case.</w:t>
      </w:r>
      <w:r w:rsidRPr="00527A07">
        <w:rPr>
          <w:rFonts w:ascii="Arial" w:hAnsi="Arial" w:cs="Arial"/>
          <w:color w:val="000000" w:themeColor="text1"/>
          <w:sz w:val="20"/>
          <w:szCs w:val="20"/>
          <w:shd w:val="clear" w:color="auto" w:fill="FFFFFF"/>
        </w:rPr>
        <w:t> </w:t>
      </w:r>
    </w:p>
    <w:p w14:paraId="012A0BBE" w14:textId="3B69628C" w:rsidR="00CC4B62" w:rsidRDefault="00CC4B62" w:rsidP="00527A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0"/>
          <w:szCs w:val="20"/>
        </w:rPr>
      </w:pPr>
    </w:p>
    <w:p w14:paraId="54F6754B" w14:textId="49B933CB" w:rsidR="00527A07" w:rsidRPr="00527A07" w:rsidRDefault="00527A07" w:rsidP="00527A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color w:val="000000" w:themeColor="text1"/>
          <w:sz w:val="20"/>
          <w:szCs w:val="20"/>
        </w:rPr>
      </w:pPr>
      <w:r>
        <w:rPr>
          <w:rFonts w:ascii="Arial" w:hAnsi="Arial" w:cs="Arial"/>
          <w:color w:val="000000" w:themeColor="text1"/>
          <w:sz w:val="20"/>
          <w:szCs w:val="20"/>
        </w:rPr>
        <w:t>3)</w:t>
      </w:r>
    </w:p>
    <w:p w14:paraId="53667F7B" w14:textId="1E357F88" w:rsidR="00697426" w:rsidRPr="00527A07" w:rsidRDefault="00697426"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color w:val="000000" w:themeColor="text1"/>
          <w:sz w:val="20"/>
          <w:szCs w:val="20"/>
        </w:rPr>
      </w:pPr>
    </w:p>
    <w:p w14:paraId="056A42D3" w14:textId="475B24B4" w:rsidR="00697426" w:rsidRPr="00527A07" w:rsidRDefault="00697426" w:rsidP="00527A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0"/>
          <w:szCs w:val="20"/>
        </w:rPr>
      </w:pPr>
      <w:r w:rsidRPr="00527A07">
        <w:rPr>
          <w:rFonts w:ascii="Arial" w:hAnsi="Arial" w:cs="Arial"/>
          <w:color w:val="000000" w:themeColor="text1"/>
          <w:sz w:val="20"/>
          <w:szCs w:val="20"/>
        </w:rPr>
        <w:t>The three types of misrepresentation are fraudulent misrepresentation, negligent misrepresentation and innocent misrepresentation.</w:t>
      </w:r>
    </w:p>
    <w:p w14:paraId="69CAFB62" w14:textId="2B1AE09B" w:rsidR="00697426" w:rsidRPr="00527A07" w:rsidRDefault="00697426" w:rsidP="00527A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0"/>
          <w:szCs w:val="20"/>
        </w:rPr>
      </w:pPr>
    </w:p>
    <w:p w14:paraId="52720210" w14:textId="3E10EC2E" w:rsidR="00697426" w:rsidRPr="00527A07" w:rsidRDefault="00697426" w:rsidP="00527A07">
      <w:pPr>
        <w:spacing w:line="360" w:lineRule="auto"/>
        <w:rPr>
          <w:rFonts w:ascii="Arial" w:hAnsi="Arial" w:cs="Arial"/>
          <w:color w:val="000000" w:themeColor="text1"/>
          <w:sz w:val="20"/>
          <w:szCs w:val="20"/>
        </w:rPr>
      </w:pPr>
      <w:r w:rsidRPr="00527A07">
        <w:rPr>
          <w:rFonts w:ascii="Arial" w:hAnsi="Arial" w:cs="Arial"/>
          <w:color w:val="000000" w:themeColor="text1"/>
          <w:sz w:val="20"/>
          <w:szCs w:val="20"/>
        </w:rPr>
        <w:t xml:space="preserve">Fraudulent misrepresentation remedies include rescission (the use of the right) and </w:t>
      </w:r>
      <w:r w:rsidR="00527A07" w:rsidRPr="00527A07">
        <w:rPr>
          <w:rFonts w:ascii="Arial" w:hAnsi="Arial" w:cs="Arial"/>
          <w:color w:val="000000" w:themeColor="text1"/>
          <w:sz w:val="20"/>
          <w:szCs w:val="20"/>
        </w:rPr>
        <w:t xml:space="preserve">unlimited </w:t>
      </w:r>
      <w:r w:rsidRPr="00527A07">
        <w:rPr>
          <w:rFonts w:ascii="Arial" w:hAnsi="Arial" w:cs="Arial"/>
          <w:color w:val="000000" w:themeColor="text1"/>
          <w:sz w:val="20"/>
          <w:szCs w:val="20"/>
        </w:rPr>
        <w:t xml:space="preserve">damages on a </w:t>
      </w:r>
      <w:r w:rsidRPr="00527A07">
        <w:rPr>
          <w:rFonts w:ascii="Arial" w:hAnsi="Arial" w:cs="Arial"/>
          <w:color w:val="000000" w:themeColor="text1"/>
          <w:sz w:val="20"/>
          <w:szCs w:val="20"/>
          <w:shd w:val="clear" w:color="auto" w:fill="FFFFFF"/>
        </w:rPr>
        <w:t>deceit</w:t>
      </w:r>
      <w:r w:rsidRPr="00527A07">
        <w:rPr>
          <w:rFonts w:ascii="Arial" w:hAnsi="Arial" w:cs="Arial"/>
          <w:color w:val="000000" w:themeColor="text1"/>
          <w:sz w:val="20"/>
          <w:szCs w:val="20"/>
          <w:shd w:val="clear" w:color="auto" w:fill="FFFFFF"/>
        </w:rPr>
        <w:t xml:space="preserve"> </w:t>
      </w:r>
      <w:r w:rsidR="00527A07" w:rsidRPr="00527A07">
        <w:rPr>
          <w:rFonts w:ascii="Arial" w:hAnsi="Arial" w:cs="Arial"/>
          <w:color w:val="000000" w:themeColor="text1"/>
          <w:sz w:val="20"/>
          <w:szCs w:val="20"/>
          <w:shd w:val="clear" w:color="auto" w:fill="FFFFFF"/>
        </w:rPr>
        <w:t>basis</w:t>
      </w:r>
      <w:r w:rsidRPr="00527A07">
        <w:rPr>
          <w:rFonts w:ascii="Arial" w:hAnsi="Arial" w:cs="Arial"/>
          <w:color w:val="000000" w:themeColor="text1"/>
          <w:sz w:val="20"/>
          <w:szCs w:val="20"/>
          <w:shd w:val="clear" w:color="auto" w:fill="FFFFFF"/>
        </w:rPr>
        <w:t>. A relevant case study</w:t>
      </w:r>
      <w:r w:rsidR="00527A07" w:rsidRPr="00527A07">
        <w:rPr>
          <w:rFonts w:ascii="Arial" w:hAnsi="Arial" w:cs="Arial"/>
          <w:color w:val="000000" w:themeColor="text1"/>
          <w:sz w:val="20"/>
          <w:szCs w:val="20"/>
          <w:shd w:val="clear" w:color="auto" w:fill="FFFFFF"/>
        </w:rPr>
        <w:t xml:space="preserve"> to fraudulent misrepresentation</w:t>
      </w:r>
      <w:r w:rsidRPr="00527A07">
        <w:rPr>
          <w:rFonts w:ascii="Arial" w:hAnsi="Arial" w:cs="Arial"/>
          <w:color w:val="000000" w:themeColor="text1"/>
          <w:sz w:val="20"/>
          <w:szCs w:val="20"/>
          <w:shd w:val="clear" w:color="auto" w:fill="FFFFFF"/>
        </w:rPr>
        <w:t xml:space="preserve"> is </w:t>
      </w:r>
      <w:r w:rsidRPr="00527A07">
        <w:rPr>
          <w:rStyle w:val="Emphasis"/>
          <w:rFonts w:ascii="Arial" w:hAnsi="Arial" w:cs="Arial"/>
          <w:bCs/>
          <w:i w:val="0"/>
          <w:color w:val="000000" w:themeColor="text1"/>
          <w:sz w:val="20"/>
          <w:szCs w:val="20"/>
        </w:rPr>
        <w:t xml:space="preserve">Doyle v </w:t>
      </w:r>
      <w:proofErr w:type="spellStart"/>
      <w:r w:rsidRPr="00527A07">
        <w:rPr>
          <w:rStyle w:val="Emphasis"/>
          <w:rFonts w:ascii="Arial" w:hAnsi="Arial" w:cs="Arial"/>
          <w:bCs/>
          <w:i w:val="0"/>
          <w:color w:val="000000" w:themeColor="text1"/>
          <w:sz w:val="20"/>
          <w:szCs w:val="20"/>
        </w:rPr>
        <w:t>Olb</w:t>
      </w:r>
      <w:r w:rsidRPr="00527A07">
        <w:rPr>
          <w:rStyle w:val="Emphasis"/>
          <w:rFonts w:ascii="Arial" w:hAnsi="Arial" w:cs="Arial"/>
          <w:bCs/>
          <w:i w:val="0"/>
          <w:color w:val="000000" w:themeColor="text1"/>
          <w:sz w:val="20"/>
          <w:szCs w:val="20"/>
        </w:rPr>
        <w:t>y</w:t>
      </w:r>
      <w:proofErr w:type="spellEnd"/>
      <w:r w:rsidRPr="00527A07">
        <w:rPr>
          <w:rStyle w:val="Emphasis"/>
          <w:rFonts w:ascii="Arial" w:hAnsi="Arial" w:cs="Arial"/>
          <w:bCs/>
          <w:i w:val="0"/>
          <w:color w:val="000000" w:themeColor="text1"/>
          <w:sz w:val="20"/>
          <w:szCs w:val="20"/>
        </w:rPr>
        <w:t xml:space="preserve"> </w:t>
      </w:r>
      <w:r w:rsidRPr="00527A07">
        <w:rPr>
          <w:rStyle w:val="Strong"/>
          <w:rFonts w:ascii="Arial" w:hAnsi="Arial" w:cs="Arial"/>
          <w:b w:val="0"/>
          <w:color w:val="000000" w:themeColor="text1"/>
          <w:sz w:val="20"/>
          <w:szCs w:val="20"/>
        </w:rPr>
        <w:t>(1969)</w:t>
      </w:r>
      <w:r w:rsidR="00527A07" w:rsidRPr="00527A07">
        <w:rPr>
          <w:rStyle w:val="Strong"/>
          <w:rFonts w:ascii="Arial" w:hAnsi="Arial" w:cs="Arial"/>
          <w:b w:val="0"/>
          <w:color w:val="000000" w:themeColor="text1"/>
          <w:sz w:val="20"/>
          <w:szCs w:val="20"/>
        </w:rPr>
        <w:t xml:space="preserve"> and also Car and universal credit v Caldwell (1964)</w:t>
      </w:r>
      <w:r w:rsidR="00527A07" w:rsidRPr="00527A07">
        <w:rPr>
          <w:rFonts w:ascii="Arial" w:hAnsi="Arial" w:cs="Arial"/>
          <w:color w:val="000000" w:themeColor="text1"/>
          <w:sz w:val="20"/>
          <w:szCs w:val="20"/>
          <w:shd w:val="clear" w:color="auto" w:fill="FFFFFF"/>
        </w:rPr>
        <w:t xml:space="preserve">. </w:t>
      </w:r>
      <w:r w:rsidR="00527A07" w:rsidRPr="00527A07">
        <w:rPr>
          <w:rFonts w:ascii="Arial" w:hAnsi="Arial" w:cs="Arial"/>
          <w:color w:val="000000" w:themeColor="text1"/>
          <w:sz w:val="20"/>
          <w:szCs w:val="20"/>
          <w:shd w:val="clear" w:color="auto" w:fill="FFFFFF"/>
        </w:rPr>
        <w:t>Archer v Brown (1984</w:t>
      </w:r>
      <w:proofErr w:type="gramStart"/>
      <w:r w:rsidR="00527A07" w:rsidRPr="00527A07">
        <w:rPr>
          <w:rFonts w:ascii="Arial" w:hAnsi="Arial" w:cs="Arial"/>
          <w:color w:val="000000" w:themeColor="text1"/>
          <w:sz w:val="20"/>
          <w:szCs w:val="20"/>
          <w:shd w:val="clear" w:color="auto" w:fill="FFFFFF"/>
        </w:rPr>
        <w:t>)  can</w:t>
      </w:r>
      <w:proofErr w:type="gramEnd"/>
      <w:r w:rsidR="00527A07" w:rsidRPr="00527A07">
        <w:rPr>
          <w:rFonts w:ascii="Arial" w:hAnsi="Arial" w:cs="Arial"/>
          <w:color w:val="000000" w:themeColor="text1"/>
          <w:sz w:val="20"/>
          <w:szCs w:val="20"/>
          <w:shd w:val="clear" w:color="auto" w:fill="FFFFFF"/>
        </w:rPr>
        <w:t xml:space="preserve"> </w:t>
      </w:r>
      <w:r w:rsidR="00527A07" w:rsidRPr="00527A07">
        <w:rPr>
          <w:rFonts w:ascii="Arial" w:hAnsi="Arial" w:cs="Arial"/>
          <w:color w:val="000000" w:themeColor="text1"/>
          <w:sz w:val="20"/>
          <w:szCs w:val="20"/>
          <w:shd w:val="clear" w:color="auto" w:fill="FFFFFF"/>
        </w:rPr>
        <w:t xml:space="preserve">also </w:t>
      </w:r>
      <w:r w:rsidR="00527A07" w:rsidRPr="00527A07">
        <w:rPr>
          <w:rFonts w:ascii="Arial" w:hAnsi="Arial" w:cs="Arial"/>
          <w:color w:val="000000" w:themeColor="text1"/>
          <w:sz w:val="20"/>
          <w:szCs w:val="20"/>
          <w:shd w:val="clear" w:color="auto" w:fill="FFFFFF"/>
        </w:rPr>
        <w:t>be used as an example case of negligent misconception the remedy was that</w:t>
      </w:r>
    </w:p>
    <w:p w14:paraId="41275367" w14:textId="73615B67" w:rsidR="00697426" w:rsidRPr="00527A07" w:rsidRDefault="00697426" w:rsidP="00527A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0"/>
          <w:szCs w:val="20"/>
        </w:rPr>
      </w:pPr>
      <w:r w:rsidRPr="00527A07">
        <w:rPr>
          <w:rFonts w:ascii="Arial" w:hAnsi="Arial" w:cs="Arial"/>
          <w:color w:val="000000" w:themeColor="text1"/>
          <w:sz w:val="20"/>
          <w:szCs w:val="20"/>
        </w:rPr>
        <w:t xml:space="preserve"> </w:t>
      </w:r>
    </w:p>
    <w:p w14:paraId="45A40289" w14:textId="6104E037" w:rsidR="00527A07" w:rsidRPr="00527A07" w:rsidRDefault="00527A07" w:rsidP="00527A07">
      <w:pPr>
        <w:spacing w:line="360" w:lineRule="auto"/>
        <w:rPr>
          <w:rFonts w:ascii="Arial" w:hAnsi="Arial" w:cs="Arial"/>
          <w:color w:val="000000" w:themeColor="text1"/>
          <w:sz w:val="20"/>
          <w:szCs w:val="20"/>
          <w:shd w:val="clear" w:color="auto" w:fill="FFFFFF"/>
        </w:rPr>
      </w:pPr>
      <w:r w:rsidRPr="00527A07">
        <w:rPr>
          <w:rFonts w:ascii="Arial" w:hAnsi="Arial" w:cs="Arial"/>
          <w:color w:val="000000" w:themeColor="text1"/>
          <w:sz w:val="20"/>
          <w:szCs w:val="20"/>
        </w:rPr>
        <w:t xml:space="preserve">Negligent misrepresentation Is </w:t>
      </w:r>
      <w:r w:rsidRPr="00527A07">
        <w:rPr>
          <w:rFonts w:ascii="Arial" w:hAnsi="Arial" w:cs="Arial"/>
          <w:color w:val="000000" w:themeColor="text1"/>
          <w:sz w:val="20"/>
          <w:szCs w:val="20"/>
          <w:shd w:val="clear" w:color="auto" w:fill="FFFFFF"/>
        </w:rPr>
        <w:t xml:space="preserve">a representation </w:t>
      </w:r>
      <w:r w:rsidRPr="00527A07">
        <w:rPr>
          <w:rFonts w:ascii="Arial" w:hAnsi="Arial" w:cs="Arial"/>
          <w:color w:val="000000" w:themeColor="text1"/>
          <w:sz w:val="20"/>
          <w:szCs w:val="20"/>
          <w:shd w:val="clear" w:color="auto" w:fill="FFFFFF"/>
        </w:rPr>
        <w:t xml:space="preserve">that is </w:t>
      </w:r>
      <w:r w:rsidRPr="00527A07">
        <w:rPr>
          <w:rFonts w:ascii="Arial" w:hAnsi="Arial" w:cs="Arial"/>
          <w:color w:val="000000" w:themeColor="text1"/>
          <w:sz w:val="20"/>
          <w:szCs w:val="20"/>
          <w:shd w:val="clear" w:color="auto" w:fill="FFFFFF"/>
        </w:rPr>
        <w:t xml:space="preserve">made carelessly and in </w:t>
      </w:r>
      <w:r w:rsidRPr="00527A07">
        <w:rPr>
          <w:rFonts w:ascii="Arial" w:hAnsi="Arial" w:cs="Arial"/>
          <w:color w:val="000000" w:themeColor="text1"/>
          <w:sz w:val="20"/>
          <w:szCs w:val="20"/>
          <w:shd w:val="clear" w:color="auto" w:fill="FFFFFF"/>
        </w:rPr>
        <w:t xml:space="preserve">clearly in </w:t>
      </w:r>
      <w:r w:rsidRPr="00527A07">
        <w:rPr>
          <w:rFonts w:ascii="Arial" w:hAnsi="Arial" w:cs="Arial"/>
          <w:color w:val="000000" w:themeColor="text1"/>
          <w:sz w:val="20"/>
          <w:szCs w:val="20"/>
          <w:shd w:val="clear" w:color="auto" w:fill="FFFFFF"/>
        </w:rPr>
        <w:t xml:space="preserve">breach of duty owed by </w:t>
      </w:r>
      <w:r w:rsidRPr="00527A07">
        <w:rPr>
          <w:rFonts w:ascii="Arial" w:hAnsi="Arial" w:cs="Arial"/>
          <w:color w:val="000000" w:themeColor="text1"/>
          <w:sz w:val="20"/>
          <w:szCs w:val="20"/>
          <w:shd w:val="clear" w:color="auto" w:fill="FFFFFF"/>
        </w:rPr>
        <w:t xml:space="preserve">a both parties. </w:t>
      </w:r>
      <w:r w:rsidRPr="00527A07">
        <w:rPr>
          <w:rFonts w:ascii="Arial" w:hAnsi="Arial" w:cs="Arial"/>
          <w:color w:val="000000" w:themeColor="text1"/>
          <w:sz w:val="20"/>
          <w:szCs w:val="20"/>
          <w:shd w:val="clear" w:color="auto" w:fill="FFFFFF"/>
        </w:rPr>
        <w:t xml:space="preserve">If no </w:t>
      </w:r>
      <w:r w:rsidRPr="00527A07">
        <w:rPr>
          <w:rFonts w:ascii="Arial" w:hAnsi="Arial" w:cs="Arial"/>
          <w:color w:val="000000" w:themeColor="text1"/>
          <w:sz w:val="20"/>
          <w:szCs w:val="20"/>
          <w:shd w:val="clear" w:color="auto" w:fill="FFFFFF"/>
        </w:rPr>
        <w:t>‘</w:t>
      </w:r>
      <w:r w:rsidRPr="00527A07">
        <w:rPr>
          <w:rFonts w:ascii="Arial" w:hAnsi="Arial" w:cs="Arial"/>
          <w:color w:val="000000" w:themeColor="text1"/>
          <w:sz w:val="20"/>
          <w:szCs w:val="20"/>
          <w:shd w:val="clear" w:color="auto" w:fill="FFFFFF"/>
        </w:rPr>
        <w:t>special relationship</w:t>
      </w:r>
      <w:r w:rsidRPr="00527A07">
        <w:rPr>
          <w:rFonts w:ascii="Arial" w:hAnsi="Arial" w:cs="Arial"/>
          <w:color w:val="000000" w:themeColor="text1"/>
          <w:sz w:val="20"/>
          <w:szCs w:val="20"/>
          <w:shd w:val="clear" w:color="auto" w:fill="FFFFFF"/>
        </w:rPr>
        <w:t xml:space="preserve">’ </w:t>
      </w:r>
      <w:r w:rsidRPr="00527A07">
        <w:rPr>
          <w:rFonts w:ascii="Arial" w:hAnsi="Arial" w:cs="Arial"/>
          <w:color w:val="000000" w:themeColor="text1"/>
          <w:sz w:val="20"/>
          <w:szCs w:val="20"/>
          <w:shd w:val="clear" w:color="auto" w:fill="FFFFFF"/>
        </w:rPr>
        <w:t>exists, there may be a misrepresentation under section 2(1) of the Misrepresentation Act 1967 where a statement is made carelessly or without reasonable grounds for believing its truth.</w:t>
      </w:r>
      <w:r w:rsidRPr="00527A07">
        <w:rPr>
          <w:rFonts w:ascii="Arial" w:hAnsi="Arial" w:cs="Arial"/>
          <w:color w:val="000000" w:themeColor="text1"/>
          <w:sz w:val="20"/>
          <w:szCs w:val="20"/>
          <w:shd w:val="clear" w:color="auto" w:fill="FFFFFF"/>
        </w:rPr>
        <w:t xml:space="preserve"> The remedies for mis representation include rescission and damages. Esso </w:t>
      </w:r>
      <w:proofErr w:type="spellStart"/>
      <w:r w:rsidRPr="00527A07">
        <w:rPr>
          <w:rFonts w:ascii="Arial" w:hAnsi="Arial" w:cs="Arial"/>
          <w:color w:val="000000" w:themeColor="text1"/>
          <w:sz w:val="20"/>
          <w:szCs w:val="20"/>
          <w:shd w:val="clear" w:color="auto" w:fill="FFFFFF"/>
        </w:rPr>
        <w:t>Patroleum</w:t>
      </w:r>
      <w:proofErr w:type="spellEnd"/>
      <w:r w:rsidRPr="00527A07">
        <w:rPr>
          <w:rFonts w:ascii="Arial" w:hAnsi="Arial" w:cs="Arial"/>
          <w:color w:val="000000" w:themeColor="text1"/>
          <w:sz w:val="20"/>
          <w:szCs w:val="20"/>
          <w:shd w:val="clear" w:color="auto" w:fill="FFFFFF"/>
        </w:rPr>
        <w:t xml:space="preserve"> vs Marden can be </w:t>
      </w:r>
      <w:proofErr w:type="spellStart"/>
      <w:r w:rsidRPr="00527A07">
        <w:rPr>
          <w:rFonts w:ascii="Arial" w:hAnsi="Arial" w:cs="Arial"/>
          <w:color w:val="000000" w:themeColor="text1"/>
          <w:sz w:val="20"/>
          <w:szCs w:val="20"/>
          <w:shd w:val="clear" w:color="auto" w:fill="FFFFFF"/>
        </w:rPr>
        <w:t>use</w:t>
      </w:r>
      <w:proofErr w:type="spellEnd"/>
      <w:r w:rsidRPr="00527A07">
        <w:rPr>
          <w:rFonts w:ascii="Arial" w:hAnsi="Arial" w:cs="Arial"/>
          <w:color w:val="000000" w:themeColor="text1"/>
          <w:sz w:val="20"/>
          <w:szCs w:val="20"/>
          <w:shd w:val="clear" w:color="auto" w:fill="FFFFFF"/>
        </w:rPr>
        <w:t xml:space="preserve"> as an example case study.</w:t>
      </w:r>
    </w:p>
    <w:p w14:paraId="21A452F1" w14:textId="380EA465" w:rsidR="00527A07" w:rsidRPr="00527A07" w:rsidRDefault="00527A07" w:rsidP="00527A07">
      <w:pPr>
        <w:spacing w:line="360" w:lineRule="auto"/>
        <w:rPr>
          <w:rFonts w:ascii="Arial" w:hAnsi="Arial" w:cs="Arial"/>
          <w:color w:val="000000" w:themeColor="text1"/>
          <w:sz w:val="20"/>
          <w:szCs w:val="20"/>
          <w:shd w:val="clear" w:color="auto" w:fill="FFFFFF"/>
        </w:rPr>
      </w:pPr>
    </w:p>
    <w:p w14:paraId="4D0BB866" w14:textId="1EBB6502" w:rsidR="00527A07" w:rsidRPr="00527A07" w:rsidRDefault="00527A07" w:rsidP="00527A07">
      <w:pPr>
        <w:pStyle w:val="Heading1"/>
        <w:spacing w:before="0" w:beforeAutospacing="0" w:after="600" w:afterAutospacing="0" w:line="360" w:lineRule="auto"/>
        <w:rPr>
          <w:rFonts w:ascii="Arial" w:hAnsi="Arial" w:cs="Arial"/>
          <w:b w:val="0"/>
          <w:bCs w:val="0"/>
          <w:color w:val="000000" w:themeColor="text1"/>
          <w:sz w:val="20"/>
          <w:szCs w:val="20"/>
        </w:rPr>
      </w:pPr>
      <w:r w:rsidRPr="00527A07">
        <w:rPr>
          <w:rFonts w:ascii="Arial" w:hAnsi="Arial" w:cs="Arial"/>
          <w:b w:val="0"/>
          <w:color w:val="000000" w:themeColor="text1"/>
          <w:sz w:val="20"/>
          <w:szCs w:val="20"/>
          <w:shd w:val="clear" w:color="auto" w:fill="FFFFFF"/>
        </w:rPr>
        <w:t>Innocent misrepresentation-</w:t>
      </w:r>
      <w:r w:rsidRPr="00527A07">
        <w:rPr>
          <w:rStyle w:val="apple-converted-space"/>
          <w:rFonts w:ascii="Arial" w:hAnsi="Arial" w:cs="Arial"/>
          <w:b w:val="0"/>
          <w:color w:val="000000" w:themeColor="text1"/>
          <w:sz w:val="20"/>
          <w:szCs w:val="20"/>
          <w:shd w:val="clear" w:color="auto" w:fill="FFFFFF"/>
        </w:rPr>
        <w:t> </w:t>
      </w:r>
      <w:r w:rsidRPr="00527A07">
        <w:rPr>
          <w:rFonts w:ascii="Arial" w:hAnsi="Arial" w:cs="Arial"/>
          <w:b w:val="0"/>
          <w:color w:val="000000" w:themeColor="text1"/>
          <w:sz w:val="20"/>
          <w:szCs w:val="20"/>
          <w:shd w:val="clear" w:color="auto" w:fill="FFFFFF"/>
        </w:rPr>
        <w:t>For innocent misrepresentation, the court has a discretion to award damages in lieu of rescission</w:t>
      </w:r>
      <w:r w:rsidRPr="00527A07">
        <w:rPr>
          <w:rFonts w:ascii="Arial" w:hAnsi="Arial" w:cs="Arial"/>
          <w:b w:val="0"/>
          <w:color w:val="000000" w:themeColor="text1"/>
          <w:sz w:val="20"/>
          <w:szCs w:val="20"/>
          <w:shd w:val="clear" w:color="auto" w:fill="FFFFFF"/>
        </w:rPr>
        <w:t xml:space="preserve">, according to </w:t>
      </w:r>
      <w:r w:rsidRPr="00527A07">
        <w:rPr>
          <w:rFonts w:ascii="Arial" w:hAnsi="Arial" w:cs="Arial"/>
          <w:b w:val="0"/>
          <w:color w:val="000000" w:themeColor="text1"/>
          <w:sz w:val="20"/>
          <w:szCs w:val="20"/>
          <w:shd w:val="clear" w:color="auto" w:fill="FFFFFF"/>
        </w:rPr>
        <w:t>section 2(2) of the Misrepresentation Act 1967</w:t>
      </w:r>
      <w:r w:rsidRPr="00527A07">
        <w:rPr>
          <w:rFonts w:ascii="Arial" w:hAnsi="Arial" w:cs="Arial"/>
          <w:b w:val="0"/>
          <w:color w:val="000000" w:themeColor="text1"/>
          <w:sz w:val="20"/>
          <w:szCs w:val="20"/>
          <w:shd w:val="clear" w:color="auto" w:fill="FFFFFF"/>
        </w:rPr>
        <w:t xml:space="preserve">, </w:t>
      </w:r>
      <w:r w:rsidRPr="00527A07">
        <w:rPr>
          <w:rFonts w:ascii="Arial" w:hAnsi="Arial" w:cs="Arial"/>
          <w:b w:val="0"/>
          <w:color w:val="000000" w:themeColor="text1"/>
          <w:sz w:val="20"/>
          <w:szCs w:val="20"/>
          <w:shd w:val="clear" w:color="auto" w:fill="FFFFFF"/>
        </w:rPr>
        <w:t>the court cannot award both</w:t>
      </w:r>
      <w:r w:rsidRPr="00527A07">
        <w:rPr>
          <w:rFonts w:ascii="Arial" w:hAnsi="Arial" w:cs="Arial"/>
          <w:b w:val="0"/>
          <w:color w:val="000000" w:themeColor="text1"/>
          <w:sz w:val="20"/>
          <w:szCs w:val="20"/>
          <w:shd w:val="clear" w:color="auto" w:fill="FFFFFF"/>
        </w:rPr>
        <w:t xml:space="preserve"> rescission and damages. Redgrave vs Hurd (1881) is a relevant case study along with </w:t>
      </w:r>
      <w:r w:rsidRPr="00527A07">
        <w:rPr>
          <w:rFonts w:ascii="Arial" w:hAnsi="Arial" w:cs="Arial"/>
          <w:b w:val="0"/>
          <w:bCs w:val="0"/>
          <w:color w:val="000000" w:themeColor="text1"/>
          <w:sz w:val="20"/>
          <w:szCs w:val="20"/>
        </w:rPr>
        <w:t xml:space="preserve">Salt v </w:t>
      </w:r>
      <w:proofErr w:type="spellStart"/>
      <w:r w:rsidRPr="00527A07">
        <w:rPr>
          <w:rFonts w:ascii="Arial" w:hAnsi="Arial" w:cs="Arial"/>
          <w:b w:val="0"/>
          <w:bCs w:val="0"/>
          <w:color w:val="000000" w:themeColor="text1"/>
          <w:sz w:val="20"/>
          <w:szCs w:val="20"/>
        </w:rPr>
        <w:t>Stratstone</w:t>
      </w:r>
      <w:proofErr w:type="spellEnd"/>
      <w:r w:rsidRPr="00527A07">
        <w:rPr>
          <w:rFonts w:ascii="Arial" w:hAnsi="Arial" w:cs="Arial"/>
          <w:b w:val="0"/>
          <w:bCs w:val="0"/>
          <w:color w:val="000000" w:themeColor="text1"/>
          <w:sz w:val="20"/>
          <w:szCs w:val="20"/>
        </w:rPr>
        <w:t xml:space="preserve"> Specialist Ltd</w:t>
      </w:r>
      <w:r>
        <w:rPr>
          <w:rFonts w:ascii="Arial" w:hAnsi="Arial" w:cs="Arial"/>
          <w:b w:val="0"/>
          <w:bCs w:val="0"/>
          <w:color w:val="000000" w:themeColor="text1"/>
          <w:sz w:val="20"/>
          <w:szCs w:val="20"/>
        </w:rPr>
        <w:t xml:space="preserve"> (2015)</w:t>
      </w:r>
    </w:p>
    <w:p w14:paraId="67EA6226" w14:textId="4FC2BED3" w:rsidR="00527A07" w:rsidRPr="00527A07" w:rsidRDefault="00527A07" w:rsidP="00527A07">
      <w:pPr>
        <w:spacing w:line="360" w:lineRule="auto"/>
        <w:rPr>
          <w:rFonts w:ascii="Arial" w:hAnsi="Arial" w:cs="Arial"/>
          <w:color w:val="000000" w:themeColor="text1"/>
          <w:sz w:val="20"/>
          <w:szCs w:val="20"/>
        </w:rPr>
      </w:pPr>
    </w:p>
    <w:p w14:paraId="24C57D0D" w14:textId="30DB7316" w:rsidR="00527A07" w:rsidRDefault="00527A07" w:rsidP="00527A07">
      <w:pPr>
        <w:spacing w:line="360" w:lineRule="auto"/>
        <w:rPr>
          <w:rFonts w:ascii="Arial" w:hAnsi="Arial" w:cs="Arial"/>
          <w:color w:val="212121"/>
          <w:sz w:val="20"/>
          <w:szCs w:val="20"/>
          <w:shd w:val="clear" w:color="auto" w:fill="FFFFFF"/>
        </w:rPr>
      </w:pPr>
    </w:p>
    <w:p w14:paraId="44A5BE6E" w14:textId="25875668" w:rsidR="00527A07" w:rsidRDefault="00527A07" w:rsidP="00527A07">
      <w:pPr>
        <w:spacing w:line="360" w:lineRule="auto"/>
        <w:rPr>
          <w:rFonts w:ascii="Arial" w:hAnsi="Arial" w:cs="Arial"/>
          <w:sz w:val="20"/>
          <w:szCs w:val="20"/>
        </w:rPr>
      </w:pPr>
    </w:p>
    <w:p w14:paraId="540AA274" w14:textId="77777777" w:rsidR="00527A07" w:rsidRPr="00527A07" w:rsidRDefault="00527A07" w:rsidP="00527A07">
      <w:pPr>
        <w:spacing w:line="360" w:lineRule="auto"/>
        <w:rPr>
          <w:rFonts w:ascii="Arial" w:hAnsi="Arial" w:cs="Arial"/>
          <w:sz w:val="20"/>
          <w:szCs w:val="20"/>
        </w:rPr>
      </w:pPr>
    </w:p>
    <w:p w14:paraId="78FC60A5" w14:textId="006A7CA0" w:rsidR="00527A07" w:rsidRPr="00697426" w:rsidRDefault="00527A07" w:rsidP="006974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232323"/>
          <w:sz w:val="20"/>
          <w:szCs w:val="20"/>
        </w:rPr>
      </w:pPr>
    </w:p>
    <w:p w14:paraId="5784FB96" w14:textId="77777777" w:rsidR="00CC4B62" w:rsidRPr="005A194C" w:rsidRDefault="00CC4B62" w:rsidP="00CC4B62">
      <w:pPr>
        <w:rPr>
          <w:i/>
        </w:rPr>
      </w:pPr>
    </w:p>
    <w:p w14:paraId="23B49CA9" w14:textId="77777777" w:rsidR="00CC4B62" w:rsidRPr="005A194C" w:rsidRDefault="00CC4B62" w:rsidP="00CC4B62"/>
    <w:p w14:paraId="62EAB9D6" w14:textId="77777777" w:rsidR="00CC4B62" w:rsidRPr="005A194C" w:rsidRDefault="00CC4B62" w:rsidP="00CC4B62"/>
    <w:p w14:paraId="61E83AA8" w14:textId="77777777" w:rsidR="00CC4B62" w:rsidRPr="005A194C" w:rsidRDefault="00CC4B62" w:rsidP="00CC4B62"/>
    <w:p w14:paraId="251F18CC" w14:textId="77777777" w:rsidR="00CC4B62" w:rsidRPr="005A194C" w:rsidRDefault="00CC4B62" w:rsidP="00CC4B62"/>
    <w:p w14:paraId="350714D0" w14:textId="77777777" w:rsidR="00CC4B62" w:rsidRPr="005A194C" w:rsidRDefault="00CC4B62" w:rsidP="00CC4B62"/>
    <w:p w14:paraId="6BB64D12" w14:textId="77777777" w:rsidR="00CC4B62" w:rsidRPr="005A194C" w:rsidRDefault="00CC4B62" w:rsidP="00CC4B62"/>
    <w:p w14:paraId="4BB79FC1" w14:textId="77777777" w:rsidR="00CC4B62" w:rsidRPr="005A194C" w:rsidRDefault="00CC4B62" w:rsidP="00CC4B62"/>
    <w:p w14:paraId="7DC803ED" w14:textId="131A8649" w:rsidR="00CC4B62" w:rsidRPr="005A194C" w:rsidRDefault="00CC4B62"/>
    <w:sectPr w:rsidR="00CC4B62" w:rsidRPr="005A194C"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FCE9E" w14:textId="77777777" w:rsidR="00391910" w:rsidRDefault="00391910">
      <w:r>
        <w:separator/>
      </w:r>
    </w:p>
  </w:endnote>
  <w:endnote w:type="continuationSeparator" w:id="0">
    <w:p w14:paraId="6950C401" w14:textId="77777777" w:rsidR="00391910" w:rsidRDefault="00391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67BDB">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67BDB">
              <w:rPr>
                <w:b/>
                <w:bCs/>
                <w:noProof/>
              </w:rPr>
              <w:t>5</w:t>
            </w:r>
            <w:r w:rsidRPr="00C52BDC">
              <w:rPr>
                <w:b/>
                <w:bCs/>
                <w:szCs w:val="24"/>
              </w:rPr>
              <w:fldChar w:fldCharType="end"/>
            </w:r>
          </w:p>
        </w:sdtContent>
      </w:sdt>
    </w:sdtContent>
  </w:sdt>
  <w:p w14:paraId="4C2F9EA2"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7477A" w14:textId="77777777" w:rsidR="00391910" w:rsidRDefault="00391910">
      <w:r>
        <w:separator/>
      </w:r>
    </w:p>
  </w:footnote>
  <w:footnote w:type="continuationSeparator" w:id="0">
    <w:p w14:paraId="5181C6EB" w14:textId="77777777" w:rsidR="00391910" w:rsidRDefault="003919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90796"/>
    <w:multiLevelType w:val="hybridMultilevel"/>
    <w:tmpl w:val="F2C633A8"/>
    <w:lvl w:ilvl="0" w:tplc="29400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38A26AF0"/>
    <w:multiLevelType w:val="hybridMultilevel"/>
    <w:tmpl w:val="3AC4D546"/>
    <w:lvl w:ilvl="0" w:tplc="762E32E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9"/>
  </w:num>
  <w:num w:numId="2">
    <w:abstractNumId w:val="10"/>
  </w:num>
  <w:num w:numId="3">
    <w:abstractNumId w:val="4"/>
  </w:num>
  <w:num w:numId="4">
    <w:abstractNumId w:val="2"/>
  </w:num>
  <w:num w:numId="5">
    <w:abstractNumId w:val="7"/>
  </w:num>
  <w:num w:numId="6">
    <w:abstractNumId w:val="8"/>
  </w:num>
  <w:num w:numId="7">
    <w:abstractNumId w:val="6"/>
  </w:num>
  <w:num w:numId="8">
    <w:abstractNumId w:val="11"/>
  </w:num>
  <w:num w:numId="9">
    <w:abstractNumId w:val="0"/>
  </w:num>
  <w:num w:numId="10">
    <w:abstractNumId w:val="1"/>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45281"/>
    <w:rsid w:val="0005302D"/>
    <w:rsid w:val="0006217E"/>
    <w:rsid w:val="00067BDB"/>
    <w:rsid w:val="00085FE0"/>
    <w:rsid w:val="00092E2D"/>
    <w:rsid w:val="0009720B"/>
    <w:rsid w:val="000D2292"/>
    <w:rsid w:val="000D65A5"/>
    <w:rsid w:val="000E5EE2"/>
    <w:rsid w:val="000E7182"/>
    <w:rsid w:val="000F215B"/>
    <w:rsid w:val="000F461F"/>
    <w:rsid w:val="001338B4"/>
    <w:rsid w:val="0014784D"/>
    <w:rsid w:val="00147A36"/>
    <w:rsid w:val="001523C8"/>
    <w:rsid w:val="00152726"/>
    <w:rsid w:val="00152BA4"/>
    <w:rsid w:val="00153F52"/>
    <w:rsid w:val="0015414A"/>
    <w:rsid w:val="0015599E"/>
    <w:rsid w:val="00192447"/>
    <w:rsid w:val="001C228A"/>
    <w:rsid w:val="001C4E7F"/>
    <w:rsid w:val="001C60E5"/>
    <w:rsid w:val="002076C3"/>
    <w:rsid w:val="002432C0"/>
    <w:rsid w:val="00250F5B"/>
    <w:rsid w:val="0025252C"/>
    <w:rsid w:val="002525BA"/>
    <w:rsid w:val="00256113"/>
    <w:rsid w:val="00256BEA"/>
    <w:rsid w:val="00267C96"/>
    <w:rsid w:val="00274D58"/>
    <w:rsid w:val="00280103"/>
    <w:rsid w:val="002A4580"/>
    <w:rsid w:val="002D3C39"/>
    <w:rsid w:val="002E72EF"/>
    <w:rsid w:val="002F26C1"/>
    <w:rsid w:val="002F406E"/>
    <w:rsid w:val="0031050A"/>
    <w:rsid w:val="00312869"/>
    <w:rsid w:val="00332D22"/>
    <w:rsid w:val="00334066"/>
    <w:rsid w:val="00337C61"/>
    <w:rsid w:val="003546F9"/>
    <w:rsid w:val="00355330"/>
    <w:rsid w:val="00355C20"/>
    <w:rsid w:val="00361A4F"/>
    <w:rsid w:val="0036641A"/>
    <w:rsid w:val="00373E3F"/>
    <w:rsid w:val="00381D1C"/>
    <w:rsid w:val="00391910"/>
    <w:rsid w:val="00397B36"/>
    <w:rsid w:val="003A43F8"/>
    <w:rsid w:val="003B03DA"/>
    <w:rsid w:val="003B54C8"/>
    <w:rsid w:val="003B7622"/>
    <w:rsid w:val="003D479E"/>
    <w:rsid w:val="003F6D14"/>
    <w:rsid w:val="00400156"/>
    <w:rsid w:val="00405A9E"/>
    <w:rsid w:val="004076C4"/>
    <w:rsid w:val="00410939"/>
    <w:rsid w:val="00423A30"/>
    <w:rsid w:val="00451825"/>
    <w:rsid w:val="00464504"/>
    <w:rsid w:val="0047567D"/>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27A07"/>
    <w:rsid w:val="00531FF5"/>
    <w:rsid w:val="005440DD"/>
    <w:rsid w:val="0055088C"/>
    <w:rsid w:val="0055444C"/>
    <w:rsid w:val="00554FB7"/>
    <w:rsid w:val="0056046A"/>
    <w:rsid w:val="005672D9"/>
    <w:rsid w:val="005826C9"/>
    <w:rsid w:val="005863EE"/>
    <w:rsid w:val="005876B5"/>
    <w:rsid w:val="00593C2E"/>
    <w:rsid w:val="005A194C"/>
    <w:rsid w:val="005A5B33"/>
    <w:rsid w:val="005B04D7"/>
    <w:rsid w:val="005B4884"/>
    <w:rsid w:val="005D0789"/>
    <w:rsid w:val="005D2E24"/>
    <w:rsid w:val="005D40D2"/>
    <w:rsid w:val="005E7CF5"/>
    <w:rsid w:val="00614BD2"/>
    <w:rsid w:val="0062759D"/>
    <w:rsid w:val="0063282B"/>
    <w:rsid w:val="006375E3"/>
    <w:rsid w:val="0065660F"/>
    <w:rsid w:val="00674612"/>
    <w:rsid w:val="00680202"/>
    <w:rsid w:val="00685E99"/>
    <w:rsid w:val="00697426"/>
    <w:rsid w:val="006B1F5C"/>
    <w:rsid w:val="006C4930"/>
    <w:rsid w:val="006D1161"/>
    <w:rsid w:val="006D4DD5"/>
    <w:rsid w:val="006E19EA"/>
    <w:rsid w:val="006F3197"/>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555"/>
    <w:rsid w:val="007B420E"/>
    <w:rsid w:val="007B6BEE"/>
    <w:rsid w:val="007D5972"/>
    <w:rsid w:val="007E3A8E"/>
    <w:rsid w:val="007E479D"/>
    <w:rsid w:val="008029EE"/>
    <w:rsid w:val="00826884"/>
    <w:rsid w:val="00835EE3"/>
    <w:rsid w:val="008447AA"/>
    <w:rsid w:val="008526DB"/>
    <w:rsid w:val="008616E4"/>
    <w:rsid w:val="008900B9"/>
    <w:rsid w:val="0089434A"/>
    <w:rsid w:val="008A2A4F"/>
    <w:rsid w:val="008B46F1"/>
    <w:rsid w:val="008C2C45"/>
    <w:rsid w:val="008C4155"/>
    <w:rsid w:val="008C78AD"/>
    <w:rsid w:val="008E2FC1"/>
    <w:rsid w:val="008F0F4A"/>
    <w:rsid w:val="0090008E"/>
    <w:rsid w:val="00904174"/>
    <w:rsid w:val="00917F06"/>
    <w:rsid w:val="009309B0"/>
    <w:rsid w:val="00931114"/>
    <w:rsid w:val="009319E3"/>
    <w:rsid w:val="00935520"/>
    <w:rsid w:val="009427E5"/>
    <w:rsid w:val="00952CB7"/>
    <w:rsid w:val="0095405E"/>
    <w:rsid w:val="00955A24"/>
    <w:rsid w:val="0095743F"/>
    <w:rsid w:val="0097229A"/>
    <w:rsid w:val="009948F4"/>
    <w:rsid w:val="00996632"/>
    <w:rsid w:val="009F2326"/>
    <w:rsid w:val="00A03207"/>
    <w:rsid w:val="00A123FF"/>
    <w:rsid w:val="00A16BB7"/>
    <w:rsid w:val="00A23173"/>
    <w:rsid w:val="00A36410"/>
    <w:rsid w:val="00A47238"/>
    <w:rsid w:val="00A662B9"/>
    <w:rsid w:val="00A66DB7"/>
    <w:rsid w:val="00A72458"/>
    <w:rsid w:val="00A85C60"/>
    <w:rsid w:val="00AA1CE1"/>
    <w:rsid w:val="00AD2A94"/>
    <w:rsid w:val="00AD3FE6"/>
    <w:rsid w:val="00AE127F"/>
    <w:rsid w:val="00AF097E"/>
    <w:rsid w:val="00B07952"/>
    <w:rsid w:val="00B07A8D"/>
    <w:rsid w:val="00B22B43"/>
    <w:rsid w:val="00B51DD6"/>
    <w:rsid w:val="00B64FDF"/>
    <w:rsid w:val="00B674C4"/>
    <w:rsid w:val="00B83785"/>
    <w:rsid w:val="00B877AD"/>
    <w:rsid w:val="00B90DA5"/>
    <w:rsid w:val="00BC4889"/>
    <w:rsid w:val="00BC6CA7"/>
    <w:rsid w:val="00BD440E"/>
    <w:rsid w:val="00C02687"/>
    <w:rsid w:val="00C13B4A"/>
    <w:rsid w:val="00C266FC"/>
    <w:rsid w:val="00C52093"/>
    <w:rsid w:val="00C52BDC"/>
    <w:rsid w:val="00C53820"/>
    <w:rsid w:val="00C5464C"/>
    <w:rsid w:val="00C84FBE"/>
    <w:rsid w:val="00C96858"/>
    <w:rsid w:val="00CA70AE"/>
    <w:rsid w:val="00CB215A"/>
    <w:rsid w:val="00CB4484"/>
    <w:rsid w:val="00CC051B"/>
    <w:rsid w:val="00CC4B62"/>
    <w:rsid w:val="00CC4CAC"/>
    <w:rsid w:val="00D00220"/>
    <w:rsid w:val="00D202B9"/>
    <w:rsid w:val="00D206AB"/>
    <w:rsid w:val="00D23A74"/>
    <w:rsid w:val="00D31A6E"/>
    <w:rsid w:val="00D3412D"/>
    <w:rsid w:val="00D36E75"/>
    <w:rsid w:val="00D42181"/>
    <w:rsid w:val="00D429DD"/>
    <w:rsid w:val="00D43636"/>
    <w:rsid w:val="00D620AC"/>
    <w:rsid w:val="00D6332D"/>
    <w:rsid w:val="00D67CD0"/>
    <w:rsid w:val="00D7009C"/>
    <w:rsid w:val="00DA0808"/>
    <w:rsid w:val="00DC3A55"/>
    <w:rsid w:val="00E05E03"/>
    <w:rsid w:val="00E0685E"/>
    <w:rsid w:val="00E24192"/>
    <w:rsid w:val="00E3044F"/>
    <w:rsid w:val="00E305F9"/>
    <w:rsid w:val="00E30914"/>
    <w:rsid w:val="00E326F6"/>
    <w:rsid w:val="00E37530"/>
    <w:rsid w:val="00E5105E"/>
    <w:rsid w:val="00E51801"/>
    <w:rsid w:val="00E6279E"/>
    <w:rsid w:val="00E77028"/>
    <w:rsid w:val="00E9772F"/>
    <w:rsid w:val="00EA0B9D"/>
    <w:rsid w:val="00EA7369"/>
    <w:rsid w:val="00EB1201"/>
    <w:rsid w:val="00EC0424"/>
    <w:rsid w:val="00EC0A0F"/>
    <w:rsid w:val="00EF3425"/>
    <w:rsid w:val="00F200E6"/>
    <w:rsid w:val="00F2054F"/>
    <w:rsid w:val="00F20EC1"/>
    <w:rsid w:val="00F327CC"/>
    <w:rsid w:val="00F36A11"/>
    <w:rsid w:val="00F43797"/>
    <w:rsid w:val="00F5653E"/>
    <w:rsid w:val="00F8607D"/>
    <w:rsid w:val="00F93162"/>
    <w:rsid w:val="00F96573"/>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2BA4"/>
    <w:rPr>
      <w:sz w:val="24"/>
      <w:szCs w:val="24"/>
      <w:lang w:eastAsia="en-US"/>
    </w:rPr>
  </w:style>
  <w:style w:type="paragraph" w:styleId="Heading1">
    <w:name w:val="heading 1"/>
    <w:basedOn w:val="Normal"/>
    <w:link w:val="Heading1Char"/>
    <w:uiPriority w:val="9"/>
    <w:qFormat/>
    <w:rsid w:val="00527A0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rPr>
      <w:szCs w:val="20"/>
      <w:lang w:eastAsia="en-GB"/>
    </w:r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szCs w:val="20"/>
      <w:lang w:eastAsia="en-GB"/>
    </w:rPr>
  </w:style>
  <w:style w:type="paragraph" w:customStyle="1" w:styleId="Exam">
    <w:name w:val="Exam"/>
    <w:basedOn w:val="Normal"/>
    <w:next w:val="Month"/>
    <w:rsid w:val="000D65A5"/>
    <w:rPr>
      <w:b/>
      <w:caps/>
      <w:szCs w:val="20"/>
      <w:lang w:eastAsia="en-GB"/>
    </w:rPr>
  </w:style>
  <w:style w:type="paragraph" w:customStyle="1" w:styleId="Modcode">
    <w:name w:val="Modcode"/>
    <w:basedOn w:val="Normal"/>
    <w:rsid w:val="000D65A5"/>
    <w:pPr>
      <w:jc w:val="center"/>
    </w:pPr>
    <w:rPr>
      <w:b/>
      <w:caps/>
      <w:sz w:val="28"/>
      <w:szCs w:val="20"/>
      <w:lang w:eastAsia="en-GB"/>
    </w:rPr>
  </w:style>
  <w:style w:type="paragraph" w:customStyle="1" w:styleId="Modname">
    <w:name w:val="Modname"/>
    <w:basedOn w:val="Normal"/>
    <w:next w:val="Time"/>
    <w:rsid w:val="000D65A5"/>
    <w:pPr>
      <w:spacing w:after="240"/>
      <w:jc w:val="center"/>
    </w:pPr>
    <w:rPr>
      <w:b/>
      <w:sz w:val="28"/>
      <w:szCs w:val="20"/>
      <w:lang w:eastAsia="en-GB"/>
    </w:rPr>
  </w:style>
  <w:style w:type="paragraph" w:customStyle="1" w:styleId="Time">
    <w:name w:val="Time"/>
    <w:basedOn w:val="Normal"/>
    <w:next w:val="Answer"/>
    <w:rsid w:val="000D65A5"/>
    <w:pPr>
      <w:spacing w:after="240"/>
    </w:pPr>
    <w:rPr>
      <w:b/>
      <w:caps/>
      <w:sz w:val="28"/>
      <w:szCs w:val="20"/>
      <w:lang w:eastAsia="en-GB"/>
    </w:rPr>
  </w:style>
  <w:style w:type="paragraph" w:customStyle="1" w:styleId="Answer">
    <w:name w:val="Answer"/>
    <w:basedOn w:val="Normal"/>
    <w:next w:val="BodyText"/>
    <w:rsid w:val="000D65A5"/>
    <w:rPr>
      <w:b/>
      <w:caps/>
      <w:sz w:val="28"/>
      <w:szCs w:val="20"/>
      <w:lang w:eastAsia="en-GB"/>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rPr>
      <w:szCs w:val="20"/>
      <w:lang w:eastAsia="en-GB"/>
    </w:r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rPr>
      <w:szCs w:val="20"/>
      <w:lang w:eastAsia="en-GB"/>
    </w:r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rPr>
      <w:szCs w:val="20"/>
      <w:lang w:eastAsia="en-GB"/>
    </w:r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uiPriority w:val="99"/>
    <w:rsid w:val="00CC4B62"/>
    <w:pPr>
      <w:suppressAutoHyphens/>
      <w:spacing w:before="100" w:after="100"/>
    </w:pPr>
    <w:rPr>
      <w:lang w:eastAsia="zh-CN"/>
    </w:rPr>
  </w:style>
  <w:style w:type="paragraph" w:customStyle="1" w:styleId="style1">
    <w:name w:val="style1"/>
    <w:basedOn w:val="Normal"/>
    <w:rsid w:val="00CC4B62"/>
    <w:pPr>
      <w:suppressAutoHyphens/>
      <w:spacing w:before="100" w:after="100"/>
    </w:pPr>
    <w:rPr>
      <w:lang w:eastAsia="zh-CN"/>
    </w:rPr>
  </w:style>
  <w:style w:type="character" w:styleId="Strong">
    <w:name w:val="Strong"/>
    <w:basedOn w:val="DefaultParagraphFont"/>
    <w:uiPriority w:val="22"/>
    <w:qFormat/>
    <w:rsid w:val="008447AA"/>
    <w:rPr>
      <w:b/>
      <w:bCs/>
    </w:rPr>
  </w:style>
  <w:style w:type="character" w:styleId="Emphasis">
    <w:name w:val="Emphasis"/>
    <w:basedOn w:val="DefaultParagraphFont"/>
    <w:uiPriority w:val="20"/>
    <w:qFormat/>
    <w:rsid w:val="008447AA"/>
    <w:rPr>
      <w:i/>
      <w:iCs/>
    </w:rPr>
  </w:style>
  <w:style w:type="character" w:styleId="Hyperlink">
    <w:name w:val="Hyperlink"/>
    <w:basedOn w:val="DefaultParagraphFont"/>
    <w:uiPriority w:val="99"/>
    <w:semiHidden/>
    <w:unhideWhenUsed/>
    <w:rsid w:val="008447AA"/>
    <w:rPr>
      <w:color w:val="0000FF"/>
      <w:u w:val="single"/>
    </w:rPr>
  </w:style>
  <w:style w:type="paragraph" w:customStyle="1" w:styleId="legclearfix">
    <w:name w:val="legclearfix"/>
    <w:basedOn w:val="Normal"/>
    <w:rsid w:val="008447AA"/>
    <w:pPr>
      <w:spacing w:before="100" w:beforeAutospacing="1" w:after="100" w:afterAutospacing="1"/>
    </w:pPr>
  </w:style>
  <w:style w:type="character" w:customStyle="1" w:styleId="legds">
    <w:name w:val="legds"/>
    <w:basedOn w:val="DefaultParagraphFont"/>
    <w:rsid w:val="008447AA"/>
  </w:style>
  <w:style w:type="character" w:customStyle="1" w:styleId="legterm">
    <w:name w:val="legterm"/>
    <w:basedOn w:val="DefaultParagraphFont"/>
    <w:rsid w:val="008447AA"/>
  </w:style>
  <w:style w:type="paragraph" w:customStyle="1" w:styleId="legtext">
    <w:name w:val="legtext"/>
    <w:basedOn w:val="Normal"/>
    <w:rsid w:val="008447AA"/>
    <w:pPr>
      <w:spacing w:before="100" w:beforeAutospacing="1" w:after="100" w:afterAutospacing="1"/>
    </w:pPr>
  </w:style>
  <w:style w:type="character" w:customStyle="1" w:styleId="apple-converted-space">
    <w:name w:val="apple-converted-space"/>
    <w:basedOn w:val="DefaultParagraphFont"/>
    <w:rsid w:val="00697426"/>
  </w:style>
  <w:style w:type="character" w:customStyle="1" w:styleId="Heading1Char">
    <w:name w:val="Heading 1 Char"/>
    <w:basedOn w:val="DefaultParagraphFont"/>
    <w:link w:val="Heading1"/>
    <w:uiPriority w:val="9"/>
    <w:rsid w:val="00527A07"/>
    <w:rPr>
      <w:b/>
      <w:bCs/>
      <w:kern w:val="36"/>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3639">
      <w:bodyDiv w:val="1"/>
      <w:marLeft w:val="0"/>
      <w:marRight w:val="0"/>
      <w:marTop w:val="0"/>
      <w:marBottom w:val="0"/>
      <w:divBdr>
        <w:top w:val="none" w:sz="0" w:space="0" w:color="auto"/>
        <w:left w:val="none" w:sz="0" w:space="0" w:color="auto"/>
        <w:bottom w:val="none" w:sz="0" w:space="0" w:color="auto"/>
        <w:right w:val="none" w:sz="0" w:space="0" w:color="auto"/>
      </w:divBdr>
    </w:div>
    <w:div w:id="62460056">
      <w:bodyDiv w:val="1"/>
      <w:marLeft w:val="0"/>
      <w:marRight w:val="0"/>
      <w:marTop w:val="0"/>
      <w:marBottom w:val="0"/>
      <w:divBdr>
        <w:top w:val="none" w:sz="0" w:space="0" w:color="auto"/>
        <w:left w:val="none" w:sz="0" w:space="0" w:color="auto"/>
        <w:bottom w:val="none" w:sz="0" w:space="0" w:color="auto"/>
        <w:right w:val="none" w:sz="0" w:space="0" w:color="auto"/>
      </w:divBdr>
    </w:div>
    <w:div w:id="113406412">
      <w:bodyDiv w:val="1"/>
      <w:marLeft w:val="0"/>
      <w:marRight w:val="0"/>
      <w:marTop w:val="0"/>
      <w:marBottom w:val="0"/>
      <w:divBdr>
        <w:top w:val="none" w:sz="0" w:space="0" w:color="auto"/>
        <w:left w:val="none" w:sz="0" w:space="0" w:color="auto"/>
        <w:bottom w:val="none" w:sz="0" w:space="0" w:color="auto"/>
        <w:right w:val="none" w:sz="0" w:space="0" w:color="auto"/>
      </w:divBdr>
    </w:div>
    <w:div w:id="431781012">
      <w:bodyDiv w:val="1"/>
      <w:marLeft w:val="0"/>
      <w:marRight w:val="0"/>
      <w:marTop w:val="0"/>
      <w:marBottom w:val="0"/>
      <w:divBdr>
        <w:top w:val="none" w:sz="0" w:space="0" w:color="auto"/>
        <w:left w:val="none" w:sz="0" w:space="0" w:color="auto"/>
        <w:bottom w:val="none" w:sz="0" w:space="0" w:color="auto"/>
        <w:right w:val="none" w:sz="0" w:space="0" w:color="auto"/>
      </w:divBdr>
    </w:div>
    <w:div w:id="436145957">
      <w:bodyDiv w:val="1"/>
      <w:marLeft w:val="0"/>
      <w:marRight w:val="0"/>
      <w:marTop w:val="0"/>
      <w:marBottom w:val="0"/>
      <w:divBdr>
        <w:top w:val="none" w:sz="0" w:space="0" w:color="auto"/>
        <w:left w:val="none" w:sz="0" w:space="0" w:color="auto"/>
        <w:bottom w:val="none" w:sz="0" w:space="0" w:color="auto"/>
        <w:right w:val="none" w:sz="0" w:space="0" w:color="auto"/>
      </w:divBdr>
    </w:div>
    <w:div w:id="559096003">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46938472">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697003306">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2380563">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908416732">
      <w:bodyDiv w:val="1"/>
      <w:marLeft w:val="0"/>
      <w:marRight w:val="0"/>
      <w:marTop w:val="0"/>
      <w:marBottom w:val="0"/>
      <w:divBdr>
        <w:top w:val="none" w:sz="0" w:space="0" w:color="auto"/>
        <w:left w:val="none" w:sz="0" w:space="0" w:color="auto"/>
        <w:bottom w:val="none" w:sz="0" w:space="0" w:color="auto"/>
        <w:right w:val="none" w:sz="0" w:space="0" w:color="auto"/>
      </w:divBdr>
    </w:div>
    <w:div w:id="1007974856">
      <w:bodyDiv w:val="1"/>
      <w:marLeft w:val="0"/>
      <w:marRight w:val="0"/>
      <w:marTop w:val="0"/>
      <w:marBottom w:val="0"/>
      <w:divBdr>
        <w:top w:val="none" w:sz="0" w:space="0" w:color="auto"/>
        <w:left w:val="none" w:sz="0" w:space="0" w:color="auto"/>
        <w:bottom w:val="none" w:sz="0" w:space="0" w:color="auto"/>
        <w:right w:val="none" w:sz="0" w:space="0" w:color="auto"/>
      </w:divBdr>
      <w:divsChild>
        <w:div w:id="1278490823">
          <w:marLeft w:val="0"/>
          <w:marRight w:val="0"/>
          <w:marTop w:val="0"/>
          <w:marBottom w:val="0"/>
          <w:divBdr>
            <w:top w:val="none" w:sz="0" w:space="0" w:color="auto"/>
            <w:left w:val="none" w:sz="0" w:space="0" w:color="auto"/>
            <w:bottom w:val="none" w:sz="0" w:space="0" w:color="auto"/>
            <w:right w:val="none" w:sz="0" w:space="0" w:color="auto"/>
          </w:divBdr>
        </w:div>
      </w:divsChild>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17119040">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49712502">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180899637">
      <w:bodyDiv w:val="1"/>
      <w:marLeft w:val="0"/>
      <w:marRight w:val="0"/>
      <w:marTop w:val="0"/>
      <w:marBottom w:val="0"/>
      <w:divBdr>
        <w:top w:val="none" w:sz="0" w:space="0" w:color="auto"/>
        <w:left w:val="none" w:sz="0" w:space="0" w:color="auto"/>
        <w:bottom w:val="none" w:sz="0" w:space="0" w:color="auto"/>
        <w:right w:val="none" w:sz="0" w:space="0" w:color="auto"/>
      </w:divBdr>
    </w:div>
    <w:div w:id="1232694987">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296830612">
      <w:bodyDiv w:val="1"/>
      <w:marLeft w:val="0"/>
      <w:marRight w:val="0"/>
      <w:marTop w:val="0"/>
      <w:marBottom w:val="0"/>
      <w:divBdr>
        <w:top w:val="none" w:sz="0" w:space="0" w:color="auto"/>
        <w:left w:val="none" w:sz="0" w:space="0" w:color="auto"/>
        <w:bottom w:val="none" w:sz="0" w:space="0" w:color="auto"/>
        <w:right w:val="none" w:sz="0" w:space="0" w:color="auto"/>
      </w:divBdr>
      <w:divsChild>
        <w:div w:id="327251813">
          <w:marLeft w:val="0"/>
          <w:marRight w:val="0"/>
          <w:marTop w:val="0"/>
          <w:marBottom w:val="0"/>
          <w:divBdr>
            <w:top w:val="none" w:sz="0" w:space="0" w:color="auto"/>
            <w:left w:val="none" w:sz="0" w:space="0" w:color="auto"/>
            <w:bottom w:val="none" w:sz="0" w:space="0" w:color="auto"/>
            <w:right w:val="none" w:sz="0" w:space="0" w:color="auto"/>
          </w:divBdr>
        </w:div>
        <w:div w:id="2016760758">
          <w:marLeft w:val="0"/>
          <w:marRight w:val="0"/>
          <w:marTop w:val="0"/>
          <w:marBottom w:val="0"/>
          <w:divBdr>
            <w:top w:val="none" w:sz="0" w:space="0" w:color="auto"/>
            <w:left w:val="none" w:sz="0" w:space="0" w:color="auto"/>
            <w:bottom w:val="none" w:sz="0" w:space="0" w:color="auto"/>
            <w:right w:val="none" w:sz="0" w:space="0" w:color="auto"/>
          </w:divBdr>
        </w:div>
      </w:divsChild>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362171374">
      <w:bodyDiv w:val="1"/>
      <w:marLeft w:val="0"/>
      <w:marRight w:val="0"/>
      <w:marTop w:val="0"/>
      <w:marBottom w:val="0"/>
      <w:divBdr>
        <w:top w:val="none" w:sz="0" w:space="0" w:color="auto"/>
        <w:left w:val="none" w:sz="0" w:space="0" w:color="auto"/>
        <w:bottom w:val="none" w:sz="0" w:space="0" w:color="auto"/>
        <w:right w:val="none" w:sz="0" w:space="0" w:color="auto"/>
      </w:divBdr>
    </w:div>
    <w:div w:id="1377045723">
      <w:bodyDiv w:val="1"/>
      <w:marLeft w:val="0"/>
      <w:marRight w:val="0"/>
      <w:marTop w:val="0"/>
      <w:marBottom w:val="0"/>
      <w:divBdr>
        <w:top w:val="none" w:sz="0" w:space="0" w:color="auto"/>
        <w:left w:val="none" w:sz="0" w:space="0" w:color="auto"/>
        <w:bottom w:val="none" w:sz="0" w:space="0" w:color="auto"/>
        <w:right w:val="none" w:sz="0" w:space="0" w:color="auto"/>
      </w:divBdr>
    </w:div>
    <w:div w:id="1426341842">
      <w:bodyDiv w:val="1"/>
      <w:marLeft w:val="0"/>
      <w:marRight w:val="0"/>
      <w:marTop w:val="0"/>
      <w:marBottom w:val="0"/>
      <w:divBdr>
        <w:top w:val="none" w:sz="0" w:space="0" w:color="auto"/>
        <w:left w:val="none" w:sz="0" w:space="0" w:color="auto"/>
        <w:bottom w:val="none" w:sz="0" w:space="0" w:color="auto"/>
        <w:right w:val="none" w:sz="0" w:space="0" w:color="auto"/>
      </w:divBdr>
    </w:div>
    <w:div w:id="1493182621">
      <w:bodyDiv w:val="1"/>
      <w:marLeft w:val="0"/>
      <w:marRight w:val="0"/>
      <w:marTop w:val="0"/>
      <w:marBottom w:val="0"/>
      <w:divBdr>
        <w:top w:val="none" w:sz="0" w:space="0" w:color="auto"/>
        <w:left w:val="none" w:sz="0" w:space="0" w:color="auto"/>
        <w:bottom w:val="none" w:sz="0" w:space="0" w:color="auto"/>
        <w:right w:val="none" w:sz="0" w:space="0" w:color="auto"/>
      </w:divBdr>
    </w:div>
    <w:div w:id="1518424186">
      <w:bodyDiv w:val="1"/>
      <w:marLeft w:val="0"/>
      <w:marRight w:val="0"/>
      <w:marTop w:val="0"/>
      <w:marBottom w:val="0"/>
      <w:divBdr>
        <w:top w:val="none" w:sz="0" w:space="0" w:color="auto"/>
        <w:left w:val="none" w:sz="0" w:space="0" w:color="auto"/>
        <w:bottom w:val="none" w:sz="0" w:space="0" w:color="auto"/>
        <w:right w:val="none" w:sz="0" w:space="0" w:color="auto"/>
      </w:divBdr>
    </w:div>
    <w:div w:id="1533037211">
      <w:bodyDiv w:val="1"/>
      <w:marLeft w:val="0"/>
      <w:marRight w:val="0"/>
      <w:marTop w:val="0"/>
      <w:marBottom w:val="0"/>
      <w:divBdr>
        <w:top w:val="none" w:sz="0" w:space="0" w:color="auto"/>
        <w:left w:val="none" w:sz="0" w:space="0" w:color="auto"/>
        <w:bottom w:val="none" w:sz="0" w:space="0" w:color="auto"/>
        <w:right w:val="none" w:sz="0" w:space="0" w:color="auto"/>
      </w:divBdr>
    </w:div>
    <w:div w:id="1533685190">
      <w:bodyDiv w:val="1"/>
      <w:marLeft w:val="0"/>
      <w:marRight w:val="0"/>
      <w:marTop w:val="0"/>
      <w:marBottom w:val="0"/>
      <w:divBdr>
        <w:top w:val="none" w:sz="0" w:space="0" w:color="auto"/>
        <w:left w:val="none" w:sz="0" w:space="0" w:color="auto"/>
        <w:bottom w:val="none" w:sz="0" w:space="0" w:color="auto"/>
        <w:right w:val="none" w:sz="0" w:space="0" w:color="auto"/>
      </w:divBdr>
    </w:div>
    <w:div w:id="1573661524">
      <w:bodyDiv w:val="1"/>
      <w:marLeft w:val="0"/>
      <w:marRight w:val="0"/>
      <w:marTop w:val="0"/>
      <w:marBottom w:val="0"/>
      <w:divBdr>
        <w:top w:val="none" w:sz="0" w:space="0" w:color="auto"/>
        <w:left w:val="none" w:sz="0" w:space="0" w:color="auto"/>
        <w:bottom w:val="none" w:sz="0" w:space="0" w:color="auto"/>
        <w:right w:val="none" w:sz="0" w:space="0" w:color="auto"/>
      </w:divBdr>
    </w:div>
    <w:div w:id="1591961010">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1834253264">
      <w:bodyDiv w:val="1"/>
      <w:marLeft w:val="0"/>
      <w:marRight w:val="0"/>
      <w:marTop w:val="0"/>
      <w:marBottom w:val="0"/>
      <w:divBdr>
        <w:top w:val="none" w:sz="0" w:space="0" w:color="auto"/>
        <w:left w:val="none" w:sz="0" w:space="0" w:color="auto"/>
        <w:bottom w:val="none" w:sz="0" w:space="0" w:color="auto"/>
        <w:right w:val="none" w:sz="0" w:space="0" w:color="auto"/>
      </w:divBdr>
    </w:div>
    <w:div w:id="1996101089">
      <w:bodyDiv w:val="1"/>
      <w:marLeft w:val="0"/>
      <w:marRight w:val="0"/>
      <w:marTop w:val="0"/>
      <w:marBottom w:val="0"/>
      <w:divBdr>
        <w:top w:val="none" w:sz="0" w:space="0" w:color="auto"/>
        <w:left w:val="none" w:sz="0" w:space="0" w:color="auto"/>
        <w:bottom w:val="none" w:sz="0" w:space="0" w:color="auto"/>
        <w:right w:val="none" w:sz="0" w:space="0" w:color="auto"/>
      </w:divBdr>
    </w:div>
    <w:div w:id="2075199502">
      <w:bodyDiv w:val="1"/>
      <w:marLeft w:val="0"/>
      <w:marRight w:val="0"/>
      <w:marTop w:val="0"/>
      <w:marBottom w:val="0"/>
      <w:divBdr>
        <w:top w:val="none" w:sz="0" w:space="0" w:color="auto"/>
        <w:left w:val="none" w:sz="0" w:space="0" w:color="auto"/>
        <w:bottom w:val="none" w:sz="0" w:space="0" w:color="auto"/>
        <w:right w:val="none" w:sz="0" w:space="0" w:color="auto"/>
      </w:divBdr>
    </w:div>
    <w:div w:id="20975121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Quantum_meru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ailii.org/ew/cases/EWHC/Exch/1836/J6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36117-D0A8-0846-93DE-E659B01EE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Daniel Tate (1701938)</cp:lastModifiedBy>
  <cp:revision>2</cp:revision>
  <cp:lastPrinted>2016-11-25T15:38:00Z</cp:lastPrinted>
  <dcterms:created xsi:type="dcterms:W3CDTF">2020-05-13T12:09:00Z</dcterms:created>
  <dcterms:modified xsi:type="dcterms:W3CDTF">2020-05-13T12:09:00Z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