
<file path=[Content_Types].xml><?xml version="1.0" encoding="utf-8"?>
<Types xmlns="http://schemas.openxmlformats.org/package/2006/content-types">
  <Default ContentType="image/jpeg" Extension="jpg"/>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b w:val="1"/>
          <w:bCs w:val="1"/>
          <w:sz w:val="48"/>
          <w:szCs w:val="48"/>
        </w:rPr>
      </w:pPr>
      <w:r w:rsidDel="00000000" w:rsidR="00000000" w:rsidRPr="00000000">
        <w:rPr>
          <w:b w:val="1"/>
          <w:bCs w:val="1"/>
          <w:sz w:val="48"/>
          <w:szCs w:val="48"/>
          <w:rtl w:val="0"/>
        </w:rPr>
        <w:t xml:space="preserve"> </w:t>
      </w:r>
    </w:p>
    <w:p w:rsidR="00000000" w:rsidDel="00000000" w:rsidP="00000000" w:rsidRDefault="00000000" w:rsidRPr="00000000" w14:paraId="00000002">
      <w:pPr>
        <w:jc w:val="center"/>
        <w:rPr>
          <w:b w:val="1"/>
          <w:bCs w:val="1"/>
          <w:sz w:val="48"/>
          <w:szCs w:val="48"/>
        </w:rPr>
      </w:pPr>
      <w:r w:rsidDel="00000000" w:rsidR="00000000" w:rsidRPr="00000000">
        <w:rPr>
          <w:b w:val="1"/>
          <w:bCs w:val="1"/>
          <w:sz w:val="48"/>
          <w:szCs w:val="48"/>
        </w:rPr>
        <w:drawing>
          <wp:inline distB="19050" distT="19050" distL="19050" distR="19050">
            <wp:extent cx="5748338" cy="1266825"/>
            <wp:effectExtent b="0" l="0" r="0" t="0"/>
            <wp:docPr id="3"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748338" cy="126682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left"/>
        <w:rPr/>
      </w:pPr>
      <w:r w:rsidDel="00000000" w:rsidR="00000000" w:rsidRPr="00000000">
        <w:rPr>
          <w:rtl w:val="0"/>
        </w:rPr>
      </w:r>
    </w:p>
    <w:p w:rsidR="00000000" w:rsidDel="00000000" w:rsidP="00000000" w:rsidRDefault="00000000" w:rsidRPr="00000000" w14:paraId="00000004">
      <w:pPr>
        <w:spacing w:line="360" w:lineRule="auto"/>
        <w:jc w:val="center"/>
        <w:rPr/>
      </w:pPr>
      <w:r w:rsidDel="00000000" w:rsidR="00000000" w:rsidRPr="00000000">
        <w:rPr>
          <w:b w:val="1"/>
          <w:bCs w:val="1"/>
          <w:sz w:val="48"/>
          <w:szCs w:val="48"/>
          <w:rtl w:val="0"/>
        </w:rPr>
        <w:t xml:space="preserve">INDIVIDUAL REPORT</w:t>
      </w:r>
      <w:r w:rsidDel="00000000" w:rsidR="00000000" w:rsidRPr="00000000">
        <w:rPr>
          <w:rtl w:val="0"/>
        </w:rPr>
      </w:r>
    </w:p>
    <w:p w:rsidR="00000000" w:rsidDel="00000000" w:rsidP="00000000" w:rsidRDefault="00000000" w:rsidRPr="00000000" w14:paraId="00000005">
      <w:pPr>
        <w:jc w:val="center"/>
        <w:rPr>
          <w:rFonts w:ascii="Arial" w:cs="Arial" w:eastAsia="Arial" w:hAnsi="Arial"/>
          <w:sz w:val="38"/>
          <w:szCs w:val="38"/>
        </w:rPr>
      </w:pPr>
      <w:bookmarkStart w:colFirst="0" w:colLast="0" w:name="_heading=h.lt79j07axkhp" w:id="0"/>
      <w:bookmarkEnd w:id="0"/>
      <w:r w:rsidDel="00000000" w:rsidR="00000000" w:rsidRPr="00000000">
        <w:rPr>
          <w:rFonts w:ascii="Arial" w:cs="Arial" w:eastAsia="Arial" w:hAnsi="Arial"/>
          <w:sz w:val="38"/>
          <w:szCs w:val="38"/>
          <w:rtl w:val="0"/>
        </w:rPr>
        <w:t xml:space="preserve">Name:Gloria Omomoh Iyevhobu</w:t>
      </w:r>
    </w:p>
    <w:p w:rsidR="00000000" w:rsidDel="00000000" w:rsidP="00000000" w:rsidRDefault="00000000" w:rsidRPr="00000000" w14:paraId="00000006">
      <w:pPr>
        <w:rPr>
          <w:rFonts w:ascii="Arial" w:cs="Arial" w:eastAsia="Arial" w:hAnsi="Arial"/>
          <w:sz w:val="38"/>
          <w:szCs w:val="38"/>
        </w:rPr>
      </w:pPr>
      <w:bookmarkStart w:colFirst="0" w:colLast="0" w:name="_heading=h.vapg9hgnq7yc" w:id="1"/>
      <w:bookmarkEnd w:id="1"/>
      <w:r w:rsidDel="00000000" w:rsidR="00000000" w:rsidRPr="00000000">
        <w:rPr>
          <w:rFonts w:ascii="Arial" w:cs="Arial" w:eastAsia="Arial" w:hAnsi="Arial"/>
          <w:sz w:val="38"/>
          <w:szCs w:val="38"/>
          <w:rtl w:val="0"/>
        </w:rPr>
        <w:t xml:space="preserve">                         Student ID:2510902</w:t>
      </w:r>
    </w:p>
    <w:p w:rsidR="00000000" w:rsidDel="00000000" w:rsidP="00000000" w:rsidRDefault="00000000" w:rsidRPr="00000000" w14:paraId="00000007">
      <w:pPr>
        <w:jc w:val="center"/>
        <w:rPr>
          <w:rFonts w:ascii="Arial" w:cs="Arial" w:eastAsia="Arial" w:hAnsi="Arial"/>
          <w:sz w:val="38"/>
          <w:szCs w:val="38"/>
        </w:rPr>
      </w:pPr>
      <w:bookmarkStart w:colFirst="0" w:colLast="0" w:name="_heading=h.wzucq04ftilu" w:id="2"/>
      <w:bookmarkEnd w:id="2"/>
      <w:r w:rsidDel="00000000" w:rsidR="00000000" w:rsidRPr="00000000">
        <w:rPr>
          <w:rFonts w:ascii="Arial" w:cs="Arial" w:eastAsia="Arial" w:hAnsi="Arial"/>
          <w:sz w:val="38"/>
          <w:szCs w:val="38"/>
          <w:rtl w:val="0"/>
        </w:rPr>
        <w:t xml:space="preserve">Module Code:LCHS4007</w:t>
      </w:r>
    </w:p>
    <w:p w:rsidR="00000000" w:rsidDel="00000000" w:rsidP="00000000" w:rsidRDefault="00000000" w:rsidRPr="00000000" w14:paraId="00000008">
      <w:pPr>
        <w:jc w:val="center"/>
        <w:rPr>
          <w:rFonts w:ascii="Arial" w:cs="Arial" w:eastAsia="Arial" w:hAnsi="Arial"/>
          <w:sz w:val="38"/>
          <w:szCs w:val="38"/>
        </w:rPr>
      </w:pPr>
      <w:bookmarkStart w:colFirst="0" w:colLast="0" w:name="_heading=h.kt2b1hozzq7r" w:id="3"/>
      <w:bookmarkEnd w:id="3"/>
      <w:r w:rsidDel="00000000" w:rsidR="00000000" w:rsidRPr="00000000">
        <w:rPr>
          <w:rFonts w:ascii="Arial" w:cs="Arial" w:eastAsia="Arial" w:hAnsi="Arial"/>
          <w:sz w:val="38"/>
          <w:szCs w:val="38"/>
          <w:rtl w:val="0"/>
        </w:rPr>
        <w:t xml:space="preserve">Module:Digital Skills and Research Methods</w:t>
      </w:r>
    </w:p>
    <w:p w:rsidR="00000000" w:rsidDel="00000000" w:rsidP="00000000" w:rsidRDefault="00000000" w:rsidRPr="00000000" w14:paraId="00000009">
      <w:pPr>
        <w:jc w:val="center"/>
        <w:rPr>
          <w:rFonts w:ascii="Arial" w:cs="Arial" w:eastAsia="Arial" w:hAnsi="Arial"/>
          <w:sz w:val="38"/>
          <w:szCs w:val="38"/>
        </w:rPr>
      </w:pPr>
      <w:bookmarkStart w:colFirst="0" w:colLast="0" w:name="_heading=h.9loky2emgpr9" w:id="4"/>
      <w:bookmarkEnd w:id="4"/>
      <w:r w:rsidDel="00000000" w:rsidR="00000000" w:rsidRPr="00000000">
        <w:rPr>
          <w:rFonts w:ascii="Arial" w:cs="Arial" w:eastAsia="Arial" w:hAnsi="Arial"/>
          <w:sz w:val="38"/>
          <w:szCs w:val="38"/>
          <w:rtl w:val="0"/>
        </w:rPr>
        <w:t xml:space="preserve">Lecturer:Amitave Banik</w:t>
      </w:r>
    </w:p>
    <w:p w:rsidR="00000000" w:rsidDel="00000000" w:rsidP="00000000" w:rsidRDefault="00000000" w:rsidRPr="00000000" w14:paraId="0000000A">
      <w:pPr>
        <w:jc w:val="center"/>
        <w:rPr/>
      </w:pPr>
      <w:r w:rsidDel="00000000" w:rsidR="00000000" w:rsidRPr="00000000">
        <w:rPr>
          <w:sz w:val="24"/>
          <w:szCs w:val="24"/>
          <w:rtl w:val="0"/>
        </w:rPr>
        <w:br w:type="textWrapping"/>
      </w:r>
      <w:r w:rsidDel="00000000" w:rsidR="00000000" w:rsidRPr="00000000">
        <w:rPr>
          <w:b w:val="1"/>
          <w:bCs w:val="1"/>
          <w:sz w:val="48"/>
          <w:szCs w:val="48"/>
          <w:rtl w:val="0"/>
        </w:rPr>
        <w:t xml:space="preserve">Workforce Shortages and Funding Pressures in the UK Health and Social Care Sector</w:t>
      </w:r>
      <w:r w:rsidDel="00000000" w:rsidR="00000000" w:rsidRPr="00000000">
        <w:rPr>
          <w:rtl w:val="0"/>
        </w:rPr>
      </w:r>
    </w:p>
    <w:p w:rsidR="00000000" w:rsidDel="00000000" w:rsidP="00000000" w:rsidRDefault="00000000" w:rsidRPr="00000000" w14:paraId="0000000B">
      <w:pPr>
        <w:jc w:val="center"/>
        <w:rPr>
          <w:rFonts w:ascii="Arial" w:cs="Arial" w:eastAsia="Arial" w:hAnsi="Arial"/>
          <w:sz w:val="38"/>
          <w:szCs w:val="38"/>
        </w:rPr>
      </w:pPr>
      <w:bookmarkStart w:colFirst="0" w:colLast="0" w:name="_heading=h.lt79j07axkhp" w:id="0"/>
      <w:bookmarkEnd w:id="0"/>
      <w:r w:rsidDel="00000000" w:rsidR="00000000" w:rsidRPr="00000000">
        <w:rPr>
          <w:rtl w:val="0"/>
        </w:rPr>
      </w:r>
    </w:p>
    <w:p w:rsidR="00000000" w:rsidDel="00000000" w:rsidP="00000000" w:rsidRDefault="00000000" w:rsidRPr="00000000" w14:paraId="0000000C">
      <w:pPr>
        <w:jc w:val="center"/>
        <w:rPr>
          <w:sz w:val="24"/>
          <w:szCs w:val="24"/>
        </w:rPr>
      </w:pPr>
      <w:r w:rsidDel="00000000" w:rsidR="00000000" w:rsidRPr="00000000">
        <w:rPr>
          <w:sz w:val="24"/>
          <w:szCs w:val="24"/>
          <w:rtl w:val="0"/>
        </w:rPr>
        <w:br w:type="textWrapping"/>
        <w:t xml:space="preserve"> </w:t>
        <w:br w:type="textWrapping"/>
        <w:br w:type="textWrapping"/>
      </w:r>
    </w:p>
    <w:p w:rsidR="00000000" w:rsidDel="00000000" w:rsidP="00000000" w:rsidRDefault="00000000" w:rsidRPr="00000000" w14:paraId="0000000D">
      <w:pPr>
        <w:pStyle w:val="Title"/>
        <w:rPr/>
      </w:pPr>
      <w:bookmarkStart w:colFirst="0" w:colLast="0" w:name="_heading=h.z022wn1akwff" w:id="5"/>
      <w:bookmarkEnd w:id="5"/>
      <w:r w:rsidDel="00000000" w:rsidR="00000000" w:rsidRPr="00000000">
        <w:rPr>
          <w:rtl w:val="0"/>
        </w:rPr>
        <w:t xml:space="preserve">Introduction</w:t>
      </w:r>
    </w:p>
    <w:p w:rsidR="00000000" w:rsidDel="00000000" w:rsidP="00000000" w:rsidRDefault="00000000" w:rsidRPr="00000000" w14:paraId="0000000E">
      <w:pPr>
        <w:spacing w:line="360" w:lineRule="auto"/>
        <w:jc w:val="both"/>
        <w:rPr>
          <w:rFonts w:ascii="Arial" w:cs="Arial" w:eastAsia="Arial" w:hAnsi="Arial"/>
        </w:rPr>
      </w:pPr>
      <w:r w:rsidDel="00000000" w:rsidR="00000000" w:rsidRPr="00000000">
        <w:rPr>
          <w:rFonts w:ascii="Arial" w:cs="Arial" w:eastAsia="Arial" w:hAnsi="Arial"/>
          <w:rtl w:val="0"/>
        </w:rPr>
        <w:t xml:space="preserve">The United Kingdom’s health and social care sector is experiencing significant strain caused by persistent workforce shortages and financial pressures. These challenges, which have developed over many years, became highly visible during the COVID-19 pandemic, a period that exposed weaknesses in planning, staffing resilience, and investment. Demand for services continues to rise due to demographic changes, increasing complexity of health conditions, and widening inequalities, further stretching an already pressured system (Health Foundation, 2023). Local authorities responsible for adult social care have also faced substantial budget reductions over the past decade, limiting their ability to fund adequate staffing levels, training, and service improvements. Collectively, these pressures have contributed to declining capacity, reduced morale, and concerns over the system’s long-term sustainability. This report explores the factors behind workforce shortages and funding pressures and evaluates how reforms and investment could strengthen future workforce resilience.</w:t>
      </w:r>
    </w:p>
    <w:p w:rsidR="00000000" w:rsidDel="00000000" w:rsidP="00000000" w:rsidRDefault="00000000" w:rsidRPr="00000000" w14:paraId="0000000F">
      <w:pPr>
        <w:spacing w:line="360" w:lineRule="auto"/>
        <w:jc w:val="both"/>
        <w:rPr/>
      </w:pPr>
      <w:r w:rsidDel="00000000" w:rsidR="00000000" w:rsidRPr="00000000">
        <w:rPr>
          <w:rtl w:val="0"/>
        </w:rPr>
      </w:r>
    </w:p>
    <w:p w:rsidR="00000000" w:rsidDel="00000000" w:rsidP="00000000" w:rsidRDefault="00000000" w:rsidRPr="00000000" w14:paraId="00000010">
      <w:pPr>
        <w:jc w:val="both"/>
        <w:rPr/>
      </w:pPr>
      <w:r w:rsidDel="00000000" w:rsidR="00000000" w:rsidRPr="00000000">
        <w:rPr>
          <w:rtl w:val="0"/>
        </w:rPr>
      </w:r>
    </w:p>
    <w:p w:rsidR="00000000" w:rsidDel="00000000" w:rsidP="00000000" w:rsidRDefault="00000000" w:rsidRPr="00000000" w14:paraId="00000011">
      <w:pPr>
        <w:jc w:val="both"/>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jc w:val="left"/>
        <w:rPr>
          <w:b w:val="1"/>
          <w:bCs w:val="1"/>
          <w:sz w:val="46"/>
          <w:szCs w:val="46"/>
        </w:rPr>
      </w:pPr>
      <w:r w:rsidDel="00000000" w:rsidR="00000000" w:rsidRPr="00000000">
        <w:rPr>
          <w:b w:val="1"/>
          <w:bCs w:val="1"/>
          <w:sz w:val="46"/>
          <w:szCs w:val="46"/>
          <w:rtl w:val="0"/>
        </w:rPr>
        <w:t xml:space="preserve">Table of Content</w:t>
      </w:r>
    </w:p>
    <w:p w:rsidR="00000000" w:rsidDel="00000000" w:rsidP="00000000" w:rsidRDefault="00000000" w:rsidRPr="00000000" w14:paraId="0000001D">
      <w:pPr>
        <w:spacing w:after="240" w:before="240" w:lineRule="auto"/>
        <w:jc w:val="left"/>
        <w:rPr>
          <w:sz w:val="24"/>
          <w:szCs w:val="24"/>
        </w:rPr>
      </w:pPr>
      <w:r w:rsidDel="00000000" w:rsidR="00000000" w:rsidRPr="00000000">
        <w:rPr>
          <w:b w:val="1"/>
          <w:bCs w:val="1"/>
          <w:sz w:val="24"/>
          <w:szCs w:val="24"/>
          <w:rtl w:val="0"/>
        </w:rPr>
        <w:t xml:space="preserve">1.Introduction</w:t>
      </w:r>
      <w:r w:rsidDel="00000000" w:rsidR="00000000" w:rsidRPr="00000000">
        <w:rPr>
          <w:sz w:val="24"/>
          <w:szCs w:val="24"/>
          <w:rtl w:val="0"/>
        </w:rPr>
        <w:t xml:space="preserve"> ............................................................................................................................. 2</w:t>
      </w:r>
    </w:p>
    <w:p w:rsidR="00000000" w:rsidDel="00000000" w:rsidP="00000000" w:rsidRDefault="00000000" w:rsidRPr="00000000" w14:paraId="0000001E">
      <w:pPr>
        <w:spacing w:after="240" w:before="240" w:lineRule="auto"/>
        <w:jc w:val="left"/>
        <w:rPr>
          <w:sz w:val="24"/>
          <w:szCs w:val="24"/>
        </w:rPr>
      </w:pPr>
      <w:r w:rsidDel="00000000" w:rsidR="00000000" w:rsidRPr="00000000">
        <w:rPr>
          <w:b w:val="1"/>
          <w:bCs w:val="1"/>
          <w:sz w:val="24"/>
          <w:szCs w:val="24"/>
          <w:rtl w:val="0"/>
        </w:rPr>
        <w:t xml:space="preserve">2.Identification of the Research topic….</w:t>
      </w:r>
      <w:r w:rsidDel="00000000" w:rsidR="00000000" w:rsidRPr="00000000">
        <w:rPr>
          <w:sz w:val="24"/>
          <w:szCs w:val="24"/>
          <w:rtl w:val="0"/>
        </w:rPr>
        <w:t xml:space="preserve">...................................................................... 4–5</w:t>
      </w:r>
    </w:p>
    <w:p w:rsidR="00000000" w:rsidDel="00000000" w:rsidP="00000000" w:rsidRDefault="00000000" w:rsidRPr="00000000" w14:paraId="0000001F">
      <w:pPr>
        <w:spacing w:after="240" w:before="240" w:lineRule="auto"/>
        <w:jc w:val="left"/>
        <w:rPr>
          <w:sz w:val="24"/>
          <w:szCs w:val="24"/>
        </w:rPr>
      </w:pPr>
      <w:r w:rsidDel="00000000" w:rsidR="00000000" w:rsidRPr="00000000">
        <w:rPr>
          <w:b w:val="1"/>
          <w:bCs w:val="1"/>
          <w:sz w:val="24"/>
          <w:szCs w:val="24"/>
          <w:rtl w:val="0"/>
        </w:rPr>
        <w:t xml:space="preserve">3.Justification</w:t>
      </w:r>
      <w:r w:rsidDel="00000000" w:rsidR="00000000" w:rsidRPr="00000000">
        <w:rPr>
          <w:sz w:val="24"/>
          <w:szCs w:val="24"/>
          <w:rtl w:val="0"/>
        </w:rPr>
        <w:t xml:space="preserve"> ............................................................................................................................... 6</w:t>
      </w:r>
    </w:p>
    <w:p w:rsidR="00000000" w:rsidDel="00000000" w:rsidP="00000000" w:rsidRDefault="00000000" w:rsidRPr="00000000" w14:paraId="00000020">
      <w:pPr>
        <w:spacing w:after="240" w:before="240" w:lineRule="auto"/>
        <w:jc w:val="left"/>
        <w:rPr>
          <w:sz w:val="24"/>
          <w:szCs w:val="24"/>
        </w:rPr>
      </w:pPr>
      <w:r w:rsidDel="00000000" w:rsidR="00000000" w:rsidRPr="00000000">
        <w:rPr>
          <w:b w:val="1"/>
          <w:bCs w:val="1"/>
          <w:sz w:val="24"/>
          <w:szCs w:val="24"/>
          <w:rtl w:val="0"/>
        </w:rPr>
        <w:t xml:space="preserve">4.Information Sources and Justification</w:t>
      </w:r>
      <w:r w:rsidDel="00000000" w:rsidR="00000000" w:rsidRPr="00000000">
        <w:rPr>
          <w:sz w:val="24"/>
          <w:szCs w:val="24"/>
          <w:rtl w:val="0"/>
        </w:rPr>
        <w:t xml:space="preserve"> …...................................................................7–8</w:t>
      </w:r>
    </w:p>
    <w:p w:rsidR="00000000" w:rsidDel="00000000" w:rsidP="00000000" w:rsidRDefault="00000000" w:rsidRPr="00000000" w14:paraId="00000021">
      <w:pPr>
        <w:spacing w:after="240" w:before="240" w:lineRule="auto"/>
        <w:jc w:val="left"/>
        <w:rPr>
          <w:sz w:val="24"/>
          <w:szCs w:val="24"/>
        </w:rPr>
      </w:pPr>
      <w:r w:rsidDel="00000000" w:rsidR="00000000" w:rsidRPr="00000000">
        <w:rPr>
          <w:b w:val="1"/>
          <w:bCs w:val="1"/>
          <w:sz w:val="24"/>
          <w:szCs w:val="24"/>
          <w:rtl w:val="0"/>
        </w:rPr>
        <w:t xml:space="preserve">5.Research Methodologies</w:t>
      </w:r>
      <w:r w:rsidDel="00000000" w:rsidR="00000000" w:rsidRPr="00000000">
        <w:rPr>
          <w:sz w:val="24"/>
          <w:szCs w:val="24"/>
          <w:rtl w:val="0"/>
        </w:rPr>
        <w:t xml:space="preserve"> ................................................................................................... 9</w:t>
      </w:r>
    </w:p>
    <w:p w:rsidR="00000000" w:rsidDel="00000000" w:rsidP="00000000" w:rsidRDefault="00000000" w:rsidRPr="00000000" w14:paraId="00000022">
      <w:pPr>
        <w:spacing w:after="240" w:before="240" w:lineRule="auto"/>
        <w:jc w:val="left"/>
        <w:rPr>
          <w:sz w:val="24"/>
          <w:szCs w:val="24"/>
        </w:rPr>
      </w:pPr>
      <w:r w:rsidDel="00000000" w:rsidR="00000000" w:rsidRPr="00000000">
        <w:rPr>
          <w:b w:val="1"/>
          <w:bCs w:val="1"/>
          <w:sz w:val="24"/>
          <w:szCs w:val="24"/>
          <w:rtl w:val="0"/>
        </w:rPr>
        <w:t xml:space="preserve">6.Data Collection</w:t>
      </w:r>
      <w:r w:rsidDel="00000000" w:rsidR="00000000" w:rsidRPr="00000000">
        <w:rPr>
          <w:sz w:val="24"/>
          <w:szCs w:val="24"/>
          <w:rtl w:val="0"/>
        </w:rPr>
        <w:t xml:space="preserve"> .........................................................................................................................10</w:t>
      </w:r>
    </w:p>
    <w:p w:rsidR="00000000" w:rsidDel="00000000" w:rsidP="00000000" w:rsidRDefault="00000000" w:rsidRPr="00000000" w14:paraId="00000023">
      <w:pPr>
        <w:spacing w:after="240" w:before="240" w:lineRule="auto"/>
        <w:jc w:val="left"/>
        <w:rPr>
          <w:sz w:val="24"/>
          <w:szCs w:val="24"/>
        </w:rPr>
      </w:pPr>
      <w:r w:rsidDel="00000000" w:rsidR="00000000" w:rsidRPr="00000000">
        <w:rPr>
          <w:b w:val="1"/>
          <w:bCs w:val="1"/>
          <w:sz w:val="24"/>
          <w:szCs w:val="24"/>
          <w:rtl w:val="0"/>
        </w:rPr>
        <w:t xml:space="preserve">7.Conclusion</w:t>
      </w:r>
      <w:r w:rsidDel="00000000" w:rsidR="00000000" w:rsidRPr="00000000">
        <w:rPr>
          <w:sz w:val="24"/>
          <w:szCs w:val="24"/>
          <w:rtl w:val="0"/>
        </w:rPr>
        <w:t xml:space="preserve"> .................................................................................................................................. 11</w:t>
      </w:r>
    </w:p>
    <w:p w:rsidR="00000000" w:rsidDel="00000000" w:rsidP="00000000" w:rsidRDefault="00000000" w:rsidRPr="00000000" w14:paraId="00000024">
      <w:pPr>
        <w:spacing w:after="240" w:before="240" w:lineRule="auto"/>
        <w:jc w:val="left"/>
        <w:rPr>
          <w:sz w:val="24"/>
          <w:szCs w:val="24"/>
        </w:rPr>
      </w:pPr>
      <w:r w:rsidDel="00000000" w:rsidR="00000000" w:rsidRPr="00000000">
        <w:rPr>
          <w:b w:val="1"/>
          <w:bCs w:val="1"/>
          <w:sz w:val="24"/>
          <w:szCs w:val="24"/>
          <w:rtl w:val="0"/>
        </w:rPr>
        <w:t xml:space="preserve">8.References</w:t>
      </w:r>
      <w:r w:rsidDel="00000000" w:rsidR="00000000" w:rsidRPr="00000000">
        <w:rPr>
          <w:sz w:val="24"/>
          <w:szCs w:val="24"/>
          <w:rtl w:val="0"/>
        </w:rPr>
        <w:t xml:space="preserve"> ................................................................................................................................. ..12</w:t>
      </w:r>
    </w:p>
    <w:p w:rsidR="00000000" w:rsidDel="00000000" w:rsidP="00000000" w:rsidRDefault="00000000" w:rsidRPr="00000000" w14:paraId="00000025">
      <w:pPr>
        <w:jc w:val="center"/>
        <w:rPr>
          <w:sz w:val="24"/>
          <w:szCs w:val="24"/>
        </w:rPr>
      </w:pPr>
      <w:r w:rsidDel="00000000" w:rsidR="00000000" w:rsidRPr="00000000">
        <w:rPr>
          <w:rtl w:val="0"/>
        </w:rPr>
      </w:r>
    </w:p>
    <w:p w:rsidR="00000000" w:rsidDel="00000000" w:rsidP="00000000" w:rsidRDefault="00000000" w:rsidRPr="00000000" w14:paraId="00000026">
      <w:pPr>
        <w:pStyle w:val="Title"/>
        <w:rPr/>
      </w:pPr>
      <w:bookmarkStart w:colFirst="0" w:colLast="0" w:name="_heading=h.48pd0nnqinz7" w:id="6"/>
      <w:bookmarkEnd w:id="6"/>
      <w:r w:rsidDel="00000000" w:rsidR="00000000" w:rsidRPr="00000000">
        <w:rPr>
          <w:rtl w:val="0"/>
        </w:rPr>
      </w:r>
    </w:p>
    <w:p w:rsidR="00000000" w:rsidDel="00000000" w:rsidP="00000000" w:rsidRDefault="00000000" w:rsidRPr="00000000" w14:paraId="00000027">
      <w:pPr>
        <w:pStyle w:val="Title"/>
        <w:rPr/>
      </w:pPr>
      <w:bookmarkStart w:colFirst="0" w:colLast="0" w:name="_heading=h.exz4k5twumth" w:id="7"/>
      <w:bookmarkEnd w:id="7"/>
      <w:r w:rsidDel="00000000" w:rsidR="00000000" w:rsidRPr="00000000">
        <w:rPr>
          <w:rtl w:val="0"/>
        </w:rPr>
      </w:r>
    </w:p>
    <w:p w:rsidR="00000000" w:rsidDel="00000000" w:rsidP="00000000" w:rsidRDefault="00000000" w:rsidRPr="00000000" w14:paraId="00000028">
      <w:pPr>
        <w:pStyle w:val="Title"/>
        <w:rPr/>
      </w:pPr>
      <w:bookmarkStart w:colFirst="0" w:colLast="0" w:name="_heading=h.1f8f5ppcryo8" w:id="8"/>
      <w:bookmarkEnd w:id="8"/>
      <w:r w:rsidDel="00000000" w:rsidR="00000000" w:rsidRPr="00000000">
        <w:rPr>
          <w:rtl w:val="0"/>
        </w:rPr>
      </w:r>
    </w:p>
    <w:p w:rsidR="00000000" w:rsidDel="00000000" w:rsidP="00000000" w:rsidRDefault="00000000" w:rsidRPr="00000000" w14:paraId="00000029">
      <w:pPr>
        <w:pStyle w:val="Title"/>
        <w:rPr/>
      </w:pPr>
      <w:bookmarkStart w:colFirst="0" w:colLast="0" w:name="_heading=h.ogh7gnj07tmb" w:id="9"/>
      <w:bookmarkEnd w:id="9"/>
      <w:r w:rsidDel="00000000" w:rsidR="00000000" w:rsidRPr="00000000">
        <w:rPr>
          <w:rtl w:val="0"/>
        </w:rPr>
      </w:r>
    </w:p>
    <w:p w:rsidR="00000000" w:rsidDel="00000000" w:rsidP="00000000" w:rsidRDefault="00000000" w:rsidRPr="00000000" w14:paraId="0000002A">
      <w:pPr>
        <w:pStyle w:val="Title"/>
        <w:rPr/>
      </w:pPr>
      <w:bookmarkStart w:colFirst="0" w:colLast="0" w:name="_heading=h.v2ph4cpqysoi" w:id="10"/>
      <w:bookmarkEnd w:id="10"/>
      <w:r w:rsidDel="00000000" w:rsidR="00000000" w:rsidRPr="00000000">
        <w:rPr>
          <w:rtl w:val="0"/>
        </w:rPr>
      </w:r>
    </w:p>
    <w:p w:rsidR="00000000" w:rsidDel="00000000" w:rsidP="00000000" w:rsidRDefault="00000000" w:rsidRPr="00000000" w14:paraId="0000002B">
      <w:pPr>
        <w:pStyle w:val="Title"/>
        <w:rPr/>
      </w:pPr>
      <w:bookmarkStart w:colFirst="0" w:colLast="0" w:name="_heading=h.xwotcplrj25y" w:id="11"/>
      <w:bookmarkEnd w:id="11"/>
      <w:r w:rsidDel="00000000" w:rsidR="00000000" w:rsidRPr="00000000">
        <w:rPr>
          <w:rtl w:val="0"/>
        </w:rPr>
      </w:r>
    </w:p>
    <w:p w:rsidR="00000000" w:rsidDel="00000000" w:rsidP="00000000" w:rsidRDefault="00000000" w:rsidRPr="00000000" w14:paraId="0000002C">
      <w:pPr>
        <w:pStyle w:val="Title"/>
        <w:rPr>
          <w:rFonts w:ascii="Arial" w:cs="Arial" w:eastAsia="Arial" w:hAnsi="Arial"/>
          <w:sz w:val="22"/>
          <w:szCs w:val="22"/>
        </w:rPr>
      </w:pPr>
      <w:bookmarkStart w:colFirst="0" w:colLast="0" w:name="_heading=h.k5iwxh42z8z8" w:id="12"/>
      <w:bookmarkEnd w:id="12"/>
      <w:r w:rsidDel="00000000" w:rsidR="00000000" w:rsidRPr="00000000">
        <w:rPr>
          <w:rtl w:val="0"/>
        </w:rPr>
      </w:r>
    </w:p>
    <w:p w:rsidR="00000000" w:rsidDel="00000000" w:rsidP="00000000" w:rsidRDefault="00000000" w:rsidRPr="00000000" w14:paraId="0000002D">
      <w:pPr>
        <w:pStyle w:val="Title"/>
        <w:rPr>
          <w:rFonts w:ascii="Arial" w:cs="Arial" w:eastAsia="Arial" w:hAnsi="Arial"/>
          <w:sz w:val="22"/>
          <w:szCs w:val="22"/>
        </w:rPr>
      </w:pPr>
      <w:bookmarkStart w:colFirst="0" w:colLast="0" w:name="_heading=h.3nr1lhmolzpz" w:id="13"/>
      <w:bookmarkEnd w:id="13"/>
      <w:r w:rsidDel="00000000" w:rsidR="00000000" w:rsidRPr="00000000">
        <w:rPr>
          <w:rtl w:val="0"/>
        </w:rPr>
      </w:r>
    </w:p>
    <w:p w:rsidR="00000000" w:rsidDel="00000000" w:rsidP="00000000" w:rsidRDefault="00000000" w:rsidRPr="00000000" w14:paraId="0000002E">
      <w:pPr>
        <w:rPr/>
      </w:pPr>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rFonts w:ascii="Arial" w:cs="Arial" w:eastAsia="Arial" w:hAnsi="Arial"/>
          <w:sz w:val="36"/>
          <w:szCs w:val="36"/>
        </w:rPr>
      </w:pPr>
      <w:r w:rsidDel="00000000" w:rsidR="00000000" w:rsidRPr="00000000">
        <w:rPr>
          <w:rFonts w:ascii="Arial" w:cs="Arial" w:eastAsia="Arial" w:hAnsi="Arial"/>
          <w:sz w:val="36"/>
          <w:szCs w:val="36"/>
          <w:rtl w:val="0"/>
        </w:rPr>
        <w:t xml:space="preserve">IDENTIFICATION  OF THE  RESEARCH  TOPIC</w:t>
      </w:r>
    </w:p>
    <w:p w:rsidR="00000000" w:rsidDel="00000000" w:rsidP="00000000" w:rsidRDefault="00000000" w:rsidRPr="00000000" w14:paraId="00000031">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One of the main issues facing the health and social care sector in the United Kingdom is the ongoing shortage of staff across a wide range of roles. The NHS continues to experience substantial staffing deficits, with NHS England (2023) reporting that nursing vacancies alone exceed 40,000. Similar shortfalls are evident in general practice, mental health services, midwifery, and community-based care. These shortages directly affect service delivery by reducing capacity, prolonging waiting times, and placing additional strain on the existing workforce. As vacancies increase, organisations are compelled to rely heavily on agency and temporary workers—an approach that is not only financially inefficient but also undermines long-term workforce stability.</w:t>
      </w:r>
    </w:p>
    <w:p w:rsidR="00000000" w:rsidDel="00000000" w:rsidP="00000000" w:rsidRDefault="00000000" w:rsidRPr="00000000" w14:paraId="00000032">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The situation in adult social care is even more precarious. Skills for Care (2023) identifies over 150,000 positions remaining unfilled each year, alongside turnover rates that regularly surpass 31 per cent. The sector’s fragmented structure—composed of thousands of independent employers—results in inconsistent employment conditions and makes coordinated workforce planning extremely difficult. Low pay represents a central barrier to recruitment and retention. Despite the physical and emotional demands of care work, many care workers earn only slightly above the statutory minimum wage. Consequently, job seekers often opt for better-paid and less challenging roles in sectors such as retail, warehousing, or hospitality (Nuffield Trust, 2023).</w:t>
      </w:r>
    </w:p>
    <w:p w:rsidR="00000000" w:rsidDel="00000000" w:rsidP="00000000" w:rsidRDefault="00000000" w:rsidRPr="00000000" w14:paraId="00000033">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Pay erosion has also been a significant contributing factor to workforce instability. NHS staff have faced prolonged periods of below-inflation wage growth, particularly during 2021–2023 when rising living costs intensified financial strain. This contributed to widespread industrial action as staff expressed concerns over pay, workload, and professional recognition (Martin et al., 2023). In social care, stagnant pay is closely associated with restricted local authority funding. Many councils lack the financial capacity to raise provider fees, leaving employers unable to increase wages or invest in staff development (Local Government Association, 2022).</w:t>
      </w:r>
    </w:p>
    <w:p w:rsidR="00000000" w:rsidDel="00000000" w:rsidP="00000000" w:rsidRDefault="00000000" w:rsidRPr="00000000" w14:paraId="00000034">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Challenging working conditions further exacerbate workforce shortages. Health and social care roles involve high workloads, emotional pressure, and limited autonomy. Research consistently links burnout, exhaustion, and workplace stress to intentions to leave the sector (Dixon-Woods, 2024). As staffing levels fall, these pressures intensify, creating a self-reinforcing cycle of attrition that weakens service quality and staff well-being.</w:t>
      </w:r>
    </w:p>
    <w:p w:rsidR="00000000" w:rsidDel="00000000" w:rsidP="00000000" w:rsidRDefault="00000000" w:rsidRPr="00000000" w14:paraId="00000035">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Demographic shifts compound these pressures. The UK’s ageing population increases demand for both acute healthcare and long-term support, while many experienced staff are nearing retirement. Meanwhile, the inflow of new workers is insufficient to replace those leaving the profession. Brexit has further altered workforce supply, as large numbers of EU workers, previously a key component of both the NHS and social care workforce, left the UK due to changes in immigration rules and growing uncertainty (Anderson et al., 2021). Although international recruitment from outside the EU has increased through the Health and Care Worker visa, it has not fully offset the losses, and additional ethical issues emerge when recruiting from countries facing their own labour  shortfall.</w:t>
      </w:r>
    </w:p>
    <w:p w:rsidR="00000000" w:rsidDel="00000000" w:rsidP="00000000" w:rsidRDefault="00000000" w:rsidRPr="00000000" w14:paraId="00000036">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Financial pressures intensify these issues across both sectors. Despite escalating demand, growth in NHS funding has lagged behind the level required to maintain and expand services. Key areas such as mental health, public health, capital investment, and workforce training have experienced sustained underfunding, while short-term budget allocations hinder effective long-term planning (Health Foundation, 2023). In adult social care, the impact of austerity has been particularly severe. More than a decade of funding reductions has left local authorities with limited resources to commission adequate services, resulting in provider instability, wage suppression, and reduced service capacity (Local Government Association, 2022).</w:t>
      </w:r>
    </w:p>
    <w:p w:rsidR="00000000" w:rsidDel="00000000" w:rsidP="00000000" w:rsidRDefault="00000000" w:rsidRPr="00000000" w14:paraId="00000037">
      <w:pPr>
        <w:rPr>
          <w:rFonts w:ascii="Arial" w:cs="Arial" w:eastAsia="Arial" w:hAnsi="Arial"/>
        </w:rPr>
      </w:pPr>
      <w:r w:rsidDel="00000000" w:rsidR="00000000" w:rsidRPr="00000000">
        <w:rPr>
          <w:rtl w:val="0"/>
        </w:rPr>
      </w:r>
    </w:p>
    <w:p w:rsidR="00000000" w:rsidDel="00000000" w:rsidP="00000000" w:rsidRDefault="00000000" w:rsidRPr="00000000" w14:paraId="00000038">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39">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3A">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3B">
      <w:pPr>
        <w:jc w:val="both"/>
        <w:rPr>
          <w:rFonts w:ascii="Arial" w:cs="Arial" w:eastAsia="Arial" w:hAnsi="Arial"/>
          <w:sz w:val="36"/>
          <w:szCs w:val="36"/>
        </w:rPr>
      </w:pPr>
      <w:r w:rsidDel="00000000" w:rsidR="00000000" w:rsidRPr="00000000">
        <w:rPr>
          <w:rtl w:val="0"/>
        </w:rPr>
      </w:r>
    </w:p>
    <w:p w:rsidR="00000000" w:rsidDel="00000000" w:rsidP="00000000" w:rsidRDefault="00000000" w:rsidRPr="00000000" w14:paraId="0000003C">
      <w:pPr>
        <w:jc w:val="both"/>
        <w:rPr>
          <w:rFonts w:ascii="Arial" w:cs="Arial" w:eastAsia="Arial" w:hAnsi="Arial"/>
          <w:sz w:val="36"/>
          <w:szCs w:val="36"/>
        </w:rPr>
      </w:pPr>
      <w:r w:rsidDel="00000000" w:rsidR="00000000" w:rsidRPr="00000000">
        <w:rPr>
          <w:rtl w:val="0"/>
        </w:rPr>
      </w:r>
    </w:p>
    <w:p w:rsidR="00000000" w:rsidDel="00000000" w:rsidP="00000000" w:rsidRDefault="00000000" w:rsidRPr="00000000" w14:paraId="0000003D">
      <w:pPr>
        <w:jc w:val="both"/>
        <w:rPr>
          <w:rFonts w:ascii="Arial" w:cs="Arial" w:eastAsia="Arial" w:hAnsi="Arial"/>
          <w:sz w:val="36"/>
          <w:szCs w:val="36"/>
        </w:rPr>
      </w:pPr>
      <w:r w:rsidDel="00000000" w:rsidR="00000000" w:rsidRPr="00000000">
        <w:rPr>
          <w:rtl w:val="0"/>
        </w:rPr>
      </w:r>
    </w:p>
    <w:p w:rsidR="00000000" w:rsidDel="00000000" w:rsidP="00000000" w:rsidRDefault="00000000" w:rsidRPr="00000000" w14:paraId="0000003E">
      <w:pPr>
        <w:jc w:val="both"/>
        <w:rPr>
          <w:rFonts w:ascii="Arial" w:cs="Arial" w:eastAsia="Arial" w:hAnsi="Arial"/>
          <w:sz w:val="36"/>
          <w:szCs w:val="36"/>
        </w:rPr>
      </w:pPr>
      <w:r w:rsidDel="00000000" w:rsidR="00000000" w:rsidRPr="00000000">
        <w:rPr>
          <w:rFonts w:ascii="Arial" w:cs="Arial" w:eastAsia="Arial" w:hAnsi="Arial"/>
          <w:sz w:val="36"/>
          <w:szCs w:val="36"/>
          <w:rtl w:val="0"/>
        </w:rPr>
        <w:t xml:space="preserve">JUSTIFICATION OF THE RESEARCH TOPIC</w:t>
      </w:r>
    </w:p>
    <w:p w:rsidR="00000000" w:rsidDel="00000000" w:rsidP="00000000" w:rsidRDefault="00000000" w:rsidRPr="00000000" w14:paraId="0000003F">
      <w:pPr>
        <w:spacing w:line="360" w:lineRule="auto"/>
        <w:jc w:val="both"/>
        <w:rPr>
          <w:rFonts w:ascii="Arial" w:cs="Arial" w:eastAsia="Arial" w:hAnsi="Arial"/>
        </w:rPr>
      </w:pPr>
      <w:r w:rsidDel="00000000" w:rsidR="00000000" w:rsidRPr="00000000">
        <w:rPr>
          <w:rFonts w:ascii="Arial" w:cs="Arial" w:eastAsia="Arial" w:hAnsi="Arial"/>
          <w:rtl w:val="0"/>
        </w:rPr>
        <w:t xml:space="preserve">Given this complex and interconnected set of challenges, this research aims to examine how financial pressures shape workforce shortages across the NHS and adult social care, and to explore the ways in which funding constraints influence recruitment, retention, and overall service capacity.</w:t>
      </w:r>
    </w:p>
    <w:p w:rsidR="00000000" w:rsidDel="00000000" w:rsidP="00000000" w:rsidRDefault="00000000" w:rsidRPr="00000000" w14:paraId="00000040">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41">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42">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43">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44">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45">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46">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47">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48">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49">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4A">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4B">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4C">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4D">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4E">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4F">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50">
      <w:pPr>
        <w:rPr>
          <w:rFonts w:ascii="Arial" w:cs="Arial" w:eastAsia="Arial" w:hAnsi="Arial"/>
          <w:sz w:val="36"/>
          <w:szCs w:val="36"/>
        </w:rPr>
      </w:pPr>
      <w:r w:rsidDel="00000000" w:rsidR="00000000" w:rsidRPr="00000000">
        <w:rPr>
          <w:rFonts w:ascii="Arial" w:cs="Arial" w:eastAsia="Arial" w:hAnsi="Arial"/>
          <w:sz w:val="36"/>
          <w:szCs w:val="36"/>
          <w:rtl w:val="0"/>
        </w:rPr>
        <w:t xml:space="preserve">INFORMATION SOURCES AND JUSTIFICATION</w:t>
      </w:r>
    </w:p>
    <w:p w:rsidR="00000000" w:rsidDel="00000000" w:rsidP="00000000" w:rsidRDefault="00000000" w:rsidRPr="00000000" w14:paraId="00000051">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The research aim focuses on understanding how financial pressures contribute to workforce shortages within the NHS and adult social care and examines the ways in which funding constraints influence recruitment, retention, and service capacity. This content is central to the study because it acknowledges that workforce shortages do not arise in isolation but are strongly shaped by the financial environment in which organisations operate. By exploring the interaction between funding levels and workforce dynamics, the research identifies structural causes that influence staffing patterns across both sectors.</w:t>
      </w:r>
    </w:p>
    <w:p w:rsidR="00000000" w:rsidDel="00000000" w:rsidP="00000000" w:rsidRDefault="00000000" w:rsidRPr="00000000" w14:paraId="00000052">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This aim is highly relevant because the  United Kingdom's  health and social care system is currently characterised by unprecedented workforce deficits coupled with sustained financial strain. Numerous national reports indicate that budgetary restrictions have limited the ability of employers to invest in staffing, training, and improved working conditions (Health Foundation, 2023; King’s Fund, 2023). In the NHS, funding constraints have contributed to below-inflation pay increases, reduced training capacity, and growing reliance on agency workers, all of which exacerbate recruitment and retention problems (Martin et al., 2023). Similarly, in adult social care, years of reduced local authority budgets have resulted in suppressed wages, high turnover, and significant instability among care providers (Local Government Association, 2022). These financial pressures play a critical role in shaping labour market conditions and therefore must be examined to understand the roots of the workforce crisis.</w:t>
      </w:r>
    </w:p>
    <w:p w:rsidR="00000000" w:rsidDel="00000000" w:rsidP="00000000" w:rsidRDefault="00000000" w:rsidRPr="00000000" w14:paraId="00000053">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The research aim was selected because it addresses a clear gap in existing literature. While many studies analyse workforce shortages in terms of vacancy statistics or staff experiences, fewer explicitly examine the </w:t>
      </w:r>
      <w:r w:rsidDel="00000000" w:rsidR="00000000" w:rsidRPr="00000000">
        <w:rPr>
          <w:rFonts w:ascii="Arial" w:cs="Arial" w:eastAsia="Arial" w:hAnsi="Arial"/>
          <w:i w:val="1"/>
          <w:iCs w:val="1"/>
          <w:rtl w:val="0"/>
        </w:rPr>
        <w:t xml:space="preserve">causal relationship</w:t>
      </w:r>
      <w:r w:rsidDel="00000000" w:rsidR="00000000" w:rsidRPr="00000000">
        <w:rPr>
          <w:rFonts w:ascii="Arial" w:cs="Arial" w:eastAsia="Arial" w:hAnsi="Arial"/>
          <w:rtl w:val="0"/>
        </w:rPr>
        <w:t xml:space="preserve"> between funding structures and workforce outcomes. Most current analyses either focus on financial pressures or workforce shortages separately, without integrating the two into a unified framework (Nuffield Trust, 2023). By investigating both factors together, the study offers a more holistic understanding of how economic conditions influence organisational behaviour and workforce sustainability.</w:t>
      </w:r>
    </w:p>
    <w:p w:rsidR="00000000" w:rsidDel="00000000" w:rsidP="00000000" w:rsidRDefault="00000000" w:rsidRPr="00000000" w14:paraId="00000054">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Furthermore, this topic was chosen for its practical significance. Policymakers at both national and local levels require evidence-based insights into how funding decisions impact workforce stability. As the NHS long term workforce plan (NHS England, 2023) emphasises, long-term workforce sustainability cannot be achieved without addressing resourcing issues, ensuring appropriate staffing levels, and funding professional development. Similarly, adult social care reform proposals highlight the need for financial stability to support recruitment, reduce turnover, and improve service quality (Skills for Care, 2023). By examining these issues, the research provides findings that are directly applicable to workforce planning, budgeting frameworks, and policy interventions.</w:t>
      </w:r>
    </w:p>
    <w:p w:rsidR="00000000" w:rsidDel="00000000" w:rsidP="00000000" w:rsidRDefault="00000000" w:rsidRPr="00000000" w14:paraId="0000005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C">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5D">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5E">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5F">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60">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61">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62">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63">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64">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65">
      <w:pPr>
        <w:rPr>
          <w:rFonts w:ascii="Arial" w:cs="Arial" w:eastAsia="Arial" w:hAnsi="Arial"/>
          <w:sz w:val="36"/>
          <w:szCs w:val="36"/>
        </w:rPr>
      </w:pPr>
      <w:r w:rsidDel="00000000" w:rsidR="00000000" w:rsidRPr="00000000">
        <w:rPr>
          <w:rFonts w:ascii="Arial" w:cs="Arial" w:eastAsia="Arial" w:hAnsi="Arial"/>
          <w:sz w:val="36"/>
          <w:szCs w:val="36"/>
          <w:rtl w:val="0"/>
        </w:rPr>
        <w:t xml:space="preserve">Research Methodologies</w:t>
      </w:r>
    </w:p>
    <w:p w:rsidR="00000000" w:rsidDel="00000000" w:rsidP="00000000" w:rsidRDefault="00000000" w:rsidRPr="00000000" w14:paraId="00000066">
      <w:pPr>
        <w:spacing w:line="360" w:lineRule="auto"/>
        <w:jc w:val="both"/>
        <w:rPr>
          <w:rFonts w:ascii="Arial" w:cs="Arial" w:eastAsia="Arial" w:hAnsi="Arial"/>
        </w:rPr>
      </w:pPr>
      <w:r w:rsidDel="00000000" w:rsidR="00000000" w:rsidRPr="00000000">
        <w:rPr>
          <w:rFonts w:ascii="Arial" w:cs="Arial" w:eastAsia="Arial" w:hAnsi="Arial"/>
          <w:rtl w:val="0"/>
        </w:rPr>
        <w:t xml:space="preserve">In carrying  out this research,both the quantitative and qualitative research methods will be used;Quantitative  research involves the structured gathering and analysis of numerical data. It is typically used to measure the scale, frequency, or distribution of a phenomenon. In health and social care, quantitative methods often rely on large administrative datasets, structured surveys, workforce statistics, and financial records while the Qualitative research methods focus on understanding human experiences, perceptions, and social processes. Instead of numerical measurement, qualitative research explores meanings, motivations, and lived realities through rich, detailed data. (Bryman, 2016). In workforce studies, qualitative research helps illuminate how staff interpret and respond to working conditions, organisational cultures, and policy pressures e.g. interview,focus group etc.</w:t>
      </w:r>
    </w:p>
    <w:p w:rsidR="00000000" w:rsidDel="00000000" w:rsidP="00000000" w:rsidRDefault="00000000" w:rsidRPr="00000000" w14:paraId="00000067">
      <w:pPr>
        <w:spacing w:line="360" w:lineRule="auto"/>
        <w:jc w:val="both"/>
        <w:rPr>
          <w:rFonts w:ascii="Arial" w:cs="Arial" w:eastAsia="Arial" w:hAnsi="Arial"/>
        </w:rPr>
      </w:pPr>
      <w:r w:rsidDel="00000000" w:rsidR="00000000" w:rsidRPr="00000000">
        <w:rPr>
          <w:rFonts w:ascii="Arial" w:cs="Arial" w:eastAsia="Arial" w:hAnsi="Arial"/>
          <w:rtl w:val="0"/>
        </w:rPr>
        <w:t xml:space="preserve">The table below show  the distinction  between  qualitative and quantitative research  methods</w:t>
      </w:r>
    </w:p>
    <w:sdt>
      <w:sdtPr>
        <w:lock w:val="contentLocked"/>
        <w:id w:val="-1211006219"/>
        <w:tag w:val="goog_rdk_0"/>
      </w:sdtPr>
      <w:sdtContent>
        <w:tbl>
          <w:tblPr>
            <w:tblStyle w:val="Table1"/>
            <w:tblW w:w="11010.0" w:type="dxa"/>
            <w:jc w:val="left"/>
            <w:tblInd w:w="-105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370"/>
            <w:gridCol w:w="5640"/>
            <w:tblGridChange w:id="0">
              <w:tblGrid>
                <w:gridCol w:w="5370"/>
                <w:gridCol w:w="5640"/>
              </w:tblGrid>
            </w:tblGridChange>
          </w:tblGrid>
          <w:tr>
            <w:trPr>
              <w:cantSplit w:val="0"/>
              <w:trHeight w:val="675" w:hRule="atLeast"/>
              <w:tblHeader w:val="1"/>
            </w:trPr>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8"/>
                    <w:szCs w:val="28"/>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sz w:val="28"/>
                    <w:szCs w:val="28"/>
                    <w:rtl w:val="0"/>
                  </w:rPr>
                  <w:t xml:space="preserve">       Qualitative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8"/>
                    <w:szCs w:val="28"/>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sz w:val="28"/>
                    <w:szCs w:val="28"/>
                    <w:rtl w:val="0"/>
                  </w:rPr>
                  <w:t xml:space="preserve">Quantitative</w:t>
                </w:r>
              </w:p>
            </w:tc>
          </w:tr>
          <w:tr>
            <w:trPr>
              <w:cantSplit w:val="0"/>
              <w:tblHeader w:val="1"/>
            </w:trPr>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Narrative accounts, personal perspectives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Numerical responses (e.g., Likert scales, counts, ratings).</w:t>
                </w:r>
              </w:p>
            </w:tc>
          </w:tr>
          <w:tr>
            <w:trPr>
              <w:cantSplit w:val="0"/>
              <w:tblHeader w:val="1"/>
            </w:trPr>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Thematic and interaction-based data.</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Numerical workforce indicators and trends.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Field notes, observations, contextual descriptions.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Repeated numerical measures (e.g., monthly workforce statistics)</w:t>
                </w:r>
              </w:p>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r>
          <w:tr>
            <w:trPr>
              <w:cantSplit w:val="0"/>
              <w:trHeight w:val="1394.3603515624998"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Textual content (policies, reports, guidelines).</w:t>
                </w:r>
              </w:p>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Quantitative variables (e.g., funding levels, turnover rates)</w:t>
                </w:r>
              </w:p>
              <w:p w:rsidR="00000000" w:rsidDel="00000000" w:rsidP="00000000" w:rsidRDefault="00000000" w:rsidRPr="00000000" w14:paraId="0000007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7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r>
        </w:tbl>
      </w:sdtContent>
    </w:sdt>
    <w:p w:rsidR="00000000" w:rsidDel="00000000" w:rsidP="00000000" w:rsidRDefault="00000000" w:rsidRPr="00000000" w14:paraId="0000007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C">
      <w:pPr>
        <w:spacing w:line="360" w:lineRule="auto"/>
        <w:jc w:val="both"/>
        <w:rPr>
          <w:rFonts w:ascii="Arial" w:cs="Arial" w:eastAsia="Arial" w:hAnsi="Arial"/>
        </w:rPr>
      </w:pPr>
      <w:r w:rsidDel="00000000" w:rsidR="00000000" w:rsidRPr="00000000">
        <w:rPr>
          <w:rFonts w:ascii="Arial" w:cs="Arial" w:eastAsia="Arial" w:hAnsi="Arial"/>
          <w:rtl w:val="0"/>
        </w:rPr>
        <w:t xml:space="preserve">Source:My creation(Based on my research)</w:t>
      </w:r>
    </w:p>
    <w:p w:rsidR="00000000" w:rsidDel="00000000" w:rsidP="00000000" w:rsidRDefault="00000000" w:rsidRPr="00000000" w14:paraId="0000007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E">
      <w:pPr>
        <w:rPr>
          <w:rFonts w:ascii="Arial" w:cs="Arial" w:eastAsia="Arial" w:hAnsi="Arial"/>
        </w:rPr>
      </w:pPr>
      <w:r w:rsidDel="00000000" w:rsidR="00000000" w:rsidRPr="00000000">
        <w:rPr>
          <w:rtl w:val="0"/>
        </w:rPr>
      </w:r>
    </w:p>
    <w:p w:rsidR="00000000" w:rsidDel="00000000" w:rsidP="00000000" w:rsidRDefault="00000000" w:rsidRPr="00000000" w14:paraId="0000007F">
      <w:pPr>
        <w:rPr>
          <w:rFonts w:ascii="Arial" w:cs="Arial" w:eastAsia="Arial" w:hAnsi="Arial"/>
          <w:sz w:val="36"/>
          <w:szCs w:val="36"/>
        </w:rPr>
      </w:pPr>
      <w:r w:rsidDel="00000000" w:rsidR="00000000" w:rsidRPr="00000000">
        <w:rPr>
          <w:rFonts w:ascii="Arial" w:cs="Arial" w:eastAsia="Arial" w:hAnsi="Arial"/>
          <w:sz w:val="36"/>
          <w:szCs w:val="36"/>
          <w:rtl w:val="0"/>
        </w:rPr>
        <w:t xml:space="preserve">Data Collection</w:t>
      </w:r>
    </w:p>
    <w:p w:rsidR="00000000" w:rsidDel="00000000" w:rsidP="00000000" w:rsidRDefault="00000000" w:rsidRPr="00000000" w14:paraId="00000080">
      <w:pPr>
        <w:spacing w:line="360" w:lineRule="auto"/>
        <w:jc w:val="both"/>
        <w:rPr>
          <w:rFonts w:ascii="Arial" w:cs="Arial" w:eastAsia="Arial" w:hAnsi="Arial"/>
        </w:rPr>
      </w:pPr>
      <w:r w:rsidDel="00000000" w:rsidR="00000000" w:rsidRPr="00000000">
        <w:rPr>
          <w:rFonts w:ascii="Arial" w:cs="Arial" w:eastAsia="Arial" w:hAnsi="Arial"/>
          <w:rtl w:val="0"/>
        </w:rPr>
        <w:t xml:space="preserve">In this research, both </w:t>
      </w:r>
      <w:r w:rsidDel="00000000" w:rsidR="00000000" w:rsidRPr="00000000">
        <w:rPr>
          <w:rFonts w:ascii="Arial" w:cs="Arial" w:eastAsia="Arial" w:hAnsi="Arial"/>
          <w:b w:val="1"/>
          <w:bCs w:val="1"/>
          <w:rtl w:val="0"/>
        </w:rPr>
        <w:t xml:space="preserve">primary</w:t>
      </w:r>
      <w:r w:rsidDel="00000000" w:rsidR="00000000" w:rsidRPr="00000000">
        <w:rPr>
          <w:rFonts w:ascii="Arial" w:cs="Arial" w:eastAsia="Arial" w:hAnsi="Arial"/>
          <w:rtl w:val="0"/>
        </w:rPr>
        <w:t xml:space="preserve"> and </w:t>
      </w:r>
      <w:r w:rsidDel="00000000" w:rsidR="00000000" w:rsidRPr="00000000">
        <w:rPr>
          <w:rFonts w:ascii="Arial" w:cs="Arial" w:eastAsia="Arial" w:hAnsi="Arial"/>
          <w:b w:val="1"/>
          <w:bCs w:val="1"/>
          <w:rtl w:val="0"/>
        </w:rPr>
        <w:t xml:space="preserve">secondary</w:t>
      </w:r>
      <w:r w:rsidDel="00000000" w:rsidR="00000000" w:rsidRPr="00000000">
        <w:rPr>
          <w:rFonts w:ascii="Arial" w:cs="Arial" w:eastAsia="Arial" w:hAnsi="Arial"/>
          <w:rtl w:val="0"/>
        </w:rPr>
        <w:t xml:space="preserve"> data sources were used, each contributing unique strengths to the overall evidence base. Understanding these two forms of data is essential when selecting appropriate research methods and ensuring that the study’s aims are effectively addressed.</w:t>
      </w:r>
    </w:p>
    <w:p w:rsidR="00000000" w:rsidDel="00000000" w:rsidP="00000000" w:rsidRDefault="00000000" w:rsidRPr="00000000" w14:paraId="00000081">
      <w:pPr>
        <w:spacing w:line="360" w:lineRule="auto"/>
        <w:jc w:val="both"/>
        <w:rPr>
          <w:rFonts w:ascii="Arial" w:cs="Arial" w:eastAsia="Arial" w:hAnsi="Arial"/>
        </w:rPr>
      </w:pPr>
      <w:r w:rsidDel="00000000" w:rsidR="00000000" w:rsidRPr="00000000">
        <w:rPr>
          <w:rFonts w:ascii="Arial" w:cs="Arial" w:eastAsia="Arial" w:hAnsi="Arial"/>
          <w:rtl w:val="0"/>
        </w:rPr>
        <w:t xml:space="preserve">Primary data: This refers to information that is  collected first-hand for the specific purpose of the study. This data is original, tailored to the research questions, and gathered directly from participants, organisations, or observed settings (Bryman, 2016).</w:t>
      </w:r>
    </w:p>
    <w:p w:rsidR="00000000" w:rsidDel="00000000" w:rsidP="00000000" w:rsidRDefault="00000000" w:rsidRPr="00000000" w14:paraId="00000082">
      <w:pPr>
        <w:spacing w:line="360" w:lineRule="auto"/>
        <w:jc w:val="both"/>
        <w:rPr>
          <w:rFonts w:ascii="Arial" w:cs="Arial" w:eastAsia="Arial" w:hAnsi="Arial"/>
        </w:rPr>
      </w:pPr>
      <w:r w:rsidDel="00000000" w:rsidR="00000000" w:rsidRPr="00000000">
        <w:rPr>
          <w:rFonts w:ascii="Arial" w:cs="Arial" w:eastAsia="Arial" w:hAnsi="Arial"/>
          <w:rtl w:val="0"/>
        </w:rPr>
        <w:t xml:space="preserve">Secondary data: consists of information already gathered by  other researchers, organisations, or institutions for objectives  unrelated to the current study. For this study,  secondary data was  derived from trusted national datasets, published reports, and academic literature(Creswell and Creswell, 2018)</w:t>
        <w:br w:type="textWrapping"/>
      </w:r>
    </w:p>
    <w:p w:rsidR="00000000" w:rsidDel="00000000" w:rsidP="00000000" w:rsidRDefault="00000000" w:rsidRPr="00000000" w14:paraId="00000083">
      <w:pPr>
        <w:spacing w:line="360" w:lineRule="auto"/>
        <w:jc w:val="both"/>
        <w:rPr>
          <w:rFonts w:ascii="Arial" w:cs="Arial" w:eastAsia="Arial" w:hAnsi="Arial"/>
        </w:rPr>
      </w:pPr>
      <w:r w:rsidDel="00000000" w:rsidR="00000000" w:rsidRPr="00000000">
        <w:rPr>
          <w:rFonts w:ascii="Arial" w:cs="Arial" w:eastAsia="Arial" w:hAnsi="Arial"/>
          <w:rtl w:val="0"/>
        </w:rPr>
        <w:t xml:space="preserve">Both means of data collection were used because together they offer a more complete picture of the concerns influencing workforce shortages and funding pressures in the UK health and social care system.</w:t>
      </w:r>
    </w:p>
    <w:p w:rsidR="00000000" w:rsidDel="00000000" w:rsidP="00000000" w:rsidRDefault="00000000" w:rsidRPr="00000000" w14:paraId="0000008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8">
      <w:pPr>
        <w:spacing w:line="360" w:lineRule="auto"/>
        <w:jc w:val="both"/>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rFonts w:ascii="Arial" w:cs="Arial" w:eastAsia="Arial" w:hAnsi="Arial"/>
          <w:sz w:val="36"/>
          <w:szCs w:val="36"/>
        </w:rPr>
      </w:pPr>
      <w:r w:rsidDel="00000000" w:rsidR="00000000" w:rsidRPr="00000000">
        <w:rPr>
          <w:rFonts w:ascii="Arial" w:cs="Arial" w:eastAsia="Arial" w:hAnsi="Arial"/>
          <w:sz w:val="36"/>
          <w:szCs w:val="36"/>
          <w:rtl w:val="0"/>
        </w:rPr>
        <w:t xml:space="preserve">Conclusion</w:t>
      </w:r>
    </w:p>
    <w:p w:rsidR="00000000" w:rsidDel="00000000" w:rsidP="00000000" w:rsidRDefault="00000000" w:rsidRPr="00000000" w14:paraId="00000091">
      <w:pPr>
        <w:spacing w:line="360" w:lineRule="auto"/>
        <w:jc w:val="both"/>
        <w:rPr>
          <w:rFonts w:ascii="Arial" w:cs="Arial" w:eastAsia="Arial" w:hAnsi="Arial"/>
        </w:rPr>
      </w:pPr>
      <w:r w:rsidDel="00000000" w:rsidR="00000000" w:rsidRPr="00000000">
        <w:rPr>
          <w:rFonts w:ascii="Arial" w:cs="Arial" w:eastAsia="Arial" w:hAnsi="Arial"/>
          <w:rtl w:val="0"/>
        </w:rPr>
        <w:t xml:space="preserve">Workforce shortages and funding pressures are two of the most significant challenges facing the UK’s health and social care system. Persistent underinvestment, rising demand, and limited long-term planning have undermined the capacity of the NHS and social care sector to build and retain a stable workforce. Factors such as burnout, pay erosion, demographic pressures, and the consequences of Brexit have further worsened the situation, making recruitment and retention increasingly difficult. Addressing these challenges requires a long-term, strategic approach that prioritises fair pay, improved conditions, expanded training opportunities, and ethical approaches to international recruitment. Without sustained investment and reform, the sector will struggle to meet the needs of an ageing and increasingly complex population. However, with coordinated action, there is potential to create a more resilient and sustainable workforce capable of supporting high-quality care in the years ahead.</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rFonts w:ascii="Arial" w:cs="Arial" w:eastAsia="Arial" w:hAnsi="Arial"/>
          <w:b w:val="1"/>
          <w:bCs w:val="1"/>
          <w:i w:val="1"/>
          <w:iCs w:val="1"/>
          <w:sz w:val="36"/>
          <w:szCs w:val="36"/>
        </w:rPr>
      </w:pPr>
      <w:r w:rsidDel="00000000" w:rsidR="00000000" w:rsidRPr="00000000">
        <w:rPr>
          <w:rFonts w:ascii="Arial" w:cs="Arial" w:eastAsia="Arial" w:hAnsi="Arial"/>
          <w:b w:val="1"/>
          <w:bCs w:val="1"/>
          <w:i w:val="1"/>
          <w:iCs w:val="1"/>
          <w:sz w:val="36"/>
          <w:szCs w:val="36"/>
          <w:rtl w:val="0"/>
        </w:rPr>
        <w:t xml:space="preserve">References</w:t>
      </w:r>
    </w:p>
    <w:p w:rsidR="00000000" w:rsidDel="00000000" w:rsidP="00000000" w:rsidRDefault="00000000" w:rsidRPr="00000000" w14:paraId="000000A3">
      <w:pPr>
        <w:spacing w:line="360" w:lineRule="auto"/>
        <w:rPr>
          <w:i w:val="1"/>
          <w:iCs w:val="1"/>
        </w:rPr>
      </w:pPr>
      <w:r w:rsidDel="00000000" w:rsidR="00000000" w:rsidRPr="00000000">
        <w:rPr>
          <w:i w:val="1"/>
          <w:iCs w:val="1"/>
          <w:rtl w:val="0"/>
        </w:rPr>
        <w:t xml:space="preserve">Anderson, M. et al. (2021) ‘Securing a sustainable and fit-for-purpose UK health and care workforce’, Journal of Health Services Research &amp; Policy, 26(4), pp. 238–245.</w:t>
      </w:r>
    </w:p>
    <w:p w:rsidR="00000000" w:rsidDel="00000000" w:rsidP="00000000" w:rsidRDefault="00000000" w:rsidRPr="00000000" w14:paraId="000000A4">
      <w:pPr>
        <w:spacing w:line="360" w:lineRule="auto"/>
        <w:rPr>
          <w:i w:val="1"/>
          <w:iCs w:val="1"/>
        </w:rPr>
      </w:pPr>
      <w:r w:rsidDel="00000000" w:rsidR="00000000" w:rsidRPr="00000000">
        <w:rPr>
          <w:i w:val="1"/>
          <w:iCs w:val="1"/>
          <w:rtl w:val="0"/>
        </w:rPr>
        <w:t xml:space="preserve">Bryman, A. (2016) Social Research Methods. 5th edn. Oxford: Oxford University Press.</w:t>
      </w:r>
    </w:p>
    <w:p w:rsidR="00000000" w:rsidDel="00000000" w:rsidP="00000000" w:rsidRDefault="00000000" w:rsidRPr="00000000" w14:paraId="000000A5">
      <w:pPr>
        <w:spacing w:line="360" w:lineRule="auto"/>
        <w:rPr>
          <w:i w:val="1"/>
          <w:iCs w:val="1"/>
        </w:rPr>
      </w:pPr>
      <w:r w:rsidDel="00000000" w:rsidR="00000000" w:rsidRPr="00000000">
        <w:rPr>
          <w:i w:val="1"/>
          <w:iCs w:val="1"/>
          <w:rtl w:val="0"/>
        </w:rPr>
        <w:t xml:space="preserve">Creswell, J.W. and Creswell, J.D. (2018) Research Design: Qualitative, Quantitative, and Mixed Methods Approaches. 5th edn. Thousand Oaks, CA: SAGE.</w:t>
      </w:r>
    </w:p>
    <w:p w:rsidR="00000000" w:rsidDel="00000000" w:rsidP="00000000" w:rsidRDefault="00000000" w:rsidRPr="00000000" w14:paraId="000000A6">
      <w:pPr>
        <w:spacing w:line="360" w:lineRule="auto"/>
        <w:rPr>
          <w:i w:val="1"/>
          <w:iCs w:val="1"/>
        </w:rPr>
      </w:pPr>
      <w:r w:rsidDel="00000000" w:rsidR="00000000" w:rsidRPr="00000000">
        <w:rPr>
          <w:i w:val="1"/>
          <w:iCs w:val="1"/>
          <w:rtl w:val="0"/>
        </w:rPr>
        <w:t xml:space="preserve">Dixon-Woods, M. (2024) ‘The future of the NHS depends on its workforce’, BMJ, 384(112), pp. 1–3.</w:t>
      </w:r>
    </w:p>
    <w:p w:rsidR="00000000" w:rsidDel="00000000" w:rsidP="00000000" w:rsidRDefault="00000000" w:rsidRPr="00000000" w14:paraId="000000A7">
      <w:pPr>
        <w:spacing w:line="360" w:lineRule="auto"/>
        <w:rPr>
          <w:i w:val="1"/>
          <w:iCs w:val="1"/>
        </w:rPr>
      </w:pPr>
      <w:r w:rsidDel="00000000" w:rsidR="00000000" w:rsidRPr="00000000">
        <w:rPr>
          <w:i w:val="1"/>
          <w:iCs w:val="1"/>
          <w:rtl w:val="0"/>
        </w:rPr>
        <w:t xml:space="preserve">Health Foundation (2023) Health and social care workforce trends in the UK. London: The Health Foundation.</w:t>
      </w:r>
    </w:p>
    <w:p w:rsidR="00000000" w:rsidDel="00000000" w:rsidP="00000000" w:rsidRDefault="00000000" w:rsidRPr="00000000" w14:paraId="000000A8">
      <w:pPr>
        <w:spacing w:line="360" w:lineRule="auto"/>
        <w:rPr>
          <w:i w:val="1"/>
          <w:iCs w:val="1"/>
        </w:rPr>
      </w:pPr>
      <w:r w:rsidDel="00000000" w:rsidR="00000000" w:rsidRPr="00000000">
        <w:rPr>
          <w:i w:val="1"/>
          <w:iCs w:val="1"/>
          <w:rtl w:val="0"/>
        </w:rPr>
        <w:t xml:space="preserve">King’s Fund (2023) The NHS Workforce in Numbers. London: King’s Fund.</w:t>
      </w:r>
    </w:p>
    <w:p w:rsidR="00000000" w:rsidDel="00000000" w:rsidP="00000000" w:rsidRDefault="00000000" w:rsidRPr="00000000" w14:paraId="000000A9">
      <w:pPr>
        <w:spacing w:line="360" w:lineRule="auto"/>
        <w:rPr>
          <w:i w:val="1"/>
          <w:iCs w:val="1"/>
        </w:rPr>
      </w:pPr>
      <w:r w:rsidDel="00000000" w:rsidR="00000000" w:rsidRPr="00000000">
        <w:rPr>
          <w:i w:val="1"/>
          <w:iCs w:val="1"/>
          <w:rtl w:val="0"/>
        </w:rPr>
        <w:t xml:space="preserve">Local Government Association (2022) Adult Social Care Funding: State of the Sector. London: LGA.</w:t>
      </w:r>
    </w:p>
    <w:p w:rsidR="00000000" w:rsidDel="00000000" w:rsidP="00000000" w:rsidRDefault="00000000" w:rsidRPr="00000000" w14:paraId="000000AA">
      <w:pPr>
        <w:spacing w:line="360" w:lineRule="auto"/>
        <w:rPr>
          <w:i w:val="1"/>
          <w:iCs w:val="1"/>
        </w:rPr>
      </w:pPr>
      <w:r w:rsidDel="00000000" w:rsidR="00000000" w:rsidRPr="00000000">
        <w:rPr>
          <w:i w:val="1"/>
          <w:iCs w:val="1"/>
          <w:rtl w:val="0"/>
        </w:rPr>
        <w:t xml:space="preserve">Martin, C.A. et al. (2023) ‘Discrimination, feeling undervalued, and UK healthcare workforce attrition’, The Lancet, 401(10373), pp. 1901–1912.</w:t>
      </w:r>
    </w:p>
    <w:p w:rsidR="00000000" w:rsidDel="00000000" w:rsidP="00000000" w:rsidRDefault="00000000" w:rsidRPr="00000000" w14:paraId="000000AB">
      <w:pPr>
        <w:spacing w:line="360" w:lineRule="auto"/>
        <w:rPr>
          <w:i w:val="1"/>
          <w:iCs w:val="1"/>
        </w:rPr>
      </w:pPr>
      <w:r w:rsidDel="00000000" w:rsidR="00000000" w:rsidRPr="00000000">
        <w:rPr>
          <w:i w:val="1"/>
          <w:iCs w:val="1"/>
          <w:rtl w:val="0"/>
        </w:rPr>
        <w:t xml:space="preserve">NHS England (2023) NHS Long Term Workforce Plan. London: Department of Health and Social Care.</w:t>
      </w:r>
    </w:p>
    <w:p w:rsidR="00000000" w:rsidDel="00000000" w:rsidP="00000000" w:rsidRDefault="00000000" w:rsidRPr="00000000" w14:paraId="000000AC">
      <w:pPr>
        <w:spacing w:line="360" w:lineRule="auto"/>
        <w:rPr>
          <w:i w:val="1"/>
          <w:iCs w:val="1"/>
        </w:rPr>
      </w:pPr>
      <w:r w:rsidDel="00000000" w:rsidR="00000000" w:rsidRPr="00000000">
        <w:rPr>
          <w:i w:val="1"/>
          <w:iCs w:val="1"/>
          <w:rtl w:val="0"/>
        </w:rPr>
        <w:t xml:space="preserve">Nuffield Trust (2023) The Future Health and Social Care Workforce. London: Nuffield Trust.</w:t>
      </w:r>
    </w:p>
    <w:p w:rsidR="00000000" w:rsidDel="00000000" w:rsidP="00000000" w:rsidRDefault="00000000" w:rsidRPr="00000000" w14:paraId="000000AD">
      <w:pPr>
        <w:spacing w:line="360" w:lineRule="auto"/>
        <w:rPr>
          <w:i w:val="1"/>
          <w:iCs w:val="1"/>
        </w:rPr>
      </w:pPr>
      <w:r w:rsidDel="00000000" w:rsidR="00000000" w:rsidRPr="00000000">
        <w:rPr>
          <w:i w:val="1"/>
          <w:iCs w:val="1"/>
          <w:rtl w:val="0"/>
        </w:rPr>
        <w:t xml:space="preserve">Skills for Care (2023) State of the Adult Social Care Sector and Workforce in England. Leeds: Skills for Care.</w:t>
      </w:r>
    </w:p>
    <w:p w:rsidR="00000000" w:rsidDel="00000000" w:rsidP="00000000" w:rsidRDefault="00000000" w:rsidRPr="00000000" w14:paraId="000000AE">
      <w:pPr>
        <w:rPr>
          <w:i w:val="1"/>
          <w:iCs w:val="1"/>
        </w:rPr>
      </w:pPr>
      <w:r w:rsidDel="00000000" w:rsidR="00000000" w:rsidRPr="00000000">
        <w:rPr>
          <w:rtl w:val="0"/>
        </w:rPr>
      </w:r>
    </w:p>
    <w:sectPr>
      <w:headerReference r:id="rId8" w:type="default"/>
      <w:headerReference r:id="rId9" w:type="first"/>
      <w:footerReference r:id="rId10" w:type="default"/>
      <w:footerReference r:id="rId11" w:type="first"/>
      <w:pgSz w:h="15840" w:w="12240" w:orient="portrait"/>
      <w:pgMar w:bottom="1440" w:top="1440" w:left="1800" w:right="180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Calibri"/>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2">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F">
    <w:pPr>
      <w:jc w:val="right"/>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mbria" w:cs="Cambria" w:eastAsia="Cambria" w:hAnsi="Cambria"/>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7">
    <w:name w:val="heading 7"/>
    <w:basedOn w:val="Normal"/>
    <w:next w:val="Normal"/>
    <w:link w:val="Heading7Char"/>
    <w:uiPriority w:val="9"/>
    <w:semiHidden w:val="1"/>
    <w:unhideWhenUsed w:val="1"/>
    <w:qFormat w:val="1"/>
    <w:rsid w:val="00FC693F"/>
    <w:pPr>
      <w:keepNext w:val="1"/>
      <w:keepLines w:val="1"/>
      <w:spacing w:after="0" w:before="200"/>
      <w:outlineLvl w:val="6"/>
    </w:pPr>
    <w:rPr>
      <w:rFonts w:asciiTheme="majorHAnsi" w:cstheme="majorBidi" w:eastAsiaTheme="majorEastAsia" w:hAnsiTheme="majorHAnsi"/>
      <w:i w:val="1"/>
      <w:iCs w:val="1"/>
      <w:color w:val="404040" w:themeColor="text1" w:themeTint="0000BF"/>
    </w:rPr>
  </w:style>
  <w:style w:type="paragraph" w:styleId="Heading8">
    <w:name w:val="heading 8"/>
    <w:basedOn w:val="Normal"/>
    <w:next w:val="Normal"/>
    <w:link w:val="Heading8Char"/>
    <w:uiPriority w:val="9"/>
    <w:semiHidden w:val="1"/>
    <w:unhideWhenUsed w:val="1"/>
    <w:qFormat w:val="1"/>
    <w:rsid w:val="00FC693F"/>
    <w:pPr>
      <w:keepNext w:val="1"/>
      <w:keepLines w:val="1"/>
      <w:spacing w:after="0" w:before="200"/>
      <w:outlineLvl w:val="7"/>
    </w:pPr>
    <w:rPr>
      <w:rFonts w:asciiTheme="majorHAnsi" w:cstheme="majorBidi" w:eastAsiaTheme="majorEastAsia" w:hAnsiTheme="majorHAnsi"/>
      <w:color w:val="4f81bd" w:themeColor="accent1"/>
      <w:sz w:val="20"/>
      <w:szCs w:val="20"/>
    </w:rPr>
  </w:style>
  <w:style w:type="paragraph" w:styleId="Heading9">
    <w:name w:val="heading 9"/>
    <w:basedOn w:val="Normal"/>
    <w:next w:val="Normal"/>
    <w:link w:val="Heading9Char"/>
    <w:uiPriority w:val="9"/>
    <w:semiHidden w:val="1"/>
    <w:unhideWhenUsed w:val="1"/>
    <w:qFormat w:val="1"/>
    <w:rsid w:val="00FC693F"/>
    <w:pPr>
      <w:keepNext w:val="1"/>
      <w:keepLines w:val="1"/>
      <w:spacing w:after="0" w:before="200"/>
      <w:outlineLvl w:val="8"/>
    </w:pPr>
    <w:rPr>
      <w:rFonts w:asciiTheme="majorHAnsi" w:cstheme="majorBidi" w:eastAsiaTheme="majorEastAsia" w:hAnsiTheme="majorHAnsi"/>
      <w:i w:val="1"/>
      <w:iCs w:val="1"/>
      <w:color w:val="404040" w:themeColor="text1" w:themeTint="0000BF"/>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val="1"/>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val="1"/>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cstheme="majorBidi" w:eastAsiaTheme="majorEastAsia" w:hAnsiTheme="majorHAnsi"/>
      <w:b w:val="1"/>
      <w:bCs w:val="1"/>
      <w:color w:val="365f91" w:themeColor="accent1" w:themeShade="0000BF"/>
      <w:sz w:val="28"/>
      <w:szCs w:val="28"/>
    </w:rPr>
  </w:style>
  <w:style w:type="character" w:styleId="Heading2Char" w:customStyle="1">
    <w:name w:val="Heading 2 Char"/>
    <w:basedOn w:val="DefaultParagraphFont"/>
    <w:link w:val="Heading2"/>
    <w:uiPriority w:val="9"/>
    <w:rsid w:val="00FC693F"/>
    <w:rPr>
      <w:rFonts w:asciiTheme="majorHAnsi" w:cstheme="majorBidi" w:eastAsiaTheme="majorEastAsia" w:hAnsiTheme="majorHAnsi"/>
      <w:b w:val="1"/>
      <w:bCs w:val="1"/>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cstheme="majorBidi" w:eastAsiaTheme="majorEastAsia" w:hAnsiTheme="majorHAnsi"/>
      <w:b w:val="1"/>
      <w:bCs w:val="1"/>
      <w:color w:val="4f81bd" w:themeColor="accent1"/>
    </w:rPr>
  </w:style>
  <w:style w:type="character" w:styleId="TitleChar" w:customStyle="1">
    <w:name w:val="Title Char"/>
    <w:basedOn w:val="DefaultParagraphFont"/>
    <w:link w:val="Title"/>
    <w:uiPriority w:val="10"/>
    <w:rsid w:val="00FC693F"/>
    <w:rPr>
      <w:rFonts w:asciiTheme="majorHAnsi" w:cstheme="majorBidi" w:eastAsiaTheme="majorEastAsia" w:hAnsiTheme="majorHAnsi"/>
      <w:color w:val="17365d" w:themeColor="text2" w:themeShade="0000BF"/>
      <w:spacing w:val="5"/>
      <w:kern w:val="28"/>
      <w:sz w:val="52"/>
      <w:szCs w:val="52"/>
    </w:rPr>
  </w:style>
  <w:style w:type="character" w:styleId="SubtitleChar" w:customStyle="1">
    <w:name w:val="Subtitle Char"/>
    <w:basedOn w:val="DefaultParagraphFont"/>
    <w:link w:val="Subtitle"/>
    <w:uiPriority w:val="11"/>
    <w:rsid w:val="00FC693F"/>
    <w:rPr>
      <w:rFonts w:asciiTheme="majorHAnsi" w:cstheme="majorBidi" w:eastAsiaTheme="majorEastAsia" w:hAnsiTheme="majorHAnsi"/>
      <w:i w:val="1"/>
      <w:iCs w:val="1"/>
      <w:color w:val="4f81bd" w:themeColor="accent1"/>
      <w:spacing w:val="15"/>
      <w:sz w:val="24"/>
      <w:szCs w:val="24"/>
    </w:rPr>
  </w:style>
  <w:style w:type="paragraph" w:styleId="ListParagraph">
    <w:name w:val="List Paragraph"/>
    <w:basedOn w:val="Normal"/>
    <w:uiPriority w:val="34"/>
    <w:qFormat w:val="1"/>
    <w:rsid w:val="00FC693F"/>
    <w:pPr>
      <w:ind w:left="720"/>
      <w:contextualSpacing w:val="1"/>
    </w:pPr>
  </w:style>
  <w:style w:type="paragraph" w:styleId="BodyText">
    <w:name w:val="Body Text"/>
    <w:basedOn w:val="Normal"/>
    <w:link w:val="BodyTextChar"/>
    <w:uiPriority w:val="99"/>
    <w:unhideWhenUsed w:val="1"/>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val="1"/>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val="1"/>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val="1"/>
    <w:rsid w:val="00AA1D8D"/>
    <w:pPr>
      <w:ind w:left="360" w:hanging="360"/>
      <w:contextualSpacing w:val="1"/>
    </w:pPr>
  </w:style>
  <w:style w:type="paragraph" w:styleId="List2">
    <w:name w:val="List 2"/>
    <w:basedOn w:val="Normal"/>
    <w:uiPriority w:val="99"/>
    <w:unhideWhenUsed w:val="1"/>
    <w:rsid w:val="00326F90"/>
    <w:pPr>
      <w:ind w:left="720" w:hanging="360"/>
      <w:contextualSpacing w:val="1"/>
    </w:pPr>
  </w:style>
  <w:style w:type="paragraph" w:styleId="List3">
    <w:name w:val="List 3"/>
    <w:basedOn w:val="Normal"/>
    <w:uiPriority w:val="99"/>
    <w:unhideWhenUsed w:val="1"/>
    <w:rsid w:val="00326F90"/>
    <w:pPr>
      <w:ind w:left="1080" w:hanging="360"/>
      <w:contextualSpacing w:val="1"/>
    </w:pPr>
  </w:style>
  <w:style w:type="paragraph" w:styleId="ListBullet">
    <w:name w:val="List Bullet"/>
    <w:basedOn w:val="Normal"/>
    <w:uiPriority w:val="99"/>
    <w:unhideWhenUsed w:val="1"/>
    <w:rsid w:val="00326F90"/>
    <w:pPr>
      <w:numPr>
        <w:numId w:val="1"/>
      </w:numPr>
      <w:contextualSpacing w:val="1"/>
    </w:pPr>
  </w:style>
  <w:style w:type="paragraph" w:styleId="ListBullet2">
    <w:name w:val="List Bullet 2"/>
    <w:basedOn w:val="Normal"/>
    <w:uiPriority w:val="99"/>
    <w:unhideWhenUsed w:val="1"/>
    <w:rsid w:val="00326F90"/>
    <w:pPr>
      <w:numPr>
        <w:numId w:val="2"/>
      </w:numPr>
      <w:contextualSpacing w:val="1"/>
    </w:pPr>
  </w:style>
  <w:style w:type="paragraph" w:styleId="ListBullet3">
    <w:name w:val="List Bullet 3"/>
    <w:basedOn w:val="Normal"/>
    <w:uiPriority w:val="99"/>
    <w:unhideWhenUsed w:val="1"/>
    <w:rsid w:val="00326F90"/>
    <w:pPr>
      <w:numPr>
        <w:numId w:val="3"/>
      </w:numPr>
      <w:contextualSpacing w:val="1"/>
    </w:pPr>
  </w:style>
  <w:style w:type="paragraph" w:styleId="ListNumber">
    <w:name w:val="List Number"/>
    <w:basedOn w:val="Normal"/>
    <w:uiPriority w:val="99"/>
    <w:unhideWhenUsed w:val="1"/>
    <w:rsid w:val="00326F90"/>
    <w:pPr>
      <w:numPr>
        <w:numId w:val="5"/>
      </w:numPr>
      <w:contextualSpacing w:val="1"/>
    </w:pPr>
  </w:style>
  <w:style w:type="paragraph" w:styleId="ListNumber2">
    <w:name w:val="List Number 2"/>
    <w:basedOn w:val="Normal"/>
    <w:uiPriority w:val="99"/>
    <w:unhideWhenUsed w:val="1"/>
    <w:rsid w:val="0029639D"/>
    <w:pPr>
      <w:numPr>
        <w:numId w:val="6"/>
      </w:numPr>
      <w:contextualSpacing w:val="1"/>
    </w:pPr>
  </w:style>
  <w:style w:type="paragraph" w:styleId="ListNumber3">
    <w:name w:val="List Number 3"/>
    <w:basedOn w:val="Normal"/>
    <w:uiPriority w:val="99"/>
    <w:unhideWhenUsed w:val="1"/>
    <w:rsid w:val="0029639D"/>
    <w:pPr>
      <w:numPr>
        <w:numId w:val="7"/>
      </w:numPr>
      <w:contextualSpacing w:val="1"/>
    </w:pPr>
  </w:style>
  <w:style w:type="paragraph" w:styleId="ListContinue">
    <w:name w:val="List Continue"/>
    <w:basedOn w:val="Normal"/>
    <w:uiPriority w:val="99"/>
    <w:unhideWhenUsed w:val="1"/>
    <w:rsid w:val="0029639D"/>
    <w:pPr>
      <w:spacing w:after="120"/>
      <w:ind w:left="360"/>
      <w:contextualSpacing w:val="1"/>
    </w:pPr>
  </w:style>
  <w:style w:type="paragraph" w:styleId="ListContinue2">
    <w:name w:val="List Continue 2"/>
    <w:basedOn w:val="Normal"/>
    <w:uiPriority w:val="99"/>
    <w:unhideWhenUsed w:val="1"/>
    <w:rsid w:val="0029639D"/>
    <w:pPr>
      <w:spacing w:after="120"/>
      <w:ind w:left="720"/>
      <w:contextualSpacing w:val="1"/>
    </w:pPr>
  </w:style>
  <w:style w:type="paragraph" w:styleId="ListContinue3">
    <w:name w:val="List Continue 3"/>
    <w:basedOn w:val="Normal"/>
    <w:uiPriority w:val="99"/>
    <w:unhideWhenUsed w:val="1"/>
    <w:rsid w:val="0029639D"/>
    <w:pPr>
      <w:spacing w:after="120"/>
      <w:ind w:left="1080"/>
      <w:contextualSpacing w:val="1"/>
    </w:pPr>
  </w:style>
  <w:style w:type="paragraph" w:styleId="MacroText">
    <w:name w:val="macro"/>
    <w:link w:val="MacroTextChar"/>
    <w:uiPriority w:val="99"/>
    <w:unhideWhenUsed w:val="1"/>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val="1"/>
    <w:rsid w:val="00FC693F"/>
    <w:rPr>
      <w:i w:val="1"/>
      <w:iCs w:val="1"/>
      <w:color w:val="000000" w:themeColor="text1"/>
    </w:rPr>
  </w:style>
  <w:style w:type="character" w:styleId="QuoteChar" w:customStyle="1">
    <w:name w:val="Quote Char"/>
    <w:basedOn w:val="DefaultParagraphFont"/>
    <w:link w:val="Quote"/>
    <w:uiPriority w:val="29"/>
    <w:rsid w:val="00FC693F"/>
    <w:rPr>
      <w:i w:val="1"/>
      <w:iCs w:val="1"/>
      <w:color w:val="000000" w:themeColor="text1"/>
    </w:rPr>
  </w:style>
  <w:style w:type="character" w:styleId="Heading4Char" w:customStyle="1">
    <w:name w:val="Heading 4 Char"/>
    <w:basedOn w:val="DefaultParagraphFont"/>
    <w:link w:val="Heading4"/>
    <w:uiPriority w:val="9"/>
    <w:semiHidden w:val="1"/>
    <w:rsid w:val="00FC693F"/>
    <w:rPr>
      <w:rFonts w:asciiTheme="majorHAnsi" w:cstheme="majorBidi" w:eastAsiaTheme="majorEastAsia" w:hAnsiTheme="majorHAnsi"/>
      <w:b w:val="1"/>
      <w:bCs w:val="1"/>
      <w:i w:val="1"/>
      <w:iCs w:val="1"/>
      <w:color w:val="4f81bd" w:themeColor="accent1"/>
    </w:rPr>
  </w:style>
  <w:style w:type="character" w:styleId="Heading5Char" w:customStyle="1">
    <w:name w:val="Heading 5 Char"/>
    <w:basedOn w:val="DefaultParagraphFont"/>
    <w:link w:val="Heading5"/>
    <w:uiPriority w:val="9"/>
    <w:semiHidden w:val="1"/>
    <w:rsid w:val="00FC693F"/>
    <w:rPr>
      <w:rFonts w:asciiTheme="majorHAnsi" w:cstheme="majorBidi" w:eastAsiaTheme="majorEastAsia" w:hAnsiTheme="majorHAnsi"/>
      <w:color w:val="243f60" w:themeColor="accent1" w:themeShade="00007F"/>
    </w:rPr>
  </w:style>
  <w:style w:type="character" w:styleId="Heading6Char" w:customStyle="1">
    <w:name w:val="Heading 6 Char"/>
    <w:basedOn w:val="DefaultParagraphFont"/>
    <w:link w:val="Heading6"/>
    <w:uiPriority w:val="9"/>
    <w:semiHidden w:val="1"/>
    <w:rsid w:val="00FC693F"/>
    <w:rPr>
      <w:rFonts w:asciiTheme="majorHAnsi" w:cstheme="majorBidi" w:eastAsiaTheme="majorEastAsia" w:hAnsiTheme="majorHAnsi"/>
      <w:i w:val="1"/>
      <w:iCs w:val="1"/>
      <w:color w:val="243f60" w:themeColor="accent1" w:themeShade="00007F"/>
    </w:rPr>
  </w:style>
  <w:style w:type="character" w:styleId="Heading7Char" w:customStyle="1">
    <w:name w:val="Heading 7 Char"/>
    <w:basedOn w:val="DefaultParagraphFont"/>
    <w:link w:val="Heading7"/>
    <w:uiPriority w:val="9"/>
    <w:semiHidden w:val="1"/>
    <w:rsid w:val="00FC693F"/>
    <w:rPr>
      <w:rFonts w:asciiTheme="majorHAnsi" w:cstheme="majorBidi" w:eastAsiaTheme="majorEastAsia" w:hAnsiTheme="majorHAnsi"/>
      <w:i w:val="1"/>
      <w:iCs w:val="1"/>
      <w:color w:val="404040" w:themeColor="text1" w:themeTint="0000BF"/>
    </w:rPr>
  </w:style>
  <w:style w:type="character" w:styleId="Heading8Char" w:customStyle="1">
    <w:name w:val="Heading 8 Char"/>
    <w:basedOn w:val="DefaultParagraphFont"/>
    <w:link w:val="Heading8"/>
    <w:uiPriority w:val="9"/>
    <w:semiHidden w:val="1"/>
    <w:rsid w:val="00FC693F"/>
    <w:rPr>
      <w:rFonts w:asciiTheme="majorHAnsi" w:cstheme="majorBidi" w:eastAsiaTheme="majorEastAsia" w:hAnsiTheme="majorHAnsi"/>
      <w:color w:val="4f81bd" w:themeColor="accent1"/>
      <w:sz w:val="20"/>
      <w:szCs w:val="20"/>
    </w:rPr>
  </w:style>
  <w:style w:type="character" w:styleId="Heading9Char" w:customStyle="1">
    <w:name w:val="Heading 9 Char"/>
    <w:basedOn w:val="DefaultParagraphFont"/>
    <w:link w:val="Heading9"/>
    <w:uiPriority w:val="9"/>
    <w:semiHidden w:val="1"/>
    <w:rsid w:val="00FC693F"/>
    <w:rPr>
      <w:rFonts w:asciiTheme="majorHAnsi" w:cstheme="majorBidi" w:eastAsiaTheme="majorEastAsia" w:hAnsiTheme="majorHAnsi"/>
      <w:i w:val="1"/>
      <w:iCs w:val="1"/>
      <w:color w:val="404040" w:themeColor="text1" w:themeTint="0000BF"/>
      <w:sz w:val="20"/>
      <w:szCs w:val="20"/>
    </w:rPr>
  </w:style>
  <w:style w:type="paragraph" w:styleId="Caption">
    <w:name w:val="caption"/>
    <w:basedOn w:val="Normal"/>
    <w:next w:val="Normal"/>
    <w:uiPriority w:val="35"/>
    <w:semiHidden w:val="1"/>
    <w:unhideWhenUsed w:val="1"/>
    <w:qFormat w:val="1"/>
    <w:rsid w:val="00FC693F"/>
    <w:pPr>
      <w:spacing w:line="240" w:lineRule="auto"/>
    </w:pPr>
    <w:rPr>
      <w:b w:val="1"/>
      <w:bCs w:val="1"/>
      <w:color w:val="4f81bd" w:themeColor="accent1"/>
      <w:sz w:val="18"/>
      <w:szCs w:val="18"/>
    </w:rPr>
  </w:style>
  <w:style w:type="character" w:styleId="Strong">
    <w:name w:val="Strong"/>
    <w:basedOn w:val="DefaultParagraphFont"/>
    <w:uiPriority w:val="22"/>
    <w:qFormat w:val="1"/>
    <w:rsid w:val="00FC693F"/>
    <w:rPr>
      <w:b w:val="1"/>
      <w:bCs w:val="1"/>
    </w:rPr>
  </w:style>
  <w:style w:type="character" w:styleId="Emphasis">
    <w:name w:val="Emphasis"/>
    <w:basedOn w:val="DefaultParagraphFont"/>
    <w:uiPriority w:val="20"/>
    <w:qFormat w:val="1"/>
    <w:rsid w:val="00FC693F"/>
    <w:rPr>
      <w:i w:val="1"/>
      <w:iCs w:val="1"/>
    </w:rPr>
  </w:style>
  <w:style w:type="paragraph" w:styleId="IntenseQuote">
    <w:name w:val="Intense Quote"/>
    <w:basedOn w:val="Normal"/>
    <w:next w:val="Normal"/>
    <w:link w:val="IntenseQuoteChar"/>
    <w:uiPriority w:val="30"/>
    <w:qFormat w:val="1"/>
    <w:rsid w:val="00FC693F"/>
    <w:pPr>
      <w:pBdr>
        <w:bottom w:color="4f81bd" w:space="4" w:sz="4" w:themeColor="accent1" w:val="single"/>
      </w:pBdr>
      <w:spacing w:after="280" w:before="200"/>
      <w:ind w:left="936" w:right="936"/>
    </w:pPr>
    <w:rPr>
      <w:b w:val="1"/>
      <w:bCs w:val="1"/>
      <w:i w:val="1"/>
      <w:iCs w:val="1"/>
      <w:color w:val="4f81bd" w:themeColor="accent1"/>
    </w:rPr>
  </w:style>
  <w:style w:type="character" w:styleId="IntenseQuoteChar" w:customStyle="1">
    <w:name w:val="Intense Quote Char"/>
    <w:basedOn w:val="DefaultParagraphFont"/>
    <w:link w:val="IntenseQuote"/>
    <w:uiPriority w:val="30"/>
    <w:rsid w:val="00FC693F"/>
    <w:rPr>
      <w:b w:val="1"/>
      <w:bCs w:val="1"/>
      <w:i w:val="1"/>
      <w:iCs w:val="1"/>
      <w:color w:val="4f81bd" w:themeColor="accent1"/>
    </w:rPr>
  </w:style>
  <w:style w:type="character" w:styleId="SubtleEmphasis">
    <w:name w:val="Subtle Emphasis"/>
    <w:basedOn w:val="DefaultParagraphFont"/>
    <w:uiPriority w:val="19"/>
    <w:qFormat w:val="1"/>
    <w:rsid w:val="00FC693F"/>
    <w:rPr>
      <w:i w:val="1"/>
      <w:iCs w:val="1"/>
      <w:color w:val="808080" w:themeColor="text1" w:themeTint="00007F"/>
    </w:rPr>
  </w:style>
  <w:style w:type="character" w:styleId="IntenseEmphasis">
    <w:name w:val="Intense Emphasis"/>
    <w:basedOn w:val="DefaultParagraphFont"/>
    <w:uiPriority w:val="21"/>
    <w:qFormat w:val="1"/>
    <w:rsid w:val="00FC693F"/>
    <w:rPr>
      <w:b w:val="1"/>
      <w:bCs w:val="1"/>
      <w:i w:val="1"/>
      <w:iCs w:val="1"/>
      <w:color w:val="4f81bd" w:themeColor="accent1"/>
    </w:rPr>
  </w:style>
  <w:style w:type="character" w:styleId="SubtleReference">
    <w:name w:val="Subtle Reference"/>
    <w:basedOn w:val="DefaultParagraphFont"/>
    <w:uiPriority w:val="31"/>
    <w:qFormat w:val="1"/>
    <w:rsid w:val="00FC693F"/>
    <w:rPr>
      <w:smallCaps w:val="1"/>
      <w:color w:val="c0504d" w:themeColor="accent2"/>
      <w:u w:val="single"/>
    </w:rPr>
  </w:style>
  <w:style w:type="character" w:styleId="IntenseReference">
    <w:name w:val="Intense Reference"/>
    <w:basedOn w:val="DefaultParagraphFont"/>
    <w:uiPriority w:val="32"/>
    <w:qFormat w:val="1"/>
    <w:rsid w:val="00FC693F"/>
    <w:rPr>
      <w:b w:val="1"/>
      <w:bCs w:val="1"/>
      <w:smallCaps w:val="1"/>
      <w:color w:val="c0504d" w:themeColor="accent2"/>
      <w:spacing w:val="5"/>
      <w:u w:val="single"/>
    </w:rPr>
  </w:style>
  <w:style w:type="character" w:styleId="BookTitle">
    <w:name w:val="Book Title"/>
    <w:basedOn w:val="DefaultParagraphFont"/>
    <w:uiPriority w:val="33"/>
    <w:qFormat w:val="1"/>
    <w:rsid w:val="00FC693F"/>
    <w:rPr>
      <w:b w:val="1"/>
      <w:bCs w:val="1"/>
      <w:smallCaps w:val="1"/>
      <w:spacing w:val="5"/>
    </w:rPr>
  </w:style>
  <w:style w:type="paragraph" w:styleId="TOCHeading">
    <w:name w:val="TOC Heading"/>
    <w:basedOn w:val="Heading1"/>
    <w:next w:val="Normal"/>
    <w:uiPriority w:val="39"/>
    <w:semiHidden w:val="1"/>
    <w:unhideWhenUsed w:val="1"/>
    <w:qFormat w:val="1"/>
    <w:rsid w:val="00FC693F"/>
    <w:pPr>
      <w:outlineLvl w:val="9"/>
    </w:pPr>
  </w:style>
  <w:style w:type="table" w:styleId="TableGrid">
    <w:name w:val="Table Grid"/>
    <w:basedOn w:val="TableNormal"/>
    <w:uiPriority w:val="59"/>
    <w:rsid w:val="00FC693F"/>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LightShading">
    <w:name w:val="Light Shading"/>
    <w:basedOn w:val="TableNormal"/>
    <w:uiPriority w:val="60"/>
    <w:rsid w:val="00FC693F"/>
    <w:pPr>
      <w:spacing w:after="0" w:line="240" w:lineRule="auto"/>
    </w:pPr>
    <w:rPr>
      <w:color w:val="000000" w:themeColor="text1" w:themeShade="0000BF"/>
    </w:rPr>
    <w:tblPr>
      <w:tblStyleRowBandSize w:val="1"/>
      <w:tblStyleColBandSize w:val="1"/>
      <w:tblBorders>
        <w:top w:color="000000" w:space="0" w:sz="8" w:themeColor="text1" w:val="single"/>
        <w:bottom w:color="000000" w:space="0" w:sz="8" w:themeColor="text1" w:val="single"/>
      </w:tblBorders>
    </w:tblPr>
    <w:tblStylePr w:type="fir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left w:space="0" w:sz="0" w:val="nil"/>
          <w:right w:space="0" w:sz="0" w:val="nil"/>
          <w:insideH w:space="0" w:sz="0" w:val="nil"/>
          <w:insideV w:space="0" w:sz="0" w:val="nil"/>
        </w:tcBorders>
        <w:shd w:color="auto" w:fill="c0c0c0" w:themeFill="text1" w:themeFillTint="00003F" w:val="clear"/>
      </w:tcPr>
    </w:tblStylePr>
  </w:style>
  <w:style w:type="table" w:styleId="LightShading-Accent1">
    <w:name w:val="Light Shading Accent 1"/>
    <w:basedOn w:val="TableNormal"/>
    <w:uiPriority w:val="60"/>
    <w:rsid w:val="00FC693F"/>
    <w:pPr>
      <w:spacing w:after="0" w:line="240" w:lineRule="auto"/>
    </w:pPr>
    <w:rPr>
      <w:color w:val="365f91" w:themeColor="accent1" w:themeShade="0000BF"/>
    </w:rPr>
    <w:tblPr>
      <w:tblStyleRowBandSize w:val="1"/>
      <w:tblStyleColBandSize w:val="1"/>
      <w:tblBorders>
        <w:top w:color="4f81bd" w:space="0" w:sz="8" w:themeColor="accent1" w:val="single"/>
        <w:bottom w:color="4f81bd" w:space="0" w:sz="8" w:themeColor="accent1" w:val="single"/>
      </w:tblBorders>
    </w:tblPr>
    <w:tblStylePr w:type="fir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left w:space="0" w:sz="0" w:val="nil"/>
          <w:right w:space="0" w:sz="0" w:val="nil"/>
          <w:insideH w:space="0" w:sz="0" w:val="nil"/>
          <w:insideV w:space="0" w:sz="0" w:val="nil"/>
        </w:tcBorders>
        <w:shd w:color="auto" w:fill="d3dfee" w:themeFill="accent1" w:themeFillTint="00003F" w:val="clear"/>
      </w:tcPr>
    </w:tblStylePr>
  </w:style>
  <w:style w:type="table" w:styleId="LightShading-Accent2">
    <w:name w:val="Light Shading Accent 2"/>
    <w:basedOn w:val="TableNormal"/>
    <w:uiPriority w:val="60"/>
    <w:rsid w:val="00FC693F"/>
    <w:pPr>
      <w:spacing w:after="0" w:line="240" w:lineRule="auto"/>
    </w:pPr>
    <w:rPr>
      <w:color w:val="943634" w:themeColor="accent2" w:themeShade="0000BF"/>
    </w:rPr>
    <w:tblPr>
      <w:tblStyleRowBandSize w:val="1"/>
      <w:tblStyleColBandSize w:val="1"/>
      <w:tblBorders>
        <w:top w:color="c0504d" w:space="0" w:sz="8" w:themeColor="accent2" w:val="single"/>
        <w:bottom w:color="c0504d" w:space="0" w:sz="8" w:themeColor="accent2" w:val="single"/>
      </w:tblBorders>
    </w:tblPr>
    <w:tblStylePr w:type="fir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la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left w:space="0" w:sz="0" w:val="nil"/>
          <w:right w:space="0" w:sz="0" w:val="nil"/>
          <w:insideH w:space="0" w:sz="0" w:val="nil"/>
          <w:insideV w:space="0" w:sz="0" w:val="nil"/>
        </w:tcBorders>
        <w:shd w:color="auto" w:fill="efd3d2" w:themeFill="accent2" w:themeFillTint="00003F" w:val="clear"/>
      </w:tcPr>
    </w:tblStylePr>
  </w:style>
  <w:style w:type="table" w:styleId="LightShading-Accent3">
    <w:name w:val="Light Shading Accent 3"/>
    <w:basedOn w:val="TableNormal"/>
    <w:uiPriority w:val="60"/>
    <w:rsid w:val="00FC693F"/>
    <w:pPr>
      <w:spacing w:after="0" w:line="240" w:lineRule="auto"/>
    </w:pPr>
    <w:rPr>
      <w:color w:val="76923c" w:themeColor="accent3" w:themeShade="0000BF"/>
    </w:rPr>
    <w:tblPr>
      <w:tblStyleRowBandSize w:val="1"/>
      <w:tblStyleColBandSize w:val="1"/>
      <w:tblBorders>
        <w:top w:color="9bbb59" w:space="0" w:sz="8" w:themeColor="accent3" w:val="single"/>
        <w:bottom w:color="9bbb59" w:space="0" w:sz="8" w:themeColor="accent3" w:val="single"/>
      </w:tblBorders>
    </w:tblPr>
    <w:tblStylePr w:type="fir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la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left w:space="0" w:sz="0" w:val="nil"/>
          <w:right w:space="0" w:sz="0" w:val="nil"/>
          <w:insideH w:space="0" w:sz="0" w:val="nil"/>
          <w:insideV w:space="0" w:sz="0" w:val="nil"/>
        </w:tcBorders>
        <w:shd w:color="auto" w:fill="e6eed5" w:themeFill="accent3" w:themeFillTint="00003F" w:val="clear"/>
      </w:tcPr>
    </w:tblStylePr>
  </w:style>
  <w:style w:type="table" w:styleId="LightShading-Accent4">
    <w:name w:val="Light Shading Accent 4"/>
    <w:basedOn w:val="TableNormal"/>
    <w:uiPriority w:val="60"/>
    <w:rsid w:val="00FC693F"/>
    <w:pPr>
      <w:spacing w:after="0" w:line="240" w:lineRule="auto"/>
    </w:pPr>
    <w:rPr>
      <w:color w:val="5f497a" w:themeColor="accent4" w:themeShade="0000BF"/>
    </w:rPr>
    <w:tblPr>
      <w:tblStyleRowBandSize w:val="1"/>
      <w:tblStyleColBandSize w:val="1"/>
      <w:tblBorders>
        <w:top w:color="8064a2" w:space="0" w:sz="8" w:themeColor="accent4" w:val="single"/>
        <w:bottom w:color="8064a2" w:space="0" w:sz="8" w:themeColor="accent4" w:val="single"/>
      </w:tblBorders>
    </w:tblPr>
    <w:tblStylePr w:type="fir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la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left w:space="0" w:sz="0" w:val="nil"/>
          <w:right w:space="0" w:sz="0" w:val="nil"/>
          <w:insideH w:space="0" w:sz="0" w:val="nil"/>
          <w:insideV w:space="0" w:sz="0" w:val="nil"/>
        </w:tcBorders>
        <w:shd w:color="auto" w:fill="dfd8e8" w:themeFill="accent4" w:themeFillTint="00003F" w:val="clear"/>
      </w:tcPr>
    </w:tblStylePr>
  </w:style>
  <w:style w:type="table" w:styleId="LightShading-Accent5">
    <w:name w:val="Light Shading Accent 5"/>
    <w:basedOn w:val="TableNormal"/>
    <w:uiPriority w:val="60"/>
    <w:rsid w:val="00FC693F"/>
    <w:pPr>
      <w:spacing w:after="0" w:line="240" w:lineRule="auto"/>
    </w:pPr>
    <w:rPr>
      <w:color w:val="31849b" w:themeColor="accent5" w:themeShade="0000BF"/>
    </w:rPr>
    <w:tblPr>
      <w:tblStyleRowBandSize w:val="1"/>
      <w:tblStyleColBandSize w:val="1"/>
      <w:tblBorders>
        <w:top w:color="4bacc6" w:space="0" w:sz="8" w:themeColor="accent5" w:val="single"/>
        <w:bottom w:color="4bacc6" w:space="0" w:sz="8" w:themeColor="accent5" w:val="single"/>
      </w:tblBorders>
    </w:tblPr>
    <w:tblStylePr w:type="fir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la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left w:space="0" w:sz="0" w:val="nil"/>
          <w:right w:space="0" w:sz="0" w:val="nil"/>
          <w:insideH w:space="0" w:sz="0" w:val="nil"/>
          <w:insideV w:space="0" w:sz="0" w:val="nil"/>
        </w:tcBorders>
        <w:shd w:color="auto" w:fill="d2eaf1" w:themeFill="accent5" w:themeFillTint="00003F" w:val="clear"/>
      </w:tcPr>
    </w:tblStylePr>
  </w:style>
  <w:style w:type="table" w:styleId="LightShading-Accent6">
    <w:name w:val="Light Shading Accent 6"/>
    <w:basedOn w:val="TableNormal"/>
    <w:uiPriority w:val="60"/>
    <w:rsid w:val="00FC693F"/>
    <w:pPr>
      <w:spacing w:after="0" w:line="240" w:lineRule="auto"/>
    </w:pPr>
    <w:rPr>
      <w:color w:val="e36c0a" w:themeColor="accent6" w:themeShade="0000BF"/>
    </w:rPr>
    <w:tblPr>
      <w:tblStyleRowBandSize w:val="1"/>
      <w:tblStyleColBandSize w:val="1"/>
      <w:tblBorders>
        <w:top w:color="f79646" w:space="0" w:sz="8" w:themeColor="accent6" w:val="single"/>
        <w:bottom w:color="f79646" w:space="0" w:sz="8" w:themeColor="accent6" w:val="single"/>
      </w:tblBorders>
    </w:tblPr>
    <w:tblStylePr w:type="fir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la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left w:space="0" w:sz="0" w:val="nil"/>
          <w:right w:space="0" w:sz="0" w:val="nil"/>
          <w:insideH w:space="0" w:sz="0" w:val="nil"/>
          <w:insideV w:space="0" w:sz="0" w:val="nil"/>
        </w:tcBorders>
        <w:shd w:color="auto" w:fill="fde4d0" w:themeFill="accent6" w:themeFillTint="00003F" w:val="clear"/>
      </w:tcPr>
    </w:tblStylePr>
  </w:style>
  <w:style w:type="table" w:styleId="LightList">
    <w:name w:val="Light List"/>
    <w:basedOn w:val="TableNormal"/>
    <w:uiPriority w:val="61"/>
    <w:rsid w:val="00FC693F"/>
    <w:pPr>
      <w:spacing w:after="0" w:line="240" w:lineRule="auto"/>
    </w:pPr>
    <w:tblPr>
      <w:tblStyleRowBandSize w:val="1"/>
      <w:tblStyleColBandSize w:val="1"/>
      <w:tblBorders>
        <w:top w:color="000000" w:space="0" w:sz="8" w:themeColor="text1" w:val="single"/>
        <w:left w:color="000000" w:space="0" w:sz="8" w:themeColor="text1" w:val="single"/>
        <w:bottom w:color="000000" w:space="0" w:sz="8" w:themeColor="text1" w:val="single"/>
        <w:right w:color="000000" w:space="0" w:sz="8" w:themeColor="text1" w:val="single"/>
      </w:tblBorders>
    </w:tblPr>
    <w:tblStylePr w:type="firstRow">
      <w:pPr>
        <w:spacing w:after="0" w:before="0" w:line="240" w:lineRule="auto"/>
      </w:pPr>
      <w:rPr>
        <w:b w:val="1"/>
        <w:bCs w:val="1"/>
        <w:color w:val="ffffff" w:themeColor="background1"/>
      </w:rPr>
      <w:tblPr/>
      <w:tcPr>
        <w:shd w:color="auto" w:fill="000000" w:themeFill="text1" w:val="clear"/>
      </w:tcPr>
    </w:tblStylePr>
    <w:tblStylePr w:type="lastRow">
      <w:pPr>
        <w:spacing w:after="0" w:before="0" w:line="240" w:lineRule="auto"/>
      </w:pPr>
      <w:rPr>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tcBorders>
      </w:tcPr>
    </w:tblStylePr>
    <w:tblStylePr w:type="firstCol">
      <w:rPr>
        <w:b w:val="1"/>
        <w:bCs w:val="1"/>
      </w:rPr>
    </w:tblStylePr>
    <w:tblStylePr w:type="lastCol">
      <w:rPr>
        <w:b w:val="1"/>
        <w:bCs w:val="1"/>
      </w:r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color="4f81bd" w:space="0" w:sz="8" w:themeColor="accent1" w:val="single"/>
        <w:left w:color="4f81bd" w:space="0" w:sz="8" w:themeColor="accent1" w:val="single"/>
        <w:bottom w:color="4f81bd" w:space="0" w:sz="8" w:themeColor="accent1" w:val="single"/>
        <w:right w:color="4f81bd" w:space="0" w:sz="8" w:themeColor="accent1" w:val="single"/>
      </w:tblBorders>
    </w:tblPr>
    <w:tblStylePr w:type="firstRow">
      <w:pPr>
        <w:spacing w:after="0" w:before="0" w:line="240" w:lineRule="auto"/>
      </w:pPr>
      <w:rPr>
        <w:b w:val="1"/>
        <w:bCs w:val="1"/>
        <w:color w:val="ffffff" w:themeColor="background1"/>
      </w:rPr>
      <w:tblPr/>
      <w:tcPr>
        <w:shd w:color="auto" w:fill="4f81bd" w:themeFill="accent1" w:val="clear"/>
      </w:tcPr>
    </w:tblStylePr>
    <w:tblStylePr w:type="lastRow">
      <w:pPr>
        <w:spacing w:after="0" w:before="0" w:line="240" w:lineRule="auto"/>
      </w:pPr>
      <w:rPr>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tcBorders>
      </w:tcPr>
    </w:tblStylePr>
    <w:tblStylePr w:type="firstCol">
      <w:rPr>
        <w:b w:val="1"/>
        <w:bCs w:val="1"/>
      </w:rPr>
    </w:tblStylePr>
    <w:tblStylePr w:type="lastCol">
      <w:rPr>
        <w:b w:val="1"/>
        <w:bCs w:val="1"/>
      </w:r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color="c0504d" w:space="0" w:sz="8" w:themeColor="accent2" w:val="single"/>
        <w:left w:color="c0504d" w:space="0" w:sz="8" w:themeColor="accent2" w:val="single"/>
        <w:bottom w:color="c0504d" w:space="0" w:sz="8" w:themeColor="accent2" w:val="single"/>
        <w:right w:color="c0504d" w:space="0" w:sz="8" w:themeColor="accent2" w:val="single"/>
      </w:tblBorders>
    </w:tblPr>
    <w:tblStylePr w:type="firstRow">
      <w:pPr>
        <w:spacing w:after="0" w:before="0" w:line="240" w:lineRule="auto"/>
      </w:pPr>
      <w:rPr>
        <w:b w:val="1"/>
        <w:bCs w:val="1"/>
        <w:color w:val="ffffff" w:themeColor="background1"/>
      </w:rPr>
      <w:tblPr/>
      <w:tcPr>
        <w:shd w:color="auto" w:fill="c0504d" w:themeFill="accent2" w:val="clear"/>
      </w:tcPr>
    </w:tblStylePr>
    <w:tblStylePr w:type="lastRow">
      <w:pPr>
        <w:spacing w:after="0" w:before="0" w:line="240" w:lineRule="auto"/>
      </w:pPr>
      <w:rPr>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tcBorders>
      </w:tcPr>
    </w:tblStylePr>
    <w:tblStylePr w:type="firstCol">
      <w:rPr>
        <w:b w:val="1"/>
        <w:bCs w:val="1"/>
      </w:rPr>
    </w:tblStylePr>
    <w:tblStylePr w:type="lastCol">
      <w:rPr>
        <w:b w:val="1"/>
        <w:bCs w:val="1"/>
      </w:r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color="9bbb59" w:space="0" w:sz="8" w:themeColor="accent3" w:val="single"/>
        <w:left w:color="9bbb59" w:space="0" w:sz="8" w:themeColor="accent3" w:val="single"/>
        <w:bottom w:color="9bbb59" w:space="0" w:sz="8" w:themeColor="accent3" w:val="single"/>
        <w:right w:color="9bbb59" w:space="0" w:sz="8" w:themeColor="accent3" w:val="single"/>
      </w:tblBorders>
    </w:tblPr>
    <w:tblStylePr w:type="firstRow">
      <w:pPr>
        <w:spacing w:after="0" w:before="0" w:line="240" w:lineRule="auto"/>
      </w:pPr>
      <w:rPr>
        <w:b w:val="1"/>
        <w:bCs w:val="1"/>
        <w:color w:val="ffffff" w:themeColor="background1"/>
      </w:rPr>
      <w:tblPr/>
      <w:tcPr>
        <w:shd w:color="auto" w:fill="9bbb59" w:themeFill="accent3" w:val="clear"/>
      </w:tcPr>
    </w:tblStylePr>
    <w:tblStylePr w:type="lastRow">
      <w:pPr>
        <w:spacing w:after="0" w:before="0" w:line="240" w:lineRule="auto"/>
      </w:pPr>
      <w:rPr>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tcBorders>
      </w:tcPr>
    </w:tblStylePr>
    <w:tblStylePr w:type="firstCol">
      <w:rPr>
        <w:b w:val="1"/>
        <w:bCs w:val="1"/>
      </w:rPr>
    </w:tblStylePr>
    <w:tblStylePr w:type="lastCol">
      <w:rPr>
        <w:b w:val="1"/>
        <w:bCs w:val="1"/>
      </w:r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color="8064a2" w:space="0" w:sz="8" w:themeColor="accent4" w:val="single"/>
        <w:left w:color="8064a2" w:space="0" w:sz="8" w:themeColor="accent4" w:val="single"/>
        <w:bottom w:color="8064a2" w:space="0" w:sz="8" w:themeColor="accent4" w:val="single"/>
        <w:right w:color="8064a2" w:space="0" w:sz="8" w:themeColor="accent4" w:val="single"/>
      </w:tblBorders>
    </w:tblPr>
    <w:tblStylePr w:type="firstRow">
      <w:pPr>
        <w:spacing w:after="0" w:before="0" w:line="240" w:lineRule="auto"/>
      </w:pPr>
      <w:rPr>
        <w:b w:val="1"/>
        <w:bCs w:val="1"/>
        <w:color w:val="ffffff" w:themeColor="background1"/>
      </w:rPr>
      <w:tblPr/>
      <w:tcPr>
        <w:shd w:color="auto" w:fill="8064a2" w:themeFill="accent4" w:val="clear"/>
      </w:tcPr>
    </w:tblStylePr>
    <w:tblStylePr w:type="lastRow">
      <w:pPr>
        <w:spacing w:after="0" w:before="0" w:line="240" w:lineRule="auto"/>
      </w:pPr>
      <w:rPr>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tcBorders>
      </w:tcPr>
    </w:tblStylePr>
    <w:tblStylePr w:type="firstCol">
      <w:rPr>
        <w:b w:val="1"/>
        <w:bCs w:val="1"/>
      </w:rPr>
    </w:tblStylePr>
    <w:tblStylePr w:type="lastCol">
      <w:rPr>
        <w:b w:val="1"/>
        <w:bCs w:val="1"/>
      </w:r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color="4bacc6" w:space="0" w:sz="8" w:themeColor="accent5" w:val="single"/>
        <w:left w:color="4bacc6" w:space="0" w:sz="8" w:themeColor="accent5" w:val="single"/>
        <w:bottom w:color="4bacc6" w:space="0" w:sz="8" w:themeColor="accent5" w:val="single"/>
        <w:right w:color="4bacc6" w:space="0" w:sz="8" w:themeColor="accent5" w:val="single"/>
      </w:tblBorders>
    </w:tblPr>
    <w:tblStylePr w:type="firstRow">
      <w:pPr>
        <w:spacing w:after="0" w:before="0" w:line="240" w:lineRule="auto"/>
      </w:pPr>
      <w:rPr>
        <w:b w:val="1"/>
        <w:bCs w:val="1"/>
        <w:color w:val="ffffff" w:themeColor="background1"/>
      </w:rPr>
      <w:tblPr/>
      <w:tcPr>
        <w:shd w:color="auto" w:fill="4bacc6" w:themeFill="accent5" w:val="clear"/>
      </w:tcPr>
    </w:tblStylePr>
    <w:tblStylePr w:type="lastRow">
      <w:pPr>
        <w:spacing w:after="0" w:before="0" w:line="240" w:lineRule="auto"/>
      </w:pPr>
      <w:rPr>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tcBorders>
      </w:tcPr>
    </w:tblStylePr>
    <w:tblStylePr w:type="firstCol">
      <w:rPr>
        <w:b w:val="1"/>
        <w:bCs w:val="1"/>
      </w:rPr>
    </w:tblStylePr>
    <w:tblStylePr w:type="lastCol">
      <w:rPr>
        <w:b w:val="1"/>
        <w:bCs w:val="1"/>
      </w:r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color="f79646" w:space="0" w:sz="8" w:themeColor="accent6" w:val="single"/>
        <w:left w:color="f79646" w:space="0" w:sz="8" w:themeColor="accent6" w:val="single"/>
        <w:bottom w:color="f79646" w:space="0" w:sz="8" w:themeColor="accent6" w:val="single"/>
        <w:right w:color="f79646" w:space="0" w:sz="8" w:themeColor="accent6" w:val="single"/>
      </w:tblBorders>
    </w:tblPr>
    <w:tblStylePr w:type="firstRow">
      <w:pPr>
        <w:spacing w:after="0" w:before="0" w:line="240" w:lineRule="auto"/>
      </w:pPr>
      <w:rPr>
        <w:b w:val="1"/>
        <w:bCs w:val="1"/>
        <w:color w:val="ffffff" w:themeColor="background1"/>
      </w:rPr>
      <w:tblPr/>
      <w:tcPr>
        <w:shd w:color="auto" w:fill="f79646" w:themeFill="accent6" w:val="clear"/>
      </w:tcPr>
    </w:tblStylePr>
    <w:tblStylePr w:type="lastRow">
      <w:pPr>
        <w:spacing w:after="0" w:before="0" w:line="240" w:lineRule="auto"/>
      </w:pPr>
      <w:rPr>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tcBorders>
      </w:tcPr>
    </w:tblStylePr>
    <w:tblStylePr w:type="firstCol">
      <w:rPr>
        <w:b w:val="1"/>
        <w:bCs w:val="1"/>
      </w:rPr>
    </w:tblStylePr>
    <w:tblStylePr w:type="lastCol">
      <w:rPr>
        <w:b w:val="1"/>
        <w:bCs w:val="1"/>
      </w:r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Pr>
    <w:tblStylePr w:type="firstRow">
      <w:pPr>
        <w:spacing w:after="0" w:before="0" w:line="240" w:lineRule="auto"/>
      </w:pPr>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18" w:themeColor="text1" w:val="single"/>
          <w:right w:color="000000" w:space="0" w:sz="8" w:themeColor="text1" w:val="single"/>
          <w:insideH w:space="0" w:sz="0" w:val="nil"/>
          <w:insideV w:color="000000" w:space="0" w:sz="8" w:themeColor="tex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insideH w:space="0" w:sz="0" w:val="nil"/>
          <w:insideV w:color="000000" w:space="0" w:sz="8" w:themeColor="tex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shd w:color="auto" w:fill="c0c0c0" w:themeFill="text1" w:themeFillTint="00003F" w:val="clear"/>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shd w:color="auto" w:fill="c0c0c0" w:themeFill="text1" w:themeFillTint="00003F" w:val="clear"/>
      </w:tcPr>
    </w:tblStylePr>
    <w:tblStylePr w:type="band2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Pr>
    <w:tblStylePr w:type="firstRow">
      <w:pPr>
        <w:spacing w:after="0" w:before="0" w:line="240" w:lineRule="auto"/>
      </w:pPr>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18" w:themeColor="accent1" w:val="single"/>
          <w:right w:color="4f81bd" w:space="0" w:sz="8" w:themeColor="accent1" w:val="single"/>
          <w:insideH w:space="0" w:sz="0" w:val="nil"/>
          <w:insideV w:color="4f81bd" w:space="0" w:sz="8" w:themeColor="accen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insideH w:space="0" w:sz="0" w:val="nil"/>
          <w:insideV w:color="4f81bd" w:space="0" w:sz="8" w:themeColor="accen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shd w:color="auto" w:fill="d3dfee" w:themeFill="accent1" w:themeFillTint="00003F" w:val="clear"/>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shd w:color="auto" w:fill="d3dfee" w:themeFill="accent1" w:themeFillTint="00003F" w:val="clear"/>
      </w:tcPr>
    </w:tblStylePr>
    <w:tblStylePr w:type="band2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Pr>
    <w:tblStylePr w:type="firstRow">
      <w:pPr>
        <w:spacing w:after="0" w:before="0" w:line="240" w:lineRule="auto"/>
      </w:pPr>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18" w:themeColor="accent2" w:val="single"/>
          <w:right w:color="c0504d" w:space="0" w:sz="8" w:themeColor="accent2" w:val="single"/>
          <w:insideH w:space="0" w:sz="0" w:val="nil"/>
          <w:insideV w:color="c0504d" w:space="0" w:sz="8" w:themeColor="accent2"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insideH w:space="0" w:sz="0" w:val="nil"/>
          <w:insideV w:color="c0504d" w:space="0" w:sz="8" w:themeColor="accent2"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shd w:color="auto" w:fill="efd3d2" w:themeFill="accent2" w:themeFillTint="00003F" w:val="clear"/>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shd w:color="auto" w:fill="efd3d2" w:themeFill="accent2" w:themeFillTint="00003F" w:val="clear"/>
      </w:tcPr>
    </w:tblStylePr>
    <w:tblStylePr w:type="band2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Pr>
    <w:tblStylePr w:type="firstRow">
      <w:pPr>
        <w:spacing w:after="0" w:before="0" w:line="240" w:lineRule="auto"/>
      </w:pPr>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18" w:themeColor="accent3" w:val="single"/>
          <w:right w:color="9bbb59" w:space="0" w:sz="8" w:themeColor="accent3" w:val="single"/>
          <w:insideH w:space="0" w:sz="0" w:val="nil"/>
          <w:insideV w:color="9bbb59" w:space="0" w:sz="8" w:themeColor="accent3"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insideH w:space="0" w:sz="0" w:val="nil"/>
          <w:insideV w:color="9bbb59" w:space="0" w:sz="8" w:themeColor="accent3"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shd w:color="auto" w:fill="e6eed5" w:themeFill="accent3" w:themeFillTint="00003F" w:val="clear"/>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shd w:color="auto" w:fill="e6eed5" w:themeFill="accent3" w:themeFillTint="00003F" w:val="clear"/>
      </w:tcPr>
    </w:tblStylePr>
    <w:tblStylePr w:type="band2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Pr>
    <w:tblStylePr w:type="firstRow">
      <w:pPr>
        <w:spacing w:after="0" w:before="0" w:line="240" w:lineRule="auto"/>
      </w:pPr>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18" w:themeColor="accent4" w:val="single"/>
          <w:right w:color="8064a2" w:space="0" w:sz="8" w:themeColor="accent4" w:val="single"/>
          <w:insideH w:space="0" w:sz="0" w:val="nil"/>
          <w:insideV w:color="8064a2" w:space="0" w:sz="8" w:themeColor="accent4"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insideH w:space="0" w:sz="0" w:val="nil"/>
          <w:insideV w:color="8064a2" w:space="0" w:sz="8" w:themeColor="accent4"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shd w:color="auto" w:fill="dfd8e8" w:themeFill="accent4" w:themeFillTint="00003F" w:val="clear"/>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shd w:color="auto" w:fill="dfd8e8" w:themeFill="accent4" w:themeFillTint="00003F" w:val="clear"/>
      </w:tcPr>
    </w:tblStylePr>
    <w:tblStylePr w:type="band2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Pr>
    <w:tblStylePr w:type="firstRow">
      <w:pPr>
        <w:spacing w:after="0" w:before="0" w:line="240" w:lineRule="auto"/>
      </w:pPr>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18" w:themeColor="accent5" w:val="single"/>
          <w:right w:color="4bacc6" w:space="0" w:sz="8" w:themeColor="accent5" w:val="single"/>
          <w:insideH w:space="0" w:sz="0" w:val="nil"/>
          <w:insideV w:color="4bacc6" w:space="0" w:sz="8" w:themeColor="accent5"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insideH w:space="0" w:sz="0" w:val="nil"/>
          <w:insideV w:color="4bacc6" w:space="0" w:sz="8" w:themeColor="accent5"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shd w:color="auto" w:fill="d2eaf1" w:themeFill="accent5" w:themeFillTint="00003F" w:val="clear"/>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shd w:color="auto" w:fill="d2eaf1" w:themeFill="accent5" w:themeFillTint="00003F" w:val="clear"/>
      </w:tcPr>
    </w:tblStylePr>
    <w:tblStylePr w:type="band2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Pr>
    <w:tblStylePr w:type="firstRow">
      <w:pPr>
        <w:spacing w:after="0" w:before="0" w:line="240" w:lineRule="auto"/>
      </w:pPr>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18" w:themeColor="accent6" w:val="single"/>
          <w:right w:color="f79646" w:space="0" w:sz="8" w:themeColor="accent6" w:val="single"/>
          <w:insideH w:space="0" w:sz="0" w:val="nil"/>
          <w:insideV w:color="f79646" w:space="0" w:sz="8" w:themeColor="accent6"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insideH w:space="0" w:sz="0" w:val="nil"/>
          <w:insideV w:color="f79646" w:space="0" w:sz="8" w:themeColor="accent6"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shd w:color="auto" w:fill="fde4d0" w:themeFill="accent6" w:themeFillTint="00003F" w:val="clear"/>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shd w:color="auto" w:fill="fde4d0" w:themeFill="accent6" w:themeFillTint="00003F" w:val="clear"/>
      </w:tcPr>
    </w:tblStylePr>
    <w:tblStylePr w:type="band2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tblBorders>
    </w:tblPr>
    <w:tblStylePr w:type="firstRow">
      <w:pPr>
        <w:spacing w:after="0" w:before="0" w:line="240" w:lineRule="auto"/>
      </w:pPr>
      <w:rPr>
        <w:b w:val="1"/>
        <w:bCs w:val="1"/>
        <w:color w:val="ffffff" w:themeColor="background1"/>
      </w:rPr>
      <w:tblPr/>
      <w:tcPr>
        <w:tc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shd w:color="auto" w:fill="000000" w:themeFill="text1" w:val="clear"/>
      </w:tcPr>
    </w:tblStylePr>
    <w:tblStylePr w:type="lastRow">
      <w:pPr>
        <w:spacing w:after="0" w:before="0" w:line="240" w:lineRule="auto"/>
      </w:pPr>
      <w:rPr>
        <w:b w:val="1"/>
        <w:bCs w:val="1"/>
      </w:rPr>
      <w:tblPr/>
      <w:tcPr>
        <w:tcBorders>
          <w:top w:color="404040" w:space="0" w:sz="6" w:themeColor="text1" w:themeTint="0000BF" w:val="doub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c0c0c0" w:themeFill="text1" w:themeFillTint="00003F" w:val="clear"/>
      </w:tcPr>
    </w:tblStylePr>
    <w:tblStylePr w:type="band1Horz">
      <w:tblPr/>
      <w:tcPr>
        <w:tcBorders>
          <w:insideH w:space="0" w:sz="0" w:val="nil"/>
          <w:insideV w:space="0" w:sz="0" w:val="nil"/>
        </w:tcBorders>
        <w:shd w:color="auto" w:fill="c0c0c0" w:themeFill="text1" w:themeFillTint="00003F" w:val="clear"/>
      </w:tcPr>
    </w:tblStylePr>
    <w:tblStylePr w:type="band2Horz">
      <w:tblPr/>
      <w:tcPr>
        <w:tcBorders>
          <w:insideH w:space="0" w:sz="0" w:val="nil"/>
          <w:insideV w:space="0" w:sz="0"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tblBorders>
    </w:tblPr>
    <w:tblStylePr w:type="firstRow">
      <w:pPr>
        <w:spacing w:after="0" w:before="0" w:line="240" w:lineRule="auto"/>
      </w:pPr>
      <w:rPr>
        <w:b w:val="1"/>
        <w:bCs w:val="1"/>
        <w:color w:val="ffffff" w:themeColor="background1"/>
      </w:rPr>
      <w:tblPr/>
      <w:tcPr>
        <w:tc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shd w:color="auto" w:fill="4f81bd" w:themeFill="accent1" w:val="clear"/>
      </w:tcPr>
    </w:tblStylePr>
    <w:tblStylePr w:type="lastRow">
      <w:pPr>
        <w:spacing w:after="0" w:before="0" w:line="240" w:lineRule="auto"/>
      </w:pPr>
      <w:rPr>
        <w:b w:val="1"/>
        <w:bCs w:val="1"/>
      </w:rPr>
      <w:tblPr/>
      <w:tcPr>
        <w:tcBorders>
          <w:top w:color="7ba0cd" w:space="0" w:sz="6" w:themeColor="accent1" w:themeTint="0000BF" w:val="doub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3dfee" w:themeFill="accent1" w:themeFillTint="00003F" w:val="clear"/>
      </w:tcPr>
    </w:tblStylePr>
    <w:tblStylePr w:type="band1Horz">
      <w:tblPr/>
      <w:tcPr>
        <w:tcBorders>
          <w:insideH w:space="0" w:sz="0" w:val="nil"/>
          <w:insideV w:space="0" w:sz="0" w:val="nil"/>
        </w:tcBorders>
        <w:shd w:color="auto" w:fill="d3dfee" w:themeFill="accent1" w:themeFillTint="00003F" w:val="clear"/>
      </w:tcPr>
    </w:tblStylePr>
    <w:tblStylePr w:type="band2Horz">
      <w:tblPr/>
      <w:tcPr>
        <w:tcBorders>
          <w:insideH w:space="0" w:sz="0" w:val="nil"/>
          <w:insideV w:space="0" w:sz="0"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tblBorders>
    </w:tblPr>
    <w:tblStylePr w:type="firstRow">
      <w:pPr>
        <w:spacing w:after="0" w:before="0" w:line="240" w:lineRule="auto"/>
      </w:pPr>
      <w:rPr>
        <w:b w:val="1"/>
        <w:bCs w:val="1"/>
        <w:color w:val="ffffff" w:themeColor="background1"/>
      </w:rPr>
      <w:tblPr/>
      <w:tcPr>
        <w:tc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shd w:color="auto" w:fill="c0504d" w:themeFill="accent2" w:val="clear"/>
      </w:tcPr>
    </w:tblStylePr>
    <w:tblStylePr w:type="lastRow">
      <w:pPr>
        <w:spacing w:after="0" w:before="0" w:line="240" w:lineRule="auto"/>
      </w:pPr>
      <w:rPr>
        <w:b w:val="1"/>
        <w:bCs w:val="1"/>
      </w:rPr>
      <w:tblPr/>
      <w:tcPr>
        <w:tcBorders>
          <w:top w:color="cf7b79" w:space="0" w:sz="6" w:themeColor="accent2" w:themeTint="0000BF" w:val="doub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fd3d2" w:themeFill="accent2" w:themeFillTint="00003F" w:val="clear"/>
      </w:tcPr>
    </w:tblStylePr>
    <w:tblStylePr w:type="band1Horz">
      <w:tblPr/>
      <w:tcPr>
        <w:tcBorders>
          <w:insideH w:space="0" w:sz="0" w:val="nil"/>
          <w:insideV w:space="0" w:sz="0" w:val="nil"/>
        </w:tcBorders>
        <w:shd w:color="auto" w:fill="efd3d2" w:themeFill="accent2" w:themeFillTint="00003F" w:val="clear"/>
      </w:tcPr>
    </w:tblStylePr>
    <w:tblStylePr w:type="band2Horz">
      <w:tblPr/>
      <w:tcPr>
        <w:tcBorders>
          <w:insideH w:space="0" w:sz="0" w:val="nil"/>
          <w:insideV w:space="0" w:sz="0"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tblBorders>
    </w:tblPr>
    <w:tblStylePr w:type="firstRow">
      <w:pPr>
        <w:spacing w:after="0" w:before="0" w:line="240" w:lineRule="auto"/>
      </w:pPr>
      <w:rPr>
        <w:b w:val="1"/>
        <w:bCs w:val="1"/>
        <w:color w:val="ffffff" w:themeColor="background1"/>
      </w:rPr>
      <w:tblPr/>
      <w:tcPr>
        <w:tc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shd w:color="auto" w:fill="9bbb59" w:themeFill="accent3" w:val="clear"/>
      </w:tcPr>
    </w:tblStylePr>
    <w:tblStylePr w:type="lastRow">
      <w:pPr>
        <w:spacing w:after="0" w:before="0" w:line="240" w:lineRule="auto"/>
      </w:pPr>
      <w:rPr>
        <w:b w:val="1"/>
        <w:bCs w:val="1"/>
      </w:rPr>
      <w:tblPr/>
      <w:tcPr>
        <w:tcBorders>
          <w:top w:color="b3cc82" w:space="0" w:sz="6" w:themeColor="accent3" w:themeTint="0000BF" w:val="doub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6eed5" w:themeFill="accent3" w:themeFillTint="00003F" w:val="clear"/>
      </w:tcPr>
    </w:tblStylePr>
    <w:tblStylePr w:type="band1Horz">
      <w:tblPr/>
      <w:tcPr>
        <w:tcBorders>
          <w:insideH w:space="0" w:sz="0" w:val="nil"/>
          <w:insideV w:space="0" w:sz="0" w:val="nil"/>
        </w:tcBorders>
        <w:shd w:color="auto" w:fill="e6eed5" w:themeFill="accent3" w:themeFillTint="00003F" w:val="clear"/>
      </w:tcPr>
    </w:tblStylePr>
    <w:tblStylePr w:type="band2Horz">
      <w:tblPr/>
      <w:tcPr>
        <w:tcBorders>
          <w:insideH w:space="0" w:sz="0" w:val="nil"/>
          <w:insideV w:space="0" w:sz="0"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tblBorders>
    </w:tblPr>
    <w:tblStylePr w:type="firstRow">
      <w:pPr>
        <w:spacing w:after="0" w:before="0" w:line="240" w:lineRule="auto"/>
      </w:pPr>
      <w:rPr>
        <w:b w:val="1"/>
        <w:bCs w:val="1"/>
        <w:color w:val="ffffff" w:themeColor="background1"/>
      </w:rPr>
      <w:tblPr/>
      <w:tcPr>
        <w:tc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shd w:color="auto" w:fill="8064a2" w:themeFill="accent4" w:val="clear"/>
      </w:tcPr>
    </w:tblStylePr>
    <w:tblStylePr w:type="lastRow">
      <w:pPr>
        <w:spacing w:after="0" w:before="0" w:line="240" w:lineRule="auto"/>
      </w:pPr>
      <w:rPr>
        <w:b w:val="1"/>
        <w:bCs w:val="1"/>
      </w:rPr>
      <w:tblPr/>
      <w:tcPr>
        <w:tcBorders>
          <w:top w:color="9f8ab9" w:space="0" w:sz="6" w:themeColor="accent4" w:themeTint="0000BF" w:val="doub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fd8e8" w:themeFill="accent4" w:themeFillTint="00003F" w:val="clear"/>
      </w:tcPr>
    </w:tblStylePr>
    <w:tblStylePr w:type="band1Horz">
      <w:tblPr/>
      <w:tcPr>
        <w:tcBorders>
          <w:insideH w:space="0" w:sz="0" w:val="nil"/>
          <w:insideV w:space="0" w:sz="0" w:val="nil"/>
        </w:tcBorders>
        <w:shd w:color="auto" w:fill="dfd8e8" w:themeFill="accent4" w:themeFillTint="00003F" w:val="clear"/>
      </w:tcPr>
    </w:tblStylePr>
    <w:tblStylePr w:type="band2Horz">
      <w:tblPr/>
      <w:tcPr>
        <w:tcBorders>
          <w:insideH w:space="0" w:sz="0" w:val="nil"/>
          <w:insideV w:space="0" w:sz="0"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tblBorders>
    </w:tblPr>
    <w:tblStylePr w:type="firstRow">
      <w:pPr>
        <w:spacing w:after="0" w:before="0" w:line="240" w:lineRule="auto"/>
      </w:pPr>
      <w:rPr>
        <w:b w:val="1"/>
        <w:bCs w:val="1"/>
        <w:color w:val="ffffff" w:themeColor="background1"/>
      </w:rPr>
      <w:tblPr/>
      <w:tcPr>
        <w:tc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shd w:color="auto" w:fill="4bacc6" w:themeFill="accent5" w:val="clear"/>
      </w:tcPr>
    </w:tblStylePr>
    <w:tblStylePr w:type="lastRow">
      <w:pPr>
        <w:spacing w:after="0" w:before="0" w:line="240" w:lineRule="auto"/>
      </w:pPr>
      <w:rPr>
        <w:b w:val="1"/>
        <w:bCs w:val="1"/>
      </w:rPr>
      <w:tblPr/>
      <w:tcPr>
        <w:tcBorders>
          <w:top w:color="78c0d4" w:space="0" w:sz="6" w:themeColor="accent5" w:themeTint="0000BF" w:val="doub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2eaf1" w:themeFill="accent5" w:themeFillTint="00003F" w:val="clear"/>
      </w:tcPr>
    </w:tblStylePr>
    <w:tblStylePr w:type="band1Horz">
      <w:tblPr/>
      <w:tcPr>
        <w:tcBorders>
          <w:insideH w:space="0" w:sz="0" w:val="nil"/>
          <w:insideV w:space="0" w:sz="0" w:val="nil"/>
        </w:tcBorders>
        <w:shd w:color="auto" w:fill="d2eaf1" w:themeFill="accent5" w:themeFillTint="00003F" w:val="clear"/>
      </w:tcPr>
    </w:tblStylePr>
    <w:tblStylePr w:type="band2Horz">
      <w:tblPr/>
      <w:tcPr>
        <w:tcBorders>
          <w:insideH w:space="0" w:sz="0" w:val="nil"/>
          <w:insideV w:space="0" w:sz="0"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tblBorders>
    </w:tblPr>
    <w:tblStylePr w:type="firstRow">
      <w:pPr>
        <w:spacing w:after="0" w:before="0" w:line="240" w:lineRule="auto"/>
      </w:pPr>
      <w:rPr>
        <w:b w:val="1"/>
        <w:bCs w:val="1"/>
        <w:color w:val="ffffff" w:themeColor="background1"/>
      </w:rPr>
      <w:tblPr/>
      <w:tcPr>
        <w:tc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shd w:color="auto" w:fill="f79646" w:themeFill="accent6" w:val="clear"/>
      </w:tcPr>
    </w:tblStylePr>
    <w:tblStylePr w:type="lastRow">
      <w:pPr>
        <w:spacing w:after="0" w:before="0" w:line="240" w:lineRule="auto"/>
      </w:pPr>
      <w:rPr>
        <w:b w:val="1"/>
        <w:bCs w:val="1"/>
      </w:rPr>
      <w:tblPr/>
      <w:tcPr>
        <w:tcBorders>
          <w:top w:color="f9b074" w:space="0" w:sz="6" w:themeColor="accent6" w:themeTint="0000BF" w:val="doub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fde4d0" w:themeFill="accent6" w:themeFillTint="00003F" w:val="clear"/>
      </w:tcPr>
    </w:tblStylePr>
    <w:tblStylePr w:type="band1Horz">
      <w:tblPr/>
      <w:tcPr>
        <w:tcBorders>
          <w:insideH w:space="0" w:sz="0" w:val="nil"/>
          <w:insideV w:space="0" w:sz="0" w:val="nil"/>
        </w:tcBorders>
        <w:shd w:color="auto" w:fill="fde4d0" w:themeFill="accent6" w:themeFillTint="00003F" w:val="clear"/>
      </w:tcPr>
    </w:tblStylePr>
    <w:tblStylePr w:type="band2Horz">
      <w:tblPr/>
      <w:tcPr>
        <w:tcBorders>
          <w:insideH w:space="0" w:sz="0" w:val="nil"/>
          <w:insideV w:space="0" w:sz="0"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000000" w:themeFill="tex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000000" w:themeFill="tex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000000" w:themeFill="tex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f81bd" w:themeFill="accen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f81bd" w:themeFill="accen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f81bd" w:themeFill="accen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c0504d" w:themeFill="accent2"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c0504d" w:themeFill="accent2"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c0504d" w:themeFill="accent2"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9bbb59" w:themeFill="accent3"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9bbb59" w:themeFill="accent3"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9bbb59" w:themeFill="accent3"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8064a2" w:themeFill="accent4"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8064a2" w:themeFill="accent4"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8064a2" w:themeFill="accent4"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bacc6" w:themeFill="accent5"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bacc6" w:themeFill="accent5"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bacc6" w:themeFill="accent5"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f79646" w:themeFill="accent6"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f79646" w:themeFill="accent6"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f79646" w:themeFill="accent6"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color="000000" w:space="0" w:sz="8" w:themeColor="text1" w:val="single"/>
        <w:bottom w:color="000000" w:space="0" w:sz="8" w:themeColor="text1" w:val="single"/>
      </w:tblBorders>
    </w:tblPr>
    <w:tblStylePr w:type="firstRow">
      <w:rPr>
        <w:rFonts w:asciiTheme="majorHAnsi" w:cstheme="majorBidi" w:eastAsiaTheme="majorEastAsia" w:hAnsiTheme="majorHAnsi"/>
      </w:rPr>
      <w:tblPr/>
      <w:tcPr>
        <w:tcBorders>
          <w:top w:space="0" w:sz="0" w:val="nil"/>
          <w:bottom w:color="000000" w:space="0" w:sz="8" w:themeColor="text1" w:val="single"/>
        </w:tcBorders>
      </w:tcPr>
    </w:tblStylePr>
    <w:tblStylePr w:type="lastRow">
      <w:rPr>
        <w:b w:val="1"/>
        <w:bCs w:val="1"/>
        <w:color w:val="1f497d" w:themeColor="text2"/>
      </w:rPr>
      <w:tblPr/>
      <w:tcPr>
        <w:tcBorders>
          <w:top w:color="000000" w:space="0" w:sz="8" w:themeColor="text1" w:val="single"/>
          <w:bottom w:color="000000" w:space="0" w:sz="8" w:themeColor="text1" w:val="single"/>
        </w:tcBorders>
      </w:tcPr>
    </w:tblStylePr>
    <w:tblStylePr w:type="firstCol">
      <w:rPr>
        <w:b w:val="1"/>
        <w:bCs w:val="1"/>
      </w:rPr>
    </w:tblStylePr>
    <w:tblStylePr w:type="lastCol">
      <w:rPr>
        <w:b w:val="1"/>
        <w:bCs w:val="1"/>
      </w:rPr>
      <w:tblPr/>
      <w:tcPr>
        <w:tcBorders>
          <w:top w:color="000000" w:space="0" w:sz="8" w:themeColor="text1" w:val="single"/>
          <w:bottom w:color="000000" w:space="0" w:sz="8" w:themeColor="text1" w:val="single"/>
        </w:tcBorders>
      </w:tcPr>
    </w:tblStylePr>
    <w:tblStylePr w:type="band1Vert">
      <w:tblPr/>
      <w:tcPr>
        <w:shd w:color="auto" w:fill="c0c0c0" w:themeFill="text1" w:themeFillTint="00003F" w:val="clear"/>
      </w:tcPr>
    </w:tblStylePr>
    <w:tblStylePr w:type="band1Horz">
      <w:tblPr/>
      <w:tcPr>
        <w:shd w:color="auto" w:fill="c0c0c0" w:themeFill="text1" w:themeFillTint="00003F" w:val="clear"/>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color="4f81bd" w:space="0" w:sz="8" w:themeColor="accent1" w:val="single"/>
        <w:bottom w:color="4f81bd" w:space="0" w:sz="8" w:themeColor="accent1" w:val="single"/>
      </w:tblBorders>
    </w:tblPr>
    <w:tblStylePr w:type="firstRow">
      <w:rPr>
        <w:rFonts w:asciiTheme="majorHAnsi" w:cstheme="majorBidi" w:eastAsiaTheme="majorEastAsia" w:hAnsiTheme="majorHAnsi"/>
      </w:rPr>
      <w:tblPr/>
      <w:tcPr>
        <w:tcBorders>
          <w:top w:space="0" w:sz="0" w:val="nil"/>
          <w:bottom w:color="4f81bd" w:space="0" w:sz="8" w:themeColor="accent1" w:val="single"/>
        </w:tcBorders>
      </w:tcPr>
    </w:tblStylePr>
    <w:tblStylePr w:type="lastRow">
      <w:rPr>
        <w:b w:val="1"/>
        <w:bCs w:val="1"/>
        <w:color w:val="1f497d" w:themeColor="text2"/>
      </w:rPr>
      <w:tblPr/>
      <w:tcPr>
        <w:tcBorders>
          <w:top w:color="4f81bd" w:space="0" w:sz="8" w:themeColor="accent1" w:val="single"/>
          <w:bottom w:color="4f81bd" w:space="0" w:sz="8" w:themeColor="accent1" w:val="single"/>
        </w:tcBorders>
      </w:tcPr>
    </w:tblStylePr>
    <w:tblStylePr w:type="firstCol">
      <w:rPr>
        <w:b w:val="1"/>
        <w:bCs w:val="1"/>
      </w:rPr>
    </w:tblStylePr>
    <w:tblStylePr w:type="lastCol">
      <w:rPr>
        <w:b w:val="1"/>
        <w:bCs w:val="1"/>
      </w:rPr>
      <w:tblPr/>
      <w:tcPr>
        <w:tcBorders>
          <w:top w:color="4f81bd" w:space="0" w:sz="8" w:themeColor="accent1" w:val="single"/>
          <w:bottom w:color="4f81bd" w:space="0" w:sz="8" w:themeColor="accent1" w:val="single"/>
        </w:tcBorders>
      </w:tcPr>
    </w:tblStylePr>
    <w:tblStylePr w:type="band1Vert">
      <w:tblPr/>
      <w:tcPr>
        <w:shd w:color="auto" w:fill="d3dfee" w:themeFill="accent1" w:themeFillTint="00003F" w:val="clear"/>
      </w:tcPr>
    </w:tblStylePr>
    <w:tblStylePr w:type="band1Horz">
      <w:tblPr/>
      <w:tcPr>
        <w:shd w:color="auto" w:fill="d3dfee" w:themeFill="accent1" w:themeFillTint="00003F" w:val="clear"/>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color="c0504d" w:space="0" w:sz="8" w:themeColor="accent2" w:val="single"/>
        <w:bottom w:color="c0504d" w:space="0" w:sz="8" w:themeColor="accent2" w:val="single"/>
      </w:tblBorders>
    </w:tblPr>
    <w:tblStylePr w:type="firstRow">
      <w:rPr>
        <w:rFonts w:asciiTheme="majorHAnsi" w:cstheme="majorBidi" w:eastAsiaTheme="majorEastAsia" w:hAnsiTheme="majorHAnsi"/>
      </w:rPr>
      <w:tblPr/>
      <w:tcPr>
        <w:tcBorders>
          <w:top w:space="0" w:sz="0" w:val="nil"/>
          <w:bottom w:color="c0504d" w:space="0" w:sz="8" w:themeColor="accent2" w:val="single"/>
        </w:tcBorders>
      </w:tcPr>
    </w:tblStylePr>
    <w:tblStylePr w:type="lastRow">
      <w:rPr>
        <w:b w:val="1"/>
        <w:bCs w:val="1"/>
        <w:color w:val="1f497d" w:themeColor="text2"/>
      </w:rPr>
      <w:tblPr/>
      <w:tcPr>
        <w:tcBorders>
          <w:top w:color="c0504d" w:space="0" w:sz="8" w:themeColor="accent2" w:val="single"/>
          <w:bottom w:color="c0504d" w:space="0" w:sz="8" w:themeColor="accent2" w:val="single"/>
        </w:tcBorders>
      </w:tcPr>
    </w:tblStylePr>
    <w:tblStylePr w:type="firstCol">
      <w:rPr>
        <w:b w:val="1"/>
        <w:bCs w:val="1"/>
      </w:rPr>
    </w:tblStylePr>
    <w:tblStylePr w:type="lastCol">
      <w:rPr>
        <w:b w:val="1"/>
        <w:bCs w:val="1"/>
      </w:rPr>
      <w:tblPr/>
      <w:tcPr>
        <w:tcBorders>
          <w:top w:color="c0504d" w:space="0" w:sz="8" w:themeColor="accent2" w:val="single"/>
          <w:bottom w:color="c0504d" w:space="0" w:sz="8" w:themeColor="accent2" w:val="single"/>
        </w:tcBorders>
      </w:tcPr>
    </w:tblStylePr>
    <w:tblStylePr w:type="band1Vert">
      <w:tblPr/>
      <w:tcPr>
        <w:shd w:color="auto" w:fill="efd3d2" w:themeFill="accent2" w:themeFillTint="00003F" w:val="clear"/>
      </w:tcPr>
    </w:tblStylePr>
    <w:tblStylePr w:type="band1Horz">
      <w:tblPr/>
      <w:tcPr>
        <w:shd w:color="auto" w:fill="efd3d2" w:themeFill="accent2" w:themeFillTint="00003F" w:val="clear"/>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color="9bbb59" w:space="0" w:sz="8" w:themeColor="accent3" w:val="single"/>
        <w:bottom w:color="9bbb59" w:space="0" w:sz="8" w:themeColor="accent3" w:val="single"/>
      </w:tblBorders>
    </w:tblPr>
    <w:tblStylePr w:type="firstRow">
      <w:rPr>
        <w:rFonts w:asciiTheme="majorHAnsi" w:cstheme="majorBidi" w:eastAsiaTheme="majorEastAsia" w:hAnsiTheme="majorHAnsi"/>
      </w:rPr>
      <w:tblPr/>
      <w:tcPr>
        <w:tcBorders>
          <w:top w:space="0" w:sz="0" w:val="nil"/>
          <w:bottom w:color="9bbb59" w:space="0" w:sz="8" w:themeColor="accent3" w:val="single"/>
        </w:tcBorders>
      </w:tcPr>
    </w:tblStylePr>
    <w:tblStylePr w:type="lastRow">
      <w:rPr>
        <w:b w:val="1"/>
        <w:bCs w:val="1"/>
        <w:color w:val="1f497d" w:themeColor="text2"/>
      </w:rPr>
      <w:tblPr/>
      <w:tcPr>
        <w:tcBorders>
          <w:top w:color="9bbb59" w:space="0" w:sz="8" w:themeColor="accent3" w:val="single"/>
          <w:bottom w:color="9bbb59" w:space="0" w:sz="8" w:themeColor="accent3" w:val="single"/>
        </w:tcBorders>
      </w:tcPr>
    </w:tblStylePr>
    <w:tblStylePr w:type="firstCol">
      <w:rPr>
        <w:b w:val="1"/>
        <w:bCs w:val="1"/>
      </w:rPr>
    </w:tblStylePr>
    <w:tblStylePr w:type="lastCol">
      <w:rPr>
        <w:b w:val="1"/>
        <w:bCs w:val="1"/>
      </w:rPr>
      <w:tblPr/>
      <w:tcPr>
        <w:tcBorders>
          <w:top w:color="9bbb59" w:space="0" w:sz="8" w:themeColor="accent3" w:val="single"/>
          <w:bottom w:color="9bbb59" w:space="0" w:sz="8" w:themeColor="accent3" w:val="single"/>
        </w:tcBorders>
      </w:tcPr>
    </w:tblStylePr>
    <w:tblStylePr w:type="band1Vert">
      <w:tblPr/>
      <w:tcPr>
        <w:shd w:color="auto" w:fill="e6eed5" w:themeFill="accent3" w:themeFillTint="00003F" w:val="clear"/>
      </w:tcPr>
    </w:tblStylePr>
    <w:tblStylePr w:type="band1Horz">
      <w:tblPr/>
      <w:tcPr>
        <w:shd w:color="auto" w:fill="e6eed5" w:themeFill="accent3" w:themeFillTint="00003F" w:val="clear"/>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color="8064a2" w:space="0" w:sz="8" w:themeColor="accent4" w:val="single"/>
        <w:bottom w:color="8064a2" w:space="0" w:sz="8" w:themeColor="accent4" w:val="single"/>
      </w:tblBorders>
    </w:tblPr>
    <w:tblStylePr w:type="firstRow">
      <w:rPr>
        <w:rFonts w:asciiTheme="majorHAnsi" w:cstheme="majorBidi" w:eastAsiaTheme="majorEastAsia" w:hAnsiTheme="majorHAnsi"/>
      </w:rPr>
      <w:tblPr/>
      <w:tcPr>
        <w:tcBorders>
          <w:top w:space="0" w:sz="0" w:val="nil"/>
          <w:bottom w:color="8064a2" w:space="0" w:sz="8" w:themeColor="accent4" w:val="single"/>
        </w:tcBorders>
      </w:tcPr>
    </w:tblStylePr>
    <w:tblStylePr w:type="lastRow">
      <w:rPr>
        <w:b w:val="1"/>
        <w:bCs w:val="1"/>
        <w:color w:val="1f497d" w:themeColor="text2"/>
      </w:rPr>
      <w:tblPr/>
      <w:tcPr>
        <w:tcBorders>
          <w:top w:color="8064a2" w:space="0" w:sz="8" w:themeColor="accent4" w:val="single"/>
          <w:bottom w:color="8064a2" w:space="0" w:sz="8" w:themeColor="accent4" w:val="single"/>
        </w:tcBorders>
      </w:tcPr>
    </w:tblStylePr>
    <w:tblStylePr w:type="firstCol">
      <w:rPr>
        <w:b w:val="1"/>
        <w:bCs w:val="1"/>
      </w:rPr>
    </w:tblStylePr>
    <w:tblStylePr w:type="lastCol">
      <w:rPr>
        <w:b w:val="1"/>
        <w:bCs w:val="1"/>
      </w:rPr>
      <w:tblPr/>
      <w:tcPr>
        <w:tcBorders>
          <w:top w:color="8064a2" w:space="0" w:sz="8" w:themeColor="accent4" w:val="single"/>
          <w:bottom w:color="8064a2" w:space="0" w:sz="8" w:themeColor="accent4" w:val="single"/>
        </w:tcBorders>
      </w:tcPr>
    </w:tblStylePr>
    <w:tblStylePr w:type="band1Vert">
      <w:tblPr/>
      <w:tcPr>
        <w:shd w:color="auto" w:fill="dfd8e8" w:themeFill="accent4" w:themeFillTint="00003F" w:val="clear"/>
      </w:tcPr>
    </w:tblStylePr>
    <w:tblStylePr w:type="band1Horz">
      <w:tblPr/>
      <w:tcPr>
        <w:shd w:color="auto" w:fill="dfd8e8" w:themeFill="accent4" w:themeFillTint="00003F" w:val="clear"/>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color="4bacc6" w:space="0" w:sz="8" w:themeColor="accent5" w:val="single"/>
        <w:bottom w:color="4bacc6" w:space="0" w:sz="8" w:themeColor="accent5" w:val="single"/>
      </w:tblBorders>
    </w:tblPr>
    <w:tblStylePr w:type="firstRow">
      <w:rPr>
        <w:rFonts w:asciiTheme="majorHAnsi" w:cstheme="majorBidi" w:eastAsiaTheme="majorEastAsia" w:hAnsiTheme="majorHAnsi"/>
      </w:rPr>
      <w:tblPr/>
      <w:tcPr>
        <w:tcBorders>
          <w:top w:space="0" w:sz="0" w:val="nil"/>
          <w:bottom w:color="4bacc6" w:space="0" w:sz="8" w:themeColor="accent5" w:val="single"/>
        </w:tcBorders>
      </w:tcPr>
    </w:tblStylePr>
    <w:tblStylePr w:type="lastRow">
      <w:rPr>
        <w:b w:val="1"/>
        <w:bCs w:val="1"/>
        <w:color w:val="1f497d" w:themeColor="text2"/>
      </w:rPr>
      <w:tblPr/>
      <w:tcPr>
        <w:tcBorders>
          <w:top w:color="4bacc6" w:space="0" w:sz="8" w:themeColor="accent5" w:val="single"/>
          <w:bottom w:color="4bacc6" w:space="0" w:sz="8" w:themeColor="accent5" w:val="single"/>
        </w:tcBorders>
      </w:tcPr>
    </w:tblStylePr>
    <w:tblStylePr w:type="firstCol">
      <w:rPr>
        <w:b w:val="1"/>
        <w:bCs w:val="1"/>
      </w:rPr>
    </w:tblStylePr>
    <w:tblStylePr w:type="lastCol">
      <w:rPr>
        <w:b w:val="1"/>
        <w:bCs w:val="1"/>
      </w:rPr>
      <w:tblPr/>
      <w:tcPr>
        <w:tcBorders>
          <w:top w:color="4bacc6" w:space="0" w:sz="8" w:themeColor="accent5" w:val="single"/>
          <w:bottom w:color="4bacc6" w:space="0" w:sz="8" w:themeColor="accent5" w:val="single"/>
        </w:tcBorders>
      </w:tcPr>
    </w:tblStylePr>
    <w:tblStylePr w:type="band1Vert">
      <w:tblPr/>
      <w:tcPr>
        <w:shd w:color="auto" w:fill="d2eaf1" w:themeFill="accent5" w:themeFillTint="00003F" w:val="clear"/>
      </w:tcPr>
    </w:tblStylePr>
    <w:tblStylePr w:type="band1Horz">
      <w:tblPr/>
      <w:tcPr>
        <w:shd w:color="auto" w:fill="d2eaf1" w:themeFill="accent5" w:themeFillTint="00003F" w:val="clear"/>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color="f79646" w:space="0" w:sz="8" w:themeColor="accent6" w:val="single"/>
        <w:bottom w:color="f79646" w:space="0" w:sz="8" w:themeColor="accent6" w:val="single"/>
      </w:tblBorders>
    </w:tblPr>
    <w:tblStylePr w:type="firstRow">
      <w:rPr>
        <w:rFonts w:asciiTheme="majorHAnsi" w:cstheme="majorBidi" w:eastAsiaTheme="majorEastAsia" w:hAnsiTheme="majorHAnsi"/>
      </w:rPr>
      <w:tblPr/>
      <w:tcPr>
        <w:tcBorders>
          <w:top w:space="0" w:sz="0" w:val="nil"/>
          <w:bottom w:color="f79646" w:space="0" w:sz="8" w:themeColor="accent6" w:val="single"/>
        </w:tcBorders>
      </w:tcPr>
    </w:tblStylePr>
    <w:tblStylePr w:type="lastRow">
      <w:rPr>
        <w:b w:val="1"/>
        <w:bCs w:val="1"/>
        <w:color w:val="1f497d" w:themeColor="text2"/>
      </w:rPr>
      <w:tblPr/>
      <w:tcPr>
        <w:tcBorders>
          <w:top w:color="f79646" w:space="0" w:sz="8" w:themeColor="accent6" w:val="single"/>
          <w:bottom w:color="f79646" w:space="0" w:sz="8" w:themeColor="accent6" w:val="single"/>
        </w:tcBorders>
      </w:tcPr>
    </w:tblStylePr>
    <w:tblStylePr w:type="firstCol">
      <w:rPr>
        <w:b w:val="1"/>
        <w:bCs w:val="1"/>
      </w:rPr>
    </w:tblStylePr>
    <w:tblStylePr w:type="lastCol">
      <w:rPr>
        <w:b w:val="1"/>
        <w:bCs w:val="1"/>
      </w:rPr>
      <w:tblPr/>
      <w:tcPr>
        <w:tcBorders>
          <w:top w:color="f79646" w:space="0" w:sz="8" w:themeColor="accent6" w:val="single"/>
          <w:bottom w:color="f79646" w:space="0" w:sz="8" w:themeColor="accent6" w:val="single"/>
        </w:tcBorders>
      </w:tcPr>
    </w:tblStylePr>
    <w:tblStylePr w:type="band1Vert">
      <w:tblPr/>
      <w:tcPr>
        <w:shd w:color="auto" w:fill="fde4d0" w:themeFill="accent6" w:themeFillTint="00003F" w:val="clear"/>
      </w:tcPr>
    </w:tblStylePr>
    <w:tblStylePr w:type="band1Horz">
      <w:tblPr/>
      <w:tcPr>
        <w:shd w:color="auto" w:fill="fde4d0" w:themeFill="accent6" w:themeFillTint="00003F" w:val="clear"/>
      </w:tcPr>
    </w:tblStylePr>
  </w:style>
  <w:style w:type="table" w:styleId="MediumList2">
    <w:name w:val="Medium Lis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000000" w:space="0" w:sz="8" w:themeColor="text1" w:val="single"/>
        <w:left w:color="000000" w:space="0" w:sz="8" w:themeColor="text1" w:val="single"/>
        <w:bottom w:color="000000" w:space="0" w:sz="8" w:themeColor="text1" w:val="single"/>
        <w:right w:color="000000" w:space="0" w:sz="8" w:themeColor="text1" w:val="single"/>
      </w:tblBorders>
    </w:tblPr>
    <w:tblStylePr w:type="firstRow">
      <w:rPr>
        <w:sz w:val="24"/>
        <w:szCs w:val="24"/>
      </w:rPr>
      <w:tblPr/>
      <w:tcPr>
        <w:tcBorders>
          <w:top w:space="0" w:sz="0" w:val="nil"/>
          <w:left w:space="0" w:sz="0" w:val="nil"/>
          <w:bottom w:color="000000" w:space="0" w:sz="24" w:themeColor="text1" w:val="single"/>
          <w:right w:space="0" w:sz="0" w:val="nil"/>
          <w:insideH w:space="0" w:sz="0" w:val="nil"/>
          <w:insideV w:space="0" w:sz="0" w:val="nil"/>
        </w:tcBorders>
        <w:shd w:color="auto" w:fill="ffffff" w:themeFill="background1" w:val="clear"/>
      </w:tcPr>
    </w:tblStylePr>
    <w:tblStylePr w:type="lastRow">
      <w:tblPr/>
      <w:tcPr>
        <w:tcBorders>
          <w:top w:color="000000" w:space="0" w:sz="8"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000000" w:space="0" w:sz="8" w:themeColor="text1" w:val="single"/>
          <w:insideH w:space="0" w:sz="0" w:val="nil"/>
          <w:insideV w:space="0" w:sz="0" w:val="nil"/>
        </w:tcBorders>
        <w:shd w:color="auto" w:fill="ffffff" w:themeFill="background1" w:val="clear"/>
      </w:tcPr>
    </w:tblStylePr>
    <w:tblStylePr w:type="lastCol">
      <w:tblPr/>
      <w:tcPr>
        <w:tcBorders>
          <w:top w:space="0" w:sz="0" w:val="nil"/>
          <w:left w:color="000000" w:space="0" w:sz="8" w:themeColor="tex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top w:space="0" w:sz="0" w:val="nil"/>
          <w:bottom w:space="0" w:sz="0" w:val="nil"/>
          <w:insideH w:space="0" w:sz="0" w:val="nil"/>
          <w:insideV w:space="0" w:sz="0" w:val="nil"/>
        </w:tcBorders>
        <w:shd w:color="auto" w:fill="c0c0c0" w:themeFill="tex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1">
    <w:name w:val="Medium List 2 Accent 1"/>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4f81bd" w:space="0" w:sz="8" w:themeColor="accent1" w:val="single"/>
        <w:left w:color="4f81bd" w:space="0" w:sz="8" w:themeColor="accent1" w:val="single"/>
        <w:bottom w:color="4f81bd" w:space="0" w:sz="8" w:themeColor="accent1" w:val="single"/>
        <w:right w:color="4f81bd" w:space="0" w:sz="8" w:themeColor="accent1" w:val="single"/>
      </w:tblBorders>
    </w:tblPr>
    <w:tblStylePr w:type="firstRow">
      <w:rPr>
        <w:sz w:val="24"/>
        <w:szCs w:val="24"/>
      </w:rPr>
      <w:tblPr/>
      <w:tcPr>
        <w:tcBorders>
          <w:top w:space="0" w:sz="0" w:val="nil"/>
          <w:left w:space="0" w:sz="0" w:val="nil"/>
          <w:bottom w:color="4f81bd" w:space="0" w:sz="24" w:themeColor="accent1" w:val="single"/>
          <w:right w:space="0" w:sz="0" w:val="nil"/>
          <w:insideH w:space="0" w:sz="0" w:val="nil"/>
          <w:insideV w:space="0" w:sz="0" w:val="nil"/>
        </w:tcBorders>
        <w:shd w:color="auto" w:fill="ffffff" w:themeFill="background1" w:val="clear"/>
      </w:tcPr>
    </w:tblStylePr>
    <w:tblStylePr w:type="lastRow">
      <w:tblPr/>
      <w:tcPr>
        <w:tcBorders>
          <w:top w:color="4f81bd" w:space="0" w:sz="8" w:themeColor="accen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f81bd" w:space="0" w:sz="8" w:themeColor="accent1" w:val="single"/>
          <w:insideH w:space="0" w:sz="0" w:val="nil"/>
          <w:insideV w:space="0" w:sz="0" w:val="nil"/>
        </w:tcBorders>
        <w:shd w:color="auto" w:fill="ffffff" w:themeFill="background1" w:val="clear"/>
      </w:tcPr>
    </w:tblStylePr>
    <w:tblStylePr w:type="lastCol">
      <w:tblPr/>
      <w:tcPr>
        <w:tcBorders>
          <w:top w:space="0" w:sz="0" w:val="nil"/>
          <w:left w:color="4f81bd" w:space="0" w:sz="8" w:themeColor="accen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top w:space="0" w:sz="0" w:val="nil"/>
          <w:bottom w:space="0" w:sz="0" w:val="nil"/>
          <w:insideH w:space="0" w:sz="0" w:val="nil"/>
          <w:insideV w:space="0" w:sz="0" w:val="nil"/>
        </w:tcBorders>
        <w:shd w:color="auto" w:fill="d3dfee" w:themeFill="accen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2">
    <w:name w:val="Medium List 2 Accen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c0504d" w:space="0" w:sz="8" w:themeColor="accent2" w:val="single"/>
        <w:left w:color="c0504d" w:space="0" w:sz="8" w:themeColor="accent2" w:val="single"/>
        <w:bottom w:color="c0504d" w:space="0" w:sz="8" w:themeColor="accent2" w:val="single"/>
        <w:right w:color="c0504d" w:space="0" w:sz="8" w:themeColor="accent2" w:val="single"/>
      </w:tblBorders>
    </w:tblPr>
    <w:tblStylePr w:type="firstRow">
      <w:rPr>
        <w:sz w:val="24"/>
        <w:szCs w:val="24"/>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tblPr/>
      <w:tcPr>
        <w:tcBorders>
          <w:top w:color="c0504d" w:space="0" w:sz="8" w:themeColor="accent2"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c0504d" w:space="0" w:sz="8" w:themeColor="accent2" w:val="single"/>
          <w:insideH w:space="0" w:sz="0" w:val="nil"/>
          <w:insideV w:space="0" w:sz="0" w:val="nil"/>
        </w:tcBorders>
        <w:shd w:color="auto" w:fill="ffffff" w:themeFill="background1" w:val="clear"/>
      </w:tcPr>
    </w:tblStylePr>
    <w:tblStylePr w:type="lastCol">
      <w:tblPr/>
      <w:tcPr>
        <w:tcBorders>
          <w:top w:space="0" w:sz="0" w:val="nil"/>
          <w:left w:color="c0504d" w:space="0" w:sz="8" w:themeColor="accent2"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top w:space="0" w:sz="0" w:val="nil"/>
          <w:bottom w:space="0" w:sz="0" w:val="nil"/>
          <w:insideH w:space="0" w:sz="0" w:val="nil"/>
          <w:insideV w:space="0" w:sz="0" w:val="nil"/>
        </w:tcBorders>
        <w:shd w:color="auto" w:fill="efd3d2" w:themeFill="accent2"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3">
    <w:name w:val="Medium List 2 Accent 3"/>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9bbb59" w:space="0" w:sz="8" w:themeColor="accent3" w:val="single"/>
        <w:left w:color="9bbb59" w:space="0" w:sz="8" w:themeColor="accent3" w:val="single"/>
        <w:bottom w:color="9bbb59" w:space="0" w:sz="8" w:themeColor="accent3" w:val="single"/>
        <w:right w:color="9bbb59" w:space="0" w:sz="8" w:themeColor="accent3" w:val="single"/>
      </w:tblBorders>
    </w:tblPr>
    <w:tblStylePr w:type="firstRow">
      <w:rPr>
        <w:sz w:val="24"/>
        <w:szCs w:val="24"/>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tblPr/>
      <w:tcPr>
        <w:tcBorders>
          <w:top w:color="9bbb59" w:space="0" w:sz="8" w:themeColor="accent3"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9bbb59" w:space="0" w:sz="8" w:themeColor="accent3" w:val="single"/>
          <w:insideH w:space="0" w:sz="0" w:val="nil"/>
          <w:insideV w:space="0" w:sz="0" w:val="nil"/>
        </w:tcBorders>
        <w:shd w:color="auto" w:fill="ffffff" w:themeFill="background1" w:val="clear"/>
      </w:tcPr>
    </w:tblStylePr>
    <w:tblStylePr w:type="lastCol">
      <w:tblPr/>
      <w:tcPr>
        <w:tcBorders>
          <w:top w:space="0" w:sz="0" w:val="nil"/>
          <w:left w:color="9bbb59" w:space="0" w:sz="8" w:themeColor="accent3"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top w:space="0" w:sz="0" w:val="nil"/>
          <w:bottom w:space="0" w:sz="0" w:val="nil"/>
          <w:insideH w:space="0" w:sz="0" w:val="nil"/>
          <w:insideV w:space="0" w:sz="0" w:val="nil"/>
        </w:tcBorders>
        <w:shd w:color="auto" w:fill="e6eed5" w:themeFill="accent3"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4">
    <w:name w:val="Medium List 2 Accent 4"/>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8064a2" w:space="0" w:sz="8" w:themeColor="accent4" w:val="single"/>
        <w:left w:color="8064a2" w:space="0" w:sz="8" w:themeColor="accent4" w:val="single"/>
        <w:bottom w:color="8064a2" w:space="0" w:sz="8" w:themeColor="accent4" w:val="single"/>
        <w:right w:color="8064a2" w:space="0" w:sz="8" w:themeColor="accent4" w:val="single"/>
      </w:tblBorders>
    </w:tblPr>
    <w:tblStylePr w:type="firstRow">
      <w:rPr>
        <w:sz w:val="24"/>
        <w:szCs w:val="24"/>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tblPr/>
      <w:tcPr>
        <w:tcBorders>
          <w:top w:color="8064a2" w:space="0" w:sz="8" w:themeColor="accent4"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8064a2" w:space="0" w:sz="8" w:themeColor="accent4" w:val="single"/>
          <w:insideH w:space="0" w:sz="0" w:val="nil"/>
          <w:insideV w:space="0" w:sz="0" w:val="nil"/>
        </w:tcBorders>
        <w:shd w:color="auto" w:fill="ffffff" w:themeFill="background1" w:val="clear"/>
      </w:tcPr>
    </w:tblStylePr>
    <w:tblStylePr w:type="lastCol">
      <w:tblPr/>
      <w:tcPr>
        <w:tcBorders>
          <w:top w:space="0" w:sz="0" w:val="nil"/>
          <w:left w:color="8064a2" w:space="0" w:sz="8" w:themeColor="accent4"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top w:space="0" w:sz="0" w:val="nil"/>
          <w:bottom w:space="0" w:sz="0" w:val="nil"/>
          <w:insideH w:space="0" w:sz="0" w:val="nil"/>
          <w:insideV w:space="0" w:sz="0" w:val="nil"/>
        </w:tcBorders>
        <w:shd w:color="auto" w:fill="dfd8e8" w:themeFill="accent4"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5">
    <w:name w:val="Medium List 2 Accent 5"/>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4bacc6" w:space="0" w:sz="8" w:themeColor="accent5" w:val="single"/>
        <w:left w:color="4bacc6" w:space="0" w:sz="8" w:themeColor="accent5" w:val="single"/>
        <w:bottom w:color="4bacc6" w:space="0" w:sz="8" w:themeColor="accent5" w:val="single"/>
        <w:right w:color="4bacc6" w:space="0" w:sz="8" w:themeColor="accent5" w:val="single"/>
      </w:tblBorders>
    </w:tblPr>
    <w:tblStylePr w:type="firstRow">
      <w:rPr>
        <w:sz w:val="24"/>
        <w:szCs w:val="24"/>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tblPr/>
      <w:tcPr>
        <w:tcBorders>
          <w:top w:color="4bacc6" w:space="0" w:sz="8" w:themeColor="accent5"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bacc6" w:space="0" w:sz="8" w:themeColor="accent5" w:val="single"/>
          <w:insideH w:space="0" w:sz="0" w:val="nil"/>
          <w:insideV w:space="0" w:sz="0" w:val="nil"/>
        </w:tcBorders>
        <w:shd w:color="auto" w:fill="ffffff" w:themeFill="background1" w:val="clear"/>
      </w:tcPr>
    </w:tblStylePr>
    <w:tblStylePr w:type="lastCol">
      <w:tblPr/>
      <w:tcPr>
        <w:tcBorders>
          <w:top w:space="0" w:sz="0" w:val="nil"/>
          <w:left w:color="4bacc6" w:space="0" w:sz="8" w:themeColor="accent5"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top w:space="0" w:sz="0" w:val="nil"/>
          <w:bottom w:space="0" w:sz="0" w:val="nil"/>
          <w:insideH w:space="0" w:sz="0" w:val="nil"/>
          <w:insideV w:space="0" w:sz="0" w:val="nil"/>
        </w:tcBorders>
        <w:shd w:color="auto" w:fill="d2eaf1" w:themeFill="accent5"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6">
    <w:name w:val="Medium List 2 Accent 6"/>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f79646" w:space="0" w:sz="8" w:themeColor="accent6" w:val="single"/>
        <w:left w:color="f79646" w:space="0" w:sz="8" w:themeColor="accent6" w:val="single"/>
        <w:bottom w:color="f79646" w:space="0" w:sz="8" w:themeColor="accent6" w:val="single"/>
        <w:right w:color="f79646" w:space="0" w:sz="8" w:themeColor="accent6" w:val="single"/>
      </w:tblBorders>
    </w:tblPr>
    <w:tblStylePr w:type="firstRow">
      <w:rPr>
        <w:sz w:val="24"/>
        <w:szCs w:val="24"/>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tblPr/>
      <w:tcPr>
        <w:tcBorders>
          <w:top w:color="f79646" w:space="0" w:sz="8" w:themeColor="accent6"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f79646" w:space="0" w:sz="8" w:themeColor="accent6" w:val="single"/>
          <w:insideH w:space="0" w:sz="0" w:val="nil"/>
          <w:insideV w:space="0" w:sz="0" w:val="nil"/>
        </w:tcBorders>
        <w:shd w:color="auto" w:fill="ffffff" w:themeFill="background1" w:val="clear"/>
      </w:tcPr>
    </w:tblStylePr>
    <w:tblStylePr w:type="lastCol">
      <w:tblPr/>
      <w:tcPr>
        <w:tcBorders>
          <w:top w:space="0" w:sz="0" w:val="nil"/>
          <w:left w:color="f79646" w:space="0" w:sz="8" w:themeColor="accent6"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top w:space="0" w:sz="0" w:val="nil"/>
          <w:bottom w:space="0" w:sz="0" w:val="nil"/>
          <w:insideH w:space="0" w:sz="0" w:val="nil"/>
          <w:insideV w:space="0" w:sz="0" w:val="nil"/>
        </w:tcBorders>
        <w:shd w:color="auto" w:fill="fde4d0" w:themeFill="accent6"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insideV w:color="404040" w:space="0" w:sz="8" w:themeColor="text1" w:themeTint="0000BF" w:val="single"/>
      </w:tblBorders>
    </w:tblPr>
    <w:tcPr>
      <w:shd w:color="auto" w:fill="c0c0c0" w:themeFill="text1" w:themeFillTint="00003F" w:val="clear"/>
    </w:tcPr>
    <w:tblStylePr w:type="firstRow">
      <w:rPr>
        <w:b w:val="1"/>
        <w:bCs w:val="1"/>
      </w:rPr>
    </w:tblStylePr>
    <w:tblStylePr w:type="lastRow">
      <w:rPr>
        <w:b w:val="1"/>
        <w:bCs w:val="1"/>
      </w:rPr>
      <w:tblPr/>
      <w:tcPr>
        <w:tcBorders>
          <w:top w:color="404040" w:space="0" w:sz="18" w:themeColor="text1" w:themeTint="0000BF" w:val="single"/>
        </w:tcBorders>
      </w:tcPr>
    </w:tblStylePr>
    <w:tblStylePr w:type="firstCol">
      <w:rPr>
        <w:b w:val="1"/>
        <w:bCs w:val="1"/>
      </w:rPr>
    </w:tblStylePr>
    <w:tblStylePr w:type="lastCol">
      <w:rPr>
        <w:b w:val="1"/>
        <w:bCs w:val="1"/>
      </w:r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insideV w:color="7ba0cd" w:space="0" w:sz="8" w:themeColor="accent1" w:themeTint="0000BF" w:val="single"/>
      </w:tblBorders>
    </w:tblPr>
    <w:tcPr>
      <w:shd w:color="auto" w:fill="d3dfee" w:themeFill="accent1" w:themeFillTint="00003F" w:val="clear"/>
    </w:tcPr>
    <w:tblStylePr w:type="firstRow">
      <w:rPr>
        <w:b w:val="1"/>
        <w:bCs w:val="1"/>
      </w:rPr>
    </w:tblStylePr>
    <w:tblStylePr w:type="lastRow">
      <w:rPr>
        <w:b w:val="1"/>
        <w:bCs w:val="1"/>
      </w:rPr>
      <w:tblPr/>
      <w:tcPr>
        <w:tcBorders>
          <w:top w:color="7ba0cd" w:space="0" w:sz="18" w:themeColor="accent1" w:themeTint="0000BF" w:val="single"/>
        </w:tcBorders>
      </w:tcPr>
    </w:tblStylePr>
    <w:tblStylePr w:type="firstCol">
      <w:rPr>
        <w:b w:val="1"/>
        <w:bCs w:val="1"/>
      </w:rPr>
    </w:tblStylePr>
    <w:tblStylePr w:type="lastCol">
      <w:rPr>
        <w:b w:val="1"/>
        <w:bCs w:val="1"/>
      </w:r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insideV w:color="cf7b79" w:space="0" w:sz="8" w:themeColor="accent2" w:themeTint="0000BF" w:val="single"/>
      </w:tblBorders>
    </w:tblPr>
    <w:tcPr>
      <w:shd w:color="auto" w:fill="efd3d2" w:themeFill="accent2" w:themeFillTint="00003F" w:val="clear"/>
    </w:tcPr>
    <w:tblStylePr w:type="firstRow">
      <w:rPr>
        <w:b w:val="1"/>
        <w:bCs w:val="1"/>
      </w:rPr>
    </w:tblStylePr>
    <w:tblStylePr w:type="lastRow">
      <w:rPr>
        <w:b w:val="1"/>
        <w:bCs w:val="1"/>
      </w:rPr>
      <w:tblPr/>
      <w:tcPr>
        <w:tcBorders>
          <w:top w:color="cf7b79" w:space="0" w:sz="18" w:themeColor="accent2" w:themeTint="0000BF" w:val="single"/>
        </w:tcBorders>
      </w:tcPr>
    </w:tblStylePr>
    <w:tblStylePr w:type="firstCol">
      <w:rPr>
        <w:b w:val="1"/>
        <w:bCs w:val="1"/>
      </w:rPr>
    </w:tblStylePr>
    <w:tblStylePr w:type="lastCol">
      <w:rPr>
        <w:b w:val="1"/>
        <w:bCs w:val="1"/>
      </w:r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insideV w:color="b3cc82" w:space="0" w:sz="8" w:themeColor="accent3" w:themeTint="0000BF" w:val="single"/>
      </w:tblBorders>
    </w:tblPr>
    <w:tcPr>
      <w:shd w:color="auto" w:fill="e6eed5" w:themeFill="accent3" w:themeFillTint="00003F" w:val="clear"/>
    </w:tcPr>
    <w:tblStylePr w:type="firstRow">
      <w:rPr>
        <w:b w:val="1"/>
        <w:bCs w:val="1"/>
      </w:rPr>
    </w:tblStylePr>
    <w:tblStylePr w:type="lastRow">
      <w:rPr>
        <w:b w:val="1"/>
        <w:bCs w:val="1"/>
      </w:rPr>
      <w:tblPr/>
      <w:tcPr>
        <w:tcBorders>
          <w:top w:color="b3cc82" w:space="0" w:sz="18" w:themeColor="accent3" w:themeTint="0000BF" w:val="single"/>
        </w:tcBorders>
      </w:tcPr>
    </w:tblStylePr>
    <w:tblStylePr w:type="firstCol">
      <w:rPr>
        <w:b w:val="1"/>
        <w:bCs w:val="1"/>
      </w:rPr>
    </w:tblStylePr>
    <w:tblStylePr w:type="lastCol">
      <w:rPr>
        <w:b w:val="1"/>
        <w:bCs w:val="1"/>
      </w:r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insideV w:color="9f8ab9" w:space="0" w:sz="8" w:themeColor="accent4" w:themeTint="0000BF" w:val="single"/>
      </w:tblBorders>
    </w:tblPr>
    <w:tcPr>
      <w:shd w:color="auto" w:fill="dfd8e8" w:themeFill="accent4" w:themeFillTint="00003F" w:val="clear"/>
    </w:tcPr>
    <w:tblStylePr w:type="firstRow">
      <w:rPr>
        <w:b w:val="1"/>
        <w:bCs w:val="1"/>
      </w:rPr>
    </w:tblStylePr>
    <w:tblStylePr w:type="lastRow">
      <w:rPr>
        <w:b w:val="1"/>
        <w:bCs w:val="1"/>
      </w:rPr>
      <w:tblPr/>
      <w:tcPr>
        <w:tcBorders>
          <w:top w:color="9f8ab9" w:space="0" w:sz="18" w:themeColor="accent4" w:themeTint="0000BF" w:val="single"/>
        </w:tcBorders>
      </w:tcPr>
    </w:tblStylePr>
    <w:tblStylePr w:type="firstCol">
      <w:rPr>
        <w:b w:val="1"/>
        <w:bCs w:val="1"/>
      </w:rPr>
    </w:tblStylePr>
    <w:tblStylePr w:type="lastCol">
      <w:rPr>
        <w:b w:val="1"/>
        <w:bCs w:val="1"/>
      </w:r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insideV w:color="78c0d4" w:space="0" w:sz="8" w:themeColor="accent5" w:themeTint="0000BF" w:val="single"/>
      </w:tblBorders>
    </w:tblPr>
    <w:tcPr>
      <w:shd w:color="auto" w:fill="d2eaf1" w:themeFill="accent5" w:themeFillTint="00003F" w:val="clear"/>
    </w:tcPr>
    <w:tblStylePr w:type="firstRow">
      <w:rPr>
        <w:b w:val="1"/>
        <w:bCs w:val="1"/>
      </w:rPr>
    </w:tblStylePr>
    <w:tblStylePr w:type="lastRow">
      <w:rPr>
        <w:b w:val="1"/>
        <w:bCs w:val="1"/>
      </w:rPr>
      <w:tblPr/>
      <w:tcPr>
        <w:tcBorders>
          <w:top w:color="78c0d4" w:space="0" w:sz="18" w:themeColor="accent5" w:themeTint="0000BF" w:val="single"/>
        </w:tcBorders>
      </w:tcPr>
    </w:tblStylePr>
    <w:tblStylePr w:type="firstCol">
      <w:rPr>
        <w:b w:val="1"/>
        <w:bCs w:val="1"/>
      </w:rPr>
    </w:tblStylePr>
    <w:tblStylePr w:type="lastCol">
      <w:rPr>
        <w:b w:val="1"/>
        <w:bCs w:val="1"/>
      </w:r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insideV w:color="f9b074" w:space="0" w:sz="8" w:themeColor="accent6" w:themeTint="0000BF" w:val="single"/>
      </w:tblBorders>
    </w:tblPr>
    <w:tcPr>
      <w:shd w:color="auto" w:fill="fde4d0" w:themeFill="accent6" w:themeFillTint="00003F" w:val="clear"/>
    </w:tcPr>
    <w:tblStylePr w:type="firstRow">
      <w:rPr>
        <w:b w:val="1"/>
        <w:bCs w:val="1"/>
      </w:rPr>
    </w:tblStylePr>
    <w:tblStylePr w:type="lastRow">
      <w:rPr>
        <w:b w:val="1"/>
        <w:bCs w:val="1"/>
      </w:rPr>
      <w:tblPr/>
      <w:tcPr>
        <w:tcBorders>
          <w:top w:color="f9b074" w:space="0" w:sz="18" w:themeColor="accent6" w:themeTint="0000BF" w:val="single"/>
        </w:tcBorders>
      </w:tcPr>
    </w:tblStylePr>
    <w:tblStylePr w:type="firstCol">
      <w:rPr>
        <w:b w:val="1"/>
        <w:bCs w:val="1"/>
      </w:rPr>
    </w:tblStylePr>
    <w:tblStylePr w:type="lastCol">
      <w:rPr>
        <w:b w:val="1"/>
        <w:bCs w:val="1"/>
      </w:r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table" w:styleId="MediumGrid2">
    <w:name w:val="Medium Grid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Pr>
    <w:tcPr>
      <w:shd w:color="auto" w:fill="c0c0c0" w:themeFill="text1" w:themeFillTint="00003F" w:val="clear"/>
    </w:tcPr>
    <w:tblStylePr w:type="firstRow">
      <w:rPr>
        <w:b w:val="1"/>
        <w:bCs w:val="1"/>
        <w:color w:val="000000" w:themeColor="text1"/>
      </w:rPr>
      <w:tblPr/>
      <w:tcPr>
        <w:shd w:color="auto" w:fill="e6e6e6" w:themeFill="tex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cccccc" w:themeFill="text1" w:themeFillTint="000033" w:val="clear"/>
      </w:tcPr>
    </w:tblStylePr>
    <w:tblStylePr w:type="band1Vert">
      <w:tblPr/>
      <w:tcPr>
        <w:shd w:color="auto" w:fill="808080" w:themeFill="text1" w:themeFillTint="00007F" w:val="clear"/>
      </w:tcPr>
    </w:tblStylePr>
    <w:tblStylePr w:type="band1Horz">
      <w:tblPr/>
      <w:tcPr>
        <w:tcBorders>
          <w:insideH w:color="000000" w:space="0" w:sz="6" w:themeColor="text1" w:val="single"/>
          <w:insideV w:color="000000" w:space="0" w:sz="6" w:themeColor="text1" w:val="single"/>
        </w:tcBorders>
        <w:shd w:color="auto" w:fill="808080" w:themeFill="text1" w:themeFillTint="00007F" w:val="clear"/>
      </w:tcPr>
    </w:tblStylePr>
    <w:tblStylePr w:type="nwCell">
      <w:tblPr/>
      <w:tcPr>
        <w:shd w:color="auto" w:fill="ffffff" w:themeFill="background1" w:val="clear"/>
      </w:tcPr>
    </w:tblStylePr>
  </w:style>
  <w:style w:type="table" w:styleId="MediumGrid2-Accent1">
    <w:name w:val="Medium Grid 2 Accent 1"/>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Pr>
    <w:tcPr>
      <w:shd w:color="auto" w:fill="d3dfee" w:themeFill="accent1" w:themeFillTint="00003F" w:val="clear"/>
    </w:tcPr>
    <w:tblStylePr w:type="firstRow">
      <w:rPr>
        <w:b w:val="1"/>
        <w:bCs w:val="1"/>
        <w:color w:val="000000" w:themeColor="text1"/>
      </w:rPr>
      <w:tblPr/>
      <w:tcPr>
        <w:shd w:color="auto" w:fill="edf2f8" w:themeFill="accen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be5f1" w:themeFill="accent1" w:themeFillTint="000033" w:val="clear"/>
      </w:tcPr>
    </w:tblStylePr>
    <w:tblStylePr w:type="band1Vert">
      <w:tblPr/>
      <w:tcPr>
        <w:shd w:color="auto" w:fill="a7bfde" w:themeFill="accent1" w:themeFillTint="00007F" w:val="clear"/>
      </w:tcPr>
    </w:tblStylePr>
    <w:tblStylePr w:type="band1Horz">
      <w:tblPr/>
      <w:tcPr>
        <w:tcBorders>
          <w:insideH w:color="4f81bd" w:space="0" w:sz="6" w:themeColor="accent1" w:val="single"/>
          <w:insideV w:color="4f81bd" w:space="0" w:sz="6" w:themeColor="accent1" w:val="single"/>
        </w:tcBorders>
        <w:shd w:color="auto" w:fill="a7bfde" w:themeFill="accent1" w:themeFillTint="00007F" w:val="clear"/>
      </w:tcPr>
    </w:tblStylePr>
    <w:tblStylePr w:type="nwCell">
      <w:tblPr/>
      <w:tcPr>
        <w:shd w:color="auto" w:fill="ffffff" w:themeFill="background1" w:val="clear"/>
      </w:tcPr>
    </w:tblStylePr>
  </w:style>
  <w:style w:type="table" w:styleId="MediumGrid2-Accent2">
    <w:name w:val="Medium Grid 2 Accent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Pr>
    <w:tcPr>
      <w:shd w:color="auto" w:fill="efd3d2" w:themeFill="accent2" w:themeFillTint="00003F" w:val="clear"/>
    </w:tcPr>
    <w:tblStylePr w:type="firstRow">
      <w:rPr>
        <w:b w:val="1"/>
        <w:bCs w:val="1"/>
        <w:color w:val="000000" w:themeColor="text1"/>
      </w:rPr>
      <w:tblPr/>
      <w:tcPr>
        <w:shd w:color="auto" w:fill="f8eded" w:themeFill="accent2"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2dbdb" w:themeFill="accent2" w:themeFillTint="000033" w:val="clear"/>
      </w:tcPr>
    </w:tblStylePr>
    <w:tblStylePr w:type="band1Vert">
      <w:tblPr/>
      <w:tcPr>
        <w:shd w:color="auto" w:fill="dfa7a6" w:themeFill="accent2" w:themeFillTint="00007F" w:val="clear"/>
      </w:tcPr>
    </w:tblStylePr>
    <w:tblStylePr w:type="band1Horz">
      <w:tblPr/>
      <w:tcPr>
        <w:tcBorders>
          <w:insideH w:color="c0504d" w:space="0" w:sz="6" w:themeColor="accent2" w:val="single"/>
          <w:insideV w:color="c0504d" w:space="0" w:sz="6" w:themeColor="accent2" w:val="single"/>
        </w:tcBorders>
        <w:shd w:color="auto" w:fill="dfa7a6" w:themeFill="accent2" w:themeFillTint="00007F" w:val="clear"/>
      </w:tcPr>
    </w:tblStylePr>
    <w:tblStylePr w:type="nwCell">
      <w:tblPr/>
      <w:tcPr>
        <w:shd w:color="auto" w:fill="ffffff" w:themeFill="background1" w:val="clear"/>
      </w:tcPr>
    </w:tblStylePr>
  </w:style>
  <w:style w:type="table" w:styleId="MediumGrid2-Accent3">
    <w:name w:val="Medium Grid 2 Accent 3"/>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Pr>
    <w:tcPr>
      <w:shd w:color="auto" w:fill="e6eed5" w:themeFill="accent3" w:themeFillTint="00003F" w:val="clear"/>
    </w:tcPr>
    <w:tblStylePr w:type="firstRow">
      <w:rPr>
        <w:b w:val="1"/>
        <w:bCs w:val="1"/>
        <w:color w:val="000000" w:themeColor="text1"/>
      </w:rPr>
      <w:tblPr/>
      <w:tcPr>
        <w:shd w:color="auto" w:fill="f5f8ee" w:themeFill="accent3"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af1dd" w:themeFill="accent3" w:themeFillTint="000033" w:val="clear"/>
      </w:tcPr>
    </w:tblStylePr>
    <w:tblStylePr w:type="band1Vert">
      <w:tblPr/>
      <w:tcPr>
        <w:shd w:color="auto" w:fill="cdddac" w:themeFill="accent3" w:themeFillTint="00007F" w:val="clear"/>
      </w:tcPr>
    </w:tblStylePr>
    <w:tblStylePr w:type="band1Horz">
      <w:tblPr/>
      <w:tcPr>
        <w:tcBorders>
          <w:insideH w:color="9bbb59" w:space="0" w:sz="6" w:themeColor="accent3" w:val="single"/>
          <w:insideV w:color="9bbb59" w:space="0" w:sz="6" w:themeColor="accent3" w:val="single"/>
        </w:tcBorders>
        <w:shd w:color="auto" w:fill="cdddac" w:themeFill="accent3" w:themeFillTint="00007F" w:val="clear"/>
      </w:tcPr>
    </w:tblStylePr>
    <w:tblStylePr w:type="nwCell">
      <w:tblPr/>
      <w:tcPr>
        <w:shd w:color="auto" w:fill="ffffff" w:themeFill="background1" w:val="clear"/>
      </w:tcPr>
    </w:tblStylePr>
  </w:style>
  <w:style w:type="table" w:styleId="MediumGrid2-Accent4">
    <w:name w:val="Medium Grid 2 Accent 4"/>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Pr>
    <w:tcPr>
      <w:shd w:color="auto" w:fill="dfd8e8" w:themeFill="accent4" w:themeFillTint="00003F" w:val="clear"/>
    </w:tcPr>
    <w:tblStylePr w:type="firstRow">
      <w:rPr>
        <w:b w:val="1"/>
        <w:bCs w:val="1"/>
        <w:color w:val="000000" w:themeColor="text1"/>
      </w:rPr>
      <w:tblPr/>
      <w:tcPr>
        <w:shd w:color="auto" w:fill="f2eff6" w:themeFill="accent4"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5dfec" w:themeFill="accent4" w:themeFillTint="000033" w:val="clear"/>
      </w:tcPr>
    </w:tblStylePr>
    <w:tblStylePr w:type="band1Vert">
      <w:tblPr/>
      <w:tcPr>
        <w:shd w:color="auto" w:fill="bfb1d0" w:themeFill="accent4" w:themeFillTint="00007F" w:val="clear"/>
      </w:tcPr>
    </w:tblStylePr>
    <w:tblStylePr w:type="band1Horz">
      <w:tblPr/>
      <w:tcPr>
        <w:tcBorders>
          <w:insideH w:color="8064a2" w:space="0" w:sz="6" w:themeColor="accent4" w:val="single"/>
          <w:insideV w:color="8064a2" w:space="0" w:sz="6" w:themeColor="accent4" w:val="single"/>
        </w:tcBorders>
        <w:shd w:color="auto" w:fill="bfb1d0" w:themeFill="accent4" w:themeFillTint="00007F" w:val="clear"/>
      </w:tcPr>
    </w:tblStylePr>
    <w:tblStylePr w:type="nwCell">
      <w:tblPr/>
      <w:tcPr>
        <w:shd w:color="auto" w:fill="ffffff" w:themeFill="background1" w:val="clear"/>
      </w:tcPr>
    </w:tblStylePr>
  </w:style>
  <w:style w:type="table" w:styleId="MediumGrid2-Accent5">
    <w:name w:val="Medium Grid 2 Accent 5"/>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Pr>
    <w:tcPr>
      <w:shd w:color="auto" w:fill="d2eaf1" w:themeFill="accent5" w:themeFillTint="00003F" w:val="clear"/>
    </w:tcPr>
    <w:tblStylePr w:type="firstRow">
      <w:rPr>
        <w:b w:val="1"/>
        <w:bCs w:val="1"/>
        <w:color w:val="000000" w:themeColor="text1"/>
      </w:rPr>
      <w:tblPr/>
      <w:tcPr>
        <w:shd w:color="auto" w:fill="edf6f9" w:themeFill="accent5"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aeef3" w:themeFill="accent5" w:themeFillTint="000033" w:val="clear"/>
      </w:tcPr>
    </w:tblStylePr>
    <w:tblStylePr w:type="band1Vert">
      <w:tblPr/>
      <w:tcPr>
        <w:shd w:color="auto" w:fill="a5d5e2" w:themeFill="accent5" w:themeFillTint="00007F" w:val="clear"/>
      </w:tcPr>
    </w:tblStylePr>
    <w:tblStylePr w:type="band1Horz">
      <w:tblPr/>
      <w:tcPr>
        <w:tcBorders>
          <w:insideH w:color="4bacc6" w:space="0" w:sz="6" w:themeColor="accent5" w:val="single"/>
          <w:insideV w:color="4bacc6" w:space="0" w:sz="6" w:themeColor="accent5" w:val="single"/>
        </w:tcBorders>
        <w:shd w:color="auto" w:fill="a5d5e2" w:themeFill="accent5" w:themeFillTint="00007F" w:val="clear"/>
      </w:tcPr>
    </w:tblStylePr>
    <w:tblStylePr w:type="nwCell">
      <w:tblPr/>
      <w:tcPr>
        <w:shd w:color="auto" w:fill="ffffff" w:themeFill="background1" w:val="clear"/>
      </w:tcPr>
    </w:tblStylePr>
  </w:style>
  <w:style w:type="table" w:styleId="MediumGrid2-Accent6">
    <w:name w:val="Medium Grid 2 Accent 6"/>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Pr>
    <w:tcPr>
      <w:shd w:color="auto" w:fill="fde4d0" w:themeFill="accent6" w:themeFillTint="00003F" w:val="clear"/>
    </w:tcPr>
    <w:tblStylePr w:type="firstRow">
      <w:rPr>
        <w:b w:val="1"/>
        <w:bCs w:val="1"/>
        <w:color w:val="000000" w:themeColor="text1"/>
      </w:rPr>
      <w:tblPr/>
      <w:tcPr>
        <w:shd w:color="auto" w:fill="fef4ec" w:themeFill="accent6"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de9d9" w:themeFill="accent6" w:themeFillTint="000033" w:val="clear"/>
      </w:tcPr>
    </w:tblStylePr>
    <w:tblStylePr w:type="band1Vert">
      <w:tblPr/>
      <w:tcPr>
        <w:shd w:color="auto" w:fill="fbcaa2" w:themeFill="accent6" w:themeFillTint="00007F" w:val="clear"/>
      </w:tcPr>
    </w:tblStylePr>
    <w:tblStylePr w:type="band1Horz">
      <w:tblPr/>
      <w:tcPr>
        <w:tcBorders>
          <w:insideH w:color="f79646" w:space="0" w:sz="6" w:themeColor="accent6" w:val="single"/>
          <w:insideV w:color="f79646" w:space="0" w:sz="6" w:themeColor="accent6" w:val="single"/>
        </w:tcBorders>
        <w:shd w:color="auto" w:fill="fbcaa2" w:themeFill="accent6" w:themeFillTint="00007F" w:val="clear"/>
      </w:tcPr>
    </w:tblStylePr>
    <w:tblStylePr w:type="nwCell">
      <w:tblPr/>
      <w:tcPr>
        <w:shd w:color="auto" w:fill="ffffff" w:themeFill="background1" w:val="clear"/>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c0c0c0" w:themeFill="tex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000000" w:themeFill="tex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000000" w:themeFill="tex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808080" w:themeFill="tex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808080" w:themeFill="text1" w:themeFillTint="00007F" w:val="clear"/>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d3dfee" w:themeFill="accen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f81bd" w:themeFill="accen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f81bd" w:themeFill="accen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7bfde" w:themeFill="accen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7bfde" w:themeFill="accent1" w:themeFillTint="00007F" w:val="clear"/>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efd3d2" w:themeFill="accent2"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c0504d" w:themeFill="accent2"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c0504d" w:themeFill="accent2"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dfa7a6" w:themeFill="accent2"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dfa7a6" w:themeFill="accent2" w:themeFillTint="00007F" w:val="clear"/>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e6eed5" w:themeFill="accent3"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9bbb59" w:themeFill="accent3"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9bbb59" w:themeFill="accent3"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cdddac" w:themeFill="accent3"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cdddac" w:themeFill="accent3" w:themeFillTint="00007F" w:val="clear"/>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dfd8e8" w:themeFill="accent4"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8064a2" w:themeFill="accent4"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8064a2" w:themeFill="accent4"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bfb1d0" w:themeFill="accent4"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bfb1d0" w:themeFill="accent4" w:themeFillTint="00007F" w:val="clear"/>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d2eaf1" w:themeFill="accent5"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bacc6" w:themeFill="accent5"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bacc6" w:themeFill="accent5"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5d5e2" w:themeFill="accent5"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5d5e2" w:themeFill="accent5" w:themeFillTint="00007F" w:val="clear"/>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fde4d0" w:themeFill="accent6"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f79646" w:themeFill="accent6"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f79646" w:themeFill="accent6"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fbcaa2" w:themeFill="accent6"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fbcaa2" w:themeFill="accent6" w:themeFillTint="00007F" w:val="clear"/>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color="auto" w:fill="000000" w:themeFill="tex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000000" w:themeFill="tex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000000" w:themeFill="tex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000000" w:themeFill="tex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color="auto" w:fill="4f81bd" w:themeFill="accen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43f60" w:themeFill="accen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65f91" w:themeFill="accen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65f91" w:themeFill="accen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color="auto" w:fill="c0504d" w:themeFill="accent2"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622423" w:themeFill="accent2"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943634" w:themeFill="accent2"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943634" w:themeFill="accent2"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color="auto" w:fill="9bbb59" w:themeFill="accent3"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4e6128" w:themeFill="accent3"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76923c" w:themeFill="accent3"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76923c" w:themeFill="accent3"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color="auto" w:fill="8064a2" w:themeFill="accent4"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3f3151" w:themeFill="accent4"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5f497a" w:themeFill="accent4"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5f497a" w:themeFill="accent4"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color="auto" w:fill="4bacc6" w:themeFill="accent5"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05867" w:themeFill="accent5"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1849b" w:themeFill="accent5"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1849b" w:themeFill="accent5"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color="auto" w:fill="f79646" w:themeFill="accent6"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974706" w:themeFill="accent6"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e36c0a" w:themeFill="accent6"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e36c0a" w:themeFill="accent6"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color="c0504d" w:space="0" w:sz="24" w:themeColor="accent2" w:val="single"/>
        <w:left w:color="000000" w:space="0" w:sz="4" w:themeColor="text1" w:val="single"/>
        <w:bottom w:color="000000" w:space="0" w:sz="4" w:themeColor="text1" w:val="single"/>
        <w:right w:color="000000" w:space="0" w:sz="4" w:themeColor="text1" w:val="single"/>
        <w:insideH w:color="ffffff" w:space="0" w:sz="4" w:themeColor="background1" w:val="single"/>
        <w:insideV w:color="ffffff" w:space="0" w:sz="4" w:themeColor="background1" w:val="single"/>
      </w:tblBorders>
    </w:tblPr>
    <w:tcPr>
      <w:shd w:color="auto" w:fill="e6e6e6" w:themeFill="tex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000000" w:themeFill="text1" w:themeFillShade="000099" w:val="clear"/>
      </w:tcPr>
    </w:tblStylePr>
    <w:tblStylePr w:type="firstCol">
      <w:rPr>
        <w:color w:val="ffffff" w:themeColor="background1"/>
      </w:rPr>
      <w:tblPr/>
      <w:tcPr>
        <w:tcBorders>
          <w:top w:space="0" w:sz="0" w:val="nil"/>
          <w:left w:space="0" w:sz="0" w:val="nil"/>
          <w:bottom w:space="0" w:sz="0" w:val="nil"/>
          <w:right w:space="0" w:sz="0" w:val="nil"/>
          <w:insideH w:color="000000" w:space="0" w:sz="4" w:themeColor="text1" w:themeShade="000099" w:val="single"/>
          <w:insideV w:space="0" w:sz="0" w:val="nil"/>
        </w:tcBorders>
        <w:shd w:color="auto" w:fill="000000" w:themeFill="tex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Vert">
      <w:tblPr/>
      <w:tcPr>
        <w:shd w:color="auto" w:fill="999999" w:themeFill="text1" w:themeFillTint="000066" w:val="clear"/>
      </w:tcPr>
    </w:tblStylePr>
    <w:tblStylePr w:type="band1Horz">
      <w:tblPr/>
      <w:tcPr>
        <w:shd w:color="auto" w:fill="808080" w:themeFill="text1" w:themeFillTint="00007F" w:val="clear"/>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color="c0504d" w:space="0" w:sz="24" w:themeColor="accent2" w:val="single"/>
        <w:left w:color="4f81bd" w:space="0" w:sz="4" w:themeColor="accent1" w:val="single"/>
        <w:bottom w:color="4f81bd" w:space="0" w:sz="4" w:themeColor="accent1" w:val="single"/>
        <w:right w:color="4f81bd" w:space="0" w:sz="4" w:themeColor="accent1" w:val="single"/>
        <w:insideH w:color="ffffff" w:space="0" w:sz="4" w:themeColor="background1" w:val="single"/>
        <w:insideV w:color="ffffff" w:space="0" w:sz="4" w:themeColor="background1" w:val="single"/>
      </w:tblBorders>
    </w:tblPr>
    <w:tcPr>
      <w:shd w:color="auto" w:fill="edf2f8" w:themeFill="accen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c4c74" w:themeFill="accent1" w:themeFillShade="000099" w:val="clear"/>
      </w:tcPr>
    </w:tblStylePr>
    <w:tblStylePr w:type="firstCol">
      <w:rPr>
        <w:color w:val="ffffff" w:themeColor="background1"/>
      </w:rPr>
      <w:tblPr/>
      <w:tcPr>
        <w:tcBorders>
          <w:top w:space="0" w:sz="0" w:val="nil"/>
          <w:left w:space="0" w:sz="0" w:val="nil"/>
          <w:bottom w:space="0" w:sz="0" w:val="nil"/>
          <w:right w:space="0" w:sz="0" w:val="nil"/>
          <w:insideH w:color="2c4c74" w:space="0" w:sz="4" w:themeColor="accent1" w:themeShade="000099" w:val="single"/>
          <w:insideV w:space="0" w:sz="0" w:val="nil"/>
        </w:tcBorders>
        <w:shd w:color="auto" w:fill="2c4c74" w:themeFill="accen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c4c74" w:themeFill="accent1" w:themeFillShade="000099" w:val="clear"/>
      </w:tcPr>
    </w:tblStylePr>
    <w:tblStylePr w:type="band1Vert">
      <w:tblPr/>
      <w:tcPr>
        <w:shd w:color="auto" w:fill="b8cce4" w:themeFill="accent1" w:themeFillTint="000066" w:val="clear"/>
      </w:tcPr>
    </w:tblStylePr>
    <w:tblStylePr w:type="band1Horz">
      <w:tblPr/>
      <w:tcPr>
        <w:shd w:color="auto" w:fill="a7bfde" w:themeFill="accent1" w:themeFillTint="00007F" w:val="clear"/>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color="c0504d" w:space="0" w:sz="24" w:themeColor="accent2" w:val="single"/>
        <w:left w:color="c0504d" w:space="0" w:sz="4" w:themeColor="accent2" w:val="single"/>
        <w:bottom w:color="c0504d" w:space="0" w:sz="4" w:themeColor="accent2" w:val="single"/>
        <w:right w:color="c0504d" w:space="0" w:sz="4" w:themeColor="accent2" w:val="single"/>
        <w:insideH w:color="ffffff" w:space="0" w:sz="4" w:themeColor="background1" w:val="single"/>
        <w:insideV w:color="ffffff" w:space="0" w:sz="4" w:themeColor="background1" w:val="single"/>
      </w:tblBorders>
    </w:tblPr>
    <w:tcPr>
      <w:shd w:color="auto" w:fill="f8eded" w:themeFill="accent2"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772c2a" w:themeFill="accent2" w:themeFillShade="000099" w:val="clear"/>
      </w:tcPr>
    </w:tblStylePr>
    <w:tblStylePr w:type="firstCol">
      <w:rPr>
        <w:color w:val="ffffff" w:themeColor="background1"/>
      </w:rPr>
      <w:tblPr/>
      <w:tcPr>
        <w:tcBorders>
          <w:top w:space="0" w:sz="0" w:val="nil"/>
          <w:left w:space="0" w:sz="0" w:val="nil"/>
          <w:bottom w:space="0" w:sz="0" w:val="nil"/>
          <w:right w:space="0" w:sz="0" w:val="nil"/>
          <w:insideH w:color="772c2a" w:space="0" w:sz="4" w:themeColor="accent2" w:themeShade="000099" w:val="single"/>
          <w:insideV w:space="0" w:sz="0" w:val="nil"/>
        </w:tcBorders>
        <w:shd w:color="auto" w:fill="772c2a" w:themeFill="accent2"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772c2a" w:themeFill="accent2" w:themeFillShade="000099" w:val="clear"/>
      </w:tcPr>
    </w:tblStylePr>
    <w:tblStylePr w:type="band1Vert">
      <w:tblPr/>
      <w:tcPr>
        <w:shd w:color="auto" w:fill="e5b8b7" w:themeFill="accent2" w:themeFillTint="000066" w:val="clear"/>
      </w:tcPr>
    </w:tblStylePr>
    <w:tblStylePr w:type="band1Horz">
      <w:tblPr/>
      <w:tcPr>
        <w:shd w:color="auto" w:fill="dfa7a6" w:themeFill="accent2" w:themeFillTint="00007F" w:val="clear"/>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color="8064a2" w:space="0" w:sz="24" w:themeColor="accent4" w:val="single"/>
        <w:left w:color="9bbb59" w:space="0" w:sz="4" w:themeColor="accent3" w:val="single"/>
        <w:bottom w:color="9bbb59" w:space="0" w:sz="4" w:themeColor="accent3" w:val="single"/>
        <w:right w:color="9bbb59" w:space="0" w:sz="4" w:themeColor="accent3" w:val="single"/>
        <w:insideH w:color="ffffff" w:space="0" w:sz="4" w:themeColor="background1" w:val="single"/>
        <w:insideV w:color="ffffff" w:space="0" w:sz="4" w:themeColor="background1" w:val="single"/>
      </w:tblBorders>
    </w:tblPr>
    <w:tcPr>
      <w:shd w:color="auto" w:fill="f5f8ee" w:themeFill="accent3" w:themeFillTint="000019" w:val="clear"/>
    </w:tcPr>
    <w:tblStylePr w:type="firstRow">
      <w:rPr>
        <w:b w:val="1"/>
        <w:bCs w:val="1"/>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5e7530" w:themeFill="accent3" w:themeFillShade="000099" w:val="clear"/>
      </w:tcPr>
    </w:tblStylePr>
    <w:tblStylePr w:type="firstCol">
      <w:rPr>
        <w:color w:val="ffffff" w:themeColor="background1"/>
      </w:rPr>
      <w:tblPr/>
      <w:tcPr>
        <w:tcBorders>
          <w:top w:space="0" w:sz="0" w:val="nil"/>
          <w:left w:space="0" w:sz="0" w:val="nil"/>
          <w:bottom w:space="0" w:sz="0" w:val="nil"/>
          <w:right w:space="0" w:sz="0" w:val="nil"/>
          <w:insideH w:color="5e7530" w:space="0" w:sz="4" w:themeColor="accent3" w:themeShade="000099" w:val="single"/>
          <w:insideV w:space="0" w:sz="0" w:val="nil"/>
        </w:tcBorders>
        <w:shd w:color="auto" w:fill="5e7530" w:themeFill="accent3"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5e7530" w:themeFill="accent3" w:themeFillShade="000099" w:val="clear"/>
      </w:tcPr>
    </w:tblStylePr>
    <w:tblStylePr w:type="band1Vert">
      <w:tblPr/>
      <w:tcPr>
        <w:shd w:color="auto" w:fill="d6e3bc" w:themeFill="accent3" w:themeFillTint="000066" w:val="clear"/>
      </w:tcPr>
    </w:tblStylePr>
    <w:tblStylePr w:type="band1Horz">
      <w:tblPr/>
      <w:tcPr>
        <w:shd w:color="auto" w:fill="cdddac" w:themeFill="accent3" w:themeFillTint="00007F" w:val="clear"/>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color="9bbb59" w:space="0" w:sz="24" w:themeColor="accent3" w:val="single"/>
        <w:left w:color="8064a2" w:space="0" w:sz="4" w:themeColor="accent4" w:val="single"/>
        <w:bottom w:color="8064a2" w:space="0" w:sz="4" w:themeColor="accent4" w:val="single"/>
        <w:right w:color="8064a2" w:space="0" w:sz="4" w:themeColor="accent4" w:val="single"/>
        <w:insideH w:color="ffffff" w:space="0" w:sz="4" w:themeColor="background1" w:val="single"/>
        <w:insideV w:color="ffffff" w:space="0" w:sz="4" w:themeColor="background1" w:val="single"/>
      </w:tblBorders>
    </w:tblPr>
    <w:tcPr>
      <w:shd w:color="auto" w:fill="f2eff6" w:themeFill="accent4" w:themeFillTint="000019" w:val="clear"/>
    </w:tcPr>
    <w:tblStylePr w:type="firstRow">
      <w:rPr>
        <w:b w:val="1"/>
        <w:bCs w:val="1"/>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4c3b62" w:themeFill="accent4" w:themeFillShade="000099" w:val="clear"/>
      </w:tcPr>
    </w:tblStylePr>
    <w:tblStylePr w:type="firstCol">
      <w:rPr>
        <w:color w:val="ffffff" w:themeColor="background1"/>
      </w:rPr>
      <w:tblPr/>
      <w:tcPr>
        <w:tcBorders>
          <w:top w:space="0" w:sz="0" w:val="nil"/>
          <w:left w:space="0" w:sz="0" w:val="nil"/>
          <w:bottom w:space="0" w:sz="0" w:val="nil"/>
          <w:right w:space="0" w:sz="0" w:val="nil"/>
          <w:insideH w:color="4c3b62" w:space="0" w:sz="4" w:themeColor="accent4" w:themeShade="000099" w:val="single"/>
          <w:insideV w:space="0" w:sz="0" w:val="nil"/>
        </w:tcBorders>
        <w:shd w:color="auto" w:fill="4c3b62" w:themeFill="accent4"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4c3b62" w:themeFill="accent4" w:themeFillShade="000099" w:val="clear"/>
      </w:tcPr>
    </w:tblStylePr>
    <w:tblStylePr w:type="band1Vert">
      <w:tblPr/>
      <w:tcPr>
        <w:shd w:color="auto" w:fill="ccc0d9" w:themeFill="accent4" w:themeFillTint="000066" w:val="clear"/>
      </w:tcPr>
    </w:tblStylePr>
    <w:tblStylePr w:type="band1Horz">
      <w:tblPr/>
      <w:tcPr>
        <w:shd w:color="auto" w:fill="bfb1d0" w:themeFill="accent4" w:themeFillTint="00007F" w:val="clear"/>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color="f79646" w:space="0" w:sz="24" w:themeColor="accent6" w:val="single"/>
        <w:left w:color="4bacc6" w:space="0" w:sz="4" w:themeColor="accent5" w:val="single"/>
        <w:bottom w:color="4bacc6" w:space="0" w:sz="4" w:themeColor="accent5" w:val="single"/>
        <w:right w:color="4bacc6" w:space="0" w:sz="4" w:themeColor="accent5" w:val="single"/>
        <w:insideH w:color="ffffff" w:space="0" w:sz="4" w:themeColor="background1" w:val="single"/>
        <w:insideV w:color="ffffff" w:space="0" w:sz="4" w:themeColor="background1" w:val="single"/>
      </w:tblBorders>
    </w:tblPr>
    <w:tcPr>
      <w:shd w:color="auto" w:fill="edf6f9" w:themeFill="accent5" w:themeFillTint="000019" w:val="clear"/>
    </w:tcPr>
    <w:tblStylePr w:type="firstRow">
      <w:rPr>
        <w:b w:val="1"/>
        <w:bCs w:val="1"/>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76a7c" w:themeFill="accent5" w:themeFillShade="000099" w:val="clear"/>
      </w:tcPr>
    </w:tblStylePr>
    <w:tblStylePr w:type="firstCol">
      <w:rPr>
        <w:color w:val="ffffff" w:themeColor="background1"/>
      </w:rPr>
      <w:tblPr/>
      <w:tcPr>
        <w:tcBorders>
          <w:top w:space="0" w:sz="0" w:val="nil"/>
          <w:left w:space="0" w:sz="0" w:val="nil"/>
          <w:bottom w:space="0" w:sz="0" w:val="nil"/>
          <w:right w:space="0" w:sz="0" w:val="nil"/>
          <w:insideH w:color="276a7c" w:space="0" w:sz="4" w:themeColor="accent5" w:themeShade="000099" w:val="single"/>
          <w:insideV w:space="0" w:sz="0" w:val="nil"/>
        </w:tcBorders>
        <w:shd w:color="auto" w:fill="276a7c" w:themeFill="accent5"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76a7c" w:themeFill="accent5" w:themeFillShade="000099" w:val="clear"/>
      </w:tcPr>
    </w:tblStylePr>
    <w:tblStylePr w:type="band1Vert">
      <w:tblPr/>
      <w:tcPr>
        <w:shd w:color="auto" w:fill="b6dde8" w:themeFill="accent5" w:themeFillTint="000066" w:val="clear"/>
      </w:tcPr>
    </w:tblStylePr>
    <w:tblStylePr w:type="band1Horz">
      <w:tblPr/>
      <w:tcPr>
        <w:shd w:color="auto" w:fill="a5d5e2" w:themeFill="accent5" w:themeFillTint="00007F" w:val="clear"/>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color="4bacc6" w:space="0" w:sz="24" w:themeColor="accent5" w:val="single"/>
        <w:left w:color="f79646" w:space="0" w:sz="4" w:themeColor="accent6" w:val="single"/>
        <w:bottom w:color="f79646" w:space="0" w:sz="4" w:themeColor="accent6" w:val="single"/>
        <w:right w:color="f79646" w:space="0" w:sz="4" w:themeColor="accent6" w:val="single"/>
        <w:insideH w:color="ffffff" w:space="0" w:sz="4" w:themeColor="background1" w:val="single"/>
        <w:insideV w:color="ffffff" w:space="0" w:sz="4" w:themeColor="background1" w:val="single"/>
      </w:tblBorders>
    </w:tblPr>
    <w:tcPr>
      <w:shd w:color="auto" w:fill="fef4ec" w:themeFill="accent6" w:themeFillTint="000019" w:val="clear"/>
    </w:tcPr>
    <w:tblStylePr w:type="firstRow">
      <w:rPr>
        <w:b w:val="1"/>
        <w:bCs w:val="1"/>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b65608" w:themeFill="accent6" w:themeFillShade="000099" w:val="clear"/>
      </w:tcPr>
    </w:tblStylePr>
    <w:tblStylePr w:type="firstCol">
      <w:rPr>
        <w:color w:val="ffffff" w:themeColor="background1"/>
      </w:rPr>
      <w:tblPr/>
      <w:tcPr>
        <w:tcBorders>
          <w:top w:space="0" w:sz="0" w:val="nil"/>
          <w:left w:space="0" w:sz="0" w:val="nil"/>
          <w:bottom w:space="0" w:sz="0" w:val="nil"/>
          <w:right w:space="0" w:sz="0" w:val="nil"/>
          <w:insideH w:color="b65608" w:space="0" w:sz="4" w:themeColor="accent6" w:themeShade="000099" w:val="single"/>
          <w:insideV w:space="0" w:sz="0" w:val="nil"/>
        </w:tcBorders>
        <w:shd w:color="auto" w:fill="b65608" w:themeFill="accent6"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b65608" w:themeFill="accent6" w:themeFillShade="000099" w:val="clear"/>
      </w:tcPr>
    </w:tblStylePr>
    <w:tblStylePr w:type="band1Vert">
      <w:tblPr/>
      <w:tcPr>
        <w:shd w:color="auto" w:fill="fbd4b4" w:themeFill="accent6" w:themeFillTint="000066" w:val="clear"/>
      </w:tcPr>
    </w:tblStylePr>
    <w:tblStylePr w:type="band1Horz">
      <w:tblPr/>
      <w:tcPr>
        <w:shd w:color="auto" w:fill="fbcaa2" w:themeFill="accent6" w:themeFillTint="00007F" w:val="clear"/>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color="auto" w:fill="e6e6e6" w:themeFill="tex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c0c0c0" w:themeFill="text1" w:themeFillTint="00003F" w:val="clear"/>
      </w:tcPr>
    </w:tblStylePr>
    <w:tblStylePr w:type="band1Horz">
      <w:tblPr/>
      <w:tcPr>
        <w:shd w:color="auto" w:fill="cccccc" w:themeFill="text1" w:themeFillTint="000033" w:val="clear"/>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color="auto" w:fill="edf2f8" w:themeFill="accen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3dfee" w:themeFill="accent1" w:themeFillTint="00003F" w:val="clear"/>
      </w:tcPr>
    </w:tblStylePr>
    <w:tblStylePr w:type="band1Horz">
      <w:tblPr/>
      <w:tcPr>
        <w:shd w:color="auto" w:fill="dbe5f1" w:themeFill="accent1" w:themeFillTint="000033" w:val="clear"/>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color="auto" w:fill="f8eded" w:themeFill="accent2"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fd3d2" w:themeFill="accent2" w:themeFillTint="00003F" w:val="clear"/>
      </w:tcPr>
    </w:tblStylePr>
    <w:tblStylePr w:type="band1Horz">
      <w:tblPr/>
      <w:tcPr>
        <w:shd w:color="auto" w:fill="f2dbdb" w:themeFill="accent2" w:themeFillTint="000033" w:val="clear"/>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color="auto" w:fill="f5f8ee" w:themeFill="accent3" w:themeFillTint="000019" w:val="clear"/>
    </w:tcPr>
    <w:tblStylePr w:type="firstRow">
      <w:rPr>
        <w:b w:val="1"/>
        <w:bCs w:val="1"/>
        <w:color w:val="ffffff" w:themeColor="background1"/>
      </w:rPr>
      <w:tblPr/>
      <w:tcPr>
        <w:tcBorders>
          <w:bottom w:color="ffffff" w:space="0" w:sz="12" w:themeColor="background1" w:val="single"/>
        </w:tcBorders>
        <w:shd w:color="auto" w:fill="664e82" w:themeFill="accent4" w:themeFillShade="0000CC" w:val="clear"/>
      </w:tcPr>
    </w:tblStylePr>
    <w:tblStylePr w:type="lastRow">
      <w:rPr>
        <w:b w:val="1"/>
        <w:bCs w:val="1"/>
        <w:color w:val="664e82" w:themeColor="accent4"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6eed5" w:themeFill="accent3" w:themeFillTint="00003F" w:val="clear"/>
      </w:tcPr>
    </w:tblStylePr>
    <w:tblStylePr w:type="band1Horz">
      <w:tblPr/>
      <w:tcPr>
        <w:shd w:color="auto" w:fill="eaf1dd" w:themeFill="accent3" w:themeFillTint="000033" w:val="clear"/>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color="auto" w:fill="f2eff6" w:themeFill="accent4" w:themeFillTint="000019" w:val="clear"/>
    </w:tcPr>
    <w:tblStylePr w:type="firstRow">
      <w:rPr>
        <w:b w:val="1"/>
        <w:bCs w:val="1"/>
        <w:color w:val="ffffff" w:themeColor="background1"/>
      </w:rPr>
      <w:tblPr/>
      <w:tcPr>
        <w:tcBorders>
          <w:bottom w:color="ffffff" w:space="0" w:sz="12" w:themeColor="background1" w:val="single"/>
        </w:tcBorders>
        <w:shd w:color="auto" w:fill="7e9c40" w:themeFill="accent3" w:themeFillShade="0000CC" w:val="clear"/>
      </w:tcPr>
    </w:tblStylePr>
    <w:tblStylePr w:type="lastRow">
      <w:rPr>
        <w:b w:val="1"/>
        <w:bCs w:val="1"/>
        <w:color w:val="7e9c40" w:themeColor="accent3"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fd8e8" w:themeFill="accent4" w:themeFillTint="00003F" w:val="clear"/>
      </w:tcPr>
    </w:tblStylePr>
    <w:tblStylePr w:type="band1Horz">
      <w:tblPr/>
      <w:tcPr>
        <w:shd w:color="auto" w:fill="e5dfec" w:themeFill="accent4" w:themeFillTint="000033" w:val="clear"/>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color="auto" w:fill="edf6f9" w:themeFill="accent5" w:themeFillTint="000019" w:val="clear"/>
    </w:tcPr>
    <w:tblStylePr w:type="firstRow">
      <w:rPr>
        <w:b w:val="1"/>
        <w:bCs w:val="1"/>
        <w:color w:val="ffffff" w:themeColor="background1"/>
      </w:rPr>
      <w:tblPr/>
      <w:tcPr>
        <w:tcBorders>
          <w:bottom w:color="ffffff" w:space="0" w:sz="12" w:themeColor="background1" w:val="single"/>
        </w:tcBorders>
        <w:shd w:color="auto" w:fill="f2730a" w:themeFill="accent6" w:themeFillShade="0000CC" w:val="clear"/>
      </w:tcPr>
    </w:tblStylePr>
    <w:tblStylePr w:type="lastRow">
      <w:rPr>
        <w:b w:val="1"/>
        <w:bCs w:val="1"/>
        <w:color w:val="f2730a" w:themeColor="accent6"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2eaf1" w:themeFill="accent5" w:themeFillTint="00003F" w:val="clear"/>
      </w:tcPr>
    </w:tblStylePr>
    <w:tblStylePr w:type="band1Horz">
      <w:tblPr/>
      <w:tcPr>
        <w:shd w:color="auto" w:fill="daeef3" w:themeFill="accent5" w:themeFillTint="000033" w:val="clear"/>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color="auto" w:fill="fef4ec" w:themeFill="accent6" w:themeFillTint="000019" w:val="clear"/>
    </w:tcPr>
    <w:tblStylePr w:type="firstRow">
      <w:rPr>
        <w:b w:val="1"/>
        <w:bCs w:val="1"/>
        <w:color w:val="ffffff" w:themeColor="background1"/>
      </w:rPr>
      <w:tblPr/>
      <w:tcPr>
        <w:tcBorders>
          <w:bottom w:color="ffffff" w:space="0" w:sz="12" w:themeColor="background1" w:val="single"/>
        </w:tcBorders>
        <w:shd w:color="auto" w:fill="348da5" w:themeFill="accent5" w:themeFillShade="0000CC" w:val="clear"/>
      </w:tcPr>
    </w:tblStylePr>
    <w:tblStylePr w:type="lastRow">
      <w:rPr>
        <w:b w:val="1"/>
        <w:bCs w:val="1"/>
        <w:color w:val="348da5" w:themeColor="accent5"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fde4d0" w:themeFill="accent6" w:themeFillTint="00003F" w:val="clear"/>
      </w:tcPr>
    </w:tblStylePr>
    <w:tblStylePr w:type="band1Horz">
      <w:tblPr/>
      <w:tcPr>
        <w:shd w:color="auto" w:fill="fde9d9" w:themeFill="accent6" w:themeFillTint="000033" w:val="clear"/>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cccccc" w:themeFill="text1" w:themeFillTint="000033" w:val="clear"/>
    </w:tcPr>
    <w:tblStylePr w:type="firstRow">
      <w:rPr>
        <w:b w:val="1"/>
        <w:bCs w:val="1"/>
      </w:rPr>
      <w:tblPr/>
      <w:tcPr>
        <w:shd w:color="auto" w:fill="999999" w:themeFill="text1" w:themeFillTint="000066" w:val="clear"/>
      </w:tcPr>
    </w:tblStylePr>
    <w:tblStylePr w:type="lastRow">
      <w:rPr>
        <w:b w:val="1"/>
        <w:bCs w:val="1"/>
        <w:color w:val="000000" w:themeColor="text1"/>
      </w:rPr>
      <w:tblPr/>
      <w:tcPr>
        <w:shd w:color="auto" w:fill="999999" w:themeFill="text1" w:themeFillTint="000066" w:val="clear"/>
      </w:tcPr>
    </w:tblStylePr>
    <w:tblStylePr w:type="firstCol">
      <w:rPr>
        <w:color w:val="ffffff" w:themeColor="background1"/>
      </w:rPr>
      <w:tblPr/>
      <w:tcPr>
        <w:shd w:color="auto" w:fill="000000" w:themeFill="text1" w:themeFillShade="0000BF" w:val="clear"/>
      </w:tcPr>
    </w:tblStylePr>
    <w:tblStylePr w:type="lastCol">
      <w:rPr>
        <w:color w:val="ffffff" w:themeColor="background1"/>
      </w:rPr>
      <w:tblPr/>
      <w:tcPr>
        <w:shd w:color="auto" w:fill="000000" w:themeFill="text1" w:themeFillShade="0000BF" w:val="clear"/>
      </w:tc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dbe5f1" w:themeFill="accent1" w:themeFillTint="000033" w:val="clear"/>
    </w:tcPr>
    <w:tblStylePr w:type="firstRow">
      <w:rPr>
        <w:b w:val="1"/>
        <w:bCs w:val="1"/>
      </w:rPr>
      <w:tblPr/>
      <w:tcPr>
        <w:shd w:color="auto" w:fill="b8cce4" w:themeFill="accent1" w:themeFillTint="000066" w:val="clear"/>
      </w:tcPr>
    </w:tblStylePr>
    <w:tblStylePr w:type="lastRow">
      <w:rPr>
        <w:b w:val="1"/>
        <w:bCs w:val="1"/>
        <w:color w:val="000000" w:themeColor="text1"/>
      </w:rPr>
      <w:tblPr/>
      <w:tcPr>
        <w:shd w:color="auto" w:fill="b8cce4" w:themeFill="accent1" w:themeFillTint="000066" w:val="clear"/>
      </w:tcPr>
    </w:tblStylePr>
    <w:tblStylePr w:type="firstCol">
      <w:rPr>
        <w:color w:val="ffffff" w:themeColor="background1"/>
      </w:rPr>
      <w:tblPr/>
      <w:tcPr>
        <w:shd w:color="auto" w:fill="365f91" w:themeFill="accent1" w:themeFillShade="0000BF" w:val="clear"/>
      </w:tcPr>
    </w:tblStylePr>
    <w:tblStylePr w:type="lastCol">
      <w:rPr>
        <w:color w:val="ffffff" w:themeColor="background1"/>
      </w:rPr>
      <w:tblPr/>
      <w:tcPr>
        <w:shd w:color="auto" w:fill="365f91" w:themeFill="accent1" w:themeFillShade="0000BF" w:val="clear"/>
      </w:tc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f2dbdb" w:themeFill="accent2" w:themeFillTint="000033" w:val="clear"/>
    </w:tcPr>
    <w:tblStylePr w:type="firstRow">
      <w:rPr>
        <w:b w:val="1"/>
        <w:bCs w:val="1"/>
      </w:rPr>
      <w:tblPr/>
      <w:tcPr>
        <w:shd w:color="auto" w:fill="e5b8b7" w:themeFill="accent2" w:themeFillTint="000066" w:val="clear"/>
      </w:tcPr>
    </w:tblStylePr>
    <w:tblStylePr w:type="lastRow">
      <w:rPr>
        <w:b w:val="1"/>
        <w:bCs w:val="1"/>
        <w:color w:val="000000" w:themeColor="text1"/>
      </w:rPr>
      <w:tblPr/>
      <w:tcPr>
        <w:shd w:color="auto" w:fill="e5b8b7" w:themeFill="accent2" w:themeFillTint="000066" w:val="clear"/>
      </w:tcPr>
    </w:tblStylePr>
    <w:tblStylePr w:type="firstCol">
      <w:rPr>
        <w:color w:val="ffffff" w:themeColor="background1"/>
      </w:rPr>
      <w:tblPr/>
      <w:tcPr>
        <w:shd w:color="auto" w:fill="943634" w:themeFill="accent2" w:themeFillShade="0000BF" w:val="clear"/>
      </w:tcPr>
    </w:tblStylePr>
    <w:tblStylePr w:type="lastCol">
      <w:rPr>
        <w:color w:val="ffffff" w:themeColor="background1"/>
      </w:rPr>
      <w:tblPr/>
      <w:tcPr>
        <w:shd w:color="auto" w:fill="943634" w:themeFill="accent2" w:themeFillShade="0000BF" w:val="clear"/>
      </w:tc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eaf1dd" w:themeFill="accent3" w:themeFillTint="000033" w:val="clear"/>
    </w:tcPr>
    <w:tblStylePr w:type="firstRow">
      <w:rPr>
        <w:b w:val="1"/>
        <w:bCs w:val="1"/>
      </w:rPr>
      <w:tblPr/>
      <w:tcPr>
        <w:shd w:color="auto" w:fill="d6e3bc" w:themeFill="accent3" w:themeFillTint="000066" w:val="clear"/>
      </w:tcPr>
    </w:tblStylePr>
    <w:tblStylePr w:type="lastRow">
      <w:rPr>
        <w:b w:val="1"/>
        <w:bCs w:val="1"/>
        <w:color w:val="000000" w:themeColor="text1"/>
      </w:rPr>
      <w:tblPr/>
      <w:tcPr>
        <w:shd w:color="auto" w:fill="d6e3bc" w:themeFill="accent3" w:themeFillTint="000066" w:val="clear"/>
      </w:tcPr>
    </w:tblStylePr>
    <w:tblStylePr w:type="firstCol">
      <w:rPr>
        <w:color w:val="ffffff" w:themeColor="background1"/>
      </w:rPr>
      <w:tblPr/>
      <w:tcPr>
        <w:shd w:color="auto" w:fill="76923c" w:themeFill="accent3" w:themeFillShade="0000BF" w:val="clear"/>
      </w:tcPr>
    </w:tblStylePr>
    <w:tblStylePr w:type="lastCol">
      <w:rPr>
        <w:color w:val="ffffff" w:themeColor="background1"/>
      </w:rPr>
      <w:tblPr/>
      <w:tcPr>
        <w:shd w:color="auto" w:fill="76923c" w:themeFill="accent3" w:themeFillShade="0000BF" w:val="clear"/>
      </w:tc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e5dfec" w:themeFill="accent4" w:themeFillTint="000033" w:val="clear"/>
    </w:tcPr>
    <w:tblStylePr w:type="firstRow">
      <w:rPr>
        <w:b w:val="1"/>
        <w:bCs w:val="1"/>
      </w:rPr>
      <w:tblPr/>
      <w:tcPr>
        <w:shd w:color="auto" w:fill="ccc0d9" w:themeFill="accent4" w:themeFillTint="000066" w:val="clear"/>
      </w:tcPr>
    </w:tblStylePr>
    <w:tblStylePr w:type="lastRow">
      <w:rPr>
        <w:b w:val="1"/>
        <w:bCs w:val="1"/>
        <w:color w:val="000000" w:themeColor="text1"/>
      </w:rPr>
      <w:tblPr/>
      <w:tcPr>
        <w:shd w:color="auto" w:fill="ccc0d9" w:themeFill="accent4" w:themeFillTint="000066" w:val="clear"/>
      </w:tcPr>
    </w:tblStylePr>
    <w:tblStylePr w:type="firstCol">
      <w:rPr>
        <w:color w:val="ffffff" w:themeColor="background1"/>
      </w:rPr>
      <w:tblPr/>
      <w:tcPr>
        <w:shd w:color="auto" w:fill="5f497a" w:themeFill="accent4" w:themeFillShade="0000BF" w:val="clear"/>
      </w:tcPr>
    </w:tblStylePr>
    <w:tblStylePr w:type="lastCol">
      <w:rPr>
        <w:color w:val="ffffff" w:themeColor="background1"/>
      </w:rPr>
      <w:tblPr/>
      <w:tcPr>
        <w:shd w:color="auto" w:fill="5f497a" w:themeFill="accent4" w:themeFillShade="0000BF" w:val="clear"/>
      </w:tc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daeef3" w:themeFill="accent5" w:themeFillTint="000033" w:val="clear"/>
    </w:tcPr>
    <w:tblStylePr w:type="firstRow">
      <w:rPr>
        <w:b w:val="1"/>
        <w:bCs w:val="1"/>
      </w:rPr>
      <w:tblPr/>
      <w:tcPr>
        <w:shd w:color="auto" w:fill="b6dde8" w:themeFill="accent5" w:themeFillTint="000066" w:val="clear"/>
      </w:tcPr>
    </w:tblStylePr>
    <w:tblStylePr w:type="lastRow">
      <w:rPr>
        <w:b w:val="1"/>
        <w:bCs w:val="1"/>
        <w:color w:val="000000" w:themeColor="text1"/>
      </w:rPr>
      <w:tblPr/>
      <w:tcPr>
        <w:shd w:color="auto" w:fill="b6dde8" w:themeFill="accent5" w:themeFillTint="000066" w:val="clear"/>
      </w:tcPr>
    </w:tblStylePr>
    <w:tblStylePr w:type="firstCol">
      <w:rPr>
        <w:color w:val="ffffff" w:themeColor="background1"/>
      </w:rPr>
      <w:tblPr/>
      <w:tcPr>
        <w:shd w:color="auto" w:fill="31849b" w:themeFill="accent5" w:themeFillShade="0000BF" w:val="clear"/>
      </w:tcPr>
    </w:tblStylePr>
    <w:tblStylePr w:type="lastCol">
      <w:rPr>
        <w:color w:val="ffffff" w:themeColor="background1"/>
      </w:rPr>
      <w:tblPr/>
      <w:tcPr>
        <w:shd w:color="auto" w:fill="31849b" w:themeFill="accent5" w:themeFillShade="0000BF" w:val="clear"/>
      </w:tc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fde9d9" w:themeFill="accent6" w:themeFillTint="000033" w:val="clear"/>
    </w:tcPr>
    <w:tblStylePr w:type="firstRow">
      <w:rPr>
        <w:b w:val="1"/>
        <w:bCs w:val="1"/>
      </w:rPr>
      <w:tblPr/>
      <w:tcPr>
        <w:shd w:color="auto" w:fill="fbd4b4" w:themeFill="accent6" w:themeFillTint="000066" w:val="clear"/>
      </w:tcPr>
    </w:tblStylePr>
    <w:tblStylePr w:type="lastRow">
      <w:rPr>
        <w:b w:val="1"/>
        <w:bCs w:val="1"/>
        <w:color w:val="000000" w:themeColor="text1"/>
      </w:rPr>
      <w:tblPr/>
      <w:tcPr>
        <w:shd w:color="auto" w:fill="fbd4b4" w:themeFill="accent6" w:themeFillTint="000066" w:val="clear"/>
      </w:tcPr>
    </w:tblStylePr>
    <w:tblStylePr w:type="firstCol">
      <w:rPr>
        <w:color w:val="ffffff" w:themeColor="background1"/>
      </w:rPr>
      <w:tblPr/>
      <w:tcPr>
        <w:shd w:color="auto" w:fill="e36c0a" w:themeFill="accent6" w:themeFillShade="0000BF" w:val="clear"/>
      </w:tcPr>
    </w:tblStylePr>
    <w:tblStylePr w:type="lastCol">
      <w:rPr>
        <w:color w:val="ffffff" w:themeColor="background1"/>
      </w:rPr>
      <w:tblPr/>
      <w:tcPr>
        <w:shd w:color="auto" w:fill="e36c0a" w:themeFill="accent6" w:themeFillShade="0000BF" w:val="clear"/>
      </w:tc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table" w:styleId="Table1">
    <w:basedOn w:val="TableNormal"/>
    <w:tblPr>
      <w:tblStyleRowBandSize w:val="1"/>
      <w:tblStyleColBandSize w:val="1"/>
    </w:tblPr>
  </w:style>
  <w:style w:type="paragraph" w:styleId="Subtitle">
    <w:name w:val="Subtitle"/>
    <w:basedOn w:val="Normal"/>
    <w:next w:val="Normal"/>
    <w:pPr/>
    <w:rPr>
      <w:rFonts w:ascii="Calibri" w:cs="Calibri" w:eastAsia="Calibri" w:hAnsi="Calibri"/>
      <w:i w:val="1"/>
      <w:iCs w:val="1"/>
      <w:color w:val="4f81bd"/>
      <w:sz w:val="24"/>
      <w:szCs w:val="24"/>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footer" Target="footer1.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1PIRmAYYaokIEUHhUEG5SIj/XA==">CgMxLjAaHwoBMBIaChgICVIUChJ0YWJsZS5yYmRnOXFtb3g5djcyDmgubHQ3OWowN2F4a2hwMg5oLnZhcGc5aGducTd5YzIOaC53enVjcTA0ZnRpbHUyDmgua3QyYjFob3p6cTdyMg5oLjlsb2t5MmVtZ3ByOTIOaC5sdDc5ajA3YXhraHAyDmguejAyMnduMWFrd2ZmMg5oLjQ4cGQwbm5xaW56NzIOaC5leHo0azV0d3VtdGgyDmguMWY4ZjVwcGNyeW84Mg5oLm9naDdnbmowN3RtYjIOaC52MnBoNGNwcXlzb2kyDmgueHdvdGNwbHJqMjV5Mg5oLms1aXd4aDQyejh6ODIOaC4zbnIxbGhtb2x6cHo4AHIhMWxfSXEzZUVxZXAwNE5GWTRBNXdLaFlmYTNvcThjUnJ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2025-11-24T23:16:00Z</dcterms:created>
  <dc:creator>python-docx</dc:creator>
</cp:coreProperties>
</file>