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9FBCC" w14:textId="77777777" w:rsidR="009542E3" w:rsidRPr="002519E7" w:rsidRDefault="009542E3" w:rsidP="009542E3">
      <w:pPr>
        <w:rPr>
          <w:rFonts w:ascii="Arial" w:hAnsi="Arial"/>
          <w:b/>
          <w:sz w:val="32"/>
          <w:u w:val="single"/>
        </w:rPr>
      </w:pPr>
    </w:p>
    <w:p w14:paraId="238D8F90" w14:textId="44C381C7" w:rsidR="009542E3" w:rsidRPr="00F233CA" w:rsidRDefault="00F233CA" w:rsidP="009542E3">
      <w:pPr>
        <w:jc w:val="center"/>
        <w:rPr>
          <w:rFonts w:ascii="Arial" w:hAnsi="Arial"/>
          <w:b/>
          <w:bCs/>
          <w:sz w:val="38"/>
          <w:szCs w:val="36"/>
          <w:u w:val="single"/>
        </w:rPr>
      </w:pPr>
      <w:r w:rsidRPr="00F233CA">
        <w:rPr>
          <w:rFonts w:ascii="Arial" w:hAnsi="Arial"/>
          <w:b/>
          <w:bCs/>
          <w:sz w:val="46"/>
          <w:szCs w:val="36"/>
          <w:u w:val="single"/>
        </w:rPr>
        <w:t>How to engage employees through the</w:t>
      </w:r>
      <w:r w:rsidR="009542E3" w:rsidRPr="00F233CA">
        <w:rPr>
          <w:rFonts w:ascii="Arial" w:hAnsi="Arial"/>
          <w:b/>
          <w:bCs/>
          <w:sz w:val="46"/>
          <w:szCs w:val="36"/>
          <w:u w:val="single"/>
        </w:rPr>
        <w:t xml:space="preserve"> </w:t>
      </w:r>
      <w:r w:rsidRPr="00F233CA">
        <w:rPr>
          <w:rFonts w:ascii="Arial" w:hAnsi="Arial"/>
          <w:b/>
          <w:bCs/>
          <w:sz w:val="46"/>
          <w:szCs w:val="36"/>
          <w:u w:val="single"/>
        </w:rPr>
        <w:t>e</w:t>
      </w:r>
      <w:r w:rsidR="009542E3" w:rsidRPr="00F233CA">
        <w:rPr>
          <w:rFonts w:ascii="Arial" w:hAnsi="Arial"/>
          <w:b/>
          <w:bCs/>
          <w:sz w:val="46"/>
          <w:szCs w:val="36"/>
          <w:u w:val="single"/>
        </w:rPr>
        <w:t>m</w:t>
      </w:r>
      <w:r w:rsidRPr="00F233CA">
        <w:rPr>
          <w:rFonts w:ascii="Arial" w:hAnsi="Arial"/>
          <w:b/>
          <w:bCs/>
          <w:sz w:val="46"/>
          <w:szCs w:val="36"/>
          <w:u w:val="single"/>
        </w:rPr>
        <w:t>pl</w:t>
      </w:r>
      <w:r w:rsidR="009542E3" w:rsidRPr="00F233CA">
        <w:rPr>
          <w:rFonts w:ascii="Arial" w:hAnsi="Arial"/>
          <w:b/>
          <w:bCs/>
          <w:sz w:val="46"/>
          <w:szCs w:val="36"/>
          <w:u w:val="single"/>
        </w:rPr>
        <w:t xml:space="preserve">oyee </w:t>
      </w:r>
      <w:r>
        <w:rPr>
          <w:rFonts w:ascii="Arial" w:hAnsi="Arial"/>
          <w:b/>
          <w:bCs/>
          <w:sz w:val="46"/>
          <w:szCs w:val="36"/>
          <w:u w:val="single"/>
        </w:rPr>
        <w:t>lifecycle</w:t>
      </w:r>
    </w:p>
    <w:p w14:paraId="08C9419C" w14:textId="77777777" w:rsidR="009542E3" w:rsidRPr="007C2394" w:rsidRDefault="009542E3" w:rsidP="009542E3">
      <w:pPr>
        <w:jc w:val="center"/>
        <w:rPr>
          <w:rFonts w:ascii="Arial" w:hAnsi="Arial"/>
          <w:b/>
          <w:bCs/>
          <w:sz w:val="38"/>
          <w:szCs w:val="36"/>
        </w:rPr>
      </w:pPr>
    </w:p>
    <w:p w14:paraId="2BE6BD4A" w14:textId="77777777" w:rsidR="009542E3" w:rsidRPr="00F233CA" w:rsidRDefault="009542E3" w:rsidP="009542E3">
      <w:pPr>
        <w:ind w:right="121"/>
        <w:jc w:val="center"/>
        <w:rPr>
          <w:rFonts w:asciiTheme="minorBidi" w:hAnsiTheme="minorBidi"/>
          <w:b/>
          <w:bCs/>
          <w:sz w:val="48"/>
          <w:szCs w:val="46"/>
        </w:rPr>
      </w:pPr>
      <w:r w:rsidRPr="00F233CA">
        <w:rPr>
          <w:rFonts w:ascii="Arial" w:hAnsi="Arial"/>
          <w:b/>
          <w:bCs/>
          <w:sz w:val="48"/>
          <w:szCs w:val="46"/>
        </w:rPr>
        <w:t>Module Title</w:t>
      </w:r>
      <w:r w:rsidRPr="00F233CA">
        <w:rPr>
          <w:rFonts w:ascii="Arial" w:hAnsi="Arial" w:cs="Arial"/>
          <w:b/>
          <w:bCs/>
          <w:sz w:val="48"/>
          <w:szCs w:val="46"/>
        </w:rPr>
        <w:t>: Personnel Resourcing and Development</w:t>
      </w:r>
    </w:p>
    <w:p w14:paraId="4DF87B86" w14:textId="77777777" w:rsidR="009542E3" w:rsidRPr="007C2394" w:rsidRDefault="009542E3" w:rsidP="009542E3">
      <w:pPr>
        <w:jc w:val="center"/>
        <w:rPr>
          <w:rFonts w:ascii="Arial" w:hAnsi="Arial"/>
          <w:b/>
          <w:bCs/>
          <w:sz w:val="54"/>
          <w:szCs w:val="52"/>
        </w:rPr>
      </w:pPr>
      <w:r w:rsidRPr="007C2394">
        <w:rPr>
          <w:rFonts w:ascii="Arial" w:hAnsi="Arial"/>
          <w:b/>
          <w:bCs/>
          <w:sz w:val="54"/>
          <w:szCs w:val="52"/>
        </w:rPr>
        <w:t>Module Code: BMIH5005</w:t>
      </w:r>
    </w:p>
    <w:p w14:paraId="50A7B3FF" w14:textId="77777777" w:rsidR="009542E3" w:rsidRPr="00F233CA" w:rsidRDefault="009542E3" w:rsidP="009542E3">
      <w:pPr>
        <w:jc w:val="center"/>
        <w:rPr>
          <w:rFonts w:ascii="Arial" w:hAnsi="Arial"/>
          <w:b/>
          <w:bCs/>
          <w:sz w:val="42"/>
          <w:szCs w:val="40"/>
        </w:rPr>
      </w:pPr>
      <w:r w:rsidRPr="00F233CA">
        <w:rPr>
          <w:rFonts w:ascii="Arial" w:hAnsi="Arial"/>
          <w:b/>
          <w:bCs/>
          <w:sz w:val="42"/>
          <w:szCs w:val="40"/>
        </w:rPr>
        <w:t>Lecturer’s Name: Emma Roberts</w:t>
      </w:r>
    </w:p>
    <w:p w14:paraId="4CB12231" w14:textId="77777777" w:rsidR="009542E3" w:rsidRDefault="009542E3" w:rsidP="009542E3">
      <w:pPr>
        <w:jc w:val="center"/>
        <w:rPr>
          <w:rFonts w:ascii="Arial" w:hAnsi="Arial"/>
          <w:b/>
          <w:bCs/>
          <w:sz w:val="38"/>
          <w:szCs w:val="36"/>
        </w:rPr>
      </w:pPr>
      <w:r>
        <w:rPr>
          <w:rFonts w:ascii="Arial" w:hAnsi="Arial"/>
          <w:b/>
          <w:bCs/>
          <w:sz w:val="38"/>
          <w:szCs w:val="36"/>
        </w:rPr>
        <w:t>Student</w:t>
      </w:r>
      <w:r w:rsidRPr="007C2394">
        <w:rPr>
          <w:rFonts w:ascii="Arial" w:hAnsi="Arial"/>
          <w:b/>
          <w:bCs/>
          <w:sz w:val="38"/>
          <w:szCs w:val="36"/>
        </w:rPr>
        <w:t>: Muhammed Azizur Rahman</w:t>
      </w:r>
    </w:p>
    <w:p w14:paraId="42798280" w14:textId="77777777" w:rsidR="009542E3" w:rsidRDefault="009542E3" w:rsidP="009542E3">
      <w:pPr>
        <w:jc w:val="center"/>
        <w:rPr>
          <w:rFonts w:ascii="Arial" w:hAnsi="Arial"/>
          <w:b/>
          <w:bCs/>
          <w:sz w:val="38"/>
          <w:szCs w:val="36"/>
        </w:rPr>
      </w:pPr>
      <w:r>
        <w:rPr>
          <w:rFonts w:ascii="Arial" w:hAnsi="Arial"/>
          <w:b/>
          <w:bCs/>
          <w:sz w:val="38"/>
          <w:szCs w:val="36"/>
        </w:rPr>
        <w:t>2107283@student.uwtsd.ac.uk</w:t>
      </w:r>
    </w:p>
    <w:p w14:paraId="4A903407" w14:textId="77777777" w:rsidR="009542E3" w:rsidRDefault="009542E3" w:rsidP="009542E3">
      <w:pPr>
        <w:jc w:val="center"/>
        <w:rPr>
          <w:rFonts w:ascii="Arial" w:hAnsi="Arial"/>
        </w:rPr>
      </w:pPr>
    </w:p>
    <w:p w14:paraId="1928CDFB" w14:textId="77777777" w:rsidR="009542E3" w:rsidRDefault="009542E3" w:rsidP="009542E3">
      <w:pPr>
        <w:rPr>
          <w:rFonts w:ascii="Arial" w:hAnsi="Arial"/>
        </w:rPr>
      </w:pPr>
      <w:r>
        <w:rPr>
          <w:rFonts w:ascii="Arial" w:hAnsi="Arial"/>
        </w:rPr>
        <w:br w:type="page"/>
      </w:r>
    </w:p>
    <w:p w14:paraId="4D72DD11" w14:textId="77777777" w:rsidR="009542E3" w:rsidRDefault="009542E3" w:rsidP="009542E3">
      <w:pPr>
        <w:jc w:val="center"/>
        <w:rPr>
          <w:rFonts w:ascii="Arial" w:hAnsi="Arial"/>
          <w:b/>
          <w:sz w:val="32"/>
        </w:rPr>
      </w:pPr>
      <w:r>
        <w:rPr>
          <w:rFonts w:ascii="Arial" w:hAnsi="Arial"/>
          <w:b/>
          <w:sz w:val="32"/>
        </w:rPr>
        <w:lastRenderedPageBreak/>
        <w:t>How to engage employees throughout the employee lifecycle</w:t>
      </w:r>
    </w:p>
    <w:p w14:paraId="4A97A892" w14:textId="77777777" w:rsidR="009542E3" w:rsidRDefault="009542E3" w:rsidP="009542E3">
      <w:pPr>
        <w:rPr>
          <w:rFonts w:ascii="Arial" w:hAnsi="Arial"/>
        </w:rPr>
      </w:pPr>
    </w:p>
    <w:p w14:paraId="372AC93F" w14:textId="77777777" w:rsidR="009542E3" w:rsidRDefault="009542E3" w:rsidP="009542E3">
      <w:pPr>
        <w:rPr>
          <w:rFonts w:ascii="Arial" w:hAnsi="Arial"/>
        </w:rPr>
      </w:pPr>
    </w:p>
    <w:p w14:paraId="7F77586A" w14:textId="310A0C5F" w:rsidR="009542E3" w:rsidRDefault="009542E3" w:rsidP="009542E3">
      <w:pPr>
        <w:rPr>
          <w:rFonts w:ascii="Arial" w:hAnsi="Arial"/>
        </w:rPr>
      </w:pPr>
      <w:r>
        <w:rPr>
          <w:rFonts w:ascii="Arial" w:hAnsi="Arial"/>
        </w:rPr>
        <w:t xml:space="preserve">HR can use a framework called the "employee life cycle" to look at the </w:t>
      </w:r>
      <w:proofErr w:type="gramStart"/>
      <w:r w:rsidR="00D713D1">
        <w:rPr>
          <w:rFonts w:ascii="Arial" w:hAnsi="Arial"/>
        </w:rPr>
        <w:t>stages</w:t>
      </w:r>
      <w:proofErr w:type="gramEnd"/>
      <w:r>
        <w:rPr>
          <w:rFonts w:ascii="Arial" w:hAnsi="Arial"/>
        </w:rPr>
        <w:t xml:space="preserve"> employees go through during their time working for an organization. The employee life cycle model, which typically consists of five to six stages from initial attraction to eventual separation is a good tool for enhancing HR's understanding of how employees interact with their employers in various career stages.</w:t>
      </w:r>
    </w:p>
    <w:p w14:paraId="2087D53E" w14:textId="77777777" w:rsidR="009542E3" w:rsidRDefault="009542E3" w:rsidP="009542E3">
      <w:pPr>
        <w:rPr>
          <w:rFonts w:ascii="Arial" w:hAnsi="Arial"/>
        </w:rPr>
      </w:pPr>
      <w:r>
        <w:rPr>
          <w:rFonts w:ascii="Arial" w:hAnsi="Arial"/>
        </w:rPr>
        <w:t>The definition of employee experience is not as linear and simple as it may present. This is the result of a deficiency of in-depth research, As the academic discussion around employee experience has only started recently and the concept is not deeply rooted in the scientific literature</w:t>
      </w:r>
      <w:sdt>
        <w:sdtPr>
          <w:rPr>
            <w:rFonts w:ascii="Arial" w:hAnsi="Arial"/>
          </w:rPr>
          <w:id w:val="-1662844588"/>
          <w:citation/>
        </w:sdtPr>
        <w:sdtEndPr/>
        <w:sdtContent>
          <w:r>
            <w:rPr>
              <w:rFonts w:ascii="Arial" w:hAnsi="Arial"/>
            </w:rPr>
            <w:fldChar w:fldCharType="begin"/>
          </w:r>
          <w:r>
            <w:rPr>
              <w:rFonts w:ascii="Arial" w:hAnsi="Arial"/>
            </w:rPr>
            <w:instrText xml:space="preserve"> CITATION Str15 \l 1033 </w:instrText>
          </w:r>
          <w:r>
            <w:rPr>
              <w:rFonts w:ascii="Arial" w:hAnsi="Arial"/>
            </w:rPr>
            <w:fldChar w:fldCharType="separate"/>
          </w:r>
          <w:r>
            <w:rPr>
              <w:rFonts w:ascii="Arial" w:hAnsi="Arial"/>
              <w:noProof/>
            </w:rPr>
            <w:t xml:space="preserve"> (Geogardias, 2015)</w:t>
          </w:r>
          <w:r>
            <w:rPr>
              <w:rFonts w:ascii="Arial" w:hAnsi="Arial"/>
            </w:rPr>
            <w:fldChar w:fldCharType="end"/>
          </w:r>
        </w:sdtContent>
      </w:sdt>
      <w:sdt>
        <w:sdtPr>
          <w:rPr>
            <w:rFonts w:ascii="Arial" w:hAnsi="Arial"/>
          </w:rPr>
          <w:id w:val="504096721"/>
          <w:citation/>
        </w:sdtPr>
        <w:sdtEndPr/>
        <w:sdtContent>
          <w:r>
            <w:rPr>
              <w:rFonts w:ascii="Arial" w:hAnsi="Arial"/>
            </w:rPr>
            <w:fldChar w:fldCharType="begin"/>
          </w:r>
          <w:r>
            <w:rPr>
              <w:rFonts w:ascii="Arial" w:hAnsi="Arial"/>
            </w:rPr>
            <w:instrText xml:space="preserve"> CITATION Jas13 \l 1033 </w:instrText>
          </w:r>
          <w:r>
            <w:rPr>
              <w:rFonts w:ascii="Arial" w:hAnsi="Arial"/>
            </w:rPr>
            <w:fldChar w:fldCharType="separate"/>
          </w:r>
          <w:r>
            <w:rPr>
              <w:rFonts w:ascii="Arial" w:hAnsi="Arial"/>
              <w:noProof/>
            </w:rPr>
            <w:t xml:space="preserve"> (H., 2013)</w:t>
          </w:r>
          <w:r>
            <w:rPr>
              <w:rFonts w:ascii="Arial" w:hAnsi="Arial"/>
            </w:rPr>
            <w:fldChar w:fldCharType="end"/>
          </w:r>
        </w:sdtContent>
      </w:sdt>
      <w:r>
        <w:rPr>
          <w:rFonts w:ascii="Arial" w:hAnsi="Arial"/>
        </w:rPr>
        <w:t>. Morgan also shared this view and argued that employee experience must be evaluated for better employee satisfaction.</w:t>
      </w:r>
    </w:p>
    <w:p w14:paraId="160C7362" w14:textId="68890075" w:rsidR="009542E3" w:rsidRDefault="009542E3" w:rsidP="009542E3">
      <w:pPr>
        <w:rPr>
          <w:rFonts w:ascii="Arial" w:hAnsi="Arial"/>
        </w:rPr>
      </w:pPr>
      <w:r>
        <w:rPr>
          <w:rFonts w:ascii="Arial" w:hAnsi="Arial"/>
        </w:rPr>
        <w:t xml:space="preserve">The employee life cycle can be used by HR professionals to make sure that the employees are always engaged and work at their best. HR can view the employee experiences as clearly and preciously as the </w:t>
      </w:r>
      <w:proofErr w:type="gramStart"/>
      <w:r w:rsidR="00D713D1">
        <w:rPr>
          <w:rFonts w:ascii="Arial" w:hAnsi="Arial"/>
        </w:rPr>
        <w:t>marketers</w:t>
      </w:r>
      <w:proofErr w:type="gramEnd"/>
      <w:r>
        <w:rPr>
          <w:rFonts w:ascii="Arial" w:hAnsi="Arial"/>
        </w:rPr>
        <w:t xml:space="preserve"> view customer satisfaction</w:t>
      </w:r>
      <w:sdt>
        <w:sdtPr>
          <w:rPr>
            <w:rFonts w:ascii="Arial" w:hAnsi="Arial"/>
          </w:rPr>
          <w:id w:val="-2114885945"/>
          <w:citation/>
        </w:sdtPr>
        <w:sdtEndPr/>
        <w:sdtContent>
          <w:r>
            <w:rPr>
              <w:rFonts w:ascii="Arial" w:hAnsi="Arial"/>
            </w:rPr>
            <w:fldChar w:fldCharType="begin"/>
          </w:r>
          <w:r>
            <w:rPr>
              <w:rFonts w:ascii="Arial" w:hAnsi="Arial"/>
            </w:rPr>
            <w:instrText xml:space="preserve"> CITATION HJa13 \l 1033 </w:instrText>
          </w:r>
          <w:r>
            <w:rPr>
              <w:rFonts w:ascii="Arial" w:hAnsi="Arial"/>
            </w:rPr>
            <w:fldChar w:fldCharType="separate"/>
          </w:r>
          <w:r>
            <w:rPr>
              <w:rFonts w:ascii="Arial" w:hAnsi="Arial"/>
              <w:noProof/>
            </w:rPr>
            <w:t xml:space="preserve"> (Jason, 2013)</w:t>
          </w:r>
          <w:r>
            <w:rPr>
              <w:rFonts w:ascii="Arial" w:hAnsi="Arial"/>
            </w:rPr>
            <w:fldChar w:fldCharType="end"/>
          </w:r>
        </w:sdtContent>
      </w:sdt>
      <w:r>
        <w:rPr>
          <w:rFonts w:ascii="Arial" w:hAnsi="Arial"/>
        </w:rPr>
        <w:t>. This allows them to properly determine if their efforts will have the biggest impact, whether it be reshaping your organization's culture and brand to attract the best talent or revamping your organization's onboarding process. A customer journey map reveals why the customer drops out and where they drop out as well as the precautions n necessary to guide their experience from the first time of interaction to the final consumption of the product as well as giving a good review</w:t>
      </w:r>
      <w:sdt>
        <w:sdtPr>
          <w:rPr>
            <w:rFonts w:ascii="Arial" w:hAnsi="Arial"/>
          </w:rPr>
          <w:id w:val="36091412"/>
          <w:citation/>
        </w:sdtPr>
        <w:sdtEndPr/>
        <w:sdtContent>
          <w:r>
            <w:rPr>
              <w:rFonts w:ascii="Arial" w:hAnsi="Arial"/>
            </w:rPr>
            <w:fldChar w:fldCharType="begin"/>
          </w:r>
          <w:r>
            <w:rPr>
              <w:rFonts w:ascii="Arial" w:hAnsi="Arial"/>
            </w:rPr>
            <w:instrText xml:space="preserve"> CITATION Bra19 \l 1033 </w:instrText>
          </w:r>
          <w:r>
            <w:rPr>
              <w:rFonts w:ascii="Arial" w:hAnsi="Arial"/>
            </w:rPr>
            <w:fldChar w:fldCharType="separate"/>
          </w:r>
          <w:r>
            <w:rPr>
              <w:rFonts w:ascii="Arial" w:hAnsi="Arial"/>
              <w:noProof/>
            </w:rPr>
            <w:t xml:space="preserve"> (Shuck, 2019)</w:t>
          </w:r>
          <w:r>
            <w:rPr>
              <w:rFonts w:ascii="Arial" w:hAnsi="Arial"/>
            </w:rPr>
            <w:fldChar w:fldCharType="end"/>
          </w:r>
        </w:sdtContent>
      </w:sdt>
      <w:sdt>
        <w:sdtPr>
          <w:rPr>
            <w:rFonts w:ascii="Arial" w:hAnsi="Arial"/>
          </w:rPr>
          <w:id w:val="972330898"/>
          <w:citation/>
        </w:sdtPr>
        <w:sdtEndPr/>
        <w:sdtContent>
          <w:r>
            <w:rPr>
              <w:rFonts w:ascii="Arial" w:hAnsi="Arial"/>
            </w:rPr>
            <w:fldChar w:fldCharType="begin"/>
          </w:r>
          <w:r>
            <w:rPr>
              <w:rFonts w:ascii="Arial" w:hAnsi="Arial"/>
            </w:rPr>
            <w:instrText xml:space="preserve"> CITATION Tom19 \l 1033 </w:instrText>
          </w:r>
          <w:r>
            <w:rPr>
              <w:rFonts w:ascii="Arial" w:hAnsi="Arial"/>
            </w:rPr>
            <w:fldChar w:fldCharType="separate"/>
          </w:r>
          <w:r>
            <w:rPr>
              <w:rFonts w:ascii="Arial" w:hAnsi="Arial"/>
              <w:noProof/>
            </w:rPr>
            <w:t xml:space="preserve"> (Huckabee, 2019)</w:t>
          </w:r>
          <w:r>
            <w:rPr>
              <w:rFonts w:ascii="Arial" w:hAnsi="Arial"/>
            </w:rPr>
            <w:fldChar w:fldCharType="end"/>
          </w:r>
        </w:sdtContent>
      </w:sdt>
      <w:r>
        <w:rPr>
          <w:rFonts w:ascii="Arial" w:hAnsi="Arial"/>
        </w:rPr>
        <w:t>. In a similar vein, conducting an in-depth analysis of the employee life cycle reveals the factors that are hurting the employee experience as well as the best methods for engaging your entire workforce.</w:t>
      </w:r>
    </w:p>
    <w:p w14:paraId="76B3317E" w14:textId="77777777" w:rsidR="009542E3" w:rsidRDefault="009542E3" w:rsidP="009542E3">
      <w:pPr>
        <w:rPr>
          <w:rFonts w:ascii="Arial" w:hAnsi="Arial"/>
        </w:rPr>
      </w:pPr>
      <w:r>
        <w:rPr>
          <w:rFonts w:ascii="Arial" w:hAnsi="Arial"/>
        </w:rPr>
        <w:t>HR uses a variety of methods to survey employee lifecycle at every stage of their journey because the factors leading to employee interaction vary for each team member and change over time. This is precisely what surveys of employees' life cycles can accomplish</w:t>
      </w:r>
      <w:sdt>
        <w:sdtPr>
          <w:rPr>
            <w:rFonts w:ascii="Arial" w:hAnsi="Arial"/>
          </w:rPr>
          <w:id w:val="-1181347529"/>
          <w:citation/>
        </w:sdtPr>
        <w:sdtEndPr/>
        <w:sdtContent>
          <w:r>
            <w:rPr>
              <w:rFonts w:ascii="Arial" w:hAnsi="Arial"/>
            </w:rPr>
            <w:fldChar w:fldCharType="begin"/>
          </w:r>
          <w:r>
            <w:rPr>
              <w:rFonts w:ascii="Arial" w:hAnsi="Arial"/>
            </w:rPr>
            <w:instrText xml:space="preserve"> CITATION Zin22 \l 1033 </w:instrText>
          </w:r>
          <w:r>
            <w:rPr>
              <w:rFonts w:ascii="Arial" w:hAnsi="Arial"/>
            </w:rPr>
            <w:fldChar w:fldCharType="separate"/>
          </w:r>
          <w:r>
            <w:rPr>
              <w:rFonts w:ascii="Arial" w:hAnsi="Arial"/>
              <w:noProof/>
            </w:rPr>
            <w:t xml:space="preserve"> </w:t>
          </w:r>
          <w:r>
            <w:rPr>
              <w:rFonts w:ascii="Arial" w:hAnsi="Arial"/>
              <w:noProof/>
            </w:rPr>
            <w:lastRenderedPageBreak/>
            <w:t>(Bryne, 2022)</w:t>
          </w:r>
          <w:r>
            <w:rPr>
              <w:rFonts w:ascii="Arial" w:hAnsi="Arial"/>
            </w:rPr>
            <w:fldChar w:fldCharType="end"/>
          </w:r>
        </w:sdtContent>
      </w:sdt>
      <w:r>
        <w:rPr>
          <w:rFonts w:ascii="Arial" w:hAnsi="Arial"/>
        </w:rPr>
        <w:t>. Life cycle surveys let them know how employees feel about the company at crucial points, like when they were hired, promoted, or decided to leave.</w:t>
      </w:r>
    </w:p>
    <w:p w14:paraId="537EA622" w14:textId="77777777" w:rsidR="009542E3" w:rsidRDefault="009542E3" w:rsidP="009542E3">
      <w:pPr>
        <w:rPr>
          <w:rFonts w:ascii="Arial" w:hAnsi="Arial"/>
        </w:rPr>
      </w:pPr>
      <w:r>
        <w:rPr>
          <w:rFonts w:ascii="Arial" w:hAnsi="Arial"/>
        </w:rPr>
        <w:t>Team members will be honest about how they feel about the business when management uses a worker engagement solution that hides all responses completely and keeps them anonymous and confidential. By increasing employee engagement, human resource managers use this data to improve the brand's image and attract the necessary talent.</w:t>
      </w:r>
    </w:p>
    <w:p w14:paraId="3CB84DD4" w14:textId="77777777" w:rsidR="009542E3" w:rsidRDefault="009542E3" w:rsidP="009542E3">
      <w:pPr>
        <w:rPr>
          <w:rFonts w:ascii="Arial" w:hAnsi="Arial"/>
        </w:rPr>
      </w:pPr>
      <w:r>
        <w:rPr>
          <w:rFonts w:ascii="Arial" w:hAnsi="Arial"/>
        </w:rPr>
        <w:t>At your company, every aspect of the worker life cycle is important to a team member's journey</w:t>
      </w:r>
      <w:sdt>
        <w:sdtPr>
          <w:rPr>
            <w:rFonts w:ascii="Arial" w:hAnsi="Arial"/>
          </w:rPr>
          <w:id w:val="1233044216"/>
          <w:citation/>
        </w:sdtPr>
        <w:sdtEndPr/>
        <w:sdtContent>
          <w:r>
            <w:rPr>
              <w:rFonts w:ascii="Arial" w:hAnsi="Arial"/>
            </w:rPr>
            <w:fldChar w:fldCharType="begin"/>
          </w:r>
          <w:r>
            <w:rPr>
              <w:rFonts w:ascii="Arial" w:hAnsi="Arial"/>
            </w:rPr>
            <w:instrText xml:space="preserve"> CITATION Jef20 \l 1033 </w:instrText>
          </w:r>
          <w:r>
            <w:rPr>
              <w:rFonts w:ascii="Arial" w:hAnsi="Arial"/>
            </w:rPr>
            <w:fldChar w:fldCharType="separate"/>
          </w:r>
          <w:r>
            <w:rPr>
              <w:rFonts w:ascii="Arial" w:hAnsi="Arial"/>
              <w:noProof/>
            </w:rPr>
            <w:t xml:space="preserve"> (Jefry M. Saltzman, 2020)</w:t>
          </w:r>
          <w:r>
            <w:rPr>
              <w:rFonts w:ascii="Arial" w:hAnsi="Arial"/>
            </w:rPr>
            <w:fldChar w:fldCharType="end"/>
          </w:r>
        </w:sdtContent>
      </w:sdt>
      <w:sdt>
        <w:sdtPr>
          <w:rPr>
            <w:rFonts w:ascii="Arial" w:hAnsi="Arial"/>
          </w:rPr>
          <w:id w:val="312224295"/>
          <w:citation/>
        </w:sdtPr>
        <w:sdtEndPr/>
        <w:sdtContent>
          <w:r>
            <w:rPr>
              <w:rFonts w:ascii="Arial" w:hAnsi="Arial"/>
            </w:rPr>
            <w:fldChar w:fldCharType="begin"/>
          </w:r>
          <w:r>
            <w:rPr>
              <w:rFonts w:ascii="Arial" w:hAnsi="Arial"/>
            </w:rPr>
            <w:instrText xml:space="preserve"> CITATION Cat22 \l 1033 </w:instrText>
          </w:r>
          <w:r>
            <w:rPr>
              <w:rFonts w:ascii="Arial" w:hAnsi="Arial"/>
            </w:rPr>
            <w:fldChar w:fldCharType="separate"/>
          </w:r>
          <w:r>
            <w:rPr>
              <w:rFonts w:ascii="Arial" w:hAnsi="Arial"/>
              <w:noProof/>
            </w:rPr>
            <w:t xml:space="preserve"> (Ayodele, 2022)</w:t>
          </w:r>
          <w:r>
            <w:rPr>
              <w:rFonts w:ascii="Arial" w:hAnsi="Arial"/>
            </w:rPr>
            <w:fldChar w:fldCharType="end"/>
          </w:r>
        </w:sdtContent>
      </w:sdt>
      <w:r>
        <w:rPr>
          <w:rFonts w:ascii="Arial" w:hAnsi="Arial"/>
        </w:rPr>
        <w:t>. Here is a primer on each of the six stages, including suggestions for how to improve each one and which questions to include in your own employee life cycle survey.</w:t>
      </w:r>
    </w:p>
    <w:p w14:paraId="058E91F0" w14:textId="77777777" w:rsidR="009542E3" w:rsidRDefault="009542E3" w:rsidP="009542E3">
      <w:pPr>
        <w:rPr>
          <w:rFonts w:ascii="Arial" w:hAnsi="Arial"/>
        </w:rPr>
      </w:pPr>
      <w:r>
        <w:rPr>
          <w:rFonts w:ascii="Arial" w:hAnsi="Arial"/>
        </w:rPr>
        <w:t>The recruitment process is not the beginning of an employee's relationship with your company. It all starts when they first learn about the brand. Skilled workers won't work for a company that is not willing to represent them. Employer branding has real power: After reading negative reviews about a company, 55% of job seekers will stop applying, and a huge 92% of people would think of quitting their current job provided an opportunity with a company with a good employee reputation.</w:t>
      </w:r>
    </w:p>
    <w:p w14:paraId="49816872" w14:textId="77777777" w:rsidR="009542E3" w:rsidRDefault="009542E3" w:rsidP="009542E3">
      <w:pPr>
        <w:rPr>
          <w:rFonts w:ascii="Arial" w:hAnsi="Arial"/>
        </w:rPr>
      </w:pPr>
      <w:r>
        <w:rPr>
          <w:rFonts w:ascii="Arial" w:hAnsi="Arial"/>
        </w:rPr>
        <w:t>For employees, the most important thing is to feel appreciated. Consider the most recent time you received praise at work. It should not come as a surprise that appreciation has the greatest impact on employee engagement, and businesses with a culture that places a high value on appreciation are 79% more likely to place a high value on their employer brand</w:t>
      </w:r>
      <w:sdt>
        <w:sdtPr>
          <w:rPr>
            <w:rFonts w:ascii="Arial" w:hAnsi="Arial"/>
          </w:rPr>
          <w:id w:val="-1836055341"/>
          <w:citation/>
        </w:sdtPr>
        <w:sdtEndPr/>
        <w:sdtContent>
          <w:r>
            <w:rPr>
              <w:rFonts w:ascii="Arial" w:hAnsi="Arial"/>
            </w:rPr>
            <w:fldChar w:fldCharType="begin"/>
          </w:r>
          <w:r>
            <w:rPr>
              <w:rFonts w:ascii="Arial" w:hAnsi="Arial"/>
            </w:rPr>
            <w:instrText xml:space="preserve"> CITATION And19 \l 1033 </w:instrText>
          </w:r>
          <w:r>
            <w:rPr>
              <w:rFonts w:ascii="Arial" w:hAnsi="Arial"/>
            </w:rPr>
            <w:fldChar w:fldCharType="separate"/>
          </w:r>
          <w:r>
            <w:rPr>
              <w:rFonts w:ascii="Arial" w:hAnsi="Arial"/>
              <w:noProof/>
            </w:rPr>
            <w:t xml:space="preserve"> (Turner, 2019)</w:t>
          </w:r>
          <w:r>
            <w:rPr>
              <w:rFonts w:ascii="Arial" w:hAnsi="Arial"/>
            </w:rPr>
            <w:fldChar w:fldCharType="end"/>
          </w:r>
        </w:sdtContent>
      </w:sdt>
      <w:sdt>
        <w:sdtPr>
          <w:rPr>
            <w:rFonts w:ascii="Arial" w:hAnsi="Arial"/>
          </w:rPr>
          <w:id w:val="878430438"/>
          <w:citation/>
        </w:sdtPr>
        <w:sdtEndPr/>
        <w:sdtContent>
          <w:r>
            <w:rPr>
              <w:rFonts w:ascii="Arial" w:hAnsi="Arial"/>
            </w:rPr>
            <w:fldChar w:fldCharType="begin"/>
          </w:r>
          <w:r>
            <w:rPr>
              <w:rFonts w:ascii="Arial" w:hAnsi="Arial"/>
            </w:rPr>
            <w:instrText xml:space="preserve"> CITATION Son19 \l 1033 </w:instrText>
          </w:r>
          <w:r>
            <w:rPr>
              <w:rFonts w:ascii="Arial" w:hAnsi="Arial"/>
            </w:rPr>
            <w:fldChar w:fldCharType="separate"/>
          </w:r>
          <w:r>
            <w:rPr>
              <w:rFonts w:ascii="Arial" w:hAnsi="Arial"/>
              <w:noProof/>
            </w:rPr>
            <w:t xml:space="preserve"> (Gupta, 2019)</w:t>
          </w:r>
          <w:r>
            <w:rPr>
              <w:rFonts w:ascii="Arial" w:hAnsi="Arial"/>
            </w:rPr>
            <w:fldChar w:fldCharType="end"/>
          </w:r>
        </w:sdtContent>
      </w:sdt>
      <w:r>
        <w:rPr>
          <w:rFonts w:ascii="Arial" w:hAnsi="Arial"/>
        </w:rPr>
        <w:t>. This was true whether it came from a coworker, a manager, or even a company leader.</w:t>
      </w:r>
    </w:p>
    <w:p w14:paraId="0490C977" w14:textId="77777777" w:rsidR="009542E3" w:rsidRDefault="009542E3" w:rsidP="009542E3">
      <w:pPr>
        <w:rPr>
          <w:rFonts w:ascii="Arial" w:hAnsi="Arial"/>
        </w:rPr>
      </w:pPr>
      <w:r>
        <w:rPr>
          <w:rFonts w:ascii="Arial" w:hAnsi="Arial"/>
        </w:rPr>
        <w:t>However, there are times when expressing gratitude will not motivate employees to join your business. To establish a reputation as an employee-friendly organization, management must incorporate recognition into each team member's daily routine.</w:t>
      </w:r>
    </w:p>
    <w:p w14:paraId="418D8ADC" w14:textId="77777777" w:rsidR="009542E3" w:rsidRDefault="009542E3" w:rsidP="009542E3">
      <w:pPr>
        <w:rPr>
          <w:rFonts w:ascii="Arial" w:hAnsi="Arial"/>
        </w:rPr>
      </w:pPr>
      <w:r>
        <w:rPr>
          <w:rFonts w:ascii="Arial" w:hAnsi="Arial"/>
        </w:rPr>
        <w:t xml:space="preserve">Establishing a straightforward employee recognition platform that encourages frequent social and financial recognition is a good place to start. Employee engagement and retention go up by 41% and 34%, respectively, in businesses that regularly practice recognition. The staff as well as management on the team ought to be encouraged to </w:t>
      </w:r>
      <w:r>
        <w:rPr>
          <w:rFonts w:ascii="Arial" w:hAnsi="Arial"/>
        </w:rPr>
        <w:lastRenderedPageBreak/>
        <w:t>participate</w:t>
      </w:r>
      <w:sdt>
        <w:sdtPr>
          <w:rPr>
            <w:rFonts w:ascii="Arial" w:hAnsi="Arial"/>
          </w:rPr>
          <w:id w:val="62231211"/>
          <w:citation/>
        </w:sdtPr>
        <w:sdtEndPr/>
        <w:sdtContent>
          <w:r>
            <w:rPr>
              <w:rFonts w:ascii="Arial" w:hAnsi="Arial"/>
            </w:rPr>
            <w:fldChar w:fldCharType="begin"/>
          </w:r>
          <w:r>
            <w:rPr>
              <w:rFonts w:ascii="Arial" w:hAnsi="Arial"/>
            </w:rPr>
            <w:instrText xml:space="preserve"> CITATION Tom15 \l 1033 </w:instrText>
          </w:r>
          <w:r>
            <w:rPr>
              <w:rFonts w:ascii="Arial" w:hAnsi="Arial"/>
            </w:rPr>
            <w:fldChar w:fldCharType="separate"/>
          </w:r>
          <w:r>
            <w:rPr>
              <w:rFonts w:ascii="Arial" w:hAnsi="Arial"/>
              <w:noProof/>
            </w:rPr>
            <w:t xml:space="preserve"> (House, 2015)</w:t>
          </w:r>
          <w:r>
            <w:rPr>
              <w:rFonts w:ascii="Arial" w:hAnsi="Arial"/>
            </w:rPr>
            <w:fldChar w:fldCharType="end"/>
          </w:r>
        </w:sdtContent>
      </w:sdt>
      <w:sdt>
        <w:sdtPr>
          <w:rPr>
            <w:rFonts w:ascii="Arial" w:hAnsi="Arial"/>
          </w:rPr>
          <w:id w:val="-1923715052"/>
          <w:citation/>
        </w:sdtPr>
        <w:sdtEndPr/>
        <w:sdtContent>
          <w:r>
            <w:rPr>
              <w:rFonts w:ascii="Arial" w:hAnsi="Arial"/>
            </w:rPr>
            <w:fldChar w:fldCharType="begin"/>
          </w:r>
          <w:r>
            <w:rPr>
              <w:rFonts w:ascii="Arial" w:hAnsi="Arial"/>
            </w:rPr>
            <w:instrText xml:space="preserve"> CITATION Str15 \l 1033 </w:instrText>
          </w:r>
          <w:r>
            <w:rPr>
              <w:rFonts w:ascii="Arial" w:hAnsi="Arial"/>
            </w:rPr>
            <w:fldChar w:fldCharType="separate"/>
          </w:r>
          <w:r>
            <w:rPr>
              <w:rFonts w:ascii="Arial" w:hAnsi="Arial"/>
              <w:noProof/>
            </w:rPr>
            <w:t xml:space="preserve"> (Geogardias, 2015)</w:t>
          </w:r>
          <w:r>
            <w:rPr>
              <w:rFonts w:ascii="Arial" w:hAnsi="Arial"/>
            </w:rPr>
            <w:fldChar w:fldCharType="end"/>
          </w:r>
        </w:sdtContent>
      </w:sdt>
      <w:sdt>
        <w:sdtPr>
          <w:rPr>
            <w:rFonts w:ascii="Arial" w:hAnsi="Arial"/>
          </w:rPr>
          <w:id w:val="144945338"/>
          <w:citation/>
        </w:sdtPr>
        <w:sdtEndPr/>
        <w:sdtContent>
          <w:r>
            <w:rPr>
              <w:rFonts w:ascii="Arial" w:hAnsi="Arial"/>
            </w:rPr>
            <w:fldChar w:fldCharType="begin"/>
          </w:r>
          <w:r>
            <w:rPr>
              <w:rFonts w:ascii="Arial" w:hAnsi="Arial"/>
            </w:rPr>
            <w:instrText xml:space="preserve"> CITATION Jas13 \l 1033 </w:instrText>
          </w:r>
          <w:r>
            <w:rPr>
              <w:rFonts w:ascii="Arial" w:hAnsi="Arial"/>
            </w:rPr>
            <w:fldChar w:fldCharType="separate"/>
          </w:r>
          <w:r>
            <w:rPr>
              <w:rFonts w:ascii="Arial" w:hAnsi="Arial"/>
              <w:noProof/>
            </w:rPr>
            <w:t xml:space="preserve"> (H., 2013)</w:t>
          </w:r>
          <w:r>
            <w:rPr>
              <w:rFonts w:ascii="Arial" w:hAnsi="Arial"/>
            </w:rPr>
            <w:fldChar w:fldCharType="end"/>
          </w:r>
        </w:sdtContent>
      </w:sdt>
      <w:r>
        <w:rPr>
          <w:rFonts w:ascii="Arial" w:hAnsi="Arial"/>
        </w:rPr>
        <w:t>. Programs for peer-to-peer recognition that do not include one are less successful. Additionally, employees retain the most praise from managers and other leaders.</w:t>
      </w:r>
    </w:p>
    <w:p w14:paraId="6E14EF56" w14:textId="77777777" w:rsidR="009542E3" w:rsidRDefault="009542E3" w:rsidP="009542E3">
      <w:pPr>
        <w:rPr>
          <w:rFonts w:ascii="Arial" w:hAnsi="Arial"/>
        </w:rPr>
      </w:pPr>
      <w:r>
        <w:rPr>
          <w:rFonts w:ascii="Arial" w:hAnsi="Arial"/>
        </w:rPr>
        <w:t>Social recognition can be given by any team member, whereas financial service is typically the primary responsibility of human resource management and leadership. On the other hand, a platform with a system of rewards based on points can get every employee involved. The team can buy rewards from your platform's catalog by exchanging points with one another</w:t>
      </w:r>
      <w:sdt>
        <w:sdtPr>
          <w:rPr>
            <w:rFonts w:ascii="Arial" w:hAnsi="Arial"/>
          </w:rPr>
          <w:id w:val="1594127503"/>
          <w:citation/>
        </w:sdtPr>
        <w:sdtEndPr/>
        <w:sdtContent>
          <w:r>
            <w:rPr>
              <w:rFonts w:ascii="Arial" w:hAnsi="Arial"/>
            </w:rPr>
            <w:fldChar w:fldCharType="begin"/>
          </w:r>
          <w:r>
            <w:rPr>
              <w:rFonts w:ascii="Arial" w:hAnsi="Arial"/>
            </w:rPr>
            <w:instrText xml:space="preserve"> CITATION Gar19 \l 1033 </w:instrText>
          </w:r>
          <w:r>
            <w:rPr>
              <w:rFonts w:ascii="Arial" w:hAnsi="Arial"/>
            </w:rPr>
            <w:fldChar w:fldCharType="separate"/>
          </w:r>
          <w:r>
            <w:rPr>
              <w:rFonts w:ascii="Arial" w:hAnsi="Arial"/>
              <w:noProof/>
            </w:rPr>
            <w:t xml:space="preserve"> (Catermole, 2019)</w:t>
          </w:r>
          <w:r>
            <w:rPr>
              <w:rFonts w:ascii="Arial" w:hAnsi="Arial"/>
            </w:rPr>
            <w:fldChar w:fldCharType="end"/>
          </w:r>
        </w:sdtContent>
      </w:sdt>
      <w:sdt>
        <w:sdtPr>
          <w:rPr>
            <w:rFonts w:ascii="Arial" w:hAnsi="Arial"/>
          </w:rPr>
          <w:id w:val="198213472"/>
          <w:citation/>
        </w:sdtPr>
        <w:sdtEndPr/>
        <w:sdtContent>
          <w:r>
            <w:rPr>
              <w:rFonts w:ascii="Arial" w:hAnsi="Arial"/>
            </w:rPr>
            <w:fldChar w:fldCharType="begin"/>
          </w:r>
          <w:r>
            <w:rPr>
              <w:rFonts w:ascii="Arial" w:hAnsi="Arial"/>
            </w:rPr>
            <w:instrText xml:space="preserve"> CITATION Rah22 \l 1033 </w:instrText>
          </w:r>
          <w:r>
            <w:rPr>
              <w:rFonts w:ascii="Arial" w:hAnsi="Arial"/>
            </w:rPr>
            <w:fldChar w:fldCharType="separate"/>
          </w:r>
          <w:r>
            <w:rPr>
              <w:rFonts w:ascii="Arial" w:hAnsi="Arial"/>
              <w:noProof/>
            </w:rPr>
            <w:t xml:space="preserve"> (Ghatak, 2022)</w:t>
          </w:r>
          <w:r>
            <w:rPr>
              <w:rFonts w:ascii="Arial" w:hAnsi="Arial"/>
            </w:rPr>
            <w:fldChar w:fldCharType="end"/>
          </w:r>
        </w:sdtContent>
      </w:sdt>
      <w:r>
        <w:rPr>
          <w:rFonts w:ascii="Arial" w:hAnsi="Arial"/>
        </w:rPr>
        <w:t>. Workers will enjoy choosing rewards that are important to them, such as gift cards, memorable experiences, or things they've always wanted, and word will spread about the company's good employee management system, which will be attracting more exceptional talented workers.</w:t>
      </w:r>
    </w:p>
    <w:p w14:paraId="342EB925" w14:textId="77777777" w:rsidR="009542E3" w:rsidRDefault="009542E3" w:rsidP="009542E3">
      <w:pPr>
        <w:rPr>
          <w:rFonts w:ascii="Arial" w:hAnsi="Arial"/>
        </w:rPr>
      </w:pPr>
      <w:r>
        <w:rPr>
          <w:rFonts w:ascii="Arial" w:hAnsi="Arial"/>
        </w:rPr>
        <w:t>Equally appealing incentives should be used in conjunction with recognition, which is a powerful tool. They are obvious incentives for example salary, health insurance, and retirement funds to less obvious ones</w:t>
      </w:r>
      <w:sdt>
        <w:sdtPr>
          <w:rPr>
            <w:rFonts w:ascii="Arial" w:hAnsi="Arial"/>
          </w:rPr>
          <w:id w:val="-2039886974"/>
          <w:citation/>
        </w:sdtPr>
        <w:sdtEndPr/>
        <w:sdtContent>
          <w:r>
            <w:rPr>
              <w:rFonts w:ascii="Arial" w:hAnsi="Arial"/>
            </w:rPr>
            <w:fldChar w:fldCharType="begin"/>
          </w:r>
          <w:r>
            <w:rPr>
              <w:rFonts w:ascii="Arial" w:hAnsi="Arial"/>
            </w:rPr>
            <w:instrText xml:space="preserve"> CITATION Say22 \l 1033 </w:instrText>
          </w:r>
          <w:r>
            <w:rPr>
              <w:rFonts w:ascii="Arial" w:hAnsi="Arial"/>
            </w:rPr>
            <w:fldChar w:fldCharType="separate"/>
          </w:r>
          <w:r>
            <w:rPr>
              <w:rFonts w:ascii="Arial" w:hAnsi="Arial"/>
              <w:noProof/>
            </w:rPr>
            <w:t xml:space="preserve"> (Nosratabadi, 2022)</w:t>
          </w:r>
          <w:r>
            <w:rPr>
              <w:rFonts w:ascii="Arial" w:hAnsi="Arial"/>
            </w:rPr>
            <w:fldChar w:fldCharType="end"/>
          </w:r>
        </w:sdtContent>
      </w:sdt>
      <w:r>
        <w:rPr>
          <w:rFonts w:ascii="Arial" w:hAnsi="Arial"/>
        </w:rPr>
        <w:t xml:space="preserve">. Profit sharing, tuition reimbursement, and even more freedom over when and what. Employees work in </w:t>
      </w:r>
      <w:proofErr w:type="gramStart"/>
      <w:r>
        <w:rPr>
          <w:rFonts w:ascii="Arial" w:hAnsi="Arial"/>
        </w:rPr>
        <w:t>many different ways</w:t>
      </w:r>
      <w:proofErr w:type="gramEnd"/>
      <w:r>
        <w:rPr>
          <w:rFonts w:ascii="Arial" w:hAnsi="Arial"/>
        </w:rPr>
        <w:t xml:space="preserve"> to encourage potential employees to join the organization and keep them motivated.</w:t>
      </w:r>
    </w:p>
    <w:p w14:paraId="7F818080" w14:textId="77777777" w:rsidR="009542E3" w:rsidRDefault="009542E3" w:rsidP="009542E3">
      <w:pPr>
        <w:rPr>
          <w:rFonts w:ascii="Arial" w:hAnsi="Arial"/>
        </w:rPr>
      </w:pPr>
      <w:r>
        <w:rPr>
          <w:rFonts w:ascii="Arial" w:hAnsi="Arial"/>
        </w:rPr>
        <w:t>If HR doesn’t know why employees have stayed with the company, it's hard to convince prospective employees to join the company. Management will be able to focus even more on what it is that keeps employees engaged and show it off to the world once HR knows what it is</w:t>
      </w:r>
      <w:sdt>
        <w:sdtPr>
          <w:rPr>
            <w:rFonts w:ascii="Arial" w:hAnsi="Arial"/>
          </w:rPr>
          <w:id w:val="1356079463"/>
          <w:citation/>
        </w:sdtPr>
        <w:sdtEndPr/>
        <w:sdtContent>
          <w:r>
            <w:rPr>
              <w:rFonts w:ascii="Arial" w:hAnsi="Arial"/>
            </w:rPr>
            <w:fldChar w:fldCharType="begin"/>
          </w:r>
          <w:r>
            <w:rPr>
              <w:rFonts w:ascii="Arial" w:hAnsi="Arial"/>
            </w:rPr>
            <w:instrText xml:space="preserve"> CITATION Joy15 \l 1033 </w:instrText>
          </w:r>
          <w:r>
            <w:rPr>
              <w:rFonts w:ascii="Arial" w:hAnsi="Arial"/>
            </w:rPr>
            <w:fldChar w:fldCharType="separate"/>
          </w:r>
          <w:r>
            <w:rPr>
              <w:rFonts w:ascii="Arial" w:hAnsi="Arial"/>
              <w:noProof/>
            </w:rPr>
            <w:t xml:space="preserve"> (Thompson, 2015)</w:t>
          </w:r>
          <w:r>
            <w:rPr>
              <w:rFonts w:ascii="Arial" w:hAnsi="Arial"/>
            </w:rPr>
            <w:fldChar w:fldCharType="end"/>
          </w:r>
        </w:sdtContent>
      </w:sdt>
      <w:r>
        <w:rPr>
          <w:rFonts w:ascii="Arial" w:hAnsi="Arial"/>
        </w:rPr>
        <w:t>. To collect this data regularly from all the employees, management must make use of an engagement platform that includes employee life cycle surveys. In surveys, HR must ask employees what primary factors encouraged them to the company, what are the things they enjoy most about it, and what they believe can improve their experience.</w:t>
      </w:r>
    </w:p>
    <w:p w14:paraId="262BBA51" w14:textId="77777777" w:rsidR="009542E3" w:rsidRDefault="009542E3" w:rsidP="009542E3">
      <w:pPr>
        <w:rPr>
          <w:rFonts w:ascii="Arial" w:hAnsi="Arial"/>
        </w:rPr>
      </w:pPr>
      <w:r>
        <w:rPr>
          <w:rFonts w:ascii="Arial" w:hAnsi="Arial"/>
        </w:rPr>
        <w:t>The evaluation and selection of candidates is only one part of the recruitment process</w:t>
      </w:r>
      <w:sdt>
        <w:sdtPr>
          <w:rPr>
            <w:rFonts w:ascii="Arial" w:hAnsi="Arial"/>
          </w:rPr>
          <w:id w:val="-1345323130"/>
          <w:citation/>
        </w:sdtPr>
        <w:sdtEndPr/>
        <w:sdtContent>
          <w:r>
            <w:rPr>
              <w:rFonts w:ascii="Arial" w:hAnsi="Arial"/>
            </w:rPr>
            <w:fldChar w:fldCharType="begin"/>
          </w:r>
          <w:r>
            <w:rPr>
              <w:rFonts w:ascii="Arial" w:hAnsi="Arial"/>
            </w:rPr>
            <w:instrText xml:space="preserve"> CITATION Wil20 \l 1033 </w:instrText>
          </w:r>
          <w:r>
            <w:rPr>
              <w:rFonts w:ascii="Arial" w:hAnsi="Arial"/>
            </w:rPr>
            <w:fldChar w:fldCharType="separate"/>
          </w:r>
          <w:r>
            <w:rPr>
              <w:rFonts w:ascii="Arial" w:hAnsi="Arial"/>
              <w:noProof/>
            </w:rPr>
            <w:t xml:space="preserve"> (Mackey, 2020)</w:t>
          </w:r>
          <w:r>
            <w:rPr>
              <w:rFonts w:ascii="Arial" w:hAnsi="Arial"/>
            </w:rPr>
            <w:fldChar w:fldCharType="end"/>
          </w:r>
        </w:sdtContent>
      </w:sdt>
      <w:r>
        <w:rPr>
          <w:rFonts w:ascii="Arial" w:hAnsi="Arial"/>
        </w:rPr>
        <w:t xml:space="preserve">. It also gives candidates a chance to learn greatly about the company and make decisions if it's a good choice for the employees. All the relevant stages of the employee life cycle can be greatly affected by recruiting employees who are in line with </w:t>
      </w:r>
      <w:r>
        <w:rPr>
          <w:rFonts w:ascii="Arial" w:hAnsi="Arial"/>
        </w:rPr>
        <w:lastRenderedPageBreak/>
        <w:t>the company culture. By using the suggestions to create a successful recruitment strategy that attracts the right candidates is a good decision for the company.</w:t>
      </w:r>
    </w:p>
    <w:p w14:paraId="76978D2A" w14:textId="77777777" w:rsidR="009542E3" w:rsidRDefault="009542E3" w:rsidP="009542E3">
      <w:pPr>
        <w:rPr>
          <w:rFonts w:ascii="Arial" w:hAnsi="Arial"/>
        </w:rPr>
      </w:pPr>
      <w:r>
        <w:rPr>
          <w:rFonts w:ascii="Arial" w:hAnsi="Arial"/>
        </w:rPr>
        <w:t>Recruiting diverse candidates is the first step in creating a diverse workforce. By taking steps to avoid bias at the time of the interview process management can avoid wrongdoing. It is also helpful if management wants to give diversity and inclusion a higher priority when hiring. You can train a variety of interviewers on how to overcome their own unconscious biases and the topics that they should avoid during interviews. Also, management shouldn't limit themselves to just a few ways to recruit. Instead, learn about all the methods today's multicultural workforce uses and then use those channels to talk to future potential candidates</w:t>
      </w:r>
      <w:sdt>
        <w:sdtPr>
          <w:rPr>
            <w:rFonts w:ascii="Arial" w:hAnsi="Arial"/>
          </w:rPr>
          <w:id w:val="527527156"/>
          <w:citation/>
        </w:sdtPr>
        <w:sdtEndPr/>
        <w:sdtContent>
          <w:r>
            <w:rPr>
              <w:rFonts w:ascii="Arial" w:hAnsi="Arial"/>
            </w:rPr>
            <w:fldChar w:fldCharType="begin"/>
          </w:r>
          <w:r>
            <w:rPr>
              <w:rFonts w:ascii="Arial" w:hAnsi="Arial"/>
            </w:rPr>
            <w:instrText xml:space="preserve"> CITATION Ben19 \l 1033 </w:instrText>
          </w:r>
          <w:r>
            <w:rPr>
              <w:rFonts w:ascii="Arial" w:hAnsi="Arial"/>
            </w:rPr>
            <w:fldChar w:fldCharType="separate"/>
          </w:r>
          <w:r>
            <w:rPr>
              <w:rFonts w:ascii="Arial" w:hAnsi="Arial"/>
              <w:noProof/>
            </w:rPr>
            <w:t xml:space="preserve"> (Gilad, 2019)</w:t>
          </w:r>
          <w:r>
            <w:rPr>
              <w:rFonts w:ascii="Arial" w:hAnsi="Arial"/>
            </w:rPr>
            <w:fldChar w:fldCharType="end"/>
          </w:r>
        </w:sdtContent>
      </w:sdt>
      <w:r>
        <w:rPr>
          <w:rFonts w:ascii="Arial" w:hAnsi="Arial"/>
        </w:rPr>
        <w:t xml:space="preserve">. </w:t>
      </w:r>
      <w:proofErr w:type="gramStart"/>
      <w:r>
        <w:rPr>
          <w:rFonts w:ascii="Arial" w:hAnsi="Arial"/>
        </w:rPr>
        <w:t>Last but not least</w:t>
      </w:r>
      <w:proofErr w:type="gramEnd"/>
      <w:r>
        <w:rPr>
          <w:rFonts w:ascii="Arial" w:hAnsi="Arial"/>
        </w:rPr>
        <w:t>, to maintain your organization's vitality and freshness, prioritize incorporating new perspectives and asking candidates questions that reveal their diversity of thought.</w:t>
      </w:r>
    </w:p>
    <w:p w14:paraId="2F0F78FF" w14:textId="77777777" w:rsidR="009542E3" w:rsidRDefault="009542E3" w:rsidP="009542E3">
      <w:pPr>
        <w:rPr>
          <w:rFonts w:ascii="Arial" w:hAnsi="Arial"/>
        </w:rPr>
      </w:pPr>
      <w:r>
        <w:rPr>
          <w:rFonts w:ascii="Arial" w:hAnsi="Arial"/>
        </w:rPr>
        <w:t>After hiring, the most important step is onboarding, which includes everything necessary to make your candidate a well-trained, high-performing employee. Onboarding involves a lot, and it's not easy. It involves communicating the nuances of the employee's new position, handling administrative tasks, and introducing them to your organizational culture. However, it has the potential to determine whether a team member succeeds or fails and eventually leaves early.</w:t>
      </w:r>
    </w:p>
    <w:p w14:paraId="7FA1A879" w14:textId="77777777" w:rsidR="009542E3" w:rsidRDefault="009542E3" w:rsidP="009542E3">
      <w:pPr>
        <w:rPr>
          <w:rFonts w:ascii="Arial" w:hAnsi="Arial"/>
        </w:rPr>
      </w:pPr>
      <w:r>
        <w:rPr>
          <w:rFonts w:ascii="Arial" w:hAnsi="Arial"/>
        </w:rPr>
        <w:t>After two weeks or a month, onboarding shouldn't stop. Even though this will probably be the most intense phase of onboarding, employees will feel lost if the process is stopped abruptly. Instead, include onboarding features like regular check-ins and training refreshers or updates that last at least the first year the new employee works for your company</w:t>
      </w:r>
      <w:sdt>
        <w:sdtPr>
          <w:rPr>
            <w:rFonts w:ascii="Arial" w:hAnsi="Arial"/>
          </w:rPr>
          <w:id w:val="-384264187"/>
          <w:citation/>
        </w:sdtPr>
        <w:sdtEndPr/>
        <w:sdtContent>
          <w:r>
            <w:rPr>
              <w:rFonts w:ascii="Arial" w:hAnsi="Arial"/>
            </w:rPr>
            <w:fldChar w:fldCharType="begin"/>
          </w:r>
          <w:r>
            <w:rPr>
              <w:rFonts w:ascii="Arial" w:hAnsi="Arial"/>
            </w:rPr>
            <w:instrText xml:space="preserve"> CITATION Gil18 \l 1033 </w:instrText>
          </w:r>
          <w:r>
            <w:rPr>
              <w:rFonts w:ascii="Arial" w:hAnsi="Arial"/>
            </w:rPr>
            <w:fldChar w:fldCharType="separate"/>
          </w:r>
          <w:r>
            <w:rPr>
              <w:rFonts w:ascii="Arial" w:hAnsi="Arial"/>
              <w:noProof/>
            </w:rPr>
            <w:t xml:space="preserve"> (Gillien Jones, Roe Gorrel, 2018)</w:t>
          </w:r>
          <w:r>
            <w:rPr>
              <w:rFonts w:ascii="Arial" w:hAnsi="Arial"/>
            </w:rPr>
            <w:fldChar w:fldCharType="end"/>
          </w:r>
        </w:sdtContent>
      </w:sdt>
      <w:r>
        <w:rPr>
          <w:rFonts w:ascii="Arial" w:hAnsi="Arial"/>
        </w:rPr>
        <w:t>. Employees will remain focused and engaged throughout their employment, including the initial phase.</w:t>
      </w:r>
    </w:p>
    <w:p w14:paraId="77C921FD" w14:textId="77777777" w:rsidR="009542E3" w:rsidRDefault="009542E3" w:rsidP="009542E3">
      <w:pPr>
        <w:rPr>
          <w:rFonts w:ascii="Arial" w:hAnsi="Arial"/>
        </w:rPr>
      </w:pPr>
      <w:r>
        <w:rPr>
          <w:rFonts w:ascii="Arial" w:hAnsi="Arial"/>
        </w:rPr>
        <w:t xml:space="preserve">It can be challenging to retain an employee after they are hired. Your company must earn the trust of your employees by demonstrating that it is worthy of their continued loyalty. Fortunately, your business should prioritize </w:t>
      </w:r>
      <w:proofErr w:type="gramStart"/>
      <w:r>
        <w:rPr>
          <w:rFonts w:ascii="Arial" w:hAnsi="Arial"/>
        </w:rPr>
        <w:t>a number of</w:t>
      </w:r>
      <w:proofErr w:type="gramEnd"/>
      <w:r>
        <w:rPr>
          <w:rFonts w:ascii="Arial" w:hAnsi="Arial"/>
        </w:rPr>
        <w:t xml:space="preserve"> the most effective strategies for attracting and recruiting talent in addition to those for increasing employee retention. By emphasizing the quality of team leaders, practicing recognition, and creating a winning culture, retention can be improved. </w:t>
      </w:r>
    </w:p>
    <w:p w14:paraId="7A29E6CF" w14:textId="3E04A135" w:rsidR="009542E3" w:rsidRDefault="009542E3" w:rsidP="009542E3">
      <w:pPr>
        <w:rPr>
          <w:rFonts w:ascii="Arial" w:hAnsi="Arial"/>
        </w:rPr>
      </w:pPr>
      <w:r>
        <w:rPr>
          <w:rFonts w:ascii="Arial" w:hAnsi="Arial"/>
        </w:rPr>
        <w:lastRenderedPageBreak/>
        <w:t xml:space="preserve">It is important to ask the right question in the employee lifecycle survey and to make sure that the responses remain unanimous. By asking employees where they see themselves working for the company in five years or if they would recommend it to a friend looking for </w:t>
      </w:r>
      <w:r w:rsidR="00D713D1">
        <w:rPr>
          <w:rFonts w:ascii="Arial" w:hAnsi="Arial"/>
        </w:rPr>
        <w:t>work,</w:t>
      </w:r>
      <w:r>
        <w:rPr>
          <w:rFonts w:ascii="Arial" w:hAnsi="Arial"/>
        </w:rPr>
        <w:t xml:space="preserve"> we can identify their satisfaction level. It is a good way to measure company progress on employee retention. To determine if HR is successfully identifying the factors that improve retention in the company, management can also obtain information on the retention attributes discussed above through employee life cycle surveys.</w:t>
      </w:r>
    </w:p>
    <w:p w14:paraId="348895CD" w14:textId="756F6EE8" w:rsidR="009542E3" w:rsidRDefault="009542E3" w:rsidP="009542E3">
      <w:pPr>
        <w:rPr>
          <w:rFonts w:ascii="Arial" w:hAnsi="Arial"/>
        </w:rPr>
      </w:pPr>
      <w:r>
        <w:rPr>
          <w:rFonts w:ascii="Arial" w:hAnsi="Arial"/>
        </w:rPr>
        <w:t>Everything that can assist the employees in maturing within the given organization, from advancing in their fields to acquiring new skills, is included in the development stage of the employee life cycle process</w:t>
      </w:r>
      <w:sdt>
        <w:sdtPr>
          <w:rPr>
            <w:rFonts w:ascii="Arial" w:hAnsi="Arial"/>
          </w:rPr>
          <w:id w:val="1249924139"/>
          <w:citation/>
        </w:sdtPr>
        <w:sdtEndPr/>
        <w:sdtContent>
          <w:r>
            <w:rPr>
              <w:rFonts w:ascii="Arial" w:hAnsi="Arial"/>
            </w:rPr>
            <w:fldChar w:fldCharType="begin"/>
          </w:r>
          <w:r>
            <w:rPr>
              <w:rFonts w:ascii="Arial" w:hAnsi="Arial"/>
            </w:rPr>
            <w:instrText xml:space="preserve"> CITATION Joh16 \l 1033 </w:instrText>
          </w:r>
          <w:r>
            <w:rPr>
              <w:rFonts w:ascii="Arial" w:hAnsi="Arial"/>
            </w:rPr>
            <w:fldChar w:fldCharType="separate"/>
          </w:r>
          <w:r>
            <w:rPr>
              <w:rFonts w:ascii="Arial" w:hAnsi="Arial"/>
              <w:noProof/>
            </w:rPr>
            <w:t xml:space="preserve"> (John R. Mattox, Mark E. Vanburean, jean Martin, 2016)</w:t>
          </w:r>
          <w:r>
            <w:rPr>
              <w:rFonts w:ascii="Arial" w:hAnsi="Arial"/>
            </w:rPr>
            <w:fldChar w:fldCharType="end"/>
          </w:r>
        </w:sdtContent>
      </w:sdt>
      <w:r>
        <w:rPr>
          <w:rFonts w:ascii="Arial" w:hAnsi="Arial"/>
        </w:rPr>
        <w:t xml:space="preserve">. This phase of the worker life cycle can have the potential to propel the business to new heights. Investing in your team's professional development is a win-win situation because it creates a workforce that consistently delivers for your clients and gives them the confidence to do </w:t>
      </w:r>
      <w:r w:rsidR="00D713D1">
        <w:rPr>
          <w:rFonts w:ascii="Arial" w:hAnsi="Arial"/>
        </w:rPr>
        <w:t>things,</w:t>
      </w:r>
      <w:r>
        <w:rPr>
          <w:rFonts w:ascii="Arial" w:hAnsi="Arial"/>
        </w:rPr>
        <w:t xml:space="preserve"> they never thought were possible. Every other part of the worker’s life cycle is impacted by the improving workforce development process. Workers are more likely to stay in a company that shows its trust and belief in them in a tangible way and all employees have the desire to join a company that helps them grow. Even workers who want to leave the company will always keep in mind the assistance they received and will try to repay you in any way they can.</w:t>
      </w:r>
    </w:p>
    <w:p w14:paraId="76E7A406" w14:textId="77777777" w:rsidR="009542E3" w:rsidRDefault="009542E3" w:rsidP="009542E3">
      <w:pPr>
        <w:rPr>
          <w:rFonts w:ascii="Arial" w:hAnsi="Arial"/>
        </w:rPr>
      </w:pPr>
      <w:r>
        <w:rPr>
          <w:rFonts w:ascii="Arial" w:hAnsi="Arial"/>
        </w:rPr>
        <w:t>An approach to continuous learning that sees every day and task as an opportunity to learn something new or improve a skill is the first step in workforce development. Give employees the freedom to look for growth opportunities, such as paying for a seminar or advanced degree tuition. Management should also use guidance and daily meetings where employees can share their hard-earned experiences to spread knowledge within the company</w:t>
      </w:r>
      <w:sdt>
        <w:sdtPr>
          <w:rPr>
            <w:rFonts w:ascii="Arial" w:hAnsi="Arial"/>
          </w:rPr>
          <w:id w:val="-272093276"/>
          <w:citation/>
        </w:sdtPr>
        <w:sdtEndPr/>
        <w:sdtContent>
          <w:r>
            <w:rPr>
              <w:rFonts w:ascii="Arial" w:hAnsi="Arial"/>
            </w:rPr>
            <w:fldChar w:fldCharType="begin"/>
          </w:r>
          <w:r>
            <w:rPr>
              <w:rFonts w:ascii="Arial" w:hAnsi="Arial"/>
            </w:rPr>
            <w:instrText xml:space="preserve"> CITATION Don18 \l 1033 </w:instrText>
          </w:r>
          <w:r>
            <w:rPr>
              <w:rFonts w:ascii="Arial" w:hAnsi="Arial"/>
            </w:rPr>
            <w:fldChar w:fldCharType="separate"/>
          </w:r>
          <w:r>
            <w:rPr>
              <w:rFonts w:ascii="Arial" w:hAnsi="Arial"/>
              <w:noProof/>
            </w:rPr>
            <w:t xml:space="preserve"> (Phin, 2018)</w:t>
          </w:r>
          <w:r>
            <w:rPr>
              <w:rFonts w:ascii="Arial" w:hAnsi="Arial"/>
            </w:rPr>
            <w:fldChar w:fldCharType="end"/>
          </w:r>
        </w:sdtContent>
      </w:sdt>
      <w:r>
        <w:rPr>
          <w:rFonts w:ascii="Arial" w:hAnsi="Arial"/>
        </w:rPr>
        <w:t xml:space="preserve">. If management rewards employees who have achieved their predetermined development goals, they will continue to be motivated and learn more. A platform known as a learning management system (LMS) makes it simpler to organize and share online training content in a range of forms. Consider putting helpful technologies in place as well. Your staff may work on their growth whenever it is convenient for them because they can access it from wherever. After that, your business </w:t>
      </w:r>
      <w:r>
        <w:rPr>
          <w:rFonts w:ascii="Arial" w:hAnsi="Arial"/>
        </w:rPr>
        <w:lastRenderedPageBreak/>
        <w:t xml:space="preserve">may keep track of its development and decide </w:t>
      </w:r>
      <w:proofErr w:type="gramStart"/>
      <w:r>
        <w:rPr>
          <w:rFonts w:ascii="Arial" w:hAnsi="Arial"/>
        </w:rPr>
        <w:t>whether or not</w:t>
      </w:r>
      <w:proofErr w:type="gramEnd"/>
      <w:r>
        <w:rPr>
          <w:rFonts w:ascii="Arial" w:hAnsi="Arial"/>
        </w:rPr>
        <w:t xml:space="preserve"> your development objectives are being accomplished. By enabling management to organize courses and even create learning pathways to assist employees to gain skills in the way that suits them best, an LMS also makes it feasible to provide staff members with personalized learning experiences.</w:t>
      </w:r>
    </w:p>
    <w:p w14:paraId="2F8C701E" w14:textId="77777777" w:rsidR="009542E3" w:rsidRDefault="009542E3" w:rsidP="009542E3">
      <w:pPr>
        <w:rPr>
          <w:rFonts w:ascii="Arial" w:hAnsi="Arial"/>
        </w:rPr>
      </w:pPr>
      <w:r>
        <w:rPr>
          <w:rFonts w:ascii="Arial" w:hAnsi="Arial"/>
        </w:rPr>
        <w:t>Although the life cycle of employees is a useful tool, it can be overwhelming to comprehend each stage. Fortunately, with the help of solutions, HR and managers can enhance the employee experience. The first step is to listen to your employees and consider their suggestions. Achievers listen to Team Manager, it is an employee solution that uses workers review at every stage of a worker’s journey within the company to provide top leaders with extensive insight into the health of their company, HR experts with the knowledge to identify issues, and opportunities, and managers with the motivation to take immediate action. The Listen suite is based on workforce and data science and uses an always-on, adaptable, and action-oriented voice.</w:t>
      </w:r>
    </w:p>
    <w:p w14:paraId="39B60524" w14:textId="3525E341" w:rsidR="009542E3" w:rsidRDefault="009542E3" w:rsidP="009542E3">
      <w:pPr>
        <w:rPr>
          <w:rFonts w:ascii="Arial" w:hAnsi="Arial"/>
        </w:rPr>
      </w:pPr>
      <w:r>
        <w:rPr>
          <w:rFonts w:ascii="Arial" w:hAnsi="Arial"/>
        </w:rPr>
        <w:t xml:space="preserve">Once management knows how the life cycle works at the company, they will want to begin changing it for the best and the most effective way to do that is with recognition at each stage. Recognizing </w:t>
      </w:r>
      <w:r w:rsidR="00D713D1">
        <w:rPr>
          <w:rFonts w:ascii="Arial" w:hAnsi="Arial"/>
        </w:rPr>
        <w:t>achievers and</w:t>
      </w:r>
      <w:r>
        <w:rPr>
          <w:rFonts w:ascii="Arial" w:hAnsi="Arial"/>
        </w:rPr>
        <w:t xml:space="preserve"> giving awards to the best employees makes it easy and enjoyable to show appreciation to others in the workplace. There is no one-size-fits-all method for inspiring employees to perform at their best, especially during turbulent times. Even though businesses may believe they have engaged employees, they should not simply take engagement levels at face value and instead carefully consider what it is that they are engaged with. Employees may appear to be engaged to keep their jobs in the current economic climate, </w:t>
      </w:r>
      <w:proofErr w:type="gramStart"/>
      <w:r>
        <w:rPr>
          <w:rFonts w:ascii="Arial" w:hAnsi="Arial"/>
        </w:rPr>
        <w:t>but in reality, they</w:t>
      </w:r>
      <w:proofErr w:type="gramEnd"/>
      <w:r>
        <w:rPr>
          <w:rFonts w:ascii="Arial" w:hAnsi="Arial"/>
        </w:rPr>
        <w:t xml:space="preserve"> are simply "not bothered about their work.</w:t>
      </w:r>
    </w:p>
    <w:p w14:paraId="16F0128B" w14:textId="77777777" w:rsidR="009542E3" w:rsidRDefault="009542E3" w:rsidP="009542E3">
      <w:pPr>
        <w:rPr>
          <w:rFonts w:ascii="Arial" w:hAnsi="Arial"/>
        </w:rPr>
      </w:pPr>
    </w:p>
    <w:p w14:paraId="13041785" w14:textId="77777777" w:rsidR="009542E3" w:rsidRDefault="009542E3" w:rsidP="009542E3">
      <w:pPr>
        <w:rPr>
          <w:rFonts w:ascii="Arial" w:hAnsi="Arial"/>
        </w:rPr>
      </w:pPr>
    </w:p>
    <w:p w14:paraId="1F070590" w14:textId="77777777" w:rsidR="009542E3" w:rsidRDefault="009542E3" w:rsidP="009542E3">
      <w:pPr>
        <w:rPr>
          <w:rFonts w:ascii="Arial" w:hAnsi="Arial"/>
        </w:rPr>
      </w:pPr>
    </w:p>
    <w:p w14:paraId="6B6D1A49" w14:textId="77777777" w:rsidR="009542E3" w:rsidRDefault="009542E3" w:rsidP="009542E3">
      <w:pPr>
        <w:rPr>
          <w:rFonts w:ascii="Arial" w:hAnsi="Arial"/>
        </w:rPr>
      </w:pPr>
    </w:p>
    <w:sdt>
      <w:sdtPr>
        <w:rPr>
          <w:rFonts w:ascii="Times New Roman" w:eastAsiaTheme="minorHAnsi" w:hAnsi="Times New Roman" w:cstheme="minorBidi"/>
          <w:color w:val="auto"/>
          <w:sz w:val="24"/>
          <w:szCs w:val="22"/>
        </w:rPr>
        <w:id w:val="1154481225"/>
        <w:docPartObj>
          <w:docPartGallery w:val="Bibliographies"/>
          <w:docPartUnique/>
        </w:docPartObj>
      </w:sdtPr>
      <w:sdtEndPr/>
      <w:sdtContent>
        <w:p w14:paraId="53964C78" w14:textId="77777777" w:rsidR="009542E3" w:rsidRDefault="009542E3" w:rsidP="009542E3">
          <w:pPr>
            <w:pStyle w:val="Heading1"/>
            <w:spacing w:line="360" w:lineRule="auto"/>
            <w:rPr>
              <w:rFonts w:ascii="Arial" w:hAnsi="Arial" w:cs="Arial"/>
              <w:b/>
              <w:color w:val="auto"/>
            </w:rPr>
          </w:pPr>
          <w:r>
            <w:rPr>
              <w:rFonts w:ascii="Arial" w:hAnsi="Arial" w:cs="Arial"/>
              <w:b/>
              <w:color w:val="auto"/>
            </w:rPr>
            <w:t>References</w:t>
          </w:r>
        </w:p>
        <w:sdt>
          <w:sdtPr>
            <w:rPr>
              <w:rFonts w:ascii="Arial" w:hAnsi="Arial" w:cs="Arial"/>
            </w:rPr>
            <w:id w:val="-573587230"/>
            <w:bibliography/>
          </w:sdtPr>
          <w:sdtEndPr/>
          <w:sdtContent>
            <w:p w14:paraId="48006B70" w14:textId="77777777" w:rsidR="009542E3" w:rsidRDefault="009542E3" w:rsidP="009542E3">
              <w:pPr>
                <w:pStyle w:val="Bibliography"/>
                <w:rPr>
                  <w:rFonts w:ascii="Arial" w:hAnsi="Arial" w:cs="Arial"/>
                  <w:noProof/>
                  <w:szCs w:val="24"/>
                </w:rPr>
              </w:pPr>
              <w:r>
                <w:rPr>
                  <w:rFonts w:ascii="Arial" w:hAnsi="Arial" w:cs="Arial"/>
                </w:rPr>
                <w:fldChar w:fldCharType="begin"/>
              </w:r>
              <w:r>
                <w:rPr>
                  <w:rFonts w:ascii="Arial" w:hAnsi="Arial" w:cs="Arial"/>
                </w:rPr>
                <w:instrText xml:space="preserve"> BIBLIOGRAPHY </w:instrText>
              </w:r>
              <w:r>
                <w:rPr>
                  <w:rFonts w:ascii="Arial" w:hAnsi="Arial" w:cs="Arial"/>
                </w:rPr>
                <w:fldChar w:fldCharType="separate"/>
              </w:r>
              <w:r>
                <w:rPr>
                  <w:rFonts w:ascii="Arial" w:hAnsi="Arial" w:cs="Arial"/>
                  <w:noProof/>
                </w:rPr>
                <w:t xml:space="preserve">Ayodele, C. (2022). Mitigating cybersecurity insider threat in the hiring stage of the employee lifecycle. </w:t>
              </w:r>
              <w:r>
                <w:rPr>
                  <w:rFonts w:ascii="Arial" w:hAnsi="Arial" w:cs="Arial"/>
                  <w:i/>
                  <w:iCs/>
                  <w:noProof/>
                </w:rPr>
                <w:t>Cyber Security</w:t>
              </w:r>
              <w:r>
                <w:rPr>
                  <w:rFonts w:ascii="Arial" w:hAnsi="Arial" w:cs="Arial"/>
                  <w:noProof/>
                </w:rPr>
                <w:t>, 50-60.</w:t>
              </w:r>
            </w:p>
            <w:p w14:paraId="53268B57" w14:textId="77777777" w:rsidR="009542E3" w:rsidRDefault="009542E3" w:rsidP="009542E3">
              <w:pPr>
                <w:pStyle w:val="Bibliography"/>
                <w:rPr>
                  <w:rFonts w:ascii="Arial" w:hAnsi="Arial" w:cs="Arial"/>
                  <w:noProof/>
                </w:rPr>
              </w:pPr>
              <w:r>
                <w:rPr>
                  <w:rFonts w:ascii="Arial" w:hAnsi="Arial" w:cs="Arial"/>
                  <w:noProof/>
                </w:rPr>
                <w:t xml:space="preserve">Bryne, Z. S. (2022). What is employee engagement? </w:t>
              </w:r>
              <w:r>
                <w:rPr>
                  <w:rFonts w:ascii="Arial" w:hAnsi="Arial" w:cs="Arial"/>
                  <w:i/>
                  <w:iCs/>
                  <w:noProof/>
                </w:rPr>
                <w:t>Understanding Employee Engagement</w:t>
              </w:r>
              <w:r>
                <w:rPr>
                  <w:rFonts w:ascii="Arial" w:hAnsi="Arial" w:cs="Arial"/>
                  <w:noProof/>
                </w:rPr>
                <w:t>, 11-24.</w:t>
              </w:r>
            </w:p>
            <w:p w14:paraId="08BC78C7" w14:textId="77777777" w:rsidR="009542E3" w:rsidRDefault="009542E3" w:rsidP="009542E3">
              <w:pPr>
                <w:pStyle w:val="Bibliography"/>
                <w:rPr>
                  <w:rFonts w:ascii="Arial" w:hAnsi="Arial" w:cs="Arial"/>
                  <w:noProof/>
                </w:rPr>
              </w:pPr>
              <w:r>
                <w:rPr>
                  <w:rFonts w:ascii="Arial" w:hAnsi="Arial" w:cs="Arial"/>
                  <w:noProof/>
                </w:rPr>
                <w:t xml:space="preserve">Catermole, G. (2019). Developing the employee lifecycle to keep top talent. </w:t>
              </w:r>
              <w:r>
                <w:rPr>
                  <w:rFonts w:ascii="Arial" w:hAnsi="Arial" w:cs="Arial"/>
                  <w:i/>
                  <w:iCs/>
                  <w:noProof/>
                </w:rPr>
                <w:t>Strategic HR Review</w:t>
              </w:r>
              <w:r>
                <w:rPr>
                  <w:rFonts w:ascii="Arial" w:hAnsi="Arial" w:cs="Arial"/>
                  <w:noProof/>
                </w:rPr>
                <w:t>, 58-62.</w:t>
              </w:r>
            </w:p>
            <w:p w14:paraId="41721A8C" w14:textId="77777777" w:rsidR="009542E3" w:rsidRDefault="009542E3" w:rsidP="009542E3">
              <w:pPr>
                <w:pStyle w:val="Bibliography"/>
                <w:rPr>
                  <w:rFonts w:ascii="Arial" w:hAnsi="Arial" w:cs="Arial"/>
                  <w:noProof/>
                </w:rPr>
              </w:pPr>
              <w:r>
                <w:rPr>
                  <w:rFonts w:ascii="Arial" w:hAnsi="Arial" w:cs="Arial"/>
                  <w:noProof/>
                </w:rPr>
                <w:t xml:space="preserve">Geogardias, S. (2015). Employee engagement implementation leads to employee creativity. </w:t>
              </w:r>
              <w:r>
                <w:rPr>
                  <w:rFonts w:ascii="Arial" w:hAnsi="Arial" w:cs="Arial"/>
                  <w:i/>
                  <w:iCs/>
                  <w:noProof/>
                </w:rPr>
                <w:t>Employee Engagement in Media Management</w:t>
              </w:r>
              <w:r>
                <w:rPr>
                  <w:rFonts w:ascii="Arial" w:hAnsi="Arial" w:cs="Arial"/>
                  <w:noProof/>
                </w:rPr>
                <w:t>, 83-100.</w:t>
              </w:r>
            </w:p>
            <w:p w14:paraId="517145CC" w14:textId="77777777" w:rsidR="009542E3" w:rsidRDefault="009542E3" w:rsidP="009542E3">
              <w:pPr>
                <w:pStyle w:val="Bibliography"/>
                <w:rPr>
                  <w:rFonts w:ascii="Arial" w:hAnsi="Arial" w:cs="Arial"/>
                  <w:noProof/>
                </w:rPr>
              </w:pPr>
              <w:r>
                <w:rPr>
                  <w:rFonts w:ascii="Arial" w:hAnsi="Arial" w:cs="Arial"/>
                  <w:noProof/>
                </w:rPr>
                <w:t xml:space="preserve">Ghatak, R. (2022). Deploy and embed analytics—employee lifecycle. </w:t>
              </w:r>
              <w:r>
                <w:rPr>
                  <w:rFonts w:ascii="Arial" w:hAnsi="Arial" w:cs="Arial"/>
                  <w:i/>
                  <w:iCs/>
                  <w:noProof/>
                </w:rPr>
                <w:t>Management for Professionals</w:t>
              </w:r>
              <w:r>
                <w:rPr>
                  <w:rFonts w:ascii="Arial" w:hAnsi="Arial" w:cs="Arial"/>
                  <w:noProof/>
                </w:rPr>
                <w:t>, 22-67.</w:t>
              </w:r>
            </w:p>
            <w:p w14:paraId="018F9441" w14:textId="77777777" w:rsidR="009542E3" w:rsidRDefault="009542E3" w:rsidP="009542E3">
              <w:pPr>
                <w:pStyle w:val="Bibliography"/>
                <w:rPr>
                  <w:rFonts w:ascii="Arial" w:hAnsi="Arial" w:cs="Arial"/>
                  <w:noProof/>
                </w:rPr>
              </w:pPr>
              <w:r>
                <w:rPr>
                  <w:rFonts w:ascii="Arial" w:hAnsi="Arial" w:cs="Arial"/>
                  <w:noProof/>
                </w:rPr>
                <w:t xml:space="preserve">Gilad, B. (2019). </w:t>
              </w:r>
              <w:r>
                <w:rPr>
                  <w:rFonts w:ascii="Arial" w:hAnsi="Arial" w:cs="Arial"/>
                  <w:i/>
                  <w:iCs/>
                  <w:noProof/>
                </w:rPr>
                <w:t>The new employee manual: A no-holds-barred look at Corporate Life.</w:t>
              </w:r>
              <w:r>
                <w:rPr>
                  <w:rFonts w:ascii="Arial" w:hAnsi="Arial" w:cs="Arial"/>
                  <w:noProof/>
                </w:rPr>
                <w:t xml:space="preserve"> IRVINE: Entrepreneur Press.</w:t>
              </w:r>
            </w:p>
            <w:p w14:paraId="7C373FBA" w14:textId="77777777" w:rsidR="009542E3" w:rsidRDefault="009542E3" w:rsidP="009542E3">
              <w:pPr>
                <w:pStyle w:val="Bibliography"/>
                <w:rPr>
                  <w:rFonts w:ascii="Arial" w:hAnsi="Arial" w:cs="Arial"/>
                  <w:noProof/>
                </w:rPr>
              </w:pPr>
              <w:r>
                <w:rPr>
                  <w:rFonts w:ascii="Arial" w:hAnsi="Arial" w:cs="Arial"/>
                  <w:noProof/>
                </w:rPr>
                <w:t xml:space="preserve">Gillien Jones, Roe Gorrel. (2018). </w:t>
              </w:r>
              <w:r>
                <w:rPr>
                  <w:rFonts w:ascii="Arial" w:hAnsi="Arial" w:cs="Arial"/>
                  <w:i/>
                  <w:iCs/>
                  <w:noProof/>
                </w:rPr>
                <w:t>How to create a coaching culture: A practical introduction.</w:t>
              </w:r>
              <w:r>
                <w:rPr>
                  <w:rFonts w:ascii="Arial" w:hAnsi="Arial" w:cs="Arial"/>
                  <w:noProof/>
                </w:rPr>
                <w:t xml:space="preserve"> London: Kogan Page.</w:t>
              </w:r>
            </w:p>
            <w:p w14:paraId="6E94B2A9" w14:textId="77777777" w:rsidR="009542E3" w:rsidRDefault="009542E3" w:rsidP="009542E3">
              <w:pPr>
                <w:pStyle w:val="Bibliography"/>
                <w:rPr>
                  <w:rFonts w:ascii="Arial" w:hAnsi="Arial" w:cs="Arial"/>
                  <w:noProof/>
                </w:rPr>
              </w:pPr>
              <w:r>
                <w:rPr>
                  <w:rFonts w:ascii="Arial" w:hAnsi="Arial" w:cs="Arial"/>
                  <w:noProof/>
                </w:rPr>
                <w:t xml:space="preserve">Gupta, S. (2019). Challenges faced by Adecco Employees in handling employee lifecycle. </w:t>
              </w:r>
              <w:r>
                <w:rPr>
                  <w:rFonts w:ascii="Arial" w:hAnsi="Arial" w:cs="Arial"/>
                  <w:i/>
                  <w:iCs/>
                  <w:noProof/>
                </w:rPr>
                <w:t>SSRN Electronic Journal</w:t>
              </w:r>
              <w:r>
                <w:rPr>
                  <w:rFonts w:ascii="Arial" w:hAnsi="Arial" w:cs="Arial"/>
                  <w:noProof/>
                </w:rPr>
                <w:t>, 55-88.</w:t>
              </w:r>
            </w:p>
            <w:p w14:paraId="5996FEF2" w14:textId="77777777" w:rsidR="009542E3" w:rsidRDefault="009542E3" w:rsidP="009542E3">
              <w:pPr>
                <w:pStyle w:val="Bibliography"/>
                <w:rPr>
                  <w:rFonts w:ascii="Arial" w:hAnsi="Arial" w:cs="Arial"/>
                  <w:noProof/>
                </w:rPr>
              </w:pPr>
              <w:r>
                <w:rPr>
                  <w:rFonts w:ascii="Arial" w:hAnsi="Arial" w:cs="Arial"/>
                  <w:noProof/>
                </w:rPr>
                <w:t xml:space="preserve">H., J. (2013). Leadership and employee engagement. </w:t>
              </w:r>
              <w:r>
                <w:rPr>
                  <w:rFonts w:ascii="Arial" w:hAnsi="Arial" w:cs="Arial"/>
                  <w:i/>
                  <w:iCs/>
                  <w:noProof/>
                </w:rPr>
                <w:t>Employee Engagement in Theory and Practice</w:t>
              </w:r>
              <w:r>
                <w:rPr>
                  <w:rFonts w:ascii="Arial" w:hAnsi="Arial" w:cs="Arial"/>
                  <w:noProof/>
                </w:rPr>
                <w:t>, 163-176.</w:t>
              </w:r>
            </w:p>
            <w:p w14:paraId="10BF6601" w14:textId="77777777" w:rsidR="009542E3" w:rsidRDefault="009542E3" w:rsidP="009542E3">
              <w:pPr>
                <w:pStyle w:val="Bibliography"/>
                <w:rPr>
                  <w:rFonts w:ascii="Arial" w:hAnsi="Arial" w:cs="Arial"/>
                  <w:noProof/>
                </w:rPr>
              </w:pPr>
              <w:r>
                <w:rPr>
                  <w:rFonts w:ascii="Arial" w:hAnsi="Arial" w:cs="Arial"/>
                  <w:noProof/>
                </w:rPr>
                <w:t xml:space="preserve">House, T. (2015). The employee lifecycle-A metrics roadmap from the C-Level. </w:t>
              </w:r>
              <w:r>
                <w:rPr>
                  <w:rFonts w:ascii="Arial" w:hAnsi="Arial" w:cs="Arial"/>
                  <w:i/>
                  <w:iCs/>
                  <w:noProof/>
                </w:rPr>
                <w:t>Ultimate Performance</w:t>
              </w:r>
              <w:r>
                <w:rPr>
                  <w:rFonts w:ascii="Arial" w:hAnsi="Arial" w:cs="Arial"/>
                  <w:noProof/>
                </w:rPr>
                <w:t>, 59-70.</w:t>
              </w:r>
            </w:p>
            <w:p w14:paraId="19B8F0E8" w14:textId="77777777" w:rsidR="009542E3" w:rsidRDefault="009542E3" w:rsidP="009542E3">
              <w:pPr>
                <w:pStyle w:val="Bibliography"/>
                <w:rPr>
                  <w:rFonts w:ascii="Arial" w:hAnsi="Arial" w:cs="Arial"/>
                  <w:noProof/>
                </w:rPr>
              </w:pPr>
              <w:r>
                <w:rPr>
                  <w:rFonts w:ascii="Arial" w:hAnsi="Arial" w:cs="Arial"/>
                  <w:noProof/>
                </w:rPr>
                <w:t xml:space="preserve">Huckabee, T. (2019). Why does employee engagement matter? </w:t>
              </w:r>
              <w:r>
                <w:rPr>
                  <w:rFonts w:ascii="Arial" w:hAnsi="Arial" w:cs="Arial"/>
                  <w:i/>
                  <w:iCs/>
                  <w:noProof/>
                </w:rPr>
                <w:t>Advancing Employee Engagement Using Lean Six Sigma</w:t>
              </w:r>
              <w:r>
                <w:rPr>
                  <w:rFonts w:ascii="Arial" w:hAnsi="Arial" w:cs="Arial"/>
                  <w:noProof/>
                </w:rPr>
                <w:t>, 439-643.</w:t>
              </w:r>
            </w:p>
            <w:p w14:paraId="66FEC520" w14:textId="77777777" w:rsidR="009542E3" w:rsidRDefault="009542E3" w:rsidP="009542E3">
              <w:pPr>
                <w:pStyle w:val="Bibliography"/>
                <w:rPr>
                  <w:rFonts w:ascii="Arial" w:hAnsi="Arial" w:cs="Arial"/>
                  <w:noProof/>
                </w:rPr>
              </w:pPr>
              <w:r>
                <w:rPr>
                  <w:rFonts w:ascii="Arial" w:hAnsi="Arial" w:cs="Arial"/>
                  <w:noProof/>
                </w:rPr>
                <w:t xml:space="preserve">Jason, H. (2013). Leadership and employee engagement. </w:t>
              </w:r>
              <w:r>
                <w:rPr>
                  <w:rFonts w:ascii="Arial" w:hAnsi="Arial" w:cs="Arial"/>
                  <w:i/>
                  <w:iCs/>
                  <w:noProof/>
                </w:rPr>
                <w:t>Employee Engagement in Theory and Practice</w:t>
              </w:r>
              <w:r>
                <w:rPr>
                  <w:rFonts w:ascii="Arial" w:hAnsi="Arial" w:cs="Arial"/>
                  <w:noProof/>
                </w:rPr>
                <w:t>, 163-176.</w:t>
              </w:r>
            </w:p>
            <w:p w14:paraId="56DD5C74" w14:textId="77777777" w:rsidR="009542E3" w:rsidRDefault="009542E3" w:rsidP="009542E3">
              <w:pPr>
                <w:pStyle w:val="Bibliography"/>
                <w:rPr>
                  <w:rFonts w:ascii="Arial" w:hAnsi="Arial" w:cs="Arial"/>
                  <w:noProof/>
                </w:rPr>
              </w:pPr>
              <w:r>
                <w:rPr>
                  <w:rFonts w:ascii="Arial" w:hAnsi="Arial" w:cs="Arial"/>
                  <w:noProof/>
                </w:rPr>
                <w:lastRenderedPageBreak/>
                <w:t xml:space="preserve">Jefry M. Saltzman, V. H. (2020). Lifecycle surveys. </w:t>
              </w:r>
              <w:r>
                <w:rPr>
                  <w:rFonts w:ascii="Arial" w:hAnsi="Arial" w:cs="Arial"/>
                  <w:i/>
                  <w:iCs/>
                  <w:noProof/>
                </w:rPr>
                <w:t>Employee Surveys and Sensing</w:t>
              </w:r>
              <w:r>
                <w:rPr>
                  <w:rFonts w:ascii="Arial" w:hAnsi="Arial" w:cs="Arial"/>
                  <w:noProof/>
                </w:rPr>
                <w:t>, 68-85.</w:t>
              </w:r>
            </w:p>
            <w:p w14:paraId="0530A357" w14:textId="77777777" w:rsidR="009542E3" w:rsidRDefault="009542E3" w:rsidP="009542E3">
              <w:pPr>
                <w:pStyle w:val="Bibliography"/>
                <w:rPr>
                  <w:rFonts w:ascii="Arial" w:hAnsi="Arial" w:cs="Arial"/>
                  <w:noProof/>
                </w:rPr>
              </w:pPr>
              <w:r>
                <w:rPr>
                  <w:rFonts w:ascii="Arial" w:hAnsi="Arial" w:cs="Arial"/>
                  <w:noProof/>
                </w:rPr>
                <w:t xml:space="preserve">John R. Mattox, Mark E. Vanburen, jean Martin. (2016). </w:t>
              </w:r>
              <w:r>
                <w:rPr>
                  <w:rFonts w:ascii="Arial" w:hAnsi="Arial" w:cs="Arial"/>
                  <w:i/>
                  <w:iCs/>
                  <w:noProof/>
                </w:rPr>
                <w:t>Learning analytics.</w:t>
              </w:r>
              <w:r>
                <w:rPr>
                  <w:rFonts w:ascii="Arial" w:hAnsi="Arial" w:cs="Arial"/>
                  <w:noProof/>
                </w:rPr>
                <w:t xml:space="preserve"> London: Kogan Page.</w:t>
              </w:r>
            </w:p>
            <w:p w14:paraId="35F6E1E0" w14:textId="77777777" w:rsidR="009542E3" w:rsidRDefault="009542E3" w:rsidP="009542E3">
              <w:pPr>
                <w:pStyle w:val="Bibliography"/>
                <w:rPr>
                  <w:rFonts w:ascii="Arial" w:hAnsi="Arial" w:cs="Arial"/>
                  <w:noProof/>
                </w:rPr>
              </w:pPr>
              <w:r>
                <w:rPr>
                  <w:rFonts w:ascii="Arial" w:hAnsi="Arial" w:cs="Arial"/>
                  <w:noProof/>
                </w:rPr>
                <w:t xml:space="preserve">Mackey, W. H. (2020). </w:t>
              </w:r>
              <w:r>
                <w:rPr>
                  <w:rFonts w:ascii="Arial" w:hAnsi="Arial" w:cs="Arial"/>
                  <w:i/>
                  <w:iCs/>
                  <w:noProof/>
                </w:rPr>
                <w:t>Employee surveys and sensing: Challenges and opportunities.</w:t>
              </w:r>
              <w:r>
                <w:rPr>
                  <w:rFonts w:ascii="Arial" w:hAnsi="Arial" w:cs="Arial"/>
                  <w:noProof/>
                </w:rPr>
                <w:t xml:space="preserve"> New York: Oxford University Press.</w:t>
              </w:r>
            </w:p>
            <w:p w14:paraId="5B441ABA" w14:textId="77777777" w:rsidR="009542E3" w:rsidRDefault="009542E3" w:rsidP="009542E3">
              <w:pPr>
                <w:pStyle w:val="Bibliography"/>
                <w:rPr>
                  <w:rFonts w:ascii="Arial" w:hAnsi="Arial" w:cs="Arial"/>
                  <w:noProof/>
                </w:rPr>
              </w:pPr>
              <w:r>
                <w:rPr>
                  <w:rFonts w:ascii="Arial" w:hAnsi="Arial" w:cs="Arial"/>
                  <w:noProof/>
                </w:rPr>
                <w:t xml:space="preserve">Nosratabadi, S. (2022). Artificial Intelligence Models and employee lifecycle management: A systematic literature review. </w:t>
              </w:r>
              <w:r>
                <w:rPr>
                  <w:rFonts w:ascii="Arial" w:hAnsi="Arial" w:cs="Arial"/>
                  <w:i/>
                  <w:iCs/>
                  <w:noProof/>
                </w:rPr>
                <w:t>Organizacija</w:t>
              </w:r>
              <w:r>
                <w:rPr>
                  <w:rFonts w:ascii="Arial" w:hAnsi="Arial" w:cs="Arial"/>
                  <w:noProof/>
                </w:rPr>
                <w:t>, 181-198.</w:t>
              </w:r>
            </w:p>
            <w:p w14:paraId="5EC22EEE" w14:textId="77777777" w:rsidR="009542E3" w:rsidRDefault="009542E3" w:rsidP="009542E3">
              <w:pPr>
                <w:pStyle w:val="Bibliography"/>
                <w:rPr>
                  <w:rFonts w:ascii="Arial" w:hAnsi="Arial" w:cs="Arial"/>
                  <w:noProof/>
                </w:rPr>
              </w:pPr>
              <w:r>
                <w:rPr>
                  <w:rFonts w:ascii="Arial" w:hAnsi="Arial" w:cs="Arial"/>
                  <w:noProof/>
                </w:rPr>
                <w:t xml:space="preserve">Phin, D. (2018). </w:t>
              </w:r>
              <w:r>
                <w:rPr>
                  <w:rFonts w:ascii="Arial" w:hAnsi="Arial" w:cs="Arial"/>
                  <w:i/>
                  <w:iCs/>
                  <w:noProof/>
                </w:rPr>
                <w:t>Human resources: Selecting an HR system.</w:t>
              </w:r>
              <w:r>
                <w:rPr>
                  <w:rFonts w:ascii="Arial" w:hAnsi="Arial" w:cs="Arial"/>
                  <w:noProof/>
                </w:rPr>
                <w:t xml:space="preserve"> Erscheinungsort nicht ermittelbar: LinkedIn.</w:t>
              </w:r>
            </w:p>
            <w:p w14:paraId="5A8F46BD" w14:textId="77777777" w:rsidR="009542E3" w:rsidRDefault="009542E3" w:rsidP="009542E3">
              <w:pPr>
                <w:pStyle w:val="Bibliography"/>
                <w:rPr>
                  <w:rFonts w:ascii="Arial" w:hAnsi="Arial" w:cs="Arial"/>
                  <w:noProof/>
                </w:rPr>
              </w:pPr>
              <w:r>
                <w:rPr>
                  <w:rFonts w:ascii="Arial" w:hAnsi="Arial" w:cs="Arial"/>
                  <w:noProof/>
                </w:rPr>
                <w:t xml:space="preserve">Shuck, B. (2019). The impact of employee engagement. </w:t>
              </w:r>
              <w:r>
                <w:rPr>
                  <w:rFonts w:ascii="Arial" w:hAnsi="Arial" w:cs="Arial"/>
                  <w:i/>
                  <w:iCs/>
                  <w:noProof/>
                </w:rPr>
                <w:t>Employee Engagement</w:t>
              </w:r>
              <w:r>
                <w:rPr>
                  <w:rFonts w:ascii="Arial" w:hAnsi="Arial" w:cs="Arial"/>
                  <w:noProof/>
                </w:rPr>
                <w:t>, 52-63.</w:t>
              </w:r>
            </w:p>
            <w:p w14:paraId="4599982D" w14:textId="77777777" w:rsidR="009542E3" w:rsidRDefault="009542E3" w:rsidP="009542E3">
              <w:pPr>
                <w:pStyle w:val="Bibliography"/>
                <w:rPr>
                  <w:rFonts w:ascii="Arial" w:hAnsi="Arial" w:cs="Arial"/>
                  <w:noProof/>
                </w:rPr>
              </w:pPr>
              <w:r>
                <w:rPr>
                  <w:rFonts w:ascii="Arial" w:hAnsi="Arial" w:cs="Arial"/>
                  <w:noProof/>
                </w:rPr>
                <w:t xml:space="preserve">Thompson, J. A. (2015). </w:t>
              </w:r>
              <w:r>
                <w:rPr>
                  <w:rFonts w:ascii="Arial" w:hAnsi="Arial" w:cs="Arial"/>
                  <w:i/>
                  <w:iCs/>
                  <w:noProof/>
                </w:rPr>
                <w:t>Achieving a triple win: Human Capital Management of the employee lifecycle.</w:t>
              </w:r>
              <w:r>
                <w:rPr>
                  <w:rFonts w:ascii="Arial" w:hAnsi="Arial" w:cs="Arial"/>
                  <w:noProof/>
                </w:rPr>
                <w:t xml:space="preserve"> London: Routledge.</w:t>
              </w:r>
            </w:p>
            <w:p w14:paraId="306FD62F" w14:textId="77777777" w:rsidR="009542E3" w:rsidRDefault="009542E3" w:rsidP="009542E3">
              <w:pPr>
                <w:pStyle w:val="Bibliography"/>
                <w:rPr>
                  <w:rFonts w:ascii="Arial" w:hAnsi="Arial" w:cs="Arial"/>
                  <w:noProof/>
                </w:rPr>
              </w:pPr>
              <w:r>
                <w:rPr>
                  <w:rFonts w:ascii="Arial" w:hAnsi="Arial" w:cs="Arial"/>
                  <w:noProof/>
                </w:rPr>
                <w:t xml:space="preserve">Turner, A. L. (2019). Challenges in the employee knowledge transfer lifecycle: A knowledge management perspective. </w:t>
              </w:r>
              <w:r>
                <w:rPr>
                  <w:rFonts w:ascii="Arial" w:hAnsi="Arial" w:cs="Arial"/>
                  <w:i/>
                  <w:iCs/>
                  <w:noProof/>
                </w:rPr>
                <w:t>Employee Management</w:t>
              </w:r>
              <w:r>
                <w:rPr>
                  <w:rFonts w:ascii="Arial" w:hAnsi="Arial" w:cs="Arial"/>
                  <w:noProof/>
                </w:rPr>
                <w:t>, 11-25.</w:t>
              </w:r>
            </w:p>
            <w:p w14:paraId="4D7888C3" w14:textId="77777777" w:rsidR="009542E3" w:rsidRDefault="009542E3" w:rsidP="009542E3">
              <w:pPr>
                <w:rPr>
                  <w:rFonts w:ascii="Arial" w:hAnsi="Arial" w:cs="Arial"/>
                </w:rPr>
              </w:pPr>
              <w:r>
                <w:rPr>
                  <w:rFonts w:ascii="Arial" w:hAnsi="Arial" w:cs="Arial"/>
                  <w:b/>
                  <w:bCs/>
                  <w:noProof/>
                </w:rPr>
                <w:fldChar w:fldCharType="end"/>
              </w:r>
            </w:p>
          </w:sdtContent>
        </w:sdt>
      </w:sdtContent>
    </w:sdt>
    <w:p w14:paraId="242389D1" w14:textId="77777777" w:rsidR="009542E3" w:rsidRDefault="009542E3" w:rsidP="009542E3">
      <w:pPr>
        <w:rPr>
          <w:rFonts w:ascii="Arial" w:hAnsi="Arial" w:cs="Arial"/>
        </w:rPr>
      </w:pPr>
    </w:p>
    <w:p w14:paraId="026ADCC3" w14:textId="77777777" w:rsidR="009542E3" w:rsidRDefault="009542E3" w:rsidP="009542E3">
      <w:r>
        <w:br w:type="page"/>
      </w:r>
    </w:p>
    <w:sectPr w:rsidR="009542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2E3"/>
    <w:rsid w:val="002C69FC"/>
    <w:rsid w:val="009542E3"/>
    <w:rsid w:val="00AF6D07"/>
    <w:rsid w:val="00D713D1"/>
    <w:rsid w:val="00F233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152FE"/>
  <w15:chartTrackingRefBased/>
  <w15:docId w15:val="{4F4B9825-EBDD-4D20-8095-E25FF10D3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2E3"/>
    <w:pPr>
      <w:spacing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9542E3"/>
    <w:pPr>
      <w:keepNext/>
      <w:keepLines/>
      <w:spacing w:before="240" w:after="0" w:line="256" w:lineRule="auto"/>
      <w:jc w:val="left"/>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42E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542E3"/>
  </w:style>
  <w:style w:type="paragraph" w:styleId="TOCHeading">
    <w:name w:val="TOC Heading"/>
    <w:basedOn w:val="Heading1"/>
    <w:next w:val="Normal"/>
    <w:uiPriority w:val="39"/>
    <w:unhideWhenUsed/>
    <w:qFormat/>
    <w:rsid w:val="009542E3"/>
    <w:pPr>
      <w:spacing w:line="259" w:lineRule="auto"/>
      <w:outlineLvl w:val="9"/>
    </w:pPr>
  </w:style>
  <w:style w:type="paragraph" w:styleId="TOC1">
    <w:name w:val="toc 1"/>
    <w:basedOn w:val="Normal"/>
    <w:next w:val="Normal"/>
    <w:autoRedefine/>
    <w:uiPriority w:val="39"/>
    <w:unhideWhenUsed/>
    <w:rsid w:val="009542E3"/>
    <w:pPr>
      <w:spacing w:after="100"/>
    </w:pPr>
  </w:style>
  <w:style w:type="character" w:styleId="Hyperlink">
    <w:name w:val="Hyperlink"/>
    <w:basedOn w:val="DefaultParagraphFont"/>
    <w:uiPriority w:val="99"/>
    <w:unhideWhenUsed/>
    <w:rsid w:val="009542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Tiw21</b:Tag>
    <b:SourceType>JournalArticle</b:SourceType>
    <b:Guid>{E929EAD2-5353-45C4-BBF6-78712C76B9C0}</b:Guid>
    <b:Author>
      <b:Author>
        <b:NameList>
          <b:Person>
            <b:Last>Shuvra</b:Last>
            <b:First>Tiwari</b:First>
          </b:Person>
        </b:NameList>
      </b:Author>
    </b:Author>
    <b:Title>Technological dynamism of Workforce Management for Effective Education Service Delivery during and after covid-19</b:Title>
    <b:Year>2021</b:Year>
    <b:JournalName>HR Analytics and Digital HR Practices</b:JournalName>
    <b:Pages>199-215</b:Pages>
    <b:RefOrder>1</b:RefOrder>
  </b:Source>
  <b:Source>
    <b:Tag>Luc21</b:Tag>
    <b:SourceType>JournalArticle</b:SourceType>
    <b:Guid>{6C538AB7-C856-4E44-83E0-CDBEF77E300A}</b:Guid>
    <b:Author>
      <b:Author>
        <b:NameList>
          <b:Person>
            <b:Last>Tordisco</b:Last>
            <b:First>Lucio</b:First>
          </b:Person>
        </b:NameList>
      </b:Author>
    </b:Author>
    <b:Title>Effects of covid-19 on public administration: Smart working as an organizational revolution</b:Title>
    <b:JournalName>HR Analytics and Digital HR Practices</b:JournalName>
    <b:Year>2021</b:Year>
    <b:Pages>51-72</b:Pages>
    <b:RefOrder>2</b:RefOrder>
  </b:Source>
  <b:Source>
    <b:Tag>Dor21</b:Tag>
    <b:SourceType>JournalArticle</b:SourceType>
    <b:Guid>{8B8C9D39-0F8D-433E-8810-9F07FEDB45DF}</b:Guid>
    <b:Author>
      <b:Author>
        <b:NameList>
          <b:Person>
            <b:Last>Almeida</b:Last>
            <b:First>Dora</b:First>
          </b:Person>
        </b:NameList>
      </b:Author>
    </b:Author>
    <b:Title>Dynamic role of technology in managing workforce in service delivery during COVID-19 pandemic</b:Title>
    <b:JournalName>HR Analytics and Digital HR Practices</b:JournalName>
    <b:Year>2021</b:Year>
    <b:Pages>71-98</b:Pages>
    <b:RefOrder>3</b:RefOrder>
  </b:Source>
  <b:Source>
    <b:Tag>Man21</b:Tag>
    <b:SourceType>JournalArticle</b:SourceType>
    <b:Guid>{55239C9F-4C60-44A9-86FC-4E53209AA5B8}</b:Guid>
    <b:Author>
      <b:Author>
        <b:NameList>
          <b:Person>
            <b:Last>Saxena</b:Last>
            <b:First>Mansi</b:First>
          </b:Person>
        </b:NameList>
      </b:Author>
    </b:Author>
    <b:Title>HR during covid-19 ERA: Study on recent HR transformations through technological tools and Trends</b:Title>
    <b:JournalName>2021 11th International Conference on Cloud Computing, Data Science &amp;amp; Engineering (Confluence)</b:JournalName>
    <b:Year>2021</b:Year>
    <b:Pages>44-52</b:Pages>
    <b:RefOrder>4</b:RefOrder>
  </b:Source>
  <b:Source>
    <b:Tag>Zis21</b:Tag>
    <b:SourceType>JournalArticle</b:SourceType>
    <b:Guid>{A2BD7D21-2E56-479B-B47E-7EA34F0B5D27}</b:Guid>
    <b:Author>
      <b:Author>
        <b:NameList>
          <b:Person>
            <b:Last>Cheng</b:Last>
            <b:First>Zishhen</b:First>
          </b:Person>
        </b:NameList>
      </b:Author>
    </b:Author>
    <b:Title>Influence of working from home during the covid-19 crisis and HR practitioner response</b:Title>
    <b:JournalName>Frontiers in Psychology</b:JournalName>
    <b:Year>2021</b:Year>
    <b:Pages>67-75</b:Pages>
    <b:RefOrder>5</b:RefOrder>
  </b:Source>
  <b:Source>
    <b:Tag>Pau22</b:Tag>
    <b:SourceType>JournalArticle</b:SourceType>
    <b:Guid>{502866CA-48E8-4F38-BF15-0608389A75B5}</b:Guid>
    <b:Author>
      <b:Author>
        <b:NameList>
          <b:Person>
            <b:Last>Jackson</b:Last>
            <b:First>Paul</b:First>
          </b:Person>
        </b:NameList>
      </b:Author>
    </b:Author>
    <b:Title>Employee Financial Health comes to the fore after covid</b:Title>
    <b:JournalName>Strategic HR Review</b:JournalName>
    <b:Year>2022</b:Year>
    <b:Pages>70-73</b:Pages>
    <b:RefOrder>6</b:RefOrder>
  </b:Source>
  <b:Source>
    <b:Tag>Rek21</b:Tag>
    <b:SourceType>JournalArticle</b:SourceType>
    <b:Guid>{837D3FB0-2DB4-414A-8AFB-DCB8C2B01945}</b:Guid>
    <b:Author>
      <b:Author>
        <b:NameList>
          <b:Person>
            <b:Last>Bishnoi</b:Last>
            <b:First>Rekha</b:First>
          </b:Person>
        </b:NameList>
      </b:Author>
    </b:Author>
    <b:Title>HR analytics responsiveness in the times of covid-19</b:Title>
    <b:JournalName>Indian Journal of Computer Science</b:JournalName>
    <b:Year>2021</b:Year>
    <b:Pages>188-194</b:Pages>
    <b:RefOrder>7</b:RefOrder>
  </b:Source>
  <b:Source>
    <b:Tag>Ser21</b:Tag>
    <b:SourceType>JournalArticle</b:SourceType>
    <b:Guid>{024B0D69-C4DF-43CA-AF59-757CDCE9BEA4}</b:Guid>
    <b:Author>
      <b:Author>
        <b:NameList>
          <b:Person>
            <b:Last>Masaev</b:Last>
            <b:First>Sergei</b:First>
            <b:Middle>Nilovich</b:Middle>
          </b:Person>
        </b:NameList>
      </b:Author>
    </b:Author>
    <b:Title>Algorithm for assessing the state of the system (sanctions, HR, TQM, PMBOK, covid-19, fire safety) by the method of Integrated Indicators</b:Title>
    <b:JournalName>Vestnik of Astrakhan State Technical University. Series: Management, computer science and informatics</b:JournalName>
    <b:Year>2021</b:Year>
    <b:Pages>36-48</b:Pages>
    <b:RefOrder>8</b:RefOrder>
  </b:Source>
  <b:Source>
    <b:Tag>Rah20</b:Tag>
    <b:SourceType>JournalArticle</b:SourceType>
    <b:Guid>{409360FD-B4A5-4DB3-9F40-EFBFB08A0F2D}</b:Guid>
    <b:Author>
      <b:Author>
        <b:NameList>
          <b:Person>
            <b:Last>Heramwati</b:Last>
            <b:First>Rahmi</b:First>
          </b:Person>
        </b:NameList>
      </b:Author>
    </b:Author>
    <b:Title>The influence of work stress and discipline on work performance of Emplyee at pt. Surya Menara Pratama Jakarta Selatan</b:Title>
    <b:JournalName>PINISI Discretion Review</b:JournalName>
    <b:Year>2020</b:Year>
    <b:Pages>50</b:Pages>
    <b:RefOrder>9</b:RefOrder>
  </b:Source>
  <b:Source>
    <b:Tag>Fra22</b:Tag>
    <b:SourceType>JournalArticle</b:SourceType>
    <b:Guid>{83D8085A-19FF-448C-98B0-D22483771939}</b:Guid>
    <b:Author>
      <b:Author>
        <b:NameList>
          <b:Person>
            <b:Last>Perone</b:Last>
            <b:First>Frank</b:First>
          </b:Person>
        </b:NameList>
      </b:Author>
    </b:Author>
    <b:Title>Leadership and teacher retention</b:Title>
    <b:JournalName>Leadership and Teacher Retention</b:JournalName>
    <b:Year>2022</b:Year>
    <b:Pages>60-71</b:Pages>
    <b:RefOrder>10</b:RefOrder>
  </b:Source>
</b:Sources>
</file>

<file path=customXml/itemProps1.xml><?xml version="1.0" encoding="utf-8"?>
<ds:datastoreItem xmlns:ds="http://schemas.openxmlformats.org/officeDocument/2006/customXml" ds:itemID="{17C3C272-267E-4027-B3E1-9236710A8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2504</Words>
  <Characters>14273</Characters>
  <Application>Microsoft Office Word</Application>
  <DocSecurity>0</DocSecurity>
  <Lines>118</Lines>
  <Paragraphs>33</Paragraphs>
  <ScaleCrop>false</ScaleCrop>
  <Company/>
  <LinksUpToDate>false</LinksUpToDate>
  <CharactersWithSpaces>16744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Muhammed</dc:creator>
  <cp:keywords/>
  <dc:description/>
  <cp:lastModifiedBy>Muhammed</cp:lastModifiedBy>
  <cp:revision>4</cp:revision>
  <dcterms:created xsi:type="dcterms:W3CDTF">2022-10-21T00:04:00Z</dcterms:created>
  <dcterms:modified xsi:type="dcterms:W3CDTF">2022-10-21T00:21:00Z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ff01be58-b635-4cce-9ede-1ad233c26be7</vt:lpwstr>
  </property>
</Properties>
</file>