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D81ED" w14:textId="773795DF" w:rsidR="00C450D5" w:rsidRPr="00C450D5" w:rsidRDefault="00C450D5" w:rsidP="006B05AA">
      <w:pPr>
        <w:spacing w:line="360" w:lineRule="auto"/>
        <w:rPr>
          <w:rFonts w:ascii="Times New Roman" w:hAnsi="Times New Roman" w:cs="Times New Roman"/>
          <w:b/>
          <w:bCs/>
          <w:sz w:val="32"/>
          <w:szCs w:val="32"/>
        </w:rPr>
      </w:pPr>
    </w:p>
    <w:p w14:paraId="4299764F" w14:textId="77777777" w:rsidR="00677F3D" w:rsidRPr="00C450D5" w:rsidRDefault="00677F3D" w:rsidP="006B05AA">
      <w:pPr>
        <w:spacing w:line="360" w:lineRule="auto"/>
        <w:rPr>
          <w:rFonts w:ascii="Times New Roman" w:hAnsi="Times New Roman" w:cs="Times New Roman"/>
          <w:b/>
          <w:bCs/>
          <w:sz w:val="32"/>
          <w:szCs w:val="32"/>
        </w:rPr>
      </w:pPr>
    </w:p>
    <w:p w14:paraId="7F8EB333" w14:textId="207DA5E3" w:rsidR="000975EE" w:rsidRPr="00B2776D" w:rsidRDefault="000975EE" w:rsidP="00B2776D">
      <w:pPr>
        <w:spacing w:line="360" w:lineRule="auto"/>
        <w:jc w:val="center"/>
        <w:rPr>
          <w:rFonts w:ascii="Times New Roman" w:hAnsi="Times New Roman" w:cs="Times New Roman"/>
          <w:sz w:val="24"/>
          <w:szCs w:val="24"/>
        </w:rPr>
      </w:pPr>
    </w:p>
    <w:p w14:paraId="0F51C0C5" w14:textId="4E5D0E19" w:rsidR="000975EE" w:rsidRPr="00B2776D" w:rsidRDefault="000975EE" w:rsidP="00B2776D">
      <w:pPr>
        <w:spacing w:line="360" w:lineRule="auto"/>
        <w:jc w:val="center"/>
        <w:rPr>
          <w:rFonts w:ascii="Times New Roman" w:hAnsi="Times New Roman" w:cs="Times New Roman"/>
          <w:sz w:val="24"/>
          <w:szCs w:val="24"/>
        </w:rPr>
      </w:pPr>
    </w:p>
    <w:p w14:paraId="62F2A853" w14:textId="123070CA" w:rsidR="000975EE" w:rsidRPr="00B2776D" w:rsidRDefault="000975EE" w:rsidP="00B2776D">
      <w:pPr>
        <w:spacing w:line="360" w:lineRule="auto"/>
        <w:jc w:val="center"/>
        <w:rPr>
          <w:rFonts w:ascii="Times New Roman" w:hAnsi="Times New Roman" w:cs="Times New Roman"/>
          <w:sz w:val="24"/>
          <w:szCs w:val="24"/>
        </w:rPr>
      </w:pPr>
    </w:p>
    <w:p w14:paraId="6763B9CA" w14:textId="77DB745D" w:rsidR="000975EE" w:rsidRPr="00B2776D" w:rsidRDefault="000975EE" w:rsidP="00B2776D">
      <w:pPr>
        <w:spacing w:line="360" w:lineRule="auto"/>
        <w:jc w:val="center"/>
        <w:rPr>
          <w:rFonts w:ascii="Times New Roman" w:hAnsi="Times New Roman" w:cs="Times New Roman"/>
          <w:sz w:val="24"/>
          <w:szCs w:val="24"/>
        </w:rPr>
      </w:pPr>
    </w:p>
    <w:p w14:paraId="553A262A" w14:textId="77777777" w:rsidR="006B05AA" w:rsidRDefault="006B05AA" w:rsidP="006B05A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ACCOUNTING FUNDAMENTALS</w:t>
      </w:r>
    </w:p>
    <w:p w14:paraId="32D6FF50" w14:textId="77777777" w:rsidR="006B05AA" w:rsidRDefault="006B05AA" w:rsidP="006B05A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LCBB4001</w:t>
      </w:r>
    </w:p>
    <w:p w14:paraId="7D0D62AC" w14:textId="77777777" w:rsidR="006B05AA" w:rsidRPr="00C450D5" w:rsidRDefault="006B05AA" w:rsidP="006B05AA">
      <w:pPr>
        <w:spacing w:line="360" w:lineRule="auto"/>
        <w:jc w:val="center"/>
        <w:rPr>
          <w:rFonts w:ascii="Times New Roman" w:hAnsi="Times New Roman" w:cs="Times New Roman"/>
          <w:b/>
          <w:bCs/>
          <w:sz w:val="32"/>
          <w:szCs w:val="32"/>
        </w:rPr>
      </w:pPr>
      <w:r w:rsidRPr="00C450D5">
        <w:rPr>
          <w:rFonts w:ascii="Times New Roman" w:hAnsi="Times New Roman" w:cs="Times New Roman"/>
          <w:b/>
          <w:bCs/>
          <w:sz w:val="32"/>
          <w:szCs w:val="32"/>
        </w:rPr>
        <w:t>Mirela Maria Dolca</w:t>
      </w:r>
    </w:p>
    <w:p w14:paraId="058F4CAF" w14:textId="77777777" w:rsidR="006B05AA" w:rsidRDefault="006B05AA" w:rsidP="006B05AA">
      <w:pPr>
        <w:spacing w:line="360" w:lineRule="auto"/>
        <w:jc w:val="center"/>
        <w:rPr>
          <w:rFonts w:ascii="Times New Roman" w:hAnsi="Times New Roman" w:cs="Times New Roman"/>
          <w:b/>
          <w:bCs/>
          <w:sz w:val="32"/>
          <w:szCs w:val="32"/>
        </w:rPr>
      </w:pPr>
      <w:r w:rsidRPr="00C450D5">
        <w:rPr>
          <w:rFonts w:ascii="Times New Roman" w:hAnsi="Times New Roman" w:cs="Times New Roman"/>
          <w:b/>
          <w:bCs/>
          <w:sz w:val="32"/>
          <w:szCs w:val="32"/>
        </w:rPr>
        <w:t>ID: 2112412</w:t>
      </w:r>
    </w:p>
    <w:p w14:paraId="657D9423" w14:textId="77777777" w:rsidR="006B05AA" w:rsidRPr="00C450D5" w:rsidRDefault="006B05AA" w:rsidP="006B05A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Trinity Saint David</w:t>
      </w:r>
    </w:p>
    <w:p w14:paraId="1DA8F642" w14:textId="77777777" w:rsidR="006B05AA" w:rsidRPr="00C450D5" w:rsidRDefault="006B05AA" w:rsidP="006B05AA">
      <w:pPr>
        <w:spacing w:line="360" w:lineRule="auto"/>
        <w:jc w:val="center"/>
        <w:rPr>
          <w:rFonts w:ascii="Times New Roman" w:hAnsi="Times New Roman" w:cs="Times New Roman"/>
          <w:b/>
          <w:bCs/>
          <w:sz w:val="32"/>
          <w:szCs w:val="32"/>
        </w:rPr>
      </w:pPr>
    </w:p>
    <w:p w14:paraId="390C08E6" w14:textId="1DBE35CD" w:rsidR="000975EE" w:rsidRPr="00B2776D" w:rsidRDefault="000975EE" w:rsidP="00B2776D">
      <w:pPr>
        <w:spacing w:line="360" w:lineRule="auto"/>
        <w:jc w:val="center"/>
        <w:rPr>
          <w:rFonts w:ascii="Times New Roman" w:hAnsi="Times New Roman" w:cs="Times New Roman"/>
          <w:sz w:val="24"/>
          <w:szCs w:val="24"/>
        </w:rPr>
      </w:pPr>
    </w:p>
    <w:p w14:paraId="2522AF93" w14:textId="3EB6536C" w:rsidR="000975EE" w:rsidRPr="00B2776D" w:rsidRDefault="000975EE" w:rsidP="00B2776D">
      <w:pPr>
        <w:spacing w:line="360" w:lineRule="auto"/>
        <w:jc w:val="center"/>
        <w:rPr>
          <w:rFonts w:ascii="Times New Roman" w:hAnsi="Times New Roman" w:cs="Times New Roman"/>
          <w:sz w:val="24"/>
          <w:szCs w:val="24"/>
        </w:rPr>
      </w:pPr>
    </w:p>
    <w:p w14:paraId="73AB38D6" w14:textId="0AB06B72" w:rsidR="000975EE" w:rsidRPr="00B2776D" w:rsidRDefault="000975EE" w:rsidP="00B2776D">
      <w:pPr>
        <w:spacing w:line="360" w:lineRule="auto"/>
        <w:jc w:val="center"/>
        <w:rPr>
          <w:rFonts w:ascii="Times New Roman" w:hAnsi="Times New Roman" w:cs="Times New Roman"/>
          <w:sz w:val="24"/>
          <w:szCs w:val="24"/>
        </w:rPr>
      </w:pPr>
    </w:p>
    <w:p w14:paraId="2D16B813" w14:textId="5BA08B90" w:rsidR="000975EE" w:rsidRPr="00B2776D" w:rsidRDefault="000975EE" w:rsidP="00B2776D">
      <w:pPr>
        <w:spacing w:line="360" w:lineRule="auto"/>
        <w:jc w:val="center"/>
        <w:rPr>
          <w:rFonts w:ascii="Times New Roman" w:hAnsi="Times New Roman" w:cs="Times New Roman"/>
          <w:sz w:val="24"/>
          <w:szCs w:val="24"/>
        </w:rPr>
      </w:pPr>
    </w:p>
    <w:p w14:paraId="07E56D07" w14:textId="77777777" w:rsidR="00BE3525" w:rsidRDefault="00BE3525" w:rsidP="00B2776D">
      <w:pPr>
        <w:spacing w:line="360" w:lineRule="auto"/>
        <w:jc w:val="center"/>
        <w:rPr>
          <w:rFonts w:ascii="Times New Roman" w:hAnsi="Times New Roman" w:cs="Times New Roman"/>
          <w:b/>
          <w:bCs/>
          <w:sz w:val="32"/>
          <w:szCs w:val="32"/>
        </w:rPr>
      </w:pPr>
    </w:p>
    <w:p w14:paraId="39170B46" w14:textId="310A552A" w:rsidR="000975EE" w:rsidRPr="00BE3525" w:rsidRDefault="000975EE" w:rsidP="00B2776D">
      <w:pPr>
        <w:spacing w:line="360" w:lineRule="auto"/>
        <w:jc w:val="center"/>
        <w:rPr>
          <w:rFonts w:ascii="Times New Roman" w:hAnsi="Times New Roman" w:cs="Times New Roman"/>
          <w:b/>
          <w:bCs/>
          <w:sz w:val="32"/>
          <w:szCs w:val="32"/>
        </w:rPr>
      </w:pPr>
    </w:p>
    <w:p w14:paraId="5972A58C" w14:textId="77777777" w:rsidR="000975EE" w:rsidRPr="00B2776D" w:rsidRDefault="0082639A"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519542561"/>
        <w:docPartObj>
          <w:docPartGallery w:val="Table of Contents"/>
          <w:docPartUnique/>
        </w:docPartObj>
      </w:sdtPr>
      <w:sdtEndPr>
        <w:rPr>
          <w:rFonts w:ascii="Times New Roman" w:hAnsi="Times New Roman" w:cs="Times New Roman"/>
          <w:b/>
          <w:bCs/>
          <w:noProof/>
          <w:sz w:val="24"/>
          <w:szCs w:val="24"/>
        </w:rPr>
      </w:sdtEndPr>
      <w:sdtContent>
        <w:p w14:paraId="5F1CD26F" w14:textId="374BA41F" w:rsidR="00BE3525" w:rsidRPr="00BE3525" w:rsidRDefault="0082639A" w:rsidP="00BE3525">
          <w:pPr>
            <w:pStyle w:val="TOCHeading"/>
            <w:spacing w:line="360" w:lineRule="auto"/>
            <w:jc w:val="center"/>
            <w:rPr>
              <w:rFonts w:ascii="Times New Roman" w:hAnsi="Times New Roman" w:cs="Times New Roman"/>
              <w:b/>
              <w:bCs/>
              <w:color w:val="000000" w:themeColor="text1"/>
            </w:rPr>
          </w:pPr>
          <w:r w:rsidRPr="00BE3525">
            <w:rPr>
              <w:rFonts w:ascii="Times New Roman" w:hAnsi="Times New Roman" w:cs="Times New Roman"/>
              <w:b/>
              <w:bCs/>
              <w:color w:val="000000" w:themeColor="text1"/>
            </w:rPr>
            <w:t>List of contents</w:t>
          </w:r>
        </w:p>
        <w:p w14:paraId="0C7F3602" w14:textId="0B1147C1" w:rsidR="00BE3525" w:rsidRPr="00BE3525" w:rsidRDefault="0082639A" w:rsidP="00BE3525">
          <w:pPr>
            <w:pStyle w:val="TOC1"/>
          </w:pPr>
          <w:r w:rsidRPr="00BE3525">
            <w:fldChar w:fldCharType="begin"/>
          </w:r>
          <w:r w:rsidRPr="00BE3525">
            <w:instrText xml:space="preserve"> TOC \o "1-3" \h \z \u </w:instrText>
          </w:r>
          <w:r w:rsidRPr="00BE3525">
            <w:fldChar w:fldCharType="separate"/>
          </w:r>
          <w:hyperlink w:anchor="_Toc109819966" w:history="1">
            <w:r w:rsidRPr="00BE3525">
              <w:rPr>
                <w:rStyle w:val="Hyperlink"/>
                <w:u w:val="none"/>
              </w:rPr>
              <w:t>Task 1</w:t>
            </w:r>
            <w:r w:rsidRPr="00BE3525">
              <w:rPr>
                <w:webHidden/>
              </w:rPr>
              <w:tab/>
            </w:r>
            <w:r w:rsidRPr="00BE3525">
              <w:rPr>
                <w:webHidden/>
              </w:rPr>
              <w:fldChar w:fldCharType="begin"/>
            </w:r>
            <w:r w:rsidRPr="00BE3525">
              <w:rPr>
                <w:webHidden/>
              </w:rPr>
              <w:instrText xml:space="preserve"> PAGEREF _Toc109819966 \h </w:instrText>
            </w:r>
            <w:r w:rsidRPr="00BE3525">
              <w:rPr>
                <w:webHidden/>
              </w:rPr>
            </w:r>
            <w:r w:rsidRPr="00BE3525">
              <w:rPr>
                <w:webHidden/>
              </w:rPr>
              <w:fldChar w:fldCharType="separate"/>
            </w:r>
            <w:r w:rsidRPr="00BE3525">
              <w:rPr>
                <w:webHidden/>
              </w:rPr>
              <w:t>3</w:t>
            </w:r>
            <w:r w:rsidRPr="00BE3525">
              <w:rPr>
                <w:webHidden/>
              </w:rPr>
              <w:fldChar w:fldCharType="end"/>
            </w:r>
          </w:hyperlink>
        </w:p>
        <w:p w14:paraId="0747A76C" w14:textId="2B19B7BF"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7" w:history="1">
            <w:r w:rsidR="0082639A" w:rsidRPr="00BE3525">
              <w:rPr>
                <w:rStyle w:val="Hyperlink"/>
                <w:rFonts w:ascii="Times New Roman" w:hAnsi="Times New Roman" w:cs="Times New Roman"/>
                <w:noProof/>
                <w:sz w:val="24"/>
                <w:szCs w:val="24"/>
              </w:rPr>
              <w:t>Income statement of Wales Plc.</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_Toc109819967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3</w:t>
            </w:r>
            <w:r w:rsidR="0082639A" w:rsidRPr="00BE3525">
              <w:rPr>
                <w:rFonts w:ascii="Times New Roman" w:hAnsi="Times New Roman" w:cs="Times New Roman"/>
                <w:noProof/>
                <w:webHidden/>
                <w:sz w:val="24"/>
                <w:szCs w:val="24"/>
              </w:rPr>
              <w:fldChar w:fldCharType="end"/>
            </w:r>
          </w:hyperlink>
        </w:p>
        <w:p w14:paraId="62EE92A7" w14:textId="30160867"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8" w:history="1">
            <w:r w:rsidR="0082639A" w:rsidRPr="00BE3525">
              <w:rPr>
                <w:rStyle w:val="Hyperlink"/>
                <w:rFonts w:ascii="Times New Roman" w:hAnsi="Times New Roman" w:cs="Times New Roman"/>
                <w:noProof/>
                <w:sz w:val="24"/>
                <w:szCs w:val="24"/>
              </w:rPr>
              <w:t>Calculations and workings of income statement</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_Toc109819968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3</w:t>
            </w:r>
            <w:r w:rsidR="0082639A" w:rsidRPr="00BE3525">
              <w:rPr>
                <w:rFonts w:ascii="Times New Roman" w:hAnsi="Times New Roman" w:cs="Times New Roman"/>
                <w:noProof/>
                <w:webHidden/>
                <w:sz w:val="24"/>
                <w:szCs w:val="24"/>
              </w:rPr>
              <w:fldChar w:fldCharType="end"/>
            </w:r>
          </w:hyperlink>
        </w:p>
        <w:p w14:paraId="757D0840" w14:textId="00611B12"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9" w:history="1">
            <w:r w:rsidR="0082639A" w:rsidRPr="00BE3525">
              <w:rPr>
                <w:rStyle w:val="Hyperlink"/>
                <w:rFonts w:ascii="Times New Roman" w:hAnsi="Times New Roman" w:cs="Times New Roman"/>
                <w:noProof/>
                <w:sz w:val="24"/>
                <w:szCs w:val="24"/>
              </w:rPr>
              <w:t>Financial position statement of Wales Plc.</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_Toc109819969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4</w:t>
            </w:r>
            <w:r w:rsidR="0082639A" w:rsidRPr="00BE3525">
              <w:rPr>
                <w:rFonts w:ascii="Times New Roman" w:hAnsi="Times New Roman" w:cs="Times New Roman"/>
                <w:noProof/>
                <w:webHidden/>
                <w:sz w:val="24"/>
                <w:szCs w:val="24"/>
              </w:rPr>
              <w:fldChar w:fldCharType="end"/>
            </w:r>
          </w:hyperlink>
        </w:p>
        <w:p w14:paraId="58B27B8E" w14:textId="2505D650"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0" w:history="1">
            <w:r w:rsidR="0082639A" w:rsidRPr="00BE3525">
              <w:rPr>
                <w:rStyle w:val="Hyperlink"/>
                <w:rFonts w:ascii="Times New Roman" w:hAnsi="Times New Roman" w:cs="Times New Roman"/>
                <w:noProof/>
                <w:sz w:val="24"/>
                <w:szCs w:val="24"/>
              </w:rPr>
              <w:t>Calculation and workings of the financial position statement</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_Toc109819970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4</w:t>
            </w:r>
            <w:r w:rsidR="0082639A" w:rsidRPr="00BE3525">
              <w:rPr>
                <w:rFonts w:ascii="Times New Roman" w:hAnsi="Times New Roman" w:cs="Times New Roman"/>
                <w:noProof/>
                <w:webHidden/>
                <w:sz w:val="24"/>
                <w:szCs w:val="24"/>
              </w:rPr>
              <w:fldChar w:fldCharType="end"/>
            </w:r>
          </w:hyperlink>
        </w:p>
        <w:p w14:paraId="523ADD9D" w14:textId="4CAAE033"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1" w:history="1">
            <w:r w:rsidR="0082639A" w:rsidRPr="00BE3525">
              <w:rPr>
                <w:rStyle w:val="Hyperlink"/>
                <w:rFonts w:ascii="Times New Roman" w:hAnsi="Times New Roman" w:cs="Times New Roman"/>
                <w:noProof/>
                <w:sz w:val="24"/>
                <w:szCs w:val="24"/>
              </w:rPr>
              <w:t>The reason behind the balance in statement of financial position</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_Toc109819971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5</w:t>
            </w:r>
            <w:r w:rsidR="0082639A" w:rsidRPr="00BE3525">
              <w:rPr>
                <w:rFonts w:ascii="Times New Roman" w:hAnsi="Times New Roman" w:cs="Times New Roman"/>
                <w:noProof/>
                <w:webHidden/>
                <w:sz w:val="24"/>
                <w:szCs w:val="24"/>
              </w:rPr>
              <w:fldChar w:fldCharType="end"/>
            </w:r>
          </w:hyperlink>
        </w:p>
        <w:p w14:paraId="3754A082" w14:textId="36ADDB8E" w:rsidR="00BE3525" w:rsidRPr="00BE3525" w:rsidRDefault="00A41D30" w:rsidP="00BE3525">
          <w:pPr>
            <w:pStyle w:val="TOC1"/>
          </w:pPr>
          <w:hyperlink w:anchor="_Toc109819972" w:history="1">
            <w:r w:rsidR="0082639A" w:rsidRPr="00BE3525">
              <w:rPr>
                <w:rStyle w:val="Hyperlink"/>
              </w:rPr>
              <w:t>Task 2</w:t>
            </w:r>
            <w:r w:rsidR="0082639A" w:rsidRPr="00BE3525">
              <w:rPr>
                <w:webHidden/>
              </w:rPr>
              <w:tab/>
            </w:r>
            <w:r w:rsidR="0082639A" w:rsidRPr="00BE3525">
              <w:rPr>
                <w:webHidden/>
              </w:rPr>
              <w:fldChar w:fldCharType="begin"/>
            </w:r>
            <w:r w:rsidR="0082639A" w:rsidRPr="00BE3525">
              <w:rPr>
                <w:webHidden/>
              </w:rPr>
              <w:instrText xml:space="preserve"> PAGEREF _Toc109819972 \h </w:instrText>
            </w:r>
            <w:r w:rsidR="0082639A" w:rsidRPr="00BE3525">
              <w:rPr>
                <w:webHidden/>
              </w:rPr>
            </w:r>
            <w:r w:rsidR="0082639A" w:rsidRPr="00BE3525">
              <w:rPr>
                <w:webHidden/>
              </w:rPr>
              <w:fldChar w:fldCharType="separate"/>
            </w:r>
            <w:r w:rsidR="0082639A" w:rsidRPr="00BE3525">
              <w:rPr>
                <w:webHidden/>
              </w:rPr>
              <w:t>5</w:t>
            </w:r>
            <w:r w:rsidR="0082639A" w:rsidRPr="00BE3525">
              <w:rPr>
                <w:webHidden/>
              </w:rPr>
              <w:fldChar w:fldCharType="end"/>
            </w:r>
          </w:hyperlink>
        </w:p>
        <w:p w14:paraId="449E7836" w14:textId="3CBCEE22"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3" w:history="1">
            <w:r w:rsidR="0082639A" w:rsidRPr="00BE3525">
              <w:rPr>
                <w:rStyle w:val="Hyperlink"/>
                <w:rFonts w:ascii="Times New Roman" w:hAnsi="Times New Roman" w:cs="Times New Roman"/>
                <w:noProof/>
                <w:sz w:val="24"/>
                <w:szCs w:val="24"/>
              </w:rPr>
              <w:t>Evaluation of relevant accounting ratios of Sweets Plc for 2020 and 2021</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_Toc109819973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5</w:t>
            </w:r>
            <w:r w:rsidR="0082639A" w:rsidRPr="00BE3525">
              <w:rPr>
                <w:rFonts w:ascii="Times New Roman" w:hAnsi="Times New Roman" w:cs="Times New Roman"/>
                <w:noProof/>
                <w:webHidden/>
                <w:sz w:val="24"/>
                <w:szCs w:val="24"/>
              </w:rPr>
              <w:fldChar w:fldCharType="end"/>
            </w:r>
          </w:hyperlink>
        </w:p>
        <w:p w14:paraId="0E76996B" w14:textId="394D399B" w:rsidR="00BE3525" w:rsidRPr="00BE3525" w:rsidRDefault="00A41D3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4" w:history="1">
            <w:r w:rsidR="0082639A" w:rsidRPr="00BE3525">
              <w:rPr>
                <w:rStyle w:val="Hyperlink"/>
                <w:rFonts w:ascii="Times New Roman" w:hAnsi="Times New Roman" w:cs="Times New Roman"/>
                <w:noProof/>
                <w:sz w:val="24"/>
                <w:szCs w:val="24"/>
              </w:rPr>
              <w:t>Review of the financial performance and position of Sweets Plc</w:t>
            </w:r>
            <w:r w:rsidR="0082639A" w:rsidRPr="00BE3525">
              <w:rPr>
                <w:rFonts w:ascii="Times New Roman" w:hAnsi="Times New Roman" w:cs="Times New Roman"/>
                <w:noProof/>
                <w:webHidden/>
                <w:sz w:val="24"/>
                <w:szCs w:val="24"/>
              </w:rPr>
              <w:tab/>
            </w:r>
            <w:r w:rsidR="0082639A" w:rsidRPr="00BE3525">
              <w:rPr>
                <w:rFonts w:ascii="Times New Roman" w:hAnsi="Times New Roman" w:cs="Times New Roman"/>
                <w:noProof/>
                <w:webHidden/>
                <w:sz w:val="24"/>
                <w:szCs w:val="24"/>
              </w:rPr>
              <w:fldChar w:fldCharType="begin"/>
            </w:r>
            <w:r w:rsidR="0082639A" w:rsidRPr="00BE3525">
              <w:rPr>
                <w:rFonts w:ascii="Times New Roman" w:hAnsi="Times New Roman" w:cs="Times New Roman"/>
                <w:noProof/>
                <w:webHidden/>
                <w:sz w:val="24"/>
                <w:szCs w:val="24"/>
              </w:rPr>
              <w:instrText xml:space="preserve"> PAGEREF _Toc109819974 \h </w:instrText>
            </w:r>
            <w:r w:rsidR="0082639A" w:rsidRPr="00BE3525">
              <w:rPr>
                <w:rFonts w:ascii="Times New Roman" w:hAnsi="Times New Roman" w:cs="Times New Roman"/>
                <w:noProof/>
                <w:webHidden/>
                <w:sz w:val="24"/>
                <w:szCs w:val="24"/>
              </w:rPr>
            </w:r>
            <w:r w:rsidR="0082639A" w:rsidRPr="00BE3525">
              <w:rPr>
                <w:rFonts w:ascii="Times New Roman" w:hAnsi="Times New Roman" w:cs="Times New Roman"/>
                <w:noProof/>
                <w:webHidden/>
                <w:sz w:val="24"/>
                <w:szCs w:val="24"/>
              </w:rPr>
              <w:fldChar w:fldCharType="separate"/>
            </w:r>
            <w:r w:rsidR="0082639A" w:rsidRPr="00BE3525">
              <w:rPr>
                <w:rFonts w:ascii="Times New Roman" w:hAnsi="Times New Roman" w:cs="Times New Roman"/>
                <w:noProof/>
                <w:webHidden/>
                <w:sz w:val="24"/>
                <w:szCs w:val="24"/>
              </w:rPr>
              <w:t>10</w:t>
            </w:r>
            <w:r w:rsidR="0082639A" w:rsidRPr="00BE3525">
              <w:rPr>
                <w:rFonts w:ascii="Times New Roman" w:hAnsi="Times New Roman" w:cs="Times New Roman"/>
                <w:noProof/>
                <w:webHidden/>
                <w:sz w:val="24"/>
                <w:szCs w:val="24"/>
              </w:rPr>
              <w:fldChar w:fldCharType="end"/>
            </w:r>
          </w:hyperlink>
        </w:p>
        <w:p w14:paraId="76E863A0" w14:textId="1F1FB74F" w:rsidR="00BE3525" w:rsidRPr="00BE3525" w:rsidRDefault="00A41D30" w:rsidP="00BE3525">
          <w:pPr>
            <w:pStyle w:val="TOC1"/>
          </w:pPr>
          <w:hyperlink w:anchor="_Toc109819975" w:history="1">
            <w:r w:rsidR="0082639A" w:rsidRPr="00BE3525">
              <w:rPr>
                <w:rStyle w:val="Hyperlink"/>
              </w:rPr>
              <w:t>List of references</w:t>
            </w:r>
            <w:r w:rsidR="0082639A" w:rsidRPr="00BE3525">
              <w:rPr>
                <w:webHidden/>
              </w:rPr>
              <w:tab/>
            </w:r>
            <w:r w:rsidR="0082639A" w:rsidRPr="00BE3525">
              <w:rPr>
                <w:webHidden/>
              </w:rPr>
              <w:fldChar w:fldCharType="begin"/>
            </w:r>
            <w:r w:rsidR="0082639A" w:rsidRPr="00BE3525">
              <w:rPr>
                <w:webHidden/>
              </w:rPr>
              <w:instrText xml:space="preserve"> PAGEREF _Toc109819975 \h </w:instrText>
            </w:r>
            <w:r w:rsidR="0082639A" w:rsidRPr="00BE3525">
              <w:rPr>
                <w:webHidden/>
              </w:rPr>
            </w:r>
            <w:r w:rsidR="0082639A" w:rsidRPr="00BE3525">
              <w:rPr>
                <w:webHidden/>
              </w:rPr>
              <w:fldChar w:fldCharType="separate"/>
            </w:r>
            <w:r w:rsidR="0082639A" w:rsidRPr="00BE3525">
              <w:rPr>
                <w:webHidden/>
              </w:rPr>
              <w:t>11</w:t>
            </w:r>
            <w:r w:rsidR="0082639A" w:rsidRPr="00BE3525">
              <w:rPr>
                <w:webHidden/>
              </w:rPr>
              <w:fldChar w:fldCharType="end"/>
            </w:r>
          </w:hyperlink>
        </w:p>
        <w:p w14:paraId="6FC1C377" w14:textId="1EC815E3" w:rsidR="00BE3525" w:rsidRPr="00BE3525" w:rsidRDefault="0082639A" w:rsidP="00BE3525">
          <w:pPr>
            <w:spacing w:line="360" w:lineRule="auto"/>
            <w:jc w:val="both"/>
            <w:rPr>
              <w:rFonts w:ascii="Times New Roman" w:hAnsi="Times New Roman" w:cs="Times New Roman"/>
              <w:sz w:val="24"/>
              <w:szCs w:val="24"/>
            </w:rPr>
          </w:pPr>
          <w:r w:rsidRPr="00BE3525">
            <w:rPr>
              <w:rFonts w:ascii="Times New Roman" w:hAnsi="Times New Roman" w:cs="Times New Roman"/>
              <w:b/>
              <w:bCs/>
              <w:noProof/>
              <w:sz w:val="24"/>
              <w:szCs w:val="24"/>
            </w:rPr>
            <w:fldChar w:fldCharType="end"/>
          </w:r>
        </w:p>
      </w:sdtContent>
    </w:sdt>
    <w:p w14:paraId="5E8B3A4C" w14:textId="22FB8BBA" w:rsidR="000975EE" w:rsidRPr="00B2776D" w:rsidRDefault="000975EE" w:rsidP="00B2776D">
      <w:pPr>
        <w:spacing w:line="360" w:lineRule="auto"/>
        <w:jc w:val="center"/>
        <w:rPr>
          <w:rFonts w:ascii="Times New Roman" w:hAnsi="Times New Roman" w:cs="Times New Roman"/>
          <w:sz w:val="24"/>
          <w:szCs w:val="24"/>
        </w:rPr>
      </w:pPr>
    </w:p>
    <w:p w14:paraId="47549797" w14:textId="77777777" w:rsidR="000975EE" w:rsidRPr="00B2776D" w:rsidRDefault="0082639A"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p w14:paraId="4A035F0D" w14:textId="262E355C" w:rsidR="000975EE" w:rsidRPr="00B2776D" w:rsidRDefault="0082639A" w:rsidP="00B2776D">
      <w:pPr>
        <w:pStyle w:val="Heading1"/>
      </w:pPr>
      <w:bookmarkStart w:id="0" w:name="_Toc109819966"/>
      <w:r w:rsidRPr="00B2776D">
        <w:lastRenderedPageBreak/>
        <w:t>Task 1</w:t>
      </w:r>
      <w:bookmarkEnd w:id="0"/>
    </w:p>
    <w:p w14:paraId="55C1D640" w14:textId="278F39D1" w:rsidR="000975EE" w:rsidRPr="00B2776D" w:rsidRDefault="0082639A" w:rsidP="00B2776D">
      <w:pPr>
        <w:pStyle w:val="Heading2"/>
      </w:pPr>
      <w:bookmarkStart w:id="1" w:name="_Toc109819967"/>
      <w:r w:rsidRPr="00B2776D">
        <w:t>Income statement of Wales Plc.</w:t>
      </w:r>
      <w:bookmarkEnd w:id="1"/>
    </w:p>
    <w:tbl>
      <w:tblPr>
        <w:tblW w:w="8511" w:type="dxa"/>
        <w:jc w:val="center"/>
        <w:tblLook w:val="04A0" w:firstRow="1" w:lastRow="0" w:firstColumn="1" w:lastColumn="0" w:noHBand="0" w:noVBand="1"/>
      </w:tblPr>
      <w:tblGrid>
        <w:gridCol w:w="3063"/>
        <w:gridCol w:w="996"/>
        <w:gridCol w:w="944"/>
        <w:gridCol w:w="1816"/>
        <w:gridCol w:w="855"/>
        <w:gridCol w:w="996"/>
      </w:tblGrid>
      <w:tr w:rsidR="00B441CF" w14:paraId="510DFDE0" w14:textId="77777777" w:rsidTr="00DE014D">
        <w:trPr>
          <w:trHeight w:val="356"/>
          <w:jc w:val="center"/>
        </w:trPr>
        <w:tc>
          <w:tcPr>
            <w:tcW w:w="30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BAEBA"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Dr.</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14:paraId="721AF567" w14:textId="18C399C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14:paraId="0F455679" w14:textId="22EE2CB9"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single" w:sz="4" w:space="0" w:color="auto"/>
              <w:left w:val="nil"/>
              <w:bottom w:val="single" w:sz="4" w:space="0" w:color="auto"/>
              <w:right w:val="single" w:sz="4" w:space="0" w:color="auto"/>
            </w:tcBorders>
            <w:shd w:val="clear" w:color="auto" w:fill="auto"/>
            <w:noWrap/>
            <w:vAlign w:val="bottom"/>
            <w:hideMark/>
          </w:tcPr>
          <w:p w14:paraId="721322B7" w14:textId="2636841C"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single" w:sz="4" w:space="0" w:color="auto"/>
              <w:left w:val="nil"/>
              <w:bottom w:val="single" w:sz="4" w:space="0" w:color="auto"/>
              <w:right w:val="single" w:sz="4" w:space="0" w:color="auto"/>
            </w:tcBorders>
            <w:shd w:val="clear" w:color="auto" w:fill="auto"/>
            <w:noWrap/>
            <w:vAlign w:val="bottom"/>
            <w:hideMark/>
          </w:tcPr>
          <w:p w14:paraId="6327C09D" w14:textId="1476E3E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14:paraId="071523E0"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Cr.</w:t>
            </w:r>
          </w:p>
        </w:tc>
      </w:tr>
      <w:tr w:rsidR="00B441CF" w14:paraId="17D26817"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0D14861"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In the books of Wales plc</w:t>
            </w:r>
          </w:p>
        </w:tc>
      </w:tr>
      <w:tr w:rsidR="00B441CF" w14:paraId="784A58A2"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EFEC54"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For the year ended 31/12/2021</w:t>
            </w:r>
          </w:p>
        </w:tc>
      </w:tr>
      <w:tr w:rsidR="00B441CF" w14:paraId="7E49C485"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7374473" w14:textId="77777777" w:rsidR="000975EE" w:rsidRPr="000975EE" w:rsidRDefault="0082639A" w:rsidP="00B2776D">
            <w:pPr>
              <w:spacing w:after="0" w:line="360" w:lineRule="auto"/>
              <w:jc w:val="center"/>
              <w:rPr>
                <w:rFonts w:ascii="Times New Roman" w:eastAsia="Times New Roman" w:hAnsi="Times New Roman" w:cs="Times New Roman"/>
                <w:b/>
                <w:bCs/>
                <w:color w:val="000000"/>
                <w:sz w:val="24"/>
                <w:szCs w:val="24"/>
              </w:rPr>
            </w:pPr>
            <w:r w:rsidRPr="000975EE">
              <w:rPr>
                <w:rFonts w:ascii="Times New Roman" w:eastAsia="Times New Roman" w:hAnsi="Times New Roman" w:cs="Times New Roman"/>
                <w:b/>
                <w:bCs/>
                <w:color w:val="000000"/>
                <w:sz w:val="24"/>
                <w:szCs w:val="24"/>
              </w:rPr>
              <w:t>Income Statement</w:t>
            </w:r>
          </w:p>
        </w:tc>
      </w:tr>
      <w:tr w:rsidR="00B441CF" w14:paraId="3F78E7C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6F050CDD"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Particulars</w:t>
            </w:r>
          </w:p>
        </w:tc>
        <w:tc>
          <w:tcPr>
            <w:tcW w:w="887" w:type="dxa"/>
            <w:tcBorders>
              <w:top w:val="nil"/>
              <w:left w:val="nil"/>
              <w:bottom w:val="single" w:sz="4" w:space="0" w:color="auto"/>
              <w:right w:val="single" w:sz="4" w:space="0" w:color="auto"/>
            </w:tcBorders>
            <w:shd w:val="clear" w:color="auto" w:fill="auto"/>
            <w:noWrap/>
            <w:vAlign w:val="center"/>
            <w:hideMark/>
          </w:tcPr>
          <w:p w14:paraId="2FCB5F84"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center"/>
            <w:hideMark/>
          </w:tcPr>
          <w:p w14:paraId="281C0DB7"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1816" w:type="dxa"/>
            <w:tcBorders>
              <w:top w:val="nil"/>
              <w:left w:val="nil"/>
              <w:bottom w:val="single" w:sz="4" w:space="0" w:color="auto"/>
              <w:right w:val="single" w:sz="4" w:space="0" w:color="auto"/>
            </w:tcBorders>
            <w:shd w:val="clear" w:color="auto" w:fill="auto"/>
            <w:noWrap/>
            <w:vAlign w:val="center"/>
            <w:hideMark/>
          </w:tcPr>
          <w:p w14:paraId="5746F940"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Particulars</w:t>
            </w:r>
          </w:p>
        </w:tc>
        <w:tc>
          <w:tcPr>
            <w:tcW w:w="855" w:type="dxa"/>
            <w:tcBorders>
              <w:top w:val="nil"/>
              <w:left w:val="nil"/>
              <w:bottom w:val="single" w:sz="4" w:space="0" w:color="auto"/>
              <w:right w:val="single" w:sz="4" w:space="0" w:color="auto"/>
            </w:tcBorders>
            <w:shd w:val="clear" w:color="auto" w:fill="auto"/>
            <w:noWrap/>
            <w:vAlign w:val="center"/>
            <w:hideMark/>
          </w:tcPr>
          <w:p w14:paraId="58D4E8EF"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center"/>
            <w:hideMark/>
          </w:tcPr>
          <w:p w14:paraId="7AF90D1C"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r>
      <w:tr w:rsidR="00B441CF" w14:paraId="57A54FFF"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1C6099D5"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purchase</w:t>
            </w:r>
          </w:p>
        </w:tc>
        <w:tc>
          <w:tcPr>
            <w:tcW w:w="887" w:type="dxa"/>
            <w:tcBorders>
              <w:top w:val="nil"/>
              <w:left w:val="nil"/>
              <w:bottom w:val="single" w:sz="4" w:space="0" w:color="auto"/>
              <w:right w:val="single" w:sz="4" w:space="0" w:color="auto"/>
            </w:tcBorders>
            <w:shd w:val="clear" w:color="auto" w:fill="auto"/>
            <w:noWrap/>
            <w:vAlign w:val="center"/>
            <w:hideMark/>
          </w:tcPr>
          <w:p w14:paraId="40FA405E"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578650</w:t>
            </w:r>
          </w:p>
        </w:tc>
        <w:tc>
          <w:tcPr>
            <w:tcW w:w="944" w:type="dxa"/>
            <w:tcBorders>
              <w:top w:val="nil"/>
              <w:left w:val="nil"/>
              <w:bottom w:val="single" w:sz="4" w:space="0" w:color="auto"/>
              <w:right w:val="single" w:sz="4" w:space="0" w:color="auto"/>
            </w:tcBorders>
            <w:shd w:val="clear" w:color="auto" w:fill="auto"/>
            <w:noWrap/>
            <w:vAlign w:val="center"/>
            <w:hideMark/>
          </w:tcPr>
          <w:p w14:paraId="5B8434A2" w14:textId="3012554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9E40690"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By Sales</w:t>
            </w:r>
          </w:p>
        </w:tc>
        <w:tc>
          <w:tcPr>
            <w:tcW w:w="855" w:type="dxa"/>
            <w:tcBorders>
              <w:top w:val="nil"/>
              <w:left w:val="nil"/>
              <w:bottom w:val="single" w:sz="4" w:space="0" w:color="auto"/>
              <w:right w:val="single" w:sz="4" w:space="0" w:color="auto"/>
            </w:tcBorders>
            <w:shd w:val="clear" w:color="auto" w:fill="auto"/>
            <w:noWrap/>
            <w:vAlign w:val="center"/>
            <w:hideMark/>
          </w:tcPr>
          <w:p w14:paraId="3BDCA8BD" w14:textId="4A5DA93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B424031"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r>
      <w:tr w:rsidR="00B441CF" w14:paraId="0815D164"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7BFACC50" w14:textId="614BAF6F"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 xml:space="preserve">To gross profit </w:t>
            </w:r>
            <w:r w:rsidR="00117C36" w:rsidRPr="00B2776D">
              <w:rPr>
                <w:rFonts w:ascii="Times New Roman" w:eastAsia="Times New Roman" w:hAnsi="Times New Roman" w:cs="Times New Roman"/>
                <w:color w:val="000000"/>
                <w:sz w:val="24"/>
                <w:szCs w:val="24"/>
              </w:rPr>
              <w:t>c</w:t>
            </w:r>
            <w:r w:rsidRPr="000975EE">
              <w:rPr>
                <w:rFonts w:ascii="Times New Roman" w:eastAsia="Times New Roman" w:hAnsi="Times New Roman" w:cs="Times New Roman"/>
                <w:color w:val="000000"/>
                <w:sz w:val="24"/>
                <w:szCs w:val="24"/>
              </w:rPr>
              <w:t>/d</w:t>
            </w:r>
          </w:p>
        </w:tc>
        <w:tc>
          <w:tcPr>
            <w:tcW w:w="887" w:type="dxa"/>
            <w:tcBorders>
              <w:top w:val="nil"/>
              <w:left w:val="nil"/>
              <w:bottom w:val="single" w:sz="4" w:space="0" w:color="auto"/>
              <w:right w:val="single" w:sz="4" w:space="0" w:color="auto"/>
            </w:tcBorders>
            <w:shd w:val="clear" w:color="auto" w:fill="auto"/>
            <w:noWrap/>
            <w:vAlign w:val="center"/>
            <w:hideMark/>
          </w:tcPr>
          <w:p w14:paraId="5F7D21BB"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c>
          <w:tcPr>
            <w:tcW w:w="944" w:type="dxa"/>
            <w:tcBorders>
              <w:top w:val="nil"/>
              <w:left w:val="nil"/>
              <w:bottom w:val="single" w:sz="4" w:space="0" w:color="auto"/>
              <w:right w:val="single" w:sz="4" w:space="0" w:color="auto"/>
            </w:tcBorders>
            <w:shd w:val="clear" w:color="auto" w:fill="auto"/>
            <w:noWrap/>
            <w:vAlign w:val="center"/>
            <w:hideMark/>
          </w:tcPr>
          <w:p w14:paraId="5E83E8C2" w14:textId="063217A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058554EA" w14:textId="4AC10AC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71740D7" w14:textId="6AC729D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021F5BEA" w14:textId="759DFE9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2EAC5416"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480E9158"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Total</w:t>
            </w:r>
          </w:p>
        </w:tc>
        <w:tc>
          <w:tcPr>
            <w:tcW w:w="887" w:type="dxa"/>
            <w:tcBorders>
              <w:top w:val="nil"/>
              <w:left w:val="nil"/>
              <w:bottom w:val="single" w:sz="4" w:space="0" w:color="auto"/>
              <w:right w:val="single" w:sz="4" w:space="0" w:color="auto"/>
            </w:tcBorders>
            <w:shd w:val="clear" w:color="auto" w:fill="auto"/>
            <w:noWrap/>
            <w:vAlign w:val="center"/>
            <w:hideMark/>
          </w:tcPr>
          <w:p w14:paraId="71EAA749"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c>
          <w:tcPr>
            <w:tcW w:w="944" w:type="dxa"/>
            <w:tcBorders>
              <w:top w:val="nil"/>
              <w:left w:val="nil"/>
              <w:bottom w:val="single" w:sz="4" w:space="0" w:color="auto"/>
              <w:right w:val="single" w:sz="4" w:space="0" w:color="auto"/>
            </w:tcBorders>
            <w:shd w:val="clear" w:color="auto" w:fill="auto"/>
            <w:noWrap/>
            <w:vAlign w:val="center"/>
            <w:hideMark/>
          </w:tcPr>
          <w:p w14:paraId="522093A1" w14:textId="493DCCA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6CC67EC"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Total</w:t>
            </w:r>
          </w:p>
        </w:tc>
        <w:tc>
          <w:tcPr>
            <w:tcW w:w="855" w:type="dxa"/>
            <w:tcBorders>
              <w:top w:val="nil"/>
              <w:left w:val="nil"/>
              <w:bottom w:val="single" w:sz="4" w:space="0" w:color="auto"/>
              <w:right w:val="single" w:sz="4" w:space="0" w:color="auto"/>
            </w:tcBorders>
            <w:shd w:val="clear" w:color="auto" w:fill="auto"/>
            <w:noWrap/>
            <w:vAlign w:val="center"/>
            <w:hideMark/>
          </w:tcPr>
          <w:p w14:paraId="2ABB99CF" w14:textId="62E06FF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A086234"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r>
      <w:tr w:rsidR="00B441CF" w14:paraId="36608AD5"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242298C0" w14:textId="57334B8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87" w:type="dxa"/>
            <w:tcBorders>
              <w:top w:val="nil"/>
              <w:left w:val="nil"/>
              <w:bottom w:val="single" w:sz="4" w:space="0" w:color="auto"/>
              <w:right w:val="single" w:sz="4" w:space="0" w:color="auto"/>
            </w:tcBorders>
            <w:shd w:val="clear" w:color="auto" w:fill="auto"/>
            <w:noWrap/>
            <w:vAlign w:val="center"/>
            <w:hideMark/>
          </w:tcPr>
          <w:p w14:paraId="5E4ABF89" w14:textId="65E4CE0F"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4A2D70A" w14:textId="15C1FDC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6208688"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By gross profit b/d</w:t>
            </w:r>
          </w:p>
        </w:tc>
        <w:tc>
          <w:tcPr>
            <w:tcW w:w="855" w:type="dxa"/>
            <w:tcBorders>
              <w:top w:val="nil"/>
              <w:left w:val="nil"/>
              <w:bottom w:val="single" w:sz="4" w:space="0" w:color="auto"/>
              <w:right w:val="single" w:sz="4" w:space="0" w:color="auto"/>
            </w:tcBorders>
            <w:shd w:val="clear" w:color="auto" w:fill="auto"/>
            <w:noWrap/>
            <w:vAlign w:val="center"/>
            <w:hideMark/>
          </w:tcPr>
          <w:p w14:paraId="48D5D876" w14:textId="4E30829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4EDE0487"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r>
      <w:tr w:rsidR="00B441CF" w14:paraId="5CB0B5F2"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0BAD46A" w14:textId="570292B9"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Admin</w:t>
            </w:r>
            <w:r w:rsidRPr="00B2776D">
              <w:rPr>
                <w:rFonts w:ascii="Times New Roman" w:eastAsia="Times New Roman" w:hAnsi="Times New Roman" w:cs="Times New Roman"/>
                <w:color w:val="000000"/>
                <w:sz w:val="24"/>
                <w:szCs w:val="24"/>
              </w:rPr>
              <w:t>istrative</w:t>
            </w:r>
            <w:r w:rsidRPr="000975EE">
              <w:rPr>
                <w:rFonts w:ascii="Times New Roman" w:eastAsia="Times New Roman" w:hAnsi="Times New Roman" w:cs="Times New Roman"/>
                <w:color w:val="000000"/>
                <w:sz w:val="24"/>
                <w:szCs w:val="24"/>
              </w:rPr>
              <w:t xml:space="preserve"> exp</w:t>
            </w:r>
            <w:r w:rsidRPr="00B2776D">
              <w:rPr>
                <w:rFonts w:ascii="Times New Roman" w:eastAsia="Times New Roman" w:hAnsi="Times New Roman" w:cs="Times New Roman"/>
                <w:color w:val="000000"/>
                <w:sz w:val="24"/>
                <w:szCs w:val="24"/>
              </w:rPr>
              <w:t>enses</w:t>
            </w:r>
          </w:p>
        </w:tc>
        <w:tc>
          <w:tcPr>
            <w:tcW w:w="887" w:type="dxa"/>
            <w:tcBorders>
              <w:top w:val="nil"/>
              <w:left w:val="nil"/>
              <w:bottom w:val="single" w:sz="4" w:space="0" w:color="auto"/>
              <w:right w:val="single" w:sz="4" w:space="0" w:color="auto"/>
            </w:tcBorders>
            <w:shd w:val="clear" w:color="auto" w:fill="auto"/>
            <w:noWrap/>
            <w:vAlign w:val="center"/>
            <w:hideMark/>
          </w:tcPr>
          <w:p w14:paraId="0A73A17B"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30,000</w:t>
            </w:r>
          </w:p>
        </w:tc>
        <w:tc>
          <w:tcPr>
            <w:tcW w:w="944" w:type="dxa"/>
            <w:tcBorders>
              <w:top w:val="nil"/>
              <w:left w:val="nil"/>
              <w:bottom w:val="single" w:sz="4" w:space="0" w:color="auto"/>
              <w:right w:val="single" w:sz="4" w:space="0" w:color="auto"/>
            </w:tcBorders>
            <w:shd w:val="clear" w:color="auto" w:fill="auto"/>
            <w:noWrap/>
            <w:vAlign w:val="center"/>
            <w:hideMark/>
          </w:tcPr>
          <w:p w14:paraId="11069D4A" w14:textId="360EE4E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5CCDCCD" w14:textId="746F2F2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5F3F71CC" w14:textId="6871CE5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FFD8A56" w14:textId="7105457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6CB04C9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0240E14E"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interest paid</w:t>
            </w:r>
          </w:p>
        </w:tc>
        <w:tc>
          <w:tcPr>
            <w:tcW w:w="887" w:type="dxa"/>
            <w:tcBorders>
              <w:top w:val="nil"/>
              <w:left w:val="nil"/>
              <w:bottom w:val="single" w:sz="4" w:space="0" w:color="auto"/>
              <w:right w:val="single" w:sz="4" w:space="0" w:color="auto"/>
            </w:tcBorders>
            <w:shd w:val="clear" w:color="auto" w:fill="auto"/>
            <w:noWrap/>
            <w:vAlign w:val="center"/>
            <w:hideMark/>
          </w:tcPr>
          <w:p w14:paraId="0E101F64"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2,000</w:t>
            </w:r>
          </w:p>
        </w:tc>
        <w:tc>
          <w:tcPr>
            <w:tcW w:w="944" w:type="dxa"/>
            <w:tcBorders>
              <w:top w:val="nil"/>
              <w:left w:val="nil"/>
              <w:bottom w:val="single" w:sz="4" w:space="0" w:color="auto"/>
              <w:right w:val="single" w:sz="4" w:space="0" w:color="auto"/>
            </w:tcBorders>
            <w:shd w:val="clear" w:color="auto" w:fill="auto"/>
            <w:noWrap/>
            <w:vAlign w:val="center"/>
            <w:hideMark/>
          </w:tcPr>
          <w:p w14:paraId="1B90FFB2" w14:textId="7246644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4AE1B45" w14:textId="118202C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4658E41B" w14:textId="43B1B0C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5B33C8EF" w14:textId="12D6F73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4559F790"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42773FE8"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director's remuneration</w:t>
            </w:r>
          </w:p>
        </w:tc>
        <w:tc>
          <w:tcPr>
            <w:tcW w:w="887" w:type="dxa"/>
            <w:tcBorders>
              <w:top w:val="nil"/>
              <w:left w:val="nil"/>
              <w:bottom w:val="single" w:sz="4" w:space="0" w:color="auto"/>
              <w:right w:val="single" w:sz="4" w:space="0" w:color="auto"/>
            </w:tcBorders>
            <w:shd w:val="clear" w:color="auto" w:fill="auto"/>
            <w:noWrap/>
            <w:vAlign w:val="center"/>
            <w:hideMark/>
          </w:tcPr>
          <w:p w14:paraId="73DB7547"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5,000</w:t>
            </w:r>
          </w:p>
        </w:tc>
        <w:tc>
          <w:tcPr>
            <w:tcW w:w="944" w:type="dxa"/>
            <w:tcBorders>
              <w:top w:val="nil"/>
              <w:left w:val="nil"/>
              <w:bottom w:val="single" w:sz="4" w:space="0" w:color="auto"/>
              <w:right w:val="single" w:sz="4" w:space="0" w:color="auto"/>
            </w:tcBorders>
            <w:shd w:val="clear" w:color="auto" w:fill="auto"/>
            <w:noWrap/>
            <w:vAlign w:val="center"/>
            <w:hideMark/>
          </w:tcPr>
          <w:p w14:paraId="452F285E" w14:textId="5BD6D2A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3D2C767D" w14:textId="5B5CD43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DCA792B" w14:textId="134649F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0B9745B5" w14:textId="0A90C94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7E0A616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277B1BBE"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distribution costs</w:t>
            </w:r>
          </w:p>
        </w:tc>
        <w:tc>
          <w:tcPr>
            <w:tcW w:w="887" w:type="dxa"/>
            <w:tcBorders>
              <w:top w:val="nil"/>
              <w:left w:val="nil"/>
              <w:bottom w:val="single" w:sz="4" w:space="0" w:color="auto"/>
              <w:right w:val="single" w:sz="4" w:space="0" w:color="auto"/>
            </w:tcBorders>
            <w:shd w:val="clear" w:color="auto" w:fill="auto"/>
            <w:noWrap/>
            <w:vAlign w:val="center"/>
            <w:hideMark/>
          </w:tcPr>
          <w:p w14:paraId="38E405FD"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28,000</w:t>
            </w:r>
          </w:p>
        </w:tc>
        <w:tc>
          <w:tcPr>
            <w:tcW w:w="944" w:type="dxa"/>
            <w:tcBorders>
              <w:top w:val="nil"/>
              <w:left w:val="nil"/>
              <w:bottom w:val="single" w:sz="4" w:space="0" w:color="auto"/>
              <w:right w:val="single" w:sz="4" w:space="0" w:color="auto"/>
            </w:tcBorders>
            <w:shd w:val="clear" w:color="auto" w:fill="auto"/>
            <w:noWrap/>
            <w:vAlign w:val="center"/>
            <w:hideMark/>
          </w:tcPr>
          <w:p w14:paraId="1EC69D12" w14:textId="6F873B6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4846D11" w14:textId="31FED39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2759017D" w14:textId="1808BE7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C9AE9DC" w14:textId="227EECC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4685AF98"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6F47AD5E"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pay ordinary dividend</w:t>
            </w:r>
          </w:p>
        </w:tc>
        <w:tc>
          <w:tcPr>
            <w:tcW w:w="887" w:type="dxa"/>
            <w:tcBorders>
              <w:top w:val="nil"/>
              <w:left w:val="nil"/>
              <w:bottom w:val="single" w:sz="4" w:space="0" w:color="auto"/>
              <w:right w:val="single" w:sz="4" w:space="0" w:color="auto"/>
            </w:tcBorders>
            <w:shd w:val="clear" w:color="auto" w:fill="auto"/>
            <w:noWrap/>
            <w:vAlign w:val="center"/>
            <w:hideMark/>
          </w:tcPr>
          <w:p w14:paraId="2BD2E037"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20,000</w:t>
            </w:r>
          </w:p>
        </w:tc>
        <w:tc>
          <w:tcPr>
            <w:tcW w:w="944" w:type="dxa"/>
            <w:tcBorders>
              <w:top w:val="nil"/>
              <w:left w:val="nil"/>
              <w:bottom w:val="single" w:sz="4" w:space="0" w:color="auto"/>
              <w:right w:val="single" w:sz="4" w:space="0" w:color="auto"/>
            </w:tcBorders>
            <w:shd w:val="clear" w:color="auto" w:fill="auto"/>
            <w:noWrap/>
            <w:vAlign w:val="center"/>
            <w:hideMark/>
          </w:tcPr>
          <w:p w14:paraId="53F07B91" w14:textId="7A4EBEE5"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BC13E7F" w14:textId="39FE5C4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4F87594A" w14:textId="6E2666F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6794CD8" w14:textId="52489F1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11EDFC92"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11AE2BBE"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pay of preference dividend</w:t>
            </w:r>
          </w:p>
        </w:tc>
        <w:tc>
          <w:tcPr>
            <w:tcW w:w="887" w:type="dxa"/>
            <w:tcBorders>
              <w:top w:val="nil"/>
              <w:left w:val="nil"/>
              <w:bottom w:val="single" w:sz="4" w:space="0" w:color="auto"/>
              <w:right w:val="single" w:sz="4" w:space="0" w:color="auto"/>
            </w:tcBorders>
            <w:shd w:val="clear" w:color="auto" w:fill="auto"/>
            <w:noWrap/>
            <w:vAlign w:val="center"/>
            <w:hideMark/>
          </w:tcPr>
          <w:p w14:paraId="61D0E379"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30,000</w:t>
            </w:r>
          </w:p>
        </w:tc>
        <w:tc>
          <w:tcPr>
            <w:tcW w:w="944" w:type="dxa"/>
            <w:tcBorders>
              <w:top w:val="nil"/>
              <w:left w:val="nil"/>
              <w:bottom w:val="single" w:sz="4" w:space="0" w:color="auto"/>
              <w:right w:val="single" w:sz="4" w:space="0" w:color="auto"/>
            </w:tcBorders>
            <w:shd w:val="clear" w:color="auto" w:fill="auto"/>
            <w:noWrap/>
            <w:vAlign w:val="center"/>
            <w:hideMark/>
          </w:tcPr>
          <w:p w14:paraId="25B395CA" w14:textId="470B35E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5863162" w14:textId="141FB9E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382175FC" w14:textId="202ADA3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6B82846" w14:textId="27020B8E"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1236150D"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71FF1952"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corporation tax</w:t>
            </w:r>
          </w:p>
        </w:tc>
        <w:tc>
          <w:tcPr>
            <w:tcW w:w="887" w:type="dxa"/>
            <w:tcBorders>
              <w:top w:val="nil"/>
              <w:left w:val="nil"/>
              <w:bottom w:val="single" w:sz="4" w:space="0" w:color="auto"/>
              <w:right w:val="single" w:sz="4" w:space="0" w:color="auto"/>
            </w:tcBorders>
            <w:shd w:val="clear" w:color="auto" w:fill="auto"/>
            <w:noWrap/>
            <w:vAlign w:val="center"/>
            <w:hideMark/>
          </w:tcPr>
          <w:p w14:paraId="627B460A"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100,000</w:t>
            </w:r>
          </w:p>
        </w:tc>
        <w:tc>
          <w:tcPr>
            <w:tcW w:w="944" w:type="dxa"/>
            <w:tcBorders>
              <w:top w:val="nil"/>
              <w:left w:val="nil"/>
              <w:bottom w:val="single" w:sz="4" w:space="0" w:color="auto"/>
              <w:right w:val="single" w:sz="4" w:space="0" w:color="auto"/>
            </w:tcBorders>
            <w:shd w:val="clear" w:color="auto" w:fill="auto"/>
            <w:noWrap/>
            <w:vAlign w:val="center"/>
            <w:hideMark/>
          </w:tcPr>
          <w:p w14:paraId="2E3AD329" w14:textId="14821A6F"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1C3AA75" w14:textId="5E3CD19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A6F06D2" w14:textId="5E42643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40658898" w14:textId="340AF58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124BCB16"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FD2416E" w14:textId="04B1D862"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 xml:space="preserve">To outstanding </w:t>
            </w:r>
            <w:r w:rsidRPr="00B2776D">
              <w:rPr>
                <w:rFonts w:ascii="Times New Roman" w:eastAsia="Times New Roman" w:hAnsi="Times New Roman" w:cs="Times New Roman"/>
                <w:color w:val="000000"/>
                <w:sz w:val="24"/>
                <w:szCs w:val="24"/>
              </w:rPr>
              <w:t>commission</w:t>
            </w:r>
          </w:p>
        </w:tc>
        <w:tc>
          <w:tcPr>
            <w:tcW w:w="887" w:type="dxa"/>
            <w:tcBorders>
              <w:top w:val="nil"/>
              <w:left w:val="nil"/>
              <w:bottom w:val="single" w:sz="4" w:space="0" w:color="auto"/>
              <w:right w:val="single" w:sz="4" w:space="0" w:color="auto"/>
            </w:tcBorders>
            <w:shd w:val="clear" w:color="auto" w:fill="auto"/>
            <w:noWrap/>
            <w:vAlign w:val="center"/>
            <w:hideMark/>
          </w:tcPr>
          <w:p w14:paraId="0024EB29"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w:t>
            </w:r>
          </w:p>
        </w:tc>
        <w:tc>
          <w:tcPr>
            <w:tcW w:w="944" w:type="dxa"/>
            <w:tcBorders>
              <w:top w:val="nil"/>
              <w:left w:val="nil"/>
              <w:bottom w:val="single" w:sz="4" w:space="0" w:color="auto"/>
              <w:right w:val="single" w:sz="4" w:space="0" w:color="auto"/>
            </w:tcBorders>
            <w:shd w:val="clear" w:color="auto" w:fill="auto"/>
            <w:noWrap/>
            <w:vAlign w:val="center"/>
            <w:hideMark/>
          </w:tcPr>
          <w:p w14:paraId="235E4156" w14:textId="2379552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1FD57FB" w14:textId="00C51D6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1F253B4F" w14:textId="2505B689"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2611ABD" w14:textId="67386F8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4D0E436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00BAB961"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net profit</w:t>
            </w:r>
          </w:p>
        </w:tc>
        <w:tc>
          <w:tcPr>
            <w:tcW w:w="887" w:type="dxa"/>
            <w:tcBorders>
              <w:top w:val="nil"/>
              <w:left w:val="nil"/>
              <w:bottom w:val="single" w:sz="4" w:space="0" w:color="auto"/>
              <w:right w:val="single" w:sz="4" w:space="0" w:color="auto"/>
            </w:tcBorders>
            <w:shd w:val="clear" w:color="auto" w:fill="auto"/>
            <w:noWrap/>
            <w:vAlign w:val="center"/>
            <w:hideMark/>
          </w:tcPr>
          <w:p w14:paraId="16665C10"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3,350</w:t>
            </w:r>
          </w:p>
        </w:tc>
        <w:tc>
          <w:tcPr>
            <w:tcW w:w="944" w:type="dxa"/>
            <w:tcBorders>
              <w:top w:val="nil"/>
              <w:left w:val="nil"/>
              <w:bottom w:val="single" w:sz="4" w:space="0" w:color="auto"/>
              <w:right w:val="single" w:sz="4" w:space="0" w:color="auto"/>
            </w:tcBorders>
            <w:shd w:val="clear" w:color="auto" w:fill="auto"/>
            <w:noWrap/>
            <w:vAlign w:val="center"/>
            <w:hideMark/>
          </w:tcPr>
          <w:p w14:paraId="6FE69087" w14:textId="7B1A5CA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B4371A7" w14:textId="3D61380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56C1DC2" w14:textId="55B02C5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FBE92AF" w14:textId="62A26C8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B441CF" w14:paraId="5461456C"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73C9BC3" w14:textId="0C2A969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87" w:type="dxa"/>
            <w:tcBorders>
              <w:top w:val="nil"/>
              <w:left w:val="nil"/>
              <w:bottom w:val="single" w:sz="4" w:space="0" w:color="auto"/>
              <w:right w:val="single" w:sz="4" w:space="0" w:color="auto"/>
            </w:tcBorders>
            <w:shd w:val="clear" w:color="auto" w:fill="auto"/>
            <w:noWrap/>
            <w:vAlign w:val="center"/>
            <w:hideMark/>
          </w:tcPr>
          <w:p w14:paraId="2B305D69"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c>
          <w:tcPr>
            <w:tcW w:w="944" w:type="dxa"/>
            <w:tcBorders>
              <w:top w:val="nil"/>
              <w:left w:val="nil"/>
              <w:bottom w:val="single" w:sz="4" w:space="0" w:color="auto"/>
              <w:right w:val="single" w:sz="4" w:space="0" w:color="auto"/>
            </w:tcBorders>
            <w:shd w:val="clear" w:color="auto" w:fill="auto"/>
            <w:noWrap/>
            <w:vAlign w:val="center"/>
            <w:hideMark/>
          </w:tcPr>
          <w:p w14:paraId="797C4940" w14:textId="58DF078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301320B9" w14:textId="7F2F96A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8DB3870" w14:textId="5FB2BC9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3D111BB8" w14:textId="77777777" w:rsidR="000975EE" w:rsidRPr="000975EE" w:rsidRDefault="0082639A"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r>
    </w:tbl>
    <w:p w14:paraId="3CA9C9D6" w14:textId="35EA1E9F" w:rsidR="000975EE" w:rsidRPr="00B2776D" w:rsidRDefault="0082639A" w:rsidP="00B2776D">
      <w:pPr>
        <w:spacing w:line="360" w:lineRule="auto"/>
        <w:jc w:val="center"/>
        <w:rPr>
          <w:rFonts w:ascii="Times New Roman" w:hAnsi="Times New Roman" w:cs="Times New Roman"/>
          <w:b/>
          <w:bCs/>
          <w:sz w:val="24"/>
          <w:szCs w:val="24"/>
        </w:rPr>
      </w:pPr>
      <w:r w:rsidRPr="00B2776D">
        <w:rPr>
          <w:rFonts w:ascii="Times New Roman" w:hAnsi="Times New Roman" w:cs="Times New Roman"/>
          <w:b/>
          <w:bCs/>
          <w:sz w:val="24"/>
          <w:szCs w:val="24"/>
        </w:rPr>
        <w:t>Table 1: Income statement</w:t>
      </w:r>
      <w:r w:rsidR="00EA2160" w:rsidRPr="00B2776D">
        <w:rPr>
          <w:rFonts w:ascii="Times New Roman" w:hAnsi="Times New Roman" w:cs="Times New Roman"/>
          <w:b/>
          <w:bCs/>
          <w:sz w:val="24"/>
          <w:szCs w:val="24"/>
        </w:rPr>
        <w:t xml:space="preserve"> of 2021</w:t>
      </w:r>
    </w:p>
    <w:p w14:paraId="0D7ED9FF" w14:textId="628E14AC" w:rsidR="000975EE" w:rsidRPr="00B2776D" w:rsidRDefault="0082639A" w:rsidP="00B2776D">
      <w:pPr>
        <w:spacing w:line="360" w:lineRule="auto"/>
        <w:jc w:val="center"/>
        <w:rPr>
          <w:rFonts w:ascii="Times New Roman" w:hAnsi="Times New Roman" w:cs="Times New Roman"/>
          <w:sz w:val="24"/>
          <w:szCs w:val="24"/>
        </w:rPr>
      </w:pPr>
      <w:r w:rsidRPr="00B2776D">
        <w:rPr>
          <w:rFonts w:ascii="Times New Roman" w:hAnsi="Times New Roman" w:cs="Times New Roman"/>
          <w:sz w:val="24"/>
          <w:szCs w:val="24"/>
        </w:rPr>
        <w:t>(Source: Self-report, 2022)</w:t>
      </w:r>
    </w:p>
    <w:p w14:paraId="7FBBEC7D" w14:textId="32E092B0" w:rsidR="000975EE" w:rsidRPr="00B2776D" w:rsidRDefault="0082639A" w:rsidP="00B2776D">
      <w:pPr>
        <w:pStyle w:val="Heading2"/>
      </w:pPr>
      <w:bookmarkStart w:id="2" w:name="_Toc109819968"/>
      <w:r w:rsidRPr="00B2776D">
        <w:t>Calculations and workings of the income statement</w:t>
      </w:r>
      <w:bookmarkEnd w:id="2"/>
    </w:p>
    <w:p w14:paraId="14AAD9C6" w14:textId="411619D5" w:rsidR="00117C36" w:rsidRPr="00B2776D" w:rsidRDefault="0082639A" w:rsidP="00B2776D">
      <w:pPr>
        <w:pStyle w:val="ListParagraph"/>
        <w:numPr>
          <w:ilvl w:val="0"/>
          <w:numId w:val="1"/>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Gross Profit C/d: </w:t>
      </w:r>
      <w:r w:rsidRPr="00B2776D">
        <w:rPr>
          <w:rFonts w:ascii="Times New Roman" w:hAnsi="Times New Roman" w:cs="Times New Roman"/>
          <w:sz w:val="24"/>
          <w:szCs w:val="24"/>
        </w:rPr>
        <w:t xml:space="preserve">Gross profit c/d is the difference between total sales and total purchases. Here, the value of the difference is =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 xml:space="preserve">800,000-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 xml:space="preserve">578650=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221,350. In the debit part, Gross profit c/d will be carried over as gross profit b/d.</w:t>
      </w:r>
    </w:p>
    <w:p w14:paraId="24F7DAA3" w14:textId="545395D8" w:rsidR="000975EE" w:rsidRPr="00B2776D" w:rsidRDefault="0082639A" w:rsidP="00B2776D">
      <w:pPr>
        <w:pStyle w:val="ListParagraph"/>
        <w:numPr>
          <w:ilvl w:val="0"/>
          <w:numId w:val="1"/>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lastRenderedPageBreak/>
        <w:t xml:space="preserve">Net profit: </w:t>
      </w:r>
      <w:r w:rsidRPr="00B2776D">
        <w:rPr>
          <w:rFonts w:ascii="Times New Roman" w:hAnsi="Times New Roman" w:cs="Times New Roman"/>
          <w:sz w:val="24"/>
          <w:szCs w:val="24"/>
        </w:rPr>
        <w:t xml:space="preserve">Net Profit is the difference between gross profit b/d and </w:t>
      </w:r>
      <w:r w:rsidR="00DE014D" w:rsidRPr="00B2776D">
        <w:rPr>
          <w:rFonts w:ascii="Times New Roman" w:hAnsi="Times New Roman" w:cs="Times New Roman"/>
          <w:sz w:val="24"/>
          <w:szCs w:val="24"/>
        </w:rPr>
        <w:t xml:space="preserve">total expenses and costs that is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221,350- (30,000+ 2000+ 5000+ 28,000+ 20,000+ 30,000+ 100,000+ 3000)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 xml:space="preserve">) =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3,350.</w:t>
      </w:r>
    </w:p>
    <w:p w14:paraId="25A86B5E" w14:textId="731787D7" w:rsidR="00DE014D" w:rsidRPr="00B2776D" w:rsidRDefault="0082639A" w:rsidP="00B2776D">
      <w:pPr>
        <w:pStyle w:val="Heading2"/>
      </w:pPr>
      <w:bookmarkStart w:id="3" w:name="_Toc109819969"/>
      <w:r w:rsidRPr="00B2776D">
        <w:t>Financial position statement of Wales Plc.</w:t>
      </w:r>
      <w:bookmarkEnd w:id="3"/>
      <w:r w:rsidRPr="00B2776D">
        <w:t xml:space="preserve"> </w:t>
      </w:r>
    </w:p>
    <w:tbl>
      <w:tblPr>
        <w:tblW w:w="8364" w:type="dxa"/>
        <w:jc w:val="center"/>
        <w:tblLook w:val="04A0" w:firstRow="1" w:lastRow="0" w:firstColumn="1" w:lastColumn="0" w:noHBand="0" w:noVBand="1"/>
      </w:tblPr>
      <w:tblGrid>
        <w:gridCol w:w="2623"/>
        <w:gridCol w:w="997"/>
        <w:gridCol w:w="1218"/>
        <w:gridCol w:w="2015"/>
        <w:gridCol w:w="336"/>
        <w:gridCol w:w="1218"/>
      </w:tblGrid>
      <w:tr w:rsidR="00B441CF" w14:paraId="1496BBBD" w14:textId="77777777" w:rsidTr="00E622C8">
        <w:trPr>
          <w:trHeight w:val="427"/>
          <w:jc w:val="center"/>
        </w:trPr>
        <w:tc>
          <w:tcPr>
            <w:tcW w:w="8364"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A19A334"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In the books of Wales plc</w:t>
            </w:r>
          </w:p>
        </w:tc>
      </w:tr>
      <w:tr w:rsidR="00B441CF" w14:paraId="08928263" w14:textId="77777777" w:rsidTr="00E622C8">
        <w:trPr>
          <w:trHeight w:val="427"/>
          <w:jc w:val="center"/>
        </w:trPr>
        <w:tc>
          <w:tcPr>
            <w:tcW w:w="8364" w:type="dxa"/>
            <w:gridSpan w:val="6"/>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75ACFDD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For the year ended 31/12/2021</w:t>
            </w:r>
          </w:p>
        </w:tc>
      </w:tr>
      <w:tr w:rsidR="00B441CF" w14:paraId="7084748B" w14:textId="77777777" w:rsidTr="00E622C8">
        <w:trPr>
          <w:trHeight w:val="427"/>
          <w:jc w:val="center"/>
        </w:trPr>
        <w:tc>
          <w:tcPr>
            <w:tcW w:w="8364" w:type="dxa"/>
            <w:gridSpan w:val="6"/>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77A0D7D1" w14:textId="77777777" w:rsidR="00DE014D" w:rsidRPr="00DE014D" w:rsidRDefault="0082639A"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Statement of financial position</w:t>
            </w:r>
          </w:p>
        </w:tc>
      </w:tr>
      <w:tr w:rsidR="00B441CF" w14:paraId="1199F2B8"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477F00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Liabilities</w:t>
            </w:r>
          </w:p>
        </w:tc>
        <w:tc>
          <w:tcPr>
            <w:tcW w:w="997" w:type="dxa"/>
            <w:tcBorders>
              <w:top w:val="nil"/>
              <w:left w:val="nil"/>
              <w:bottom w:val="single" w:sz="4" w:space="0" w:color="auto"/>
              <w:right w:val="single" w:sz="4" w:space="0" w:color="auto"/>
            </w:tcBorders>
            <w:shd w:val="clear" w:color="auto" w:fill="auto"/>
            <w:noWrap/>
            <w:vAlign w:val="center"/>
            <w:hideMark/>
          </w:tcPr>
          <w:p w14:paraId="283F4BC7"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1218" w:type="dxa"/>
            <w:tcBorders>
              <w:top w:val="nil"/>
              <w:left w:val="nil"/>
              <w:bottom w:val="single" w:sz="4" w:space="0" w:color="auto"/>
              <w:right w:val="single" w:sz="4" w:space="0" w:color="auto"/>
            </w:tcBorders>
            <w:shd w:val="clear" w:color="auto" w:fill="auto"/>
            <w:noWrap/>
            <w:vAlign w:val="center"/>
            <w:hideMark/>
          </w:tcPr>
          <w:p w14:paraId="1F4ADCF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2015" w:type="dxa"/>
            <w:tcBorders>
              <w:top w:val="nil"/>
              <w:left w:val="nil"/>
              <w:bottom w:val="single" w:sz="4" w:space="0" w:color="auto"/>
              <w:right w:val="single" w:sz="4" w:space="0" w:color="auto"/>
            </w:tcBorders>
            <w:shd w:val="clear" w:color="auto" w:fill="auto"/>
            <w:noWrap/>
            <w:vAlign w:val="center"/>
            <w:hideMark/>
          </w:tcPr>
          <w:p w14:paraId="160C017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Asset</w:t>
            </w:r>
          </w:p>
        </w:tc>
        <w:tc>
          <w:tcPr>
            <w:tcW w:w="291" w:type="dxa"/>
            <w:tcBorders>
              <w:top w:val="nil"/>
              <w:left w:val="nil"/>
              <w:bottom w:val="single" w:sz="4" w:space="0" w:color="auto"/>
              <w:right w:val="single" w:sz="4" w:space="0" w:color="auto"/>
            </w:tcBorders>
            <w:shd w:val="clear" w:color="auto" w:fill="auto"/>
            <w:noWrap/>
            <w:vAlign w:val="center"/>
            <w:hideMark/>
          </w:tcPr>
          <w:p w14:paraId="65A1173B"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1218" w:type="dxa"/>
            <w:tcBorders>
              <w:top w:val="nil"/>
              <w:left w:val="nil"/>
              <w:bottom w:val="single" w:sz="4" w:space="0" w:color="auto"/>
              <w:right w:val="single" w:sz="8" w:space="0" w:color="auto"/>
            </w:tcBorders>
            <w:shd w:val="clear" w:color="auto" w:fill="auto"/>
            <w:noWrap/>
            <w:vAlign w:val="center"/>
            <w:hideMark/>
          </w:tcPr>
          <w:p w14:paraId="70052CF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r>
      <w:tr w:rsidR="00B441CF" w14:paraId="47DC26B4"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5A01365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Share capital</w:t>
            </w:r>
          </w:p>
        </w:tc>
        <w:tc>
          <w:tcPr>
            <w:tcW w:w="997" w:type="dxa"/>
            <w:tcBorders>
              <w:top w:val="nil"/>
              <w:left w:val="nil"/>
              <w:bottom w:val="single" w:sz="4" w:space="0" w:color="auto"/>
              <w:right w:val="single" w:sz="4" w:space="0" w:color="auto"/>
            </w:tcBorders>
            <w:shd w:val="clear" w:color="auto" w:fill="auto"/>
            <w:noWrap/>
            <w:vAlign w:val="center"/>
            <w:hideMark/>
          </w:tcPr>
          <w:p w14:paraId="7B8D811D"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7E9F1E8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39624D8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0B43ED1D"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7EC1B3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2C49FBCC"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3C5A38D"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Ordinary share</w:t>
            </w:r>
          </w:p>
        </w:tc>
        <w:tc>
          <w:tcPr>
            <w:tcW w:w="997" w:type="dxa"/>
            <w:tcBorders>
              <w:top w:val="nil"/>
              <w:left w:val="nil"/>
              <w:bottom w:val="single" w:sz="4" w:space="0" w:color="auto"/>
              <w:right w:val="single" w:sz="4" w:space="0" w:color="auto"/>
            </w:tcBorders>
            <w:shd w:val="clear" w:color="auto" w:fill="auto"/>
            <w:noWrap/>
            <w:vAlign w:val="center"/>
            <w:hideMark/>
          </w:tcPr>
          <w:p w14:paraId="3020421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500,000</w:t>
            </w:r>
          </w:p>
        </w:tc>
        <w:tc>
          <w:tcPr>
            <w:tcW w:w="1218" w:type="dxa"/>
            <w:tcBorders>
              <w:top w:val="nil"/>
              <w:left w:val="nil"/>
              <w:bottom w:val="single" w:sz="4" w:space="0" w:color="auto"/>
              <w:right w:val="single" w:sz="4" w:space="0" w:color="auto"/>
            </w:tcBorders>
            <w:shd w:val="clear" w:color="auto" w:fill="auto"/>
            <w:noWrap/>
            <w:vAlign w:val="center"/>
            <w:hideMark/>
          </w:tcPr>
          <w:p w14:paraId="609485C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3CDE300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Fixed Asset</w:t>
            </w:r>
          </w:p>
        </w:tc>
        <w:tc>
          <w:tcPr>
            <w:tcW w:w="291" w:type="dxa"/>
            <w:tcBorders>
              <w:top w:val="nil"/>
              <w:left w:val="nil"/>
              <w:bottom w:val="single" w:sz="4" w:space="0" w:color="auto"/>
              <w:right w:val="single" w:sz="4" w:space="0" w:color="auto"/>
            </w:tcBorders>
            <w:shd w:val="clear" w:color="auto" w:fill="auto"/>
            <w:noWrap/>
            <w:vAlign w:val="center"/>
            <w:hideMark/>
          </w:tcPr>
          <w:p w14:paraId="32E5C14E"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3335A6B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674E7CF0"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D4D8CDD"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Pref share</w:t>
            </w:r>
          </w:p>
        </w:tc>
        <w:tc>
          <w:tcPr>
            <w:tcW w:w="997" w:type="dxa"/>
            <w:tcBorders>
              <w:top w:val="nil"/>
              <w:left w:val="nil"/>
              <w:bottom w:val="single" w:sz="4" w:space="0" w:color="auto"/>
              <w:right w:val="single" w:sz="4" w:space="0" w:color="auto"/>
            </w:tcBorders>
            <w:shd w:val="clear" w:color="auto" w:fill="auto"/>
            <w:noWrap/>
            <w:vAlign w:val="center"/>
            <w:hideMark/>
          </w:tcPr>
          <w:p w14:paraId="1321C644"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200,000</w:t>
            </w:r>
          </w:p>
        </w:tc>
        <w:tc>
          <w:tcPr>
            <w:tcW w:w="1218" w:type="dxa"/>
            <w:tcBorders>
              <w:top w:val="nil"/>
              <w:left w:val="nil"/>
              <w:bottom w:val="single" w:sz="4" w:space="0" w:color="auto"/>
              <w:right w:val="single" w:sz="4" w:space="0" w:color="auto"/>
            </w:tcBorders>
            <w:shd w:val="clear" w:color="auto" w:fill="auto"/>
            <w:noWrap/>
            <w:vAlign w:val="center"/>
            <w:hideMark/>
          </w:tcPr>
          <w:p w14:paraId="11BFD93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07FD343B"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Plant</w:t>
            </w:r>
          </w:p>
        </w:tc>
        <w:tc>
          <w:tcPr>
            <w:tcW w:w="291" w:type="dxa"/>
            <w:tcBorders>
              <w:top w:val="nil"/>
              <w:left w:val="nil"/>
              <w:bottom w:val="single" w:sz="4" w:space="0" w:color="auto"/>
              <w:right w:val="single" w:sz="4" w:space="0" w:color="auto"/>
            </w:tcBorders>
            <w:shd w:val="clear" w:color="auto" w:fill="auto"/>
            <w:noWrap/>
            <w:vAlign w:val="center"/>
            <w:hideMark/>
          </w:tcPr>
          <w:p w14:paraId="17C96AB7"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250FB99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650,000</w:t>
            </w:r>
          </w:p>
        </w:tc>
      </w:tr>
      <w:tr w:rsidR="00B441CF" w14:paraId="610219D2"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491BE2CC" w14:textId="77777777" w:rsidR="00DE014D" w:rsidRPr="00DE014D" w:rsidRDefault="0082639A"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Total</w:t>
            </w:r>
          </w:p>
        </w:tc>
        <w:tc>
          <w:tcPr>
            <w:tcW w:w="997" w:type="dxa"/>
            <w:tcBorders>
              <w:top w:val="nil"/>
              <w:left w:val="nil"/>
              <w:bottom w:val="single" w:sz="4" w:space="0" w:color="auto"/>
              <w:right w:val="single" w:sz="4" w:space="0" w:color="auto"/>
            </w:tcBorders>
            <w:shd w:val="clear" w:color="auto" w:fill="auto"/>
            <w:noWrap/>
            <w:vAlign w:val="center"/>
            <w:hideMark/>
          </w:tcPr>
          <w:p w14:paraId="4DD87D42" w14:textId="77777777" w:rsidR="00DE014D" w:rsidRPr="00DE014D" w:rsidRDefault="0082639A"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700,000</w:t>
            </w:r>
          </w:p>
        </w:tc>
        <w:tc>
          <w:tcPr>
            <w:tcW w:w="1218" w:type="dxa"/>
            <w:tcBorders>
              <w:top w:val="nil"/>
              <w:left w:val="nil"/>
              <w:bottom w:val="single" w:sz="4" w:space="0" w:color="auto"/>
              <w:right w:val="single" w:sz="4" w:space="0" w:color="auto"/>
            </w:tcBorders>
            <w:shd w:val="clear" w:color="auto" w:fill="auto"/>
            <w:noWrap/>
            <w:vAlign w:val="center"/>
            <w:hideMark/>
          </w:tcPr>
          <w:p w14:paraId="054A1BF4"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071F245B"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Current asset</w:t>
            </w:r>
          </w:p>
        </w:tc>
        <w:tc>
          <w:tcPr>
            <w:tcW w:w="291" w:type="dxa"/>
            <w:tcBorders>
              <w:top w:val="nil"/>
              <w:left w:val="nil"/>
              <w:bottom w:val="single" w:sz="4" w:space="0" w:color="auto"/>
              <w:right w:val="single" w:sz="4" w:space="0" w:color="auto"/>
            </w:tcBorders>
            <w:shd w:val="clear" w:color="auto" w:fill="auto"/>
            <w:noWrap/>
            <w:vAlign w:val="center"/>
            <w:hideMark/>
          </w:tcPr>
          <w:p w14:paraId="50C259D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AFCD84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4EC5E3C2"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8A57B1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Add: Net profit</w:t>
            </w:r>
          </w:p>
        </w:tc>
        <w:tc>
          <w:tcPr>
            <w:tcW w:w="997" w:type="dxa"/>
            <w:tcBorders>
              <w:top w:val="nil"/>
              <w:left w:val="nil"/>
              <w:bottom w:val="single" w:sz="4" w:space="0" w:color="auto"/>
              <w:right w:val="single" w:sz="4" w:space="0" w:color="auto"/>
            </w:tcBorders>
            <w:shd w:val="clear" w:color="auto" w:fill="auto"/>
            <w:noWrap/>
            <w:vAlign w:val="center"/>
            <w:hideMark/>
          </w:tcPr>
          <w:p w14:paraId="6F6ECC4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3,350</w:t>
            </w:r>
          </w:p>
        </w:tc>
        <w:tc>
          <w:tcPr>
            <w:tcW w:w="1218" w:type="dxa"/>
            <w:tcBorders>
              <w:top w:val="nil"/>
              <w:left w:val="nil"/>
              <w:bottom w:val="single" w:sz="4" w:space="0" w:color="auto"/>
              <w:right w:val="single" w:sz="4" w:space="0" w:color="auto"/>
            </w:tcBorders>
            <w:shd w:val="clear" w:color="auto" w:fill="auto"/>
            <w:noWrap/>
            <w:vAlign w:val="center"/>
            <w:hideMark/>
          </w:tcPr>
          <w:p w14:paraId="089EE9B4"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53785D41"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Trade receivable</w:t>
            </w:r>
          </w:p>
        </w:tc>
        <w:tc>
          <w:tcPr>
            <w:tcW w:w="291" w:type="dxa"/>
            <w:tcBorders>
              <w:top w:val="nil"/>
              <w:left w:val="nil"/>
              <w:bottom w:val="single" w:sz="4" w:space="0" w:color="auto"/>
              <w:right w:val="single" w:sz="4" w:space="0" w:color="auto"/>
            </w:tcBorders>
            <w:shd w:val="clear" w:color="auto" w:fill="auto"/>
            <w:noWrap/>
            <w:vAlign w:val="center"/>
            <w:hideMark/>
          </w:tcPr>
          <w:p w14:paraId="4B9E6FA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182E999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170,125</w:t>
            </w:r>
          </w:p>
        </w:tc>
      </w:tr>
      <w:tr w:rsidR="00B441CF" w14:paraId="664BC207"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18BF570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Add: retained earning</w:t>
            </w:r>
          </w:p>
        </w:tc>
        <w:tc>
          <w:tcPr>
            <w:tcW w:w="997" w:type="dxa"/>
            <w:tcBorders>
              <w:top w:val="nil"/>
              <w:left w:val="nil"/>
              <w:bottom w:val="single" w:sz="4" w:space="0" w:color="auto"/>
              <w:right w:val="single" w:sz="4" w:space="0" w:color="auto"/>
            </w:tcBorders>
            <w:shd w:val="clear" w:color="auto" w:fill="auto"/>
            <w:noWrap/>
            <w:vAlign w:val="center"/>
            <w:hideMark/>
          </w:tcPr>
          <w:p w14:paraId="7F7A814E"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132,000</w:t>
            </w:r>
          </w:p>
        </w:tc>
        <w:tc>
          <w:tcPr>
            <w:tcW w:w="1218" w:type="dxa"/>
            <w:tcBorders>
              <w:top w:val="nil"/>
              <w:left w:val="nil"/>
              <w:bottom w:val="single" w:sz="4" w:space="0" w:color="auto"/>
              <w:right w:val="single" w:sz="4" w:space="0" w:color="auto"/>
            </w:tcBorders>
            <w:shd w:val="clear" w:color="auto" w:fill="auto"/>
            <w:noWrap/>
            <w:vAlign w:val="center"/>
            <w:hideMark/>
          </w:tcPr>
          <w:p w14:paraId="19BF7E6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62611300"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Cash and bank</w:t>
            </w:r>
          </w:p>
        </w:tc>
        <w:tc>
          <w:tcPr>
            <w:tcW w:w="291" w:type="dxa"/>
            <w:tcBorders>
              <w:top w:val="nil"/>
              <w:left w:val="nil"/>
              <w:bottom w:val="single" w:sz="4" w:space="0" w:color="auto"/>
              <w:right w:val="single" w:sz="4" w:space="0" w:color="auto"/>
            </w:tcBorders>
            <w:shd w:val="clear" w:color="auto" w:fill="auto"/>
            <w:noWrap/>
            <w:vAlign w:val="center"/>
            <w:hideMark/>
          </w:tcPr>
          <w:p w14:paraId="4122E22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724BF03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76,250</w:t>
            </w:r>
          </w:p>
        </w:tc>
      </w:tr>
      <w:tr w:rsidR="00B441CF" w14:paraId="369B65BA"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035F622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997" w:type="dxa"/>
            <w:tcBorders>
              <w:top w:val="nil"/>
              <w:left w:val="nil"/>
              <w:bottom w:val="single" w:sz="4" w:space="0" w:color="auto"/>
              <w:right w:val="single" w:sz="4" w:space="0" w:color="auto"/>
            </w:tcBorders>
            <w:shd w:val="clear" w:color="auto" w:fill="auto"/>
            <w:noWrap/>
            <w:vAlign w:val="center"/>
            <w:hideMark/>
          </w:tcPr>
          <w:p w14:paraId="7D465E2B"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0F97813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835,350</w:t>
            </w:r>
          </w:p>
        </w:tc>
        <w:tc>
          <w:tcPr>
            <w:tcW w:w="2015" w:type="dxa"/>
            <w:tcBorders>
              <w:top w:val="nil"/>
              <w:left w:val="nil"/>
              <w:bottom w:val="single" w:sz="4" w:space="0" w:color="auto"/>
              <w:right w:val="single" w:sz="4" w:space="0" w:color="auto"/>
            </w:tcBorders>
            <w:shd w:val="clear" w:color="auto" w:fill="auto"/>
            <w:noWrap/>
            <w:vAlign w:val="center"/>
            <w:hideMark/>
          </w:tcPr>
          <w:p w14:paraId="42443275"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Stock</w:t>
            </w:r>
          </w:p>
        </w:tc>
        <w:tc>
          <w:tcPr>
            <w:tcW w:w="291" w:type="dxa"/>
            <w:tcBorders>
              <w:top w:val="nil"/>
              <w:left w:val="nil"/>
              <w:bottom w:val="single" w:sz="4" w:space="0" w:color="auto"/>
              <w:right w:val="single" w:sz="4" w:space="0" w:color="auto"/>
            </w:tcBorders>
            <w:shd w:val="clear" w:color="auto" w:fill="auto"/>
            <w:noWrap/>
            <w:vAlign w:val="center"/>
            <w:hideMark/>
          </w:tcPr>
          <w:p w14:paraId="4D507D6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23E8D761"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330,600</w:t>
            </w:r>
          </w:p>
        </w:tc>
      </w:tr>
      <w:tr w:rsidR="00B441CF" w14:paraId="3837575D"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029A60F9" w14:textId="5F2D1A9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B2776D">
              <w:rPr>
                <w:rFonts w:ascii="Times New Roman" w:eastAsia="Times New Roman" w:hAnsi="Times New Roman" w:cs="Times New Roman"/>
                <w:color w:val="000000"/>
                <w:sz w:val="24"/>
                <w:szCs w:val="24"/>
              </w:rPr>
              <w:t>Debentures</w:t>
            </w:r>
          </w:p>
        </w:tc>
        <w:tc>
          <w:tcPr>
            <w:tcW w:w="997" w:type="dxa"/>
            <w:tcBorders>
              <w:top w:val="nil"/>
              <w:left w:val="nil"/>
              <w:bottom w:val="single" w:sz="4" w:space="0" w:color="auto"/>
              <w:right w:val="single" w:sz="4" w:space="0" w:color="auto"/>
            </w:tcBorders>
            <w:shd w:val="clear" w:color="auto" w:fill="auto"/>
            <w:noWrap/>
            <w:vAlign w:val="center"/>
            <w:hideMark/>
          </w:tcPr>
          <w:p w14:paraId="7786E01C"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0C50801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100,000</w:t>
            </w:r>
          </w:p>
        </w:tc>
        <w:tc>
          <w:tcPr>
            <w:tcW w:w="2015" w:type="dxa"/>
            <w:tcBorders>
              <w:top w:val="nil"/>
              <w:left w:val="nil"/>
              <w:bottom w:val="single" w:sz="4" w:space="0" w:color="auto"/>
              <w:right w:val="single" w:sz="4" w:space="0" w:color="auto"/>
            </w:tcBorders>
            <w:shd w:val="clear" w:color="auto" w:fill="auto"/>
            <w:noWrap/>
            <w:vAlign w:val="center"/>
            <w:hideMark/>
          </w:tcPr>
          <w:p w14:paraId="074EF51C"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7B1DE53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4EFA26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0A11C35E"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3E1F58DC"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Current liabilities</w:t>
            </w:r>
          </w:p>
        </w:tc>
        <w:tc>
          <w:tcPr>
            <w:tcW w:w="997" w:type="dxa"/>
            <w:tcBorders>
              <w:top w:val="nil"/>
              <w:left w:val="nil"/>
              <w:bottom w:val="single" w:sz="4" w:space="0" w:color="auto"/>
              <w:right w:val="single" w:sz="4" w:space="0" w:color="auto"/>
            </w:tcBorders>
            <w:shd w:val="clear" w:color="auto" w:fill="auto"/>
            <w:noWrap/>
            <w:vAlign w:val="center"/>
            <w:hideMark/>
          </w:tcPr>
          <w:p w14:paraId="53A0D41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5BF5BDA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7D7A02E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4CCDC064"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0C5A94F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092870E9"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680956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Outstanding expenses</w:t>
            </w:r>
          </w:p>
        </w:tc>
        <w:tc>
          <w:tcPr>
            <w:tcW w:w="997" w:type="dxa"/>
            <w:tcBorders>
              <w:top w:val="nil"/>
              <w:left w:val="nil"/>
              <w:bottom w:val="single" w:sz="4" w:space="0" w:color="auto"/>
              <w:right w:val="single" w:sz="4" w:space="0" w:color="auto"/>
            </w:tcBorders>
            <w:shd w:val="clear" w:color="auto" w:fill="auto"/>
            <w:noWrap/>
            <w:vAlign w:val="center"/>
            <w:hideMark/>
          </w:tcPr>
          <w:p w14:paraId="6DEFBF31"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2186BEE7"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3000</w:t>
            </w:r>
          </w:p>
        </w:tc>
        <w:tc>
          <w:tcPr>
            <w:tcW w:w="2015" w:type="dxa"/>
            <w:tcBorders>
              <w:top w:val="nil"/>
              <w:left w:val="nil"/>
              <w:bottom w:val="single" w:sz="4" w:space="0" w:color="auto"/>
              <w:right w:val="single" w:sz="4" w:space="0" w:color="auto"/>
            </w:tcBorders>
            <w:shd w:val="clear" w:color="auto" w:fill="auto"/>
            <w:noWrap/>
            <w:vAlign w:val="center"/>
            <w:hideMark/>
          </w:tcPr>
          <w:p w14:paraId="4956606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11BC7FD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07815F0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6A4D69BC"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F803F6F"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Corporation tax</w:t>
            </w:r>
          </w:p>
        </w:tc>
        <w:tc>
          <w:tcPr>
            <w:tcW w:w="997" w:type="dxa"/>
            <w:tcBorders>
              <w:top w:val="nil"/>
              <w:left w:val="nil"/>
              <w:bottom w:val="single" w:sz="4" w:space="0" w:color="auto"/>
              <w:right w:val="single" w:sz="4" w:space="0" w:color="auto"/>
            </w:tcBorders>
            <w:shd w:val="clear" w:color="auto" w:fill="auto"/>
            <w:noWrap/>
            <w:vAlign w:val="center"/>
            <w:hideMark/>
          </w:tcPr>
          <w:p w14:paraId="260E6649"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1176B3CC"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100000</w:t>
            </w:r>
          </w:p>
        </w:tc>
        <w:tc>
          <w:tcPr>
            <w:tcW w:w="2015" w:type="dxa"/>
            <w:tcBorders>
              <w:top w:val="nil"/>
              <w:left w:val="nil"/>
              <w:bottom w:val="single" w:sz="4" w:space="0" w:color="auto"/>
              <w:right w:val="single" w:sz="4" w:space="0" w:color="auto"/>
            </w:tcBorders>
            <w:shd w:val="clear" w:color="auto" w:fill="auto"/>
            <w:noWrap/>
            <w:vAlign w:val="center"/>
            <w:hideMark/>
          </w:tcPr>
          <w:p w14:paraId="11DC5235"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4C4A7E77"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60E2727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7BCC29E4"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36DE47D6"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Trade payable</w:t>
            </w:r>
          </w:p>
        </w:tc>
        <w:tc>
          <w:tcPr>
            <w:tcW w:w="997" w:type="dxa"/>
            <w:tcBorders>
              <w:top w:val="nil"/>
              <w:left w:val="nil"/>
              <w:bottom w:val="single" w:sz="4" w:space="0" w:color="auto"/>
              <w:right w:val="single" w:sz="4" w:space="0" w:color="auto"/>
            </w:tcBorders>
            <w:shd w:val="clear" w:color="auto" w:fill="auto"/>
            <w:noWrap/>
            <w:vAlign w:val="center"/>
            <w:hideMark/>
          </w:tcPr>
          <w:p w14:paraId="08769DDC"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4992AE7A"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188625</w:t>
            </w:r>
          </w:p>
        </w:tc>
        <w:tc>
          <w:tcPr>
            <w:tcW w:w="2015" w:type="dxa"/>
            <w:tcBorders>
              <w:top w:val="nil"/>
              <w:left w:val="nil"/>
              <w:bottom w:val="single" w:sz="4" w:space="0" w:color="auto"/>
              <w:right w:val="single" w:sz="4" w:space="0" w:color="auto"/>
            </w:tcBorders>
            <w:shd w:val="clear" w:color="auto" w:fill="auto"/>
            <w:noWrap/>
            <w:vAlign w:val="center"/>
            <w:hideMark/>
          </w:tcPr>
          <w:p w14:paraId="1B3C68F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7792D198"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567FB193"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B441CF" w14:paraId="2EA06B2C" w14:textId="77777777" w:rsidTr="00E622C8">
        <w:trPr>
          <w:trHeight w:val="443"/>
          <w:jc w:val="center"/>
        </w:trPr>
        <w:tc>
          <w:tcPr>
            <w:tcW w:w="2623" w:type="dxa"/>
            <w:tcBorders>
              <w:top w:val="nil"/>
              <w:left w:val="single" w:sz="8" w:space="0" w:color="auto"/>
              <w:bottom w:val="single" w:sz="8" w:space="0" w:color="auto"/>
              <w:right w:val="single" w:sz="4" w:space="0" w:color="auto"/>
            </w:tcBorders>
            <w:shd w:val="clear" w:color="auto" w:fill="auto"/>
            <w:noWrap/>
            <w:vAlign w:val="center"/>
            <w:hideMark/>
          </w:tcPr>
          <w:p w14:paraId="627019B2"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xml:space="preserve">Total </w:t>
            </w:r>
          </w:p>
        </w:tc>
        <w:tc>
          <w:tcPr>
            <w:tcW w:w="997" w:type="dxa"/>
            <w:tcBorders>
              <w:top w:val="nil"/>
              <w:left w:val="nil"/>
              <w:bottom w:val="single" w:sz="8" w:space="0" w:color="auto"/>
              <w:right w:val="single" w:sz="4" w:space="0" w:color="auto"/>
            </w:tcBorders>
            <w:shd w:val="clear" w:color="auto" w:fill="auto"/>
            <w:noWrap/>
            <w:vAlign w:val="center"/>
            <w:hideMark/>
          </w:tcPr>
          <w:p w14:paraId="0196A3E6"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8" w:space="0" w:color="auto"/>
              <w:right w:val="single" w:sz="4" w:space="0" w:color="auto"/>
            </w:tcBorders>
            <w:shd w:val="clear" w:color="auto" w:fill="auto"/>
            <w:noWrap/>
            <w:vAlign w:val="center"/>
            <w:hideMark/>
          </w:tcPr>
          <w:p w14:paraId="0B1A670E"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1,226,975</w:t>
            </w:r>
          </w:p>
        </w:tc>
        <w:tc>
          <w:tcPr>
            <w:tcW w:w="2015" w:type="dxa"/>
            <w:tcBorders>
              <w:top w:val="nil"/>
              <w:left w:val="nil"/>
              <w:bottom w:val="single" w:sz="8" w:space="0" w:color="auto"/>
              <w:right w:val="single" w:sz="4" w:space="0" w:color="auto"/>
            </w:tcBorders>
            <w:shd w:val="clear" w:color="auto" w:fill="auto"/>
            <w:noWrap/>
            <w:vAlign w:val="center"/>
            <w:hideMark/>
          </w:tcPr>
          <w:p w14:paraId="0EF035EB"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Total</w:t>
            </w:r>
          </w:p>
        </w:tc>
        <w:tc>
          <w:tcPr>
            <w:tcW w:w="291" w:type="dxa"/>
            <w:tcBorders>
              <w:top w:val="nil"/>
              <w:left w:val="nil"/>
              <w:bottom w:val="single" w:sz="8" w:space="0" w:color="auto"/>
              <w:right w:val="single" w:sz="4" w:space="0" w:color="auto"/>
            </w:tcBorders>
            <w:shd w:val="clear" w:color="auto" w:fill="auto"/>
            <w:noWrap/>
            <w:vAlign w:val="center"/>
            <w:hideMark/>
          </w:tcPr>
          <w:p w14:paraId="30512F55"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8" w:space="0" w:color="auto"/>
              <w:right w:val="single" w:sz="8" w:space="0" w:color="auto"/>
            </w:tcBorders>
            <w:shd w:val="clear" w:color="auto" w:fill="auto"/>
            <w:noWrap/>
            <w:vAlign w:val="center"/>
            <w:hideMark/>
          </w:tcPr>
          <w:p w14:paraId="35919F7E" w14:textId="77777777" w:rsidR="00DE014D" w:rsidRPr="00DE014D" w:rsidRDefault="0082639A"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1,226,975</w:t>
            </w:r>
          </w:p>
        </w:tc>
      </w:tr>
    </w:tbl>
    <w:p w14:paraId="68C32722" w14:textId="61FAE208" w:rsidR="00DE014D" w:rsidRPr="00B2776D" w:rsidRDefault="0082639A" w:rsidP="00B2776D">
      <w:pPr>
        <w:spacing w:line="360" w:lineRule="auto"/>
        <w:jc w:val="center"/>
        <w:rPr>
          <w:rFonts w:ascii="Times New Roman" w:hAnsi="Times New Roman" w:cs="Times New Roman"/>
          <w:b/>
          <w:bCs/>
          <w:sz w:val="24"/>
          <w:szCs w:val="24"/>
        </w:rPr>
      </w:pPr>
      <w:r w:rsidRPr="00B2776D">
        <w:rPr>
          <w:rFonts w:ascii="Times New Roman" w:hAnsi="Times New Roman" w:cs="Times New Roman"/>
          <w:b/>
          <w:bCs/>
          <w:sz w:val="24"/>
          <w:szCs w:val="24"/>
        </w:rPr>
        <w:t>Table 2: Financial position statement</w:t>
      </w:r>
      <w:r w:rsidR="00EA2160" w:rsidRPr="00B2776D">
        <w:rPr>
          <w:rFonts w:ascii="Times New Roman" w:hAnsi="Times New Roman" w:cs="Times New Roman"/>
          <w:b/>
          <w:bCs/>
          <w:sz w:val="24"/>
          <w:szCs w:val="24"/>
        </w:rPr>
        <w:t xml:space="preserve"> of 2021</w:t>
      </w:r>
    </w:p>
    <w:p w14:paraId="0AB336B2" w14:textId="699C471D" w:rsidR="00E622C8" w:rsidRPr="00B2776D" w:rsidRDefault="0082639A" w:rsidP="00B2776D">
      <w:pPr>
        <w:spacing w:line="360" w:lineRule="auto"/>
        <w:jc w:val="center"/>
        <w:rPr>
          <w:rFonts w:ascii="Times New Roman" w:hAnsi="Times New Roman" w:cs="Times New Roman"/>
          <w:sz w:val="24"/>
          <w:szCs w:val="24"/>
        </w:rPr>
      </w:pPr>
      <w:r w:rsidRPr="00B2776D">
        <w:rPr>
          <w:rFonts w:ascii="Times New Roman" w:hAnsi="Times New Roman" w:cs="Times New Roman"/>
          <w:sz w:val="24"/>
          <w:szCs w:val="24"/>
        </w:rPr>
        <w:t>(Source: Self-report, 2022)</w:t>
      </w:r>
    </w:p>
    <w:p w14:paraId="2B611008" w14:textId="535ABFB8" w:rsidR="00E622C8" w:rsidRPr="00B2776D" w:rsidRDefault="0082639A" w:rsidP="00B2776D">
      <w:pPr>
        <w:pStyle w:val="Heading2"/>
      </w:pPr>
      <w:bookmarkStart w:id="4" w:name="_Toc109819970"/>
      <w:r w:rsidRPr="00B2776D">
        <w:t>Calculation and workings of the financial position statement</w:t>
      </w:r>
      <w:bookmarkEnd w:id="4"/>
      <w:r w:rsidRPr="00B2776D">
        <w:t xml:space="preserve"> </w:t>
      </w:r>
    </w:p>
    <w:p w14:paraId="5B79D2E8" w14:textId="59A126A0" w:rsidR="00E622C8" w:rsidRPr="00B2776D" w:rsidRDefault="0082639A" w:rsidP="00B2776D">
      <w:pPr>
        <w:pStyle w:val="ListParagraph"/>
        <w:numPr>
          <w:ilvl w:val="0"/>
          <w:numId w:val="2"/>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Total assets: </w:t>
      </w:r>
      <w:r w:rsidRPr="00B2776D">
        <w:rPr>
          <w:rFonts w:ascii="Times New Roman" w:hAnsi="Times New Roman" w:cs="Times New Roman"/>
          <w:sz w:val="24"/>
          <w:szCs w:val="24"/>
        </w:rPr>
        <w:t xml:space="preserve">Assets are said to be the resources Wales Plc has that will give the company an economic benefit. Here, the total asset is the sum of all resources with financial benefits. </w:t>
      </w:r>
    </w:p>
    <w:p w14:paraId="41F8C3F9" w14:textId="72F49A08" w:rsidR="00E622C8" w:rsidRPr="00B2776D" w:rsidRDefault="0082639A" w:rsidP="00B2776D">
      <w:pPr>
        <w:pStyle w:val="ListParagraph"/>
        <w:numPr>
          <w:ilvl w:val="0"/>
          <w:numId w:val="2"/>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Total liabilities: </w:t>
      </w:r>
      <w:r w:rsidR="00B45BA4" w:rsidRPr="00B2776D">
        <w:rPr>
          <w:rFonts w:ascii="Times New Roman" w:hAnsi="Times New Roman" w:cs="Times New Roman"/>
          <w:sz w:val="24"/>
          <w:szCs w:val="24"/>
        </w:rPr>
        <w:t xml:space="preserve">Total liabilities are the sum of ordinary and preference shares, net profit and retained earnings, debentures, outstanding expenses, corporation tax, and trade payables. </w:t>
      </w:r>
    </w:p>
    <w:p w14:paraId="36476416" w14:textId="77777777" w:rsidR="00B45BA4" w:rsidRPr="00B2776D" w:rsidRDefault="0082639A" w:rsidP="00B2776D">
      <w:pPr>
        <w:pStyle w:val="Heading2"/>
      </w:pPr>
      <w:bookmarkStart w:id="5" w:name="_Toc109819971"/>
      <w:r w:rsidRPr="00B2776D">
        <w:lastRenderedPageBreak/>
        <w:t>The reason behind the balance in statement of financial position</w:t>
      </w:r>
      <w:bookmarkEnd w:id="5"/>
      <w:r w:rsidRPr="00B2776D">
        <w:t xml:space="preserve"> </w:t>
      </w:r>
    </w:p>
    <w:p w14:paraId="34EE3E80" w14:textId="54BB9686" w:rsidR="00DE014D" w:rsidRPr="00B2776D" w:rsidRDefault="0082639A" w:rsidP="00BE3525">
      <w:pPr>
        <w:spacing w:line="360" w:lineRule="auto"/>
        <w:jc w:val="both"/>
        <w:rPr>
          <w:rFonts w:ascii="Times New Roman" w:hAnsi="Times New Roman" w:cs="Times New Roman"/>
          <w:b/>
          <w:bCs/>
          <w:sz w:val="24"/>
          <w:szCs w:val="24"/>
        </w:rPr>
      </w:pPr>
      <w:r w:rsidRPr="00B2776D">
        <w:rPr>
          <w:rFonts w:ascii="Times New Roman" w:hAnsi="Times New Roman" w:cs="Times New Roman"/>
          <w:sz w:val="24"/>
          <w:szCs w:val="24"/>
        </w:rPr>
        <w:t xml:space="preserve">A statement of financial position or balance sheet of a company </w:t>
      </w:r>
      <w:r w:rsidR="00EA2160" w:rsidRPr="00B2776D">
        <w:rPr>
          <w:rFonts w:ascii="Times New Roman" w:hAnsi="Times New Roman" w:cs="Times New Roman"/>
          <w:sz w:val="24"/>
          <w:szCs w:val="24"/>
        </w:rPr>
        <w:t>shows the number of liabilities and assets a company has at its disposal in a particular financial year</w:t>
      </w:r>
      <w:r w:rsidR="00BE3525">
        <w:rPr>
          <w:rFonts w:ascii="Times New Roman" w:hAnsi="Times New Roman" w:cs="Times New Roman"/>
          <w:sz w:val="24"/>
          <w:szCs w:val="24"/>
        </w:rPr>
        <w:t xml:space="preserve"> (</w:t>
      </w:r>
      <w:r w:rsidR="00BE3525" w:rsidRPr="00BE3525">
        <w:rPr>
          <w:rFonts w:ascii="Times New Roman" w:hAnsi="Times New Roman" w:cs="Times New Roman"/>
          <w:color w:val="000000" w:themeColor="text1"/>
          <w:sz w:val="24"/>
          <w:szCs w:val="24"/>
          <w:shd w:val="clear" w:color="auto" w:fill="FFFFFF"/>
        </w:rPr>
        <w:t>Assets, 2020</w:t>
      </w:r>
      <w:r w:rsidR="00BE3525">
        <w:rPr>
          <w:rFonts w:ascii="Times New Roman" w:hAnsi="Times New Roman" w:cs="Times New Roman"/>
          <w:color w:val="000000" w:themeColor="text1"/>
          <w:sz w:val="24"/>
          <w:szCs w:val="24"/>
          <w:shd w:val="clear" w:color="auto" w:fill="FFFFFF"/>
        </w:rPr>
        <w:t>)</w:t>
      </w:r>
      <w:r w:rsidR="00EA2160" w:rsidRPr="00B2776D">
        <w:rPr>
          <w:rFonts w:ascii="Times New Roman" w:hAnsi="Times New Roman" w:cs="Times New Roman"/>
          <w:sz w:val="24"/>
          <w:szCs w:val="24"/>
        </w:rPr>
        <w:t xml:space="preserve">. The two sides of the balance sheet should always be at a balance because all entries considered in the general ledger </w:t>
      </w:r>
      <w:proofErr w:type="gramStart"/>
      <w:r w:rsidR="00EA2160" w:rsidRPr="00B2776D">
        <w:rPr>
          <w:rFonts w:ascii="Times New Roman" w:hAnsi="Times New Roman" w:cs="Times New Roman"/>
          <w:sz w:val="24"/>
          <w:szCs w:val="24"/>
        </w:rPr>
        <w:t>have to</w:t>
      </w:r>
      <w:proofErr w:type="gramEnd"/>
      <w:r w:rsidR="00EA2160" w:rsidRPr="00B2776D">
        <w:rPr>
          <w:rFonts w:ascii="Times New Roman" w:hAnsi="Times New Roman" w:cs="Times New Roman"/>
          <w:sz w:val="24"/>
          <w:szCs w:val="24"/>
        </w:rPr>
        <w:t xml:space="preserve"> acquiesce with the equation of accounting which refers to that Assets </w:t>
      </w:r>
      <w:r w:rsidR="005A6BE9" w:rsidRPr="00B2776D">
        <w:rPr>
          <w:rFonts w:ascii="Times New Roman" w:hAnsi="Times New Roman" w:cs="Times New Roman"/>
          <w:sz w:val="24"/>
          <w:szCs w:val="24"/>
        </w:rPr>
        <w:t xml:space="preserve">are equal to the sum of liabilities and stockholders' equity. The entries of the general ledger </w:t>
      </w:r>
      <w:proofErr w:type="gramStart"/>
      <w:r w:rsidR="005A6BE9" w:rsidRPr="00B2776D">
        <w:rPr>
          <w:rFonts w:ascii="Times New Roman" w:hAnsi="Times New Roman" w:cs="Times New Roman"/>
          <w:sz w:val="24"/>
          <w:szCs w:val="24"/>
        </w:rPr>
        <w:t>take into account</w:t>
      </w:r>
      <w:proofErr w:type="gramEnd"/>
      <w:r w:rsidR="005A6BE9" w:rsidRPr="00B2776D">
        <w:rPr>
          <w:rFonts w:ascii="Times New Roman" w:hAnsi="Times New Roman" w:cs="Times New Roman"/>
          <w:sz w:val="24"/>
          <w:szCs w:val="24"/>
        </w:rPr>
        <w:t xml:space="preserve"> two postings that affect both sides of the statement. So, any functioning double entry accounting system which is computerized as well will not allow submitting an entry that would unbalance the statement of financial </w:t>
      </w:r>
      <w:r w:rsidR="005A6BE9" w:rsidRPr="00BE3525">
        <w:rPr>
          <w:rFonts w:ascii="Times New Roman" w:hAnsi="Times New Roman" w:cs="Times New Roman"/>
          <w:sz w:val="24"/>
          <w:szCs w:val="24"/>
        </w:rPr>
        <w:t>position</w:t>
      </w:r>
      <w:r w:rsidR="00BE3525" w:rsidRPr="00BE3525">
        <w:rPr>
          <w:rFonts w:ascii="Times New Roman" w:hAnsi="Times New Roman" w:cs="Times New Roman"/>
          <w:sz w:val="24"/>
          <w:szCs w:val="24"/>
        </w:rPr>
        <w:t xml:space="preserve"> (</w:t>
      </w:r>
      <w:r w:rsidR="00BE3525" w:rsidRPr="00BE3525">
        <w:rPr>
          <w:rFonts w:ascii="Times New Roman" w:hAnsi="Times New Roman" w:cs="Times New Roman"/>
          <w:color w:val="000000" w:themeColor="text1"/>
          <w:sz w:val="24"/>
          <w:szCs w:val="24"/>
        </w:rPr>
        <w:t>Quora, 2022)</w:t>
      </w:r>
      <w:r w:rsidR="005A6BE9" w:rsidRPr="00BE3525">
        <w:rPr>
          <w:rFonts w:ascii="Times New Roman" w:hAnsi="Times New Roman" w:cs="Times New Roman"/>
          <w:sz w:val="24"/>
          <w:szCs w:val="24"/>
        </w:rPr>
        <w:t>.</w:t>
      </w:r>
      <w:r w:rsidR="005A6BE9" w:rsidRPr="00B2776D">
        <w:rPr>
          <w:rFonts w:ascii="Times New Roman" w:hAnsi="Times New Roman" w:cs="Times New Roman"/>
          <w:sz w:val="24"/>
          <w:szCs w:val="24"/>
        </w:rPr>
        <w:t xml:space="preserve"> </w:t>
      </w:r>
      <w:r w:rsidRPr="00B2776D">
        <w:rPr>
          <w:rFonts w:ascii="Times New Roman" w:hAnsi="Times New Roman" w:cs="Times New Roman"/>
          <w:b/>
          <w:bCs/>
          <w:sz w:val="24"/>
          <w:szCs w:val="24"/>
        </w:rPr>
        <w:t xml:space="preserve"> </w:t>
      </w:r>
    </w:p>
    <w:p w14:paraId="39D29C26" w14:textId="66F287F3" w:rsidR="000975EE" w:rsidRPr="00B2776D" w:rsidRDefault="0082639A" w:rsidP="00B2776D">
      <w:pPr>
        <w:pStyle w:val="Heading1"/>
      </w:pPr>
      <w:bookmarkStart w:id="6" w:name="_Toc109819972"/>
      <w:r w:rsidRPr="00B2776D">
        <w:t>Task 2</w:t>
      </w:r>
      <w:bookmarkEnd w:id="6"/>
    </w:p>
    <w:p w14:paraId="01567449" w14:textId="70EFA1AF" w:rsidR="005A6BE9" w:rsidRPr="00B2776D" w:rsidRDefault="0082639A" w:rsidP="00B2776D">
      <w:pPr>
        <w:pStyle w:val="Heading2"/>
      </w:pPr>
      <w:bookmarkStart w:id="7" w:name="_Toc109819973"/>
      <w:r w:rsidRPr="00B2776D">
        <w:t>Evaluation of relevant accounting ratios of Sweets Plc for 2020 and 2021</w:t>
      </w:r>
      <w:bookmarkEnd w:id="7"/>
    </w:p>
    <w:p w14:paraId="0712379D" w14:textId="59F42B9A" w:rsidR="0014271B"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ROCE: </w:t>
      </w:r>
      <w:r w:rsidRPr="00B2776D">
        <w:rPr>
          <w:rFonts w:ascii="Times New Roman" w:hAnsi="Times New Roman" w:cs="Times New Roman"/>
          <w:sz w:val="24"/>
          <w:szCs w:val="24"/>
        </w:rPr>
        <w:t>ROCE or return on capital employed is evaluated by diving the EBIT with Capital employed</w:t>
      </w:r>
      <w:r w:rsidR="00CB773E" w:rsidRPr="00B2776D">
        <w:rPr>
          <w:rFonts w:ascii="Times New Roman" w:hAnsi="Times New Roman" w:cs="Times New Roman"/>
          <w:sz w:val="24"/>
          <w:szCs w:val="24"/>
        </w:rPr>
        <w:t xml:space="preserve"> and then multiplying the divided value by 100</w:t>
      </w:r>
      <w:r w:rsidRPr="00B2776D">
        <w:rPr>
          <w:rFonts w:ascii="Times New Roman" w:hAnsi="Times New Roman" w:cs="Times New Roman"/>
          <w:sz w:val="24"/>
          <w:szCs w:val="24"/>
        </w:rPr>
        <w:t xml:space="preserve">.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4920"/>
        <w:gridCol w:w="1245"/>
        <w:gridCol w:w="1245"/>
      </w:tblGrid>
      <w:tr w:rsidR="00B441CF" w14:paraId="615A9C4D" w14:textId="77777777" w:rsidTr="0014271B">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C392F"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Return on capital employed</w:t>
            </w:r>
          </w:p>
        </w:tc>
      </w:tr>
      <w:tr w:rsidR="00B441CF" w14:paraId="33862F6B"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2B1787"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3282EA"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D52200"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370E7F75"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D5F868"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Earnings before interest and tax (EBIT)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A79422"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805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EABAD6"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699</w:t>
            </w:r>
          </w:p>
        </w:tc>
      </w:tr>
      <w:tr w:rsidR="00B441CF" w14:paraId="0284D092"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3C6B91"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Asset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F77F21"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D4EC95"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B441CF" w14:paraId="606F605F"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422C9C"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liabilities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B61FA9"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2,511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E96FB5"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3,046</w:t>
            </w:r>
          </w:p>
        </w:tc>
      </w:tr>
      <w:tr w:rsidR="00B441CF" w14:paraId="17E11836"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D112C0" w14:textId="327CE135"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Capital employed (Assets- Current liabilities)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C91B5B"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7,225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2B3019" w14:textId="77777777" w:rsidR="0014271B"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7,041</w:t>
            </w:r>
          </w:p>
        </w:tc>
      </w:tr>
    </w:tbl>
    <w:p w14:paraId="341AB07C" w14:textId="274506A0" w:rsidR="005A6BE9"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So, ROCE of Sweets Plc in 2021= </w:t>
      </w:r>
      <w:r w:rsidR="00CB773E" w:rsidRPr="00B2776D">
        <w:rPr>
          <w:rFonts w:ascii="Times New Roman" w:hAnsi="Times New Roman" w:cs="Times New Roman"/>
          <w:sz w:val="24"/>
          <w:szCs w:val="24"/>
        </w:rPr>
        <w:t>(</w:t>
      </w:r>
      <w:r w:rsidRPr="00B2776D">
        <w:rPr>
          <w:rFonts w:ascii="Times New Roman" w:hAnsi="Times New Roman" w:cs="Times New Roman"/>
          <w:sz w:val="24"/>
          <w:szCs w:val="24"/>
        </w:rPr>
        <w:t>805/</w:t>
      </w:r>
      <w:proofErr w:type="gramStart"/>
      <w:r w:rsidR="00CB773E" w:rsidRPr="00B2776D">
        <w:rPr>
          <w:rFonts w:ascii="Times New Roman" w:hAnsi="Times New Roman" w:cs="Times New Roman"/>
          <w:sz w:val="24"/>
          <w:szCs w:val="24"/>
        </w:rPr>
        <w:t>7225)*</w:t>
      </w:r>
      <w:proofErr w:type="gramEnd"/>
      <w:r w:rsidR="00CB773E" w:rsidRPr="00B2776D">
        <w:rPr>
          <w:rFonts w:ascii="Times New Roman" w:hAnsi="Times New Roman" w:cs="Times New Roman"/>
          <w:sz w:val="24"/>
          <w:szCs w:val="24"/>
        </w:rPr>
        <w:t xml:space="preserve">100 </w:t>
      </w:r>
      <w:r w:rsidRPr="00B2776D">
        <w:rPr>
          <w:rFonts w:ascii="Times New Roman" w:hAnsi="Times New Roman" w:cs="Times New Roman"/>
          <w:sz w:val="24"/>
          <w:szCs w:val="24"/>
        </w:rPr>
        <w:t xml:space="preserve">= </w:t>
      </w:r>
      <w:r w:rsidR="00CB773E" w:rsidRPr="00B2776D">
        <w:rPr>
          <w:rFonts w:ascii="Times New Roman" w:hAnsi="Times New Roman" w:cs="Times New Roman"/>
          <w:sz w:val="24"/>
          <w:szCs w:val="24"/>
        </w:rPr>
        <w:t>11.1419</w:t>
      </w:r>
    </w:p>
    <w:p w14:paraId="41FB5DB8" w14:textId="1E1BE558" w:rsidR="00CB773E"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ROCE of Sweets Plc in 2020= (699/</w:t>
      </w:r>
      <w:proofErr w:type="gramStart"/>
      <w:r w:rsidRPr="00B2776D">
        <w:rPr>
          <w:rFonts w:ascii="Times New Roman" w:hAnsi="Times New Roman" w:cs="Times New Roman"/>
          <w:sz w:val="24"/>
          <w:szCs w:val="24"/>
        </w:rPr>
        <w:t>7071)*</w:t>
      </w:r>
      <w:proofErr w:type="gramEnd"/>
      <w:r w:rsidRPr="00B2776D">
        <w:rPr>
          <w:rFonts w:ascii="Times New Roman" w:hAnsi="Times New Roman" w:cs="Times New Roman"/>
          <w:sz w:val="24"/>
          <w:szCs w:val="24"/>
        </w:rPr>
        <w:t>100= 9.9275</w:t>
      </w:r>
    </w:p>
    <w:p w14:paraId="2F3A23CE" w14:textId="193AB513" w:rsidR="00CB773E" w:rsidRPr="00B2776D" w:rsidRDefault="0082639A"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t>ROE:</w:t>
      </w:r>
      <w:r w:rsidRPr="00B2776D">
        <w:rPr>
          <w:rFonts w:ascii="Times New Roman" w:hAnsi="Times New Roman" w:cs="Times New Roman"/>
          <w:sz w:val="24"/>
          <w:szCs w:val="24"/>
        </w:rPr>
        <w:t xml:space="preserve"> Return on equity is the net income divided by shareholders' equity.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160"/>
        <w:gridCol w:w="1350"/>
        <w:gridCol w:w="900"/>
      </w:tblGrid>
      <w:tr w:rsidR="00B441CF" w14:paraId="667DA770" w14:textId="77777777" w:rsidTr="00B01837">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A10A7"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lastRenderedPageBreak/>
              <w:t>Calculation of Return on equity (ROE)</w:t>
            </w:r>
          </w:p>
        </w:tc>
      </w:tr>
      <w:tr w:rsidR="00B441CF" w14:paraId="3E2FEB2F"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8D6C8B"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8A102D"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9B559C"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074DD8B9"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5E35AD"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income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3E1240"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4F0A60"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B441CF" w14:paraId="339F7595"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7FEE7F"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Shareholders' equity</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ED6E4E"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AD7CF3" w14:textId="77777777" w:rsidR="00CB773E"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r>
    </w:tbl>
    <w:p w14:paraId="7C415970" w14:textId="4FD5723F" w:rsidR="00CB773E" w:rsidRPr="00B2776D" w:rsidRDefault="00CB773E" w:rsidP="00B2776D">
      <w:pPr>
        <w:pStyle w:val="ListParagraph"/>
        <w:spacing w:line="360" w:lineRule="auto"/>
        <w:jc w:val="both"/>
        <w:rPr>
          <w:rFonts w:ascii="Times New Roman" w:hAnsi="Times New Roman" w:cs="Times New Roman"/>
          <w:sz w:val="24"/>
          <w:szCs w:val="24"/>
        </w:rPr>
      </w:pPr>
    </w:p>
    <w:p w14:paraId="4A8CAE22" w14:textId="2D80E6FC" w:rsidR="00CB773E" w:rsidRPr="00B2776D" w:rsidRDefault="0082639A" w:rsidP="00B2776D">
      <w:pPr>
        <w:pStyle w:val="ListParagraph"/>
        <w:spacing w:line="360" w:lineRule="auto"/>
        <w:jc w:val="both"/>
        <w:rPr>
          <w:rFonts w:ascii="Times New Roman" w:eastAsia="Times New Roman" w:hAnsi="Times New Roman" w:cs="Times New Roman"/>
          <w:sz w:val="24"/>
          <w:szCs w:val="24"/>
        </w:rPr>
      </w:pPr>
      <w:r w:rsidRPr="00B2776D">
        <w:rPr>
          <w:rFonts w:ascii="Times New Roman" w:hAnsi="Times New Roman" w:cs="Times New Roman"/>
          <w:sz w:val="24"/>
          <w:szCs w:val="24"/>
        </w:rPr>
        <w:t xml:space="preserve">ROE of Sweets Plc </w:t>
      </w:r>
      <w:r w:rsidR="009C4C53" w:rsidRPr="00B2776D">
        <w:rPr>
          <w:rFonts w:ascii="Times New Roman" w:hAnsi="Times New Roman" w:cs="Times New Roman"/>
          <w:sz w:val="24"/>
          <w:szCs w:val="24"/>
        </w:rPr>
        <w:t xml:space="preserve">in 2021: 431/300= </w:t>
      </w:r>
      <w:r w:rsidR="009C4C53" w:rsidRPr="00B2776D">
        <w:rPr>
          <w:rFonts w:ascii="Times New Roman" w:eastAsia="Times New Roman" w:hAnsi="Times New Roman" w:cs="Times New Roman"/>
          <w:sz w:val="24"/>
          <w:szCs w:val="24"/>
        </w:rPr>
        <w:t>1.436667</w:t>
      </w:r>
    </w:p>
    <w:p w14:paraId="452A0D44" w14:textId="38747F98" w:rsidR="009C4C53"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ROE of Sweets Plc in 2020: 366/300= 1.22</w:t>
      </w:r>
    </w:p>
    <w:p w14:paraId="684FBB4A" w14:textId="2EF53DC6" w:rsidR="009C4C53" w:rsidRPr="00B2776D" w:rsidRDefault="0082639A"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t>EPS:</w:t>
      </w:r>
      <w:r w:rsidRPr="00B2776D">
        <w:rPr>
          <w:rFonts w:ascii="Times New Roman" w:hAnsi="Times New Roman" w:cs="Times New Roman"/>
          <w:sz w:val="24"/>
          <w:szCs w:val="24"/>
        </w:rPr>
        <w:t xml:space="preserve"> </w:t>
      </w:r>
      <w:r w:rsidR="00FC5756" w:rsidRPr="00B2776D">
        <w:rPr>
          <w:rFonts w:ascii="Times New Roman" w:hAnsi="Times New Roman" w:cs="Times New Roman"/>
          <w:sz w:val="24"/>
          <w:szCs w:val="24"/>
        </w:rPr>
        <w:t xml:space="preserve">Earning per share is the divided value of net income and average outstanding shares. </w:t>
      </w:r>
    </w:p>
    <w:tbl>
      <w:tblPr>
        <w:tblW w:w="7395" w:type="dxa"/>
        <w:jc w:val="center"/>
        <w:tblBorders>
          <w:top w:val="nil"/>
          <w:left w:val="nil"/>
          <w:bottom w:val="nil"/>
          <w:right w:val="nil"/>
          <w:insideH w:val="nil"/>
          <w:insideV w:val="nil"/>
        </w:tblBorders>
        <w:tblLayout w:type="fixed"/>
        <w:tblLook w:val="0600" w:firstRow="0" w:lastRow="0" w:firstColumn="0" w:lastColumn="0" w:noHBand="1" w:noVBand="1"/>
      </w:tblPr>
      <w:tblGrid>
        <w:gridCol w:w="5370"/>
        <w:gridCol w:w="1215"/>
        <w:gridCol w:w="810"/>
      </w:tblGrid>
      <w:tr w:rsidR="00B441CF" w14:paraId="2FAF7593" w14:textId="77777777" w:rsidTr="00B01837">
        <w:trPr>
          <w:cantSplit/>
          <w:trHeight w:val="515"/>
          <w:tblHeader/>
          <w:jc w:val="center"/>
        </w:trPr>
        <w:tc>
          <w:tcPr>
            <w:tcW w:w="739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BEC27"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Earnings per share</w:t>
            </w:r>
          </w:p>
        </w:tc>
      </w:tr>
      <w:tr w:rsidR="00B441CF" w14:paraId="328AA457"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E6755"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0F2D66"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4D9644"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1A55D314"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CF7E31"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income</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228D673"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3B7B98A"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B441CF" w14:paraId="3653F2D6"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8F67FA"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D94C720"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FA7E048"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r>
      <w:tr w:rsidR="00B441CF" w14:paraId="42068362"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97DCEC"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Average 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6033A20"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4D9C925" w14:textId="77777777" w:rsidR="00FC5756"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150</w:t>
            </w:r>
          </w:p>
        </w:tc>
      </w:tr>
    </w:tbl>
    <w:p w14:paraId="114FA508" w14:textId="7555210A" w:rsidR="00FC5756" w:rsidRPr="00B2776D" w:rsidRDefault="00FC5756" w:rsidP="00B2776D">
      <w:pPr>
        <w:pStyle w:val="ListParagraph"/>
        <w:spacing w:line="360" w:lineRule="auto"/>
        <w:jc w:val="both"/>
        <w:rPr>
          <w:rFonts w:ascii="Times New Roman" w:hAnsi="Times New Roman" w:cs="Times New Roman"/>
          <w:sz w:val="24"/>
          <w:szCs w:val="24"/>
        </w:rPr>
      </w:pPr>
    </w:p>
    <w:p w14:paraId="5DE18321" w14:textId="7E412727" w:rsidR="00FC5756"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EPS of Sweets plc in 2021 = 431/300= 1.4367</w:t>
      </w:r>
    </w:p>
    <w:p w14:paraId="24880612" w14:textId="5C312FCC" w:rsidR="00FC5756"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EPS of Sweets Plc in 2020+ 366/150 = 2.44</w:t>
      </w:r>
    </w:p>
    <w:p w14:paraId="66037F8C" w14:textId="42627586" w:rsidR="00FC5756"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Net profit margin: </w:t>
      </w:r>
      <w:r w:rsidRPr="00B2776D">
        <w:rPr>
          <w:rFonts w:ascii="Times New Roman" w:hAnsi="Times New Roman" w:cs="Times New Roman"/>
          <w:sz w:val="24"/>
          <w:szCs w:val="24"/>
        </w:rPr>
        <w:t xml:space="preserve">Net profit margin is calculated using the formula (net profit/total </w:t>
      </w:r>
      <w:proofErr w:type="gramStart"/>
      <w:r w:rsidRPr="00B2776D">
        <w:rPr>
          <w:rFonts w:ascii="Times New Roman" w:hAnsi="Times New Roman" w:cs="Times New Roman"/>
          <w:sz w:val="24"/>
          <w:szCs w:val="24"/>
        </w:rPr>
        <w:t>sales)*</w:t>
      </w:r>
      <w:proofErr w:type="gramEnd"/>
      <w:r w:rsidRPr="00B2776D">
        <w:rPr>
          <w:rFonts w:ascii="Times New Roman" w:hAnsi="Times New Roman" w:cs="Times New Roman"/>
          <w:sz w:val="24"/>
          <w:szCs w:val="24"/>
        </w:rPr>
        <w:t>100.</w:t>
      </w:r>
    </w:p>
    <w:tbl>
      <w:tblPr>
        <w:tblW w:w="7425" w:type="dxa"/>
        <w:jc w:val="center"/>
        <w:tblBorders>
          <w:top w:val="nil"/>
          <w:left w:val="nil"/>
          <w:bottom w:val="nil"/>
          <w:right w:val="nil"/>
          <w:insideH w:val="nil"/>
          <w:insideV w:val="nil"/>
        </w:tblBorders>
        <w:tblLayout w:type="fixed"/>
        <w:tblLook w:val="0600" w:firstRow="0" w:lastRow="0" w:firstColumn="0" w:lastColumn="0" w:noHBand="1" w:noVBand="1"/>
      </w:tblPr>
      <w:tblGrid>
        <w:gridCol w:w="5025"/>
        <w:gridCol w:w="1200"/>
        <w:gridCol w:w="1200"/>
      </w:tblGrid>
      <w:tr w:rsidR="00B441CF" w14:paraId="31947043" w14:textId="77777777" w:rsidTr="00B01837">
        <w:trPr>
          <w:cantSplit/>
          <w:trHeight w:val="515"/>
          <w:tblHeader/>
          <w:jc w:val="center"/>
        </w:trPr>
        <w:tc>
          <w:tcPr>
            <w:tcW w:w="742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E6E25"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lastRenderedPageBreak/>
              <w:t>Net profit margin</w:t>
            </w:r>
          </w:p>
        </w:tc>
      </w:tr>
      <w:tr w:rsidR="00B441CF" w14:paraId="5B64AC00"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A386B2"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7311A9"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B7966AC"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2E0FF106"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275BD5"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profit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FAE06E"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80C4EF"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B441CF" w14:paraId="100D9AE5"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9E31BF" w14:textId="26AB1CE9"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 xml:space="preserve">Total </w:t>
            </w:r>
            <w:r w:rsidR="008006B8" w:rsidRPr="00B2776D">
              <w:rPr>
                <w:rFonts w:ascii="Times New Roman" w:eastAsia="Times New Roman" w:hAnsi="Times New Roman" w:cs="Times New Roman"/>
                <w:sz w:val="24"/>
                <w:szCs w:val="24"/>
              </w:rPr>
              <w:t>Sales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E73990"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982699" w14:textId="77777777" w:rsidR="00FC5756"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bl>
    <w:p w14:paraId="56435FC8" w14:textId="0D1E7D4A" w:rsidR="00FC5756" w:rsidRPr="00B2776D" w:rsidRDefault="00FC5756" w:rsidP="00B2776D">
      <w:pPr>
        <w:pStyle w:val="ListParagraph"/>
        <w:spacing w:line="360" w:lineRule="auto"/>
        <w:jc w:val="both"/>
        <w:rPr>
          <w:rFonts w:ascii="Times New Roman" w:hAnsi="Times New Roman" w:cs="Times New Roman"/>
          <w:b/>
          <w:bCs/>
          <w:sz w:val="24"/>
          <w:szCs w:val="24"/>
        </w:rPr>
      </w:pPr>
    </w:p>
    <w:p w14:paraId="65B9305C" w14:textId="6169CBCC" w:rsidR="00FC5756"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So, net profit margin in 2020 = </w:t>
      </w:r>
      <w:r w:rsidR="008006B8" w:rsidRPr="00B2776D">
        <w:rPr>
          <w:rFonts w:ascii="Times New Roman" w:hAnsi="Times New Roman" w:cs="Times New Roman"/>
          <w:sz w:val="24"/>
          <w:szCs w:val="24"/>
        </w:rPr>
        <w:t>(366/</w:t>
      </w:r>
      <w:proofErr w:type="gramStart"/>
      <w:r w:rsidR="008006B8" w:rsidRPr="00B2776D">
        <w:rPr>
          <w:rFonts w:ascii="Times New Roman" w:hAnsi="Times New Roman" w:cs="Times New Roman"/>
          <w:sz w:val="24"/>
          <w:szCs w:val="24"/>
        </w:rPr>
        <w:t>6441)*</w:t>
      </w:r>
      <w:proofErr w:type="gramEnd"/>
      <w:r w:rsidR="008006B8" w:rsidRPr="00B2776D">
        <w:rPr>
          <w:rFonts w:ascii="Times New Roman" w:hAnsi="Times New Roman" w:cs="Times New Roman"/>
          <w:sz w:val="24"/>
          <w:szCs w:val="24"/>
        </w:rPr>
        <w:t>100= 5.6823</w:t>
      </w:r>
    </w:p>
    <w:p w14:paraId="32BC48FF" w14:textId="64DF4263" w:rsidR="008006B8"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Net profit margin in 2021 is = (431/</w:t>
      </w:r>
      <w:proofErr w:type="gramStart"/>
      <w:r w:rsidRPr="00B2776D">
        <w:rPr>
          <w:rFonts w:ascii="Times New Roman" w:hAnsi="Times New Roman" w:cs="Times New Roman"/>
          <w:sz w:val="24"/>
          <w:szCs w:val="24"/>
        </w:rPr>
        <w:t>6738)*</w:t>
      </w:r>
      <w:proofErr w:type="gramEnd"/>
      <w:r w:rsidRPr="00B2776D">
        <w:rPr>
          <w:rFonts w:ascii="Times New Roman" w:hAnsi="Times New Roman" w:cs="Times New Roman"/>
          <w:sz w:val="24"/>
          <w:szCs w:val="24"/>
        </w:rPr>
        <w:t>100= 6.3965.</w:t>
      </w:r>
    </w:p>
    <w:p w14:paraId="6402B3FE" w14:textId="59ACA1A5" w:rsidR="008006B8" w:rsidRPr="00B2776D" w:rsidRDefault="0082639A"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t xml:space="preserve">Assets turnover: </w:t>
      </w:r>
      <w:r w:rsidRPr="00B2776D">
        <w:rPr>
          <w:rFonts w:ascii="Times New Roman" w:hAnsi="Times New Roman" w:cs="Times New Roman"/>
          <w:sz w:val="24"/>
          <w:szCs w:val="24"/>
        </w:rPr>
        <w:t xml:space="preserve">Asset turnover can be derived from dividing total sales by mean total assets.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010"/>
        <w:gridCol w:w="1200"/>
        <w:gridCol w:w="1200"/>
      </w:tblGrid>
      <w:tr w:rsidR="00B441CF" w14:paraId="153862ED" w14:textId="77777777" w:rsidTr="00B01837">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6C88C"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Asset turnover</w:t>
            </w:r>
          </w:p>
        </w:tc>
      </w:tr>
      <w:tr w:rsidR="00B441CF" w14:paraId="7D5CBAE6"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37DD30"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D5208"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B0BD59"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16BB4254"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7AF2E7" w14:textId="3CF62DEA"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Sales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C570BF"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830749"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r w:rsidR="00B441CF" w14:paraId="74875314"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EC5CF2"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B66DE2"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A232E6"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B441CF" w14:paraId="6EB112A2"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8B28F2" w14:textId="77777777" w:rsidR="008006B8"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Average 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3AE7700" w14:textId="77777777" w:rsidR="008006B8"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9911.5</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17FF7B" w14:textId="77777777" w:rsidR="008006B8"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5043.5</w:t>
            </w:r>
          </w:p>
        </w:tc>
      </w:tr>
    </w:tbl>
    <w:p w14:paraId="4EC21547" w14:textId="49AC8327" w:rsidR="008006B8"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 </w:t>
      </w:r>
    </w:p>
    <w:p w14:paraId="12A466BC" w14:textId="77777777" w:rsidR="00A2565C"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Asset turnover for Sweets Plc in 2021= 6738/9911.5= 0.6798</w:t>
      </w:r>
    </w:p>
    <w:p w14:paraId="1921C37D" w14:textId="77777777" w:rsidR="00A2565C"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Asset turnover of Sweet Plc in 2020= 6441/5043.5= 1.2770.</w:t>
      </w:r>
    </w:p>
    <w:p w14:paraId="7A305BD0" w14:textId="3AA9D8B7" w:rsidR="008006B8"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Stock holding days: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760"/>
        <w:gridCol w:w="1099"/>
        <w:gridCol w:w="1501"/>
      </w:tblGrid>
      <w:tr w:rsidR="00B441CF" w14:paraId="05EA33A6" w14:textId="77777777" w:rsidTr="00A2565C">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8F4F5"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lastRenderedPageBreak/>
              <w:t>Stock holding days</w:t>
            </w:r>
          </w:p>
        </w:tc>
      </w:tr>
      <w:tr w:rsidR="00B441CF" w14:paraId="0CBEE524"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CC1637"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7CE438"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4C0093"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4435E381"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695279"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Closing stock</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8DAEDE"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708</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7A5C5A"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659</w:t>
            </w:r>
          </w:p>
        </w:tc>
      </w:tr>
      <w:tr w:rsidR="00B441CF" w14:paraId="46DBBA2E"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659A9C"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Cost of goods sold</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E94F33"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3235</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905363"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3096</w:t>
            </w:r>
          </w:p>
        </w:tc>
      </w:tr>
    </w:tbl>
    <w:p w14:paraId="20EBB854" w14:textId="7E06D60C" w:rsidR="00A2565C" w:rsidRPr="00B2776D" w:rsidRDefault="00A2565C" w:rsidP="00B2776D">
      <w:pPr>
        <w:pStyle w:val="ListParagraph"/>
        <w:spacing w:line="360" w:lineRule="auto"/>
        <w:jc w:val="both"/>
        <w:rPr>
          <w:rFonts w:ascii="Times New Roman" w:hAnsi="Times New Roman" w:cs="Times New Roman"/>
          <w:b/>
          <w:bCs/>
          <w:sz w:val="24"/>
          <w:szCs w:val="24"/>
        </w:rPr>
      </w:pPr>
    </w:p>
    <w:p w14:paraId="674E829E" w14:textId="622B821E" w:rsidR="00A2565C"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Stock holding days in 2021= (Closing stock/Cost of goods </w:t>
      </w:r>
      <w:proofErr w:type="gramStart"/>
      <w:r w:rsidRPr="00B2776D">
        <w:rPr>
          <w:rFonts w:ascii="Times New Roman" w:hAnsi="Times New Roman" w:cs="Times New Roman"/>
          <w:sz w:val="24"/>
          <w:szCs w:val="24"/>
        </w:rPr>
        <w:t>sold)*</w:t>
      </w:r>
      <w:proofErr w:type="gramEnd"/>
      <w:r w:rsidRPr="00B2776D">
        <w:rPr>
          <w:rFonts w:ascii="Times New Roman" w:hAnsi="Times New Roman" w:cs="Times New Roman"/>
          <w:sz w:val="24"/>
          <w:szCs w:val="24"/>
        </w:rPr>
        <w:t xml:space="preserve">365= (708/3235)*365= </w:t>
      </w:r>
      <w:r w:rsidR="00EB7F17" w:rsidRPr="00B2776D">
        <w:rPr>
          <w:rFonts w:ascii="Times New Roman" w:hAnsi="Times New Roman" w:cs="Times New Roman"/>
          <w:sz w:val="24"/>
          <w:szCs w:val="24"/>
        </w:rPr>
        <w:t xml:space="preserve">79.8825 and ibn 2020 is = (659/3096)*365= 77.6921. </w:t>
      </w:r>
    </w:p>
    <w:p w14:paraId="57DEFC67" w14:textId="0DC0F90F" w:rsidR="00A2565C"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Collection period of debtors</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114"/>
        <w:gridCol w:w="909"/>
        <w:gridCol w:w="1337"/>
      </w:tblGrid>
      <w:tr w:rsidR="00B441CF" w14:paraId="289BDCA8" w14:textId="77777777" w:rsidTr="00EB7F1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F2E9C" w14:textId="291F28A0"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debtors’ collection period</w:t>
            </w:r>
          </w:p>
        </w:tc>
      </w:tr>
      <w:tr w:rsidR="00B441CF" w14:paraId="42C96DDD"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6CE588"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AE7DB4"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19406C"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54054ECB"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88903A"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The amount owed by Debtors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11CBD9"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1,249</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C62850"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1,287</w:t>
            </w:r>
          </w:p>
        </w:tc>
      </w:tr>
      <w:tr w:rsidR="00B441CF" w14:paraId="4930DA07"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AC9165"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credit sales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52ACC0"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BA3284"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bl>
    <w:p w14:paraId="3F1F5FE8" w14:textId="7E8BE051" w:rsidR="00A2565C" w:rsidRPr="00B2776D" w:rsidRDefault="0082639A" w:rsidP="00B2776D">
      <w:pPr>
        <w:pStyle w:val="ListParagraph"/>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 </w:t>
      </w:r>
    </w:p>
    <w:p w14:paraId="57296C8D" w14:textId="182E9727" w:rsidR="00EB7F17" w:rsidRPr="00B2776D" w:rsidRDefault="0082639A" w:rsidP="00B2776D">
      <w:pPr>
        <w:pStyle w:val="ListParagraph"/>
        <w:spacing w:line="360" w:lineRule="auto"/>
        <w:jc w:val="both"/>
        <w:rPr>
          <w:rFonts w:ascii="Times New Roman" w:hAnsi="Times New Roman" w:cs="Times New Roman"/>
          <w:b/>
          <w:bCs/>
          <w:sz w:val="24"/>
          <w:szCs w:val="24"/>
        </w:rPr>
      </w:pPr>
      <w:r w:rsidRPr="00B2776D">
        <w:rPr>
          <w:rFonts w:ascii="Times New Roman" w:hAnsi="Times New Roman" w:cs="Times New Roman"/>
          <w:sz w:val="24"/>
          <w:szCs w:val="24"/>
        </w:rPr>
        <w:t>Collection period of debtors in 2021=</w:t>
      </w:r>
      <w:r w:rsidRPr="00B2776D">
        <w:rPr>
          <w:rFonts w:ascii="Times New Roman" w:hAnsi="Times New Roman" w:cs="Times New Roman"/>
          <w:b/>
          <w:bCs/>
          <w:sz w:val="24"/>
          <w:szCs w:val="24"/>
        </w:rPr>
        <w:t xml:space="preserve"> </w:t>
      </w:r>
      <w:r w:rsidRPr="00B2776D">
        <w:rPr>
          <w:rFonts w:ascii="Times New Roman" w:eastAsia="Times New Roman" w:hAnsi="Times New Roman" w:cs="Times New Roman"/>
          <w:sz w:val="24"/>
          <w:szCs w:val="24"/>
        </w:rPr>
        <w:t xml:space="preserve">(Amount owed by debtor/annual credit </w:t>
      </w:r>
      <w:proofErr w:type="gramStart"/>
      <w:r w:rsidRPr="00B2776D">
        <w:rPr>
          <w:rFonts w:ascii="Times New Roman" w:eastAsia="Times New Roman" w:hAnsi="Times New Roman" w:cs="Times New Roman"/>
          <w:sz w:val="24"/>
          <w:szCs w:val="24"/>
        </w:rPr>
        <w:t>sales)*</w:t>
      </w:r>
      <w:proofErr w:type="gramEnd"/>
      <w:r w:rsidRPr="00B2776D">
        <w:rPr>
          <w:rFonts w:ascii="Times New Roman" w:eastAsia="Times New Roman" w:hAnsi="Times New Roman" w:cs="Times New Roman"/>
          <w:sz w:val="24"/>
          <w:szCs w:val="24"/>
        </w:rPr>
        <w:t>365= (1249/6738)*365= 67.6588. In 2020, it is (1287/</w:t>
      </w:r>
      <w:proofErr w:type="gramStart"/>
      <w:r w:rsidRPr="00B2776D">
        <w:rPr>
          <w:rFonts w:ascii="Times New Roman" w:eastAsia="Times New Roman" w:hAnsi="Times New Roman" w:cs="Times New Roman"/>
          <w:sz w:val="24"/>
          <w:szCs w:val="24"/>
        </w:rPr>
        <w:t>6441)=</w:t>
      </w:r>
      <w:proofErr w:type="gramEnd"/>
      <w:r w:rsidRPr="00B2776D">
        <w:rPr>
          <w:rFonts w:ascii="Times New Roman" w:eastAsia="Times New Roman" w:hAnsi="Times New Roman" w:cs="Times New Roman"/>
          <w:sz w:val="24"/>
          <w:szCs w:val="24"/>
        </w:rPr>
        <w:t xml:space="preserve"> 72.9319.</w:t>
      </w:r>
    </w:p>
    <w:p w14:paraId="213BCBD6" w14:textId="1765DF59" w:rsidR="00A2565C"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Current ratio</w:t>
      </w:r>
    </w:p>
    <w:tbl>
      <w:tblPr>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6150"/>
        <w:gridCol w:w="1289"/>
        <w:gridCol w:w="1920"/>
      </w:tblGrid>
      <w:tr w:rsidR="00B441CF" w14:paraId="64CCC9C6" w14:textId="77777777" w:rsidTr="00B01837">
        <w:trPr>
          <w:cantSplit/>
          <w:trHeight w:val="515"/>
          <w:tblHeader/>
          <w:jc w:val="center"/>
        </w:trPr>
        <w:tc>
          <w:tcPr>
            <w:tcW w:w="935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3E172"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lastRenderedPageBreak/>
              <w:t>Calculation of the current ratio</w:t>
            </w:r>
          </w:p>
        </w:tc>
      </w:tr>
      <w:tr w:rsidR="00B441CF" w14:paraId="3C32DE5A"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659868"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94A1B4"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0C3AA7"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0FBC4A93"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88F9B1"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asset</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DFAA5B"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974198"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B441CF" w14:paraId="3A478091"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85A186"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liabilities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926D65"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2,511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7B7BC2"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3,046</w:t>
            </w:r>
          </w:p>
        </w:tc>
      </w:tr>
    </w:tbl>
    <w:p w14:paraId="06FF628A" w14:textId="5433ACF7" w:rsidR="00A2565C"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The current ratio is current </w:t>
      </w:r>
      <w:r w:rsidR="00DA1887" w:rsidRPr="00B2776D">
        <w:rPr>
          <w:rFonts w:ascii="Times New Roman" w:hAnsi="Times New Roman" w:cs="Times New Roman"/>
          <w:sz w:val="24"/>
          <w:szCs w:val="24"/>
        </w:rPr>
        <w:t>assets</w:t>
      </w:r>
      <w:r w:rsidRPr="00B2776D">
        <w:rPr>
          <w:rFonts w:ascii="Times New Roman" w:hAnsi="Times New Roman" w:cs="Times New Roman"/>
          <w:sz w:val="24"/>
          <w:szCs w:val="24"/>
        </w:rPr>
        <w:t xml:space="preserve"> divided by </w:t>
      </w:r>
      <w:r w:rsidR="00DA1887" w:rsidRPr="00B2776D">
        <w:rPr>
          <w:rFonts w:ascii="Times New Roman" w:hAnsi="Times New Roman" w:cs="Times New Roman"/>
          <w:sz w:val="24"/>
          <w:szCs w:val="24"/>
        </w:rPr>
        <w:t>current liabilities. Here, current ratio in 2021 is= 9736/2511= 3.8773 and in 2020= 10,087/3,046= 3.3115.</w:t>
      </w:r>
    </w:p>
    <w:p w14:paraId="569EDC98" w14:textId="3606B873" w:rsidR="00A2565C"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Gearing ratio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599"/>
        <w:gridCol w:w="1166"/>
        <w:gridCol w:w="1595"/>
      </w:tblGrid>
      <w:tr w:rsidR="00B441CF" w14:paraId="2C4E0CF3" w14:textId="77777777" w:rsidTr="00DA188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76016"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gearing ratio</w:t>
            </w:r>
          </w:p>
        </w:tc>
      </w:tr>
      <w:tr w:rsidR="00B441CF" w14:paraId="432FB0A6"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53A1C4"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71ADBA"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228406"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B441CF" w14:paraId="7C8E6E2C"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989B50"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Loans and borrowings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48AF8B8" w14:textId="77777777" w:rsidR="00A2565C"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4137</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2748E92" w14:textId="77777777" w:rsidR="00A2565C"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4129</w:t>
            </w:r>
          </w:p>
        </w:tc>
      </w:tr>
      <w:tr w:rsidR="00B441CF" w14:paraId="4C39B8D5"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2586FD"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Shareholder equity</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DB8A599" w14:textId="77777777" w:rsidR="00A2565C"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3,088</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FB5CB02" w14:textId="77777777" w:rsidR="00A2565C" w:rsidRPr="00B2776D" w:rsidRDefault="0082639A"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2,912</w:t>
            </w:r>
          </w:p>
        </w:tc>
      </w:tr>
    </w:tbl>
    <w:p w14:paraId="3ADEDD48" w14:textId="05BF5EE6" w:rsidR="00A2565C" w:rsidRPr="00B2776D" w:rsidRDefault="00A2565C" w:rsidP="00B2776D">
      <w:pPr>
        <w:pStyle w:val="ListParagraph"/>
        <w:spacing w:line="360" w:lineRule="auto"/>
        <w:jc w:val="both"/>
        <w:rPr>
          <w:rFonts w:ascii="Times New Roman" w:hAnsi="Times New Roman" w:cs="Times New Roman"/>
          <w:b/>
          <w:bCs/>
          <w:sz w:val="24"/>
          <w:szCs w:val="24"/>
        </w:rPr>
      </w:pPr>
    </w:p>
    <w:p w14:paraId="19A84857" w14:textId="1894EFBB" w:rsidR="00DA1887" w:rsidRPr="00B2776D" w:rsidRDefault="0082639A" w:rsidP="00B2776D">
      <w:pPr>
        <w:pStyle w:val="ListParagraph"/>
        <w:spacing w:line="360" w:lineRule="auto"/>
        <w:jc w:val="both"/>
        <w:rPr>
          <w:rFonts w:ascii="Times New Roman" w:hAnsi="Times New Roman" w:cs="Times New Roman"/>
          <w:b/>
          <w:bCs/>
          <w:sz w:val="24"/>
          <w:szCs w:val="24"/>
        </w:rPr>
      </w:pPr>
      <w:r w:rsidRPr="00B2776D">
        <w:rPr>
          <w:rFonts w:ascii="Times New Roman" w:eastAsia="Times New Roman" w:hAnsi="Times New Roman" w:cs="Times New Roman"/>
          <w:sz w:val="24"/>
          <w:szCs w:val="24"/>
        </w:rPr>
        <w:t>The gearing ratio is equal to loans and borrowings divided by shareholder equity. In 2021, gearing ratio is= 4137/3088= 1.4206 and in 2020, it is= 4129/2912= 1.4179.</w:t>
      </w:r>
    </w:p>
    <w:p w14:paraId="044E9B02" w14:textId="0DE9CF86" w:rsidR="00A2565C" w:rsidRPr="00B2776D" w:rsidRDefault="0082639A"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Interest cover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5861"/>
        <w:gridCol w:w="1501"/>
        <w:gridCol w:w="1998"/>
      </w:tblGrid>
      <w:tr w:rsidR="00B441CF" w14:paraId="0DA966A0" w14:textId="77777777" w:rsidTr="00DA188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13635"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lastRenderedPageBreak/>
              <w:t>Calculation of interest cover</w:t>
            </w:r>
          </w:p>
        </w:tc>
      </w:tr>
      <w:tr w:rsidR="00B441CF" w14:paraId="0530001E"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D2B3A9"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Particulars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432253"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2021</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88B261"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2020</w:t>
            </w:r>
          </w:p>
        </w:tc>
      </w:tr>
      <w:tr w:rsidR="00B441CF" w14:paraId="43A07D31"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814050"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Earnings before interest and taxes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8D067F"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805</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3EE9E9"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699</w:t>
            </w:r>
          </w:p>
        </w:tc>
      </w:tr>
      <w:tr w:rsidR="00B441CF" w14:paraId="3549116E"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FA0C8"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Interest expenses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F80CA5"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226</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09F6AC" w14:textId="77777777" w:rsidR="00A2565C" w:rsidRPr="00B2776D" w:rsidRDefault="0082639A"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181</w:t>
            </w:r>
          </w:p>
        </w:tc>
      </w:tr>
    </w:tbl>
    <w:p w14:paraId="5DCB12E8" w14:textId="7256FB55" w:rsidR="00A2565C" w:rsidRPr="00B2776D" w:rsidRDefault="00A2565C" w:rsidP="00B2776D">
      <w:pPr>
        <w:pStyle w:val="ListParagraph"/>
        <w:spacing w:line="360" w:lineRule="auto"/>
        <w:jc w:val="both"/>
        <w:rPr>
          <w:rFonts w:ascii="Times New Roman" w:hAnsi="Times New Roman" w:cs="Times New Roman"/>
          <w:b/>
          <w:bCs/>
          <w:sz w:val="24"/>
          <w:szCs w:val="24"/>
        </w:rPr>
      </w:pPr>
    </w:p>
    <w:p w14:paraId="0DF4ED6F" w14:textId="1BA94EEF" w:rsidR="00DA1887"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Interest cover is the value of EBIT divided by interest expenses.</w:t>
      </w:r>
    </w:p>
    <w:p w14:paraId="4945F62C" w14:textId="3C3E1DE4" w:rsidR="00DA1887"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Interest cover of Sweets Plc in 2021= </w:t>
      </w:r>
      <w:r w:rsidR="001C6553" w:rsidRPr="00B2776D">
        <w:rPr>
          <w:rFonts w:ascii="Times New Roman" w:hAnsi="Times New Roman" w:cs="Times New Roman"/>
          <w:sz w:val="24"/>
          <w:szCs w:val="24"/>
        </w:rPr>
        <w:t>805/226= 3.5619</w:t>
      </w:r>
    </w:p>
    <w:p w14:paraId="360D8281" w14:textId="23F97E9D" w:rsidR="001C6553" w:rsidRPr="00B2776D" w:rsidRDefault="0082639A"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Interest cover of Sweets Plc in 2020= 699/181= 3.8618. </w:t>
      </w:r>
    </w:p>
    <w:p w14:paraId="357B1963" w14:textId="23B78130" w:rsidR="001C6553" w:rsidRPr="00B2776D" w:rsidRDefault="0082639A" w:rsidP="00B2776D">
      <w:pPr>
        <w:pStyle w:val="Heading2"/>
      </w:pPr>
      <w:bookmarkStart w:id="8" w:name="_Toc109819974"/>
      <w:r w:rsidRPr="00B2776D">
        <w:t>Review of the financial performance and position of Sweets Plc</w:t>
      </w:r>
      <w:bookmarkEnd w:id="8"/>
    </w:p>
    <w:p w14:paraId="51E3D8D7" w14:textId="53720B73" w:rsidR="001C6553" w:rsidRPr="00B2776D" w:rsidRDefault="0082639A" w:rsidP="00B2776D">
      <w:pPr>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Total sales of Sweet's plc have increased in 2021 than in 2020 and as a result, Net profit and gross profit have increased as well. While current assets and current liabilities of the company have been reduced in 2021 than the last year. </w:t>
      </w:r>
      <w:r w:rsidR="0003362C" w:rsidRPr="00B2776D">
        <w:rPr>
          <w:rFonts w:ascii="Times New Roman" w:hAnsi="Times New Roman" w:cs="Times New Roman"/>
          <w:sz w:val="24"/>
          <w:szCs w:val="24"/>
        </w:rPr>
        <w:t xml:space="preserve">A current ratio of over 3 is good but the value is less compared to that in 2020 which the company needs to improve so that it can have a lot more liquidity in hands. So, all these areas </w:t>
      </w:r>
      <w:r w:rsidR="00E9597C" w:rsidRPr="00B2776D">
        <w:rPr>
          <w:rFonts w:ascii="Times New Roman" w:hAnsi="Times New Roman" w:cs="Times New Roman"/>
          <w:sz w:val="24"/>
          <w:szCs w:val="24"/>
        </w:rPr>
        <w:t>need</w:t>
      </w:r>
      <w:r w:rsidR="0003362C" w:rsidRPr="00B2776D">
        <w:rPr>
          <w:rFonts w:ascii="Times New Roman" w:hAnsi="Times New Roman" w:cs="Times New Roman"/>
          <w:sz w:val="24"/>
          <w:szCs w:val="24"/>
        </w:rPr>
        <w:t xml:space="preserve"> some scrutiny and impro</w:t>
      </w:r>
      <w:r w:rsidR="00E9597C" w:rsidRPr="00B2776D">
        <w:rPr>
          <w:rFonts w:ascii="Times New Roman" w:hAnsi="Times New Roman" w:cs="Times New Roman"/>
          <w:sz w:val="24"/>
          <w:szCs w:val="24"/>
        </w:rPr>
        <w:t xml:space="preserve">vement while the areas where the company is doing well already need to do better.  </w:t>
      </w:r>
    </w:p>
    <w:p w14:paraId="550E2E6B" w14:textId="77777777" w:rsidR="00E9597C" w:rsidRPr="00B2776D" w:rsidRDefault="0082639A"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p w14:paraId="404BF5B4" w14:textId="1DB8D227" w:rsidR="000975EE" w:rsidRDefault="0082639A" w:rsidP="00B2776D">
      <w:pPr>
        <w:pStyle w:val="Heading1"/>
      </w:pPr>
      <w:bookmarkStart w:id="9" w:name="_Toc109819975"/>
      <w:r w:rsidRPr="00B2776D">
        <w:lastRenderedPageBreak/>
        <w:t>List of references</w:t>
      </w:r>
      <w:bookmarkEnd w:id="9"/>
    </w:p>
    <w:p w14:paraId="6440CD1A" w14:textId="66A347D3" w:rsidR="00BE3525" w:rsidRDefault="00BE3525" w:rsidP="00BE3525">
      <w:pPr>
        <w:pStyle w:val="Heading2"/>
        <w:spacing w:before="0"/>
        <w:rPr>
          <w:b w:val="0"/>
          <w:color w:val="000000"/>
        </w:rPr>
      </w:pPr>
    </w:p>
    <w:p w14:paraId="2E23A380" w14:textId="77777777" w:rsidR="00BE3525" w:rsidRPr="00BE3525" w:rsidRDefault="0082639A" w:rsidP="00BE3525">
      <w:pPr>
        <w:pStyle w:val="NormalWeb"/>
        <w:spacing w:before="0" w:beforeAutospacing="0" w:after="180" w:afterAutospacing="0" w:line="360" w:lineRule="auto"/>
        <w:jc w:val="both"/>
        <w:rPr>
          <w:b/>
          <w:bCs/>
          <w:color w:val="000000" w:themeColor="text1"/>
        </w:rPr>
      </w:pPr>
      <w:r w:rsidRPr="00BE3525">
        <w:rPr>
          <w:color w:val="000000" w:themeColor="text1"/>
          <w:shd w:val="clear" w:color="auto" w:fill="FFFFFF"/>
        </w:rPr>
        <w:t>Assets, N., 2020. Statement of financial position. </w:t>
      </w:r>
      <w:r w:rsidRPr="00BE3525">
        <w:rPr>
          <w:i/>
          <w:iCs/>
          <w:color w:val="000000" w:themeColor="text1"/>
          <w:shd w:val="clear" w:color="auto" w:fill="FFFFFF"/>
        </w:rPr>
        <w:t>Director</w:t>
      </w:r>
      <w:r w:rsidRPr="00BE3525">
        <w:rPr>
          <w:color w:val="000000" w:themeColor="text1"/>
          <w:shd w:val="clear" w:color="auto" w:fill="FFFFFF"/>
        </w:rPr>
        <w:t>, p.1.</w:t>
      </w:r>
    </w:p>
    <w:p w14:paraId="28442C16" w14:textId="77777777" w:rsidR="00BE3525" w:rsidRPr="00BE3525" w:rsidRDefault="0082639A" w:rsidP="00BE3525">
      <w:pPr>
        <w:pStyle w:val="NormalWeb"/>
        <w:spacing w:before="0" w:beforeAutospacing="0" w:after="180" w:afterAutospacing="0" w:line="360" w:lineRule="auto"/>
        <w:jc w:val="both"/>
        <w:rPr>
          <w:color w:val="000000" w:themeColor="text1"/>
        </w:rPr>
      </w:pPr>
      <w:r w:rsidRPr="00BE3525">
        <w:rPr>
          <w:color w:val="000000" w:themeColor="text1"/>
        </w:rPr>
        <w:t>Quora. 2022. Why does a balance sheet have to balance? [online] Available at: &lt;https://www.quora.com/Why-does-a-balance-sheet-have-to-balance&gt; [Accessed 27 July 2022].</w:t>
      </w:r>
    </w:p>
    <w:p w14:paraId="5662EDD8" w14:textId="77777777" w:rsidR="00BE3525" w:rsidRPr="00BE3525" w:rsidRDefault="00BE3525" w:rsidP="00BE3525"/>
    <w:sectPr w:rsidR="00BE3525" w:rsidRPr="00BE3525" w:rsidSect="00BE352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F9447" w14:textId="77777777" w:rsidR="00A41D30" w:rsidRDefault="00A41D30">
      <w:pPr>
        <w:spacing w:after="0" w:line="240" w:lineRule="auto"/>
      </w:pPr>
      <w:r>
        <w:separator/>
      </w:r>
    </w:p>
  </w:endnote>
  <w:endnote w:type="continuationSeparator" w:id="0">
    <w:p w14:paraId="56909038" w14:textId="77777777" w:rsidR="00A41D30" w:rsidRDefault="00A41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994868"/>
      <w:docPartObj>
        <w:docPartGallery w:val="Page Numbers (Bottom of Page)"/>
        <w:docPartUnique/>
      </w:docPartObj>
    </w:sdtPr>
    <w:sdtEndPr>
      <w:rPr>
        <w:noProof/>
      </w:rPr>
    </w:sdtEndPr>
    <w:sdtContent>
      <w:p w14:paraId="6C0EE5C5" w14:textId="57A3E013" w:rsidR="00BE3525" w:rsidRDefault="008263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5EE92" w14:textId="77777777" w:rsidR="00BE3525" w:rsidRDefault="00BE3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A9C2A" w14:textId="77777777" w:rsidR="00A41D30" w:rsidRDefault="00A41D30">
      <w:pPr>
        <w:spacing w:after="0" w:line="240" w:lineRule="auto"/>
      </w:pPr>
      <w:r>
        <w:separator/>
      </w:r>
    </w:p>
  </w:footnote>
  <w:footnote w:type="continuationSeparator" w:id="0">
    <w:p w14:paraId="5EC7C235" w14:textId="77777777" w:rsidR="00A41D30" w:rsidRDefault="00A41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29A7"/>
    <w:multiLevelType w:val="hybridMultilevel"/>
    <w:tmpl w:val="6ACEE192"/>
    <w:lvl w:ilvl="0" w:tplc="33D4A330">
      <w:start w:val="1"/>
      <w:numFmt w:val="decimal"/>
      <w:lvlText w:val="%1."/>
      <w:lvlJc w:val="left"/>
      <w:pPr>
        <w:ind w:left="720" w:hanging="360"/>
      </w:pPr>
      <w:rPr>
        <w:rFonts w:hint="default"/>
        <w:b/>
        <w:bCs/>
      </w:rPr>
    </w:lvl>
    <w:lvl w:ilvl="1" w:tplc="FA46F1C6" w:tentative="1">
      <w:start w:val="1"/>
      <w:numFmt w:val="lowerLetter"/>
      <w:lvlText w:val="%2."/>
      <w:lvlJc w:val="left"/>
      <w:pPr>
        <w:ind w:left="1440" w:hanging="360"/>
      </w:pPr>
    </w:lvl>
    <w:lvl w:ilvl="2" w:tplc="C8760E54" w:tentative="1">
      <w:start w:val="1"/>
      <w:numFmt w:val="lowerRoman"/>
      <w:lvlText w:val="%3."/>
      <w:lvlJc w:val="right"/>
      <w:pPr>
        <w:ind w:left="2160" w:hanging="180"/>
      </w:pPr>
    </w:lvl>
    <w:lvl w:ilvl="3" w:tplc="07CEC5F8" w:tentative="1">
      <w:start w:val="1"/>
      <w:numFmt w:val="decimal"/>
      <w:lvlText w:val="%4."/>
      <w:lvlJc w:val="left"/>
      <w:pPr>
        <w:ind w:left="2880" w:hanging="360"/>
      </w:pPr>
    </w:lvl>
    <w:lvl w:ilvl="4" w:tplc="5C2EB1D8" w:tentative="1">
      <w:start w:val="1"/>
      <w:numFmt w:val="lowerLetter"/>
      <w:lvlText w:val="%5."/>
      <w:lvlJc w:val="left"/>
      <w:pPr>
        <w:ind w:left="3600" w:hanging="360"/>
      </w:pPr>
    </w:lvl>
    <w:lvl w:ilvl="5" w:tplc="2D84739A" w:tentative="1">
      <w:start w:val="1"/>
      <w:numFmt w:val="lowerRoman"/>
      <w:lvlText w:val="%6."/>
      <w:lvlJc w:val="right"/>
      <w:pPr>
        <w:ind w:left="4320" w:hanging="180"/>
      </w:pPr>
    </w:lvl>
    <w:lvl w:ilvl="6" w:tplc="7FE88392" w:tentative="1">
      <w:start w:val="1"/>
      <w:numFmt w:val="decimal"/>
      <w:lvlText w:val="%7."/>
      <w:lvlJc w:val="left"/>
      <w:pPr>
        <w:ind w:left="5040" w:hanging="360"/>
      </w:pPr>
    </w:lvl>
    <w:lvl w:ilvl="7" w:tplc="FFE0DDF6" w:tentative="1">
      <w:start w:val="1"/>
      <w:numFmt w:val="lowerLetter"/>
      <w:lvlText w:val="%8."/>
      <w:lvlJc w:val="left"/>
      <w:pPr>
        <w:ind w:left="5760" w:hanging="360"/>
      </w:pPr>
    </w:lvl>
    <w:lvl w:ilvl="8" w:tplc="AB402060" w:tentative="1">
      <w:start w:val="1"/>
      <w:numFmt w:val="lowerRoman"/>
      <w:lvlText w:val="%9."/>
      <w:lvlJc w:val="right"/>
      <w:pPr>
        <w:ind w:left="6480" w:hanging="180"/>
      </w:pPr>
    </w:lvl>
  </w:abstractNum>
  <w:abstractNum w:abstractNumId="1" w15:restartNumberingAfterBreak="0">
    <w:nsid w:val="057B64B8"/>
    <w:multiLevelType w:val="hybridMultilevel"/>
    <w:tmpl w:val="6CC8CADE"/>
    <w:lvl w:ilvl="0" w:tplc="02082B42">
      <w:start w:val="1"/>
      <w:numFmt w:val="decimal"/>
      <w:lvlText w:val="%1."/>
      <w:lvlJc w:val="left"/>
      <w:pPr>
        <w:ind w:left="720" w:hanging="360"/>
      </w:pPr>
      <w:rPr>
        <w:rFonts w:hint="default"/>
      </w:rPr>
    </w:lvl>
    <w:lvl w:ilvl="1" w:tplc="C8669008" w:tentative="1">
      <w:start w:val="1"/>
      <w:numFmt w:val="lowerLetter"/>
      <w:lvlText w:val="%2."/>
      <w:lvlJc w:val="left"/>
      <w:pPr>
        <w:ind w:left="1440" w:hanging="360"/>
      </w:pPr>
    </w:lvl>
    <w:lvl w:ilvl="2" w:tplc="05784B22" w:tentative="1">
      <w:start w:val="1"/>
      <w:numFmt w:val="lowerRoman"/>
      <w:lvlText w:val="%3."/>
      <w:lvlJc w:val="right"/>
      <w:pPr>
        <w:ind w:left="2160" w:hanging="180"/>
      </w:pPr>
    </w:lvl>
    <w:lvl w:ilvl="3" w:tplc="F092C9E6" w:tentative="1">
      <w:start w:val="1"/>
      <w:numFmt w:val="decimal"/>
      <w:lvlText w:val="%4."/>
      <w:lvlJc w:val="left"/>
      <w:pPr>
        <w:ind w:left="2880" w:hanging="360"/>
      </w:pPr>
    </w:lvl>
    <w:lvl w:ilvl="4" w:tplc="20A47F36" w:tentative="1">
      <w:start w:val="1"/>
      <w:numFmt w:val="lowerLetter"/>
      <w:lvlText w:val="%5."/>
      <w:lvlJc w:val="left"/>
      <w:pPr>
        <w:ind w:left="3600" w:hanging="360"/>
      </w:pPr>
    </w:lvl>
    <w:lvl w:ilvl="5" w:tplc="9C2A9A18" w:tentative="1">
      <w:start w:val="1"/>
      <w:numFmt w:val="lowerRoman"/>
      <w:lvlText w:val="%6."/>
      <w:lvlJc w:val="right"/>
      <w:pPr>
        <w:ind w:left="4320" w:hanging="180"/>
      </w:pPr>
    </w:lvl>
    <w:lvl w:ilvl="6" w:tplc="F334B758" w:tentative="1">
      <w:start w:val="1"/>
      <w:numFmt w:val="decimal"/>
      <w:lvlText w:val="%7."/>
      <w:lvlJc w:val="left"/>
      <w:pPr>
        <w:ind w:left="5040" w:hanging="360"/>
      </w:pPr>
    </w:lvl>
    <w:lvl w:ilvl="7" w:tplc="60BA55FC" w:tentative="1">
      <w:start w:val="1"/>
      <w:numFmt w:val="lowerLetter"/>
      <w:lvlText w:val="%8."/>
      <w:lvlJc w:val="left"/>
      <w:pPr>
        <w:ind w:left="5760" w:hanging="360"/>
      </w:pPr>
    </w:lvl>
    <w:lvl w:ilvl="8" w:tplc="0F06DB2C" w:tentative="1">
      <w:start w:val="1"/>
      <w:numFmt w:val="lowerRoman"/>
      <w:lvlText w:val="%9."/>
      <w:lvlJc w:val="right"/>
      <w:pPr>
        <w:ind w:left="6480" w:hanging="180"/>
      </w:pPr>
    </w:lvl>
  </w:abstractNum>
  <w:abstractNum w:abstractNumId="2" w15:restartNumberingAfterBreak="0">
    <w:nsid w:val="7BB21EDA"/>
    <w:multiLevelType w:val="hybridMultilevel"/>
    <w:tmpl w:val="6DFCECDC"/>
    <w:lvl w:ilvl="0" w:tplc="4006B742">
      <w:start w:val="1"/>
      <w:numFmt w:val="decimal"/>
      <w:lvlText w:val="%1."/>
      <w:lvlJc w:val="left"/>
      <w:pPr>
        <w:ind w:left="720" w:hanging="360"/>
      </w:pPr>
      <w:rPr>
        <w:rFonts w:hint="default"/>
      </w:rPr>
    </w:lvl>
    <w:lvl w:ilvl="1" w:tplc="D9FA0610" w:tentative="1">
      <w:start w:val="1"/>
      <w:numFmt w:val="lowerLetter"/>
      <w:lvlText w:val="%2."/>
      <w:lvlJc w:val="left"/>
      <w:pPr>
        <w:ind w:left="1440" w:hanging="360"/>
      </w:pPr>
    </w:lvl>
    <w:lvl w:ilvl="2" w:tplc="D0A03B2C" w:tentative="1">
      <w:start w:val="1"/>
      <w:numFmt w:val="lowerRoman"/>
      <w:lvlText w:val="%3."/>
      <w:lvlJc w:val="right"/>
      <w:pPr>
        <w:ind w:left="2160" w:hanging="180"/>
      </w:pPr>
    </w:lvl>
    <w:lvl w:ilvl="3" w:tplc="741A6DB6" w:tentative="1">
      <w:start w:val="1"/>
      <w:numFmt w:val="decimal"/>
      <w:lvlText w:val="%4."/>
      <w:lvlJc w:val="left"/>
      <w:pPr>
        <w:ind w:left="2880" w:hanging="360"/>
      </w:pPr>
    </w:lvl>
    <w:lvl w:ilvl="4" w:tplc="6130F10E" w:tentative="1">
      <w:start w:val="1"/>
      <w:numFmt w:val="lowerLetter"/>
      <w:lvlText w:val="%5."/>
      <w:lvlJc w:val="left"/>
      <w:pPr>
        <w:ind w:left="3600" w:hanging="360"/>
      </w:pPr>
    </w:lvl>
    <w:lvl w:ilvl="5" w:tplc="70DE5A52" w:tentative="1">
      <w:start w:val="1"/>
      <w:numFmt w:val="lowerRoman"/>
      <w:lvlText w:val="%6."/>
      <w:lvlJc w:val="right"/>
      <w:pPr>
        <w:ind w:left="4320" w:hanging="180"/>
      </w:pPr>
    </w:lvl>
    <w:lvl w:ilvl="6" w:tplc="58505E06" w:tentative="1">
      <w:start w:val="1"/>
      <w:numFmt w:val="decimal"/>
      <w:lvlText w:val="%7."/>
      <w:lvlJc w:val="left"/>
      <w:pPr>
        <w:ind w:left="5040" w:hanging="360"/>
      </w:pPr>
    </w:lvl>
    <w:lvl w:ilvl="7" w:tplc="9A68EFD0" w:tentative="1">
      <w:start w:val="1"/>
      <w:numFmt w:val="lowerLetter"/>
      <w:lvlText w:val="%8."/>
      <w:lvlJc w:val="left"/>
      <w:pPr>
        <w:ind w:left="5760" w:hanging="360"/>
      </w:pPr>
    </w:lvl>
    <w:lvl w:ilvl="8" w:tplc="8BEC5144" w:tentative="1">
      <w:start w:val="1"/>
      <w:numFmt w:val="lowerRoman"/>
      <w:lvlText w:val="%9."/>
      <w:lvlJc w:val="right"/>
      <w:pPr>
        <w:ind w:left="6480" w:hanging="180"/>
      </w:pPr>
    </w:lvl>
  </w:abstractNum>
  <w:num w:numId="1" w16cid:durableId="1862206736">
    <w:abstractNumId w:val="2"/>
  </w:num>
  <w:num w:numId="2" w16cid:durableId="1461533032">
    <w:abstractNumId w:val="1"/>
  </w:num>
  <w:num w:numId="3" w16cid:durableId="1442071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EE"/>
    <w:rsid w:val="0003362C"/>
    <w:rsid w:val="000975EE"/>
    <w:rsid w:val="00117C36"/>
    <w:rsid w:val="0014271B"/>
    <w:rsid w:val="001C6553"/>
    <w:rsid w:val="001E24AE"/>
    <w:rsid w:val="00406CC0"/>
    <w:rsid w:val="004A7DA6"/>
    <w:rsid w:val="005A6BE9"/>
    <w:rsid w:val="00677F3D"/>
    <w:rsid w:val="006B05AA"/>
    <w:rsid w:val="008006B8"/>
    <w:rsid w:val="0082639A"/>
    <w:rsid w:val="009C4C53"/>
    <w:rsid w:val="00A2565C"/>
    <w:rsid w:val="00A41D30"/>
    <w:rsid w:val="00AF55B5"/>
    <w:rsid w:val="00B2776D"/>
    <w:rsid w:val="00B441CF"/>
    <w:rsid w:val="00B45BA4"/>
    <w:rsid w:val="00BE3525"/>
    <w:rsid w:val="00C450D5"/>
    <w:rsid w:val="00CB773E"/>
    <w:rsid w:val="00CC0ADC"/>
    <w:rsid w:val="00DA1887"/>
    <w:rsid w:val="00DE014D"/>
    <w:rsid w:val="00E622C8"/>
    <w:rsid w:val="00E9597C"/>
    <w:rsid w:val="00EA2160"/>
    <w:rsid w:val="00EA3571"/>
    <w:rsid w:val="00EB7F17"/>
    <w:rsid w:val="00FC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0028"/>
  <w15:chartTrackingRefBased/>
  <w15:docId w15:val="{91103235-8BBA-471D-A9CD-025DE95E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77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B2776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5EE"/>
    <w:pPr>
      <w:ind w:left="720"/>
      <w:contextualSpacing/>
    </w:pPr>
  </w:style>
  <w:style w:type="paragraph" w:customStyle="1" w:styleId="Normal1">
    <w:name w:val="Normal1"/>
    <w:rsid w:val="0014271B"/>
    <w:pPr>
      <w:spacing w:after="0" w:line="276" w:lineRule="auto"/>
    </w:pPr>
    <w:rPr>
      <w:rFonts w:ascii="Arial" w:eastAsia="Arial" w:hAnsi="Arial" w:cs="Arial"/>
      <w:lang w:eastAsia="en-IN"/>
    </w:rPr>
  </w:style>
  <w:style w:type="character" w:customStyle="1" w:styleId="Heading1Char">
    <w:name w:val="Heading 1 Char"/>
    <w:basedOn w:val="DefaultParagraphFont"/>
    <w:link w:val="Heading1"/>
    <w:uiPriority w:val="9"/>
    <w:rsid w:val="00B2776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2776D"/>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BE352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BE352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E3525"/>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BE3525"/>
    <w:pPr>
      <w:spacing w:after="100"/>
      <w:ind w:left="220"/>
    </w:pPr>
  </w:style>
  <w:style w:type="character" w:styleId="Hyperlink">
    <w:name w:val="Hyperlink"/>
    <w:basedOn w:val="DefaultParagraphFont"/>
    <w:uiPriority w:val="99"/>
    <w:unhideWhenUsed/>
    <w:rsid w:val="00BE3525"/>
    <w:rPr>
      <w:color w:val="0563C1" w:themeColor="hyperlink"/>
      <w:u w:val="single"/>
    </w:rPr>
  </w:style>
  <w:style w:type="paragraph" w:styleId="Header">
    <w:name w:val="header"/>
    <w:basedOn w:val="Normal"/>
    <w:link w:val="HeaderChar"/>
    <w:uiPriority w:val="99"/>
    <w:unhideWhenUsed/>
    <w:rsid w:val="00BE3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525"/>
  </w:style>
  <w:style w:type="paragraph" w:styleId="Footer">
    <w:name w:val="footer"/>
    <w:basedOn w:val="Normal"/>
    <w:link w:val="FooterChar"/>
    <w:uiPriority w:val="99"/>
    <w:unhideWhenUsed/>
    <w:rsid w:val="00BE3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C4EA9-EDFE-495C-81FA-1D3B519C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ionut</cp:lastModifiedBy>
  <cp:revision>11</cp:revision>
  <dcterms:created xsi:type="dcterms:W3CDTF">2022-07-27T06:05:00Z</dcterms:created>
  <dcterms:modified xsi:type="dcterms:W3CDTF">2022-08-21T22:14:00Z</dcterms:modified>
</cp:coreProperties>
</file>