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B8D9D5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2942">
              <w:rPr>
                <w:rFonts w:ascii="Times New Roman" w:hAnsi="Times New Roman" w:cs="Times New Roman"/>
                <w:b/>
                <w:color w:val="auto"/>
                <w:sz w:val="48"/>
              </w:rPr>
              <w:t xml:space="preserve">Kirsty Carter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4DD2E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2942">
              <w:rPr>
                <w:rFonts w:ascii="Times New Roman" w:hAnsi="Times New Roman" w:cs="Times New Roman"/>
                <w:b/>
                <w:color w:val="auto"/>
                <w:sz w:val="48"/>
              </w:rPr>
              <w:t xml:space="preserve"> </w:t>
            </w:r>
            <w:hyperlink r:id="rId11" w:history="1">
              <w:r w:rsidR="00D92942" w:rsidRPr="005026A1">
                <w:rPr>
                  <w:rStyle w:val="Hyperlink"/>
                  <w:rFonts w:ascii="Times New Roman" w:hAnsi="Times New Roman" w:cs="Times New Roman"/>
                  <w:b/>
                  <w:sz w:val="48"/>
                </w:rPr>
                <w:t>1803596@uwtsd.ac.uk</w:t>
              </w:r>
            </w:hyperlink>
            <w:r w:rsidR="00D92942">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4042C49" w14:textId="0000482E" w:rsidR="00D92942" w:rsidRPr="005D3F07" w:rsidRDefault="00D9294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1803596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BDEE22B" w14:textId="77777777" w:rsidR="00D92942" w:rsidRDefault="00D92942" w:rsidP="00D92942">
            <w:pPr>
              <w:spacing w:line="360" w:lineRule="auto"/>
              <w:jc w:val="both"/>
              <w:rPr>
                <w:sz w:val="24"/>
                <w:szCs w:val="24"/>
              </w:rPr>
            </w:pPr>
            <w:r>
              <w:rPr>
                <w:sz w:val="24"/>
                <w:szCs w:val="24"/>
              </w:rPr>
              <w:t xml:space="preserve">The role of a social worker is to ensure the well-being and safety of the people we support, whether that is within children or adults. In my role, I have not yet had the opportunity to support and work with children and young people. However, I am aware from my training as a social worker that there are laws, legislations, policies and procedures in place that support practitioners when it comes to protecting the well-being and safety of the young people being supported. The definition of safeguarding is to protect children from abuse, exploitation and neglect. Types of abuse are physical abuse, emotional abuse, sexual abuse and neglect. In 2022/2023 there were in total, 3968 children under the age of 18 who were placed on the child protection register (Stats Wales, 2023). </w:t>
            </w:r>
          </w:p>
          <w:p w14:paraId="3097944B" w14:textId="77777777" w:rsidR="00D92942" w:rsidRDefault="00D92942" w:rsidP="00D92942">
            <w:pPr>
              <w:spacing w:line="360" w:lineRule="auto"/>
              <w:jc w:val="both"/>
              <w:rPr>
                <w:sz w:val="24"/>
                <w:szCs w:val="24"/>
              </w:rPr>
            </w:pPr>
          </w:p>
          <w:p w14:paraId="4220C0B6" w14:textId="77777777" w:rsidR="00D92942" w:rsidRDefault="00D92942" w:rsidP="00D92942">
            <w:pPr>
              <w:spacing w:line="360" w:lineRule="auto"/>
              <w:jc w:val="both"/>
              <w:rPr>
                <w:sz w:val="24"/>
                <w:szCs w:val="24"/>
              </w:rPr>
            </w:pPr>
            <w:r>
              <w:rPr>
                <w:sz w:val="24"/>
                <w:szCs w:val="24"/>
              </w:rPr>
              <w:t>The Social Services and Well-Being Wales Act (2014) provides the legal framework for the delivery of social services in Wales. Part 7 of the SSWBWA 2014, places a duty on practitioners to report where there are concerns of a child being at risk. The</w:t>
            </w:r>
            <w:r w:rsidRPr="00F72D10">
              <w:rPr>
                <w:sz w:val="24"/>
                <w:szCs w:val="24"/>
              </w:rPr>
              <w:t xml:space="preserve"> Local Safeguarding Children Boards (LSCBs) or similar bodies</w:t>
            </w:r>
            <w:r>
              <w:rPr>
                <w:sz w:val="24"/>
                <w:szCs w:val="24"/>
              </w:rPr>
              <w:t xml:space="preserve"> are </w:t>
            </w:r>
            <w:r w:rsidRPr="00F72D10">
              <w:rPr>
                <w:sz w:val="24"/>
                <w:szCs w:val="24"/>
              </w:rPr>
              <w:t>responsible for coordinating</w:t>
            </w:r>
            <w:r>
              <w:rPr>
                <w:sz w:val="24"/>
                <w:szCs w:val="24"/>
              </w:rPr>
              <w:t xml:space="preserve"> and overseeing</w:t>
            </w:r>
            <w:r w:rsidRPr="00F72D10">
              <w:rPr>
                <w:sz w:val="24"/>
                <w:szCs w:val="24"/>
              </w:rPr>
              <w:t xml:space="preserve"> safeguarding activities in their areas</w:t>
            </w:r>
            <w:r>
              <w:rPr>
                <w:sz w:val="24"/>
                <w:szCs w:val="24"/>
              </w:rPr>
              <w:t>. The objectives of LSCBs are to</w:t>
            </w:r>
            <w:r w:rsidRPr="008C12BF">
              <w:rPr>
                <w:sz w:val="24"/>
                <w:szCs w:val="24"/>
              </w:rPr>
              <w:t xml:space="preserve"> protect children within its area who are experiencing, or are at risk of, neglect</w:t>
            </w:r>
            <w:r>
              <w:rPr>
                <w:sz w:val="24"/>
                <w:szCs w:val="24"/>
              </w:rPr>
              <w:t xml:space="preserve">, abuse </w:t>
            </w:r>
            <w:r w:rsidRPr="008C12BF">
              <w:rPr>
                <w:sz w:val="24"/>
                <w:szCs w:val="24"/>
              </w:rPr>
              <w:t>or other kinds of harm, and</w:t>
            </w:r>
            <w:r>
              <w:rPr>
                <w:sz w:val="24"/>
                <w:szCs w:val="24"/>
              </w:rPr>
              <w:t xml:space="preserve"> </w:t>
            </w:r>
            <w:r w:rsidRPr="008C12BF">
              <w:rPr>
                <w:sz w:val="24"/>
                <w:szCs w:val="24"/>
              </w:rPr>
              <w:t>to prevent children within its area from becoming at risk of abuse, neglect or other kinds of harm</w:t>
            </w:r>
            <w:r>
              <w:rPr>
                <w:sz w:val="24"/>
                <w:szCs w:val="24"/>
              </w:rPr>
              <w:t xml:space="preserve"> (Part 7, SWBWA, 2014). </w:t>
            </w:r>
          </w:p>
          <w:p w14:paraId="7D8DDA2F" w14:textId="77777777" w:rsidR="00D92942" w:rsidRDefault="00D92942" w:rsidP="00D92942">
            <w:pPr>
              <w:spacing w:line="360" w:lineRule="auto"/>
              <w:jc w:val="both"/>
              <w:rPr>
                <w:sz w:val="24"/>
                <w:szCs w:val="24"/>
              </w:rPr>
            </w:pPr>
          </w:p>
          <w:p w14:paraId="45F835A2" w14:textId="77777777" w:rsidR="00D92942" w:rsidRDefault="00D92942" w:rsidP="00D92942">
            <w:pPr>
              <w:spacing w:line="360" w:lineRule="auto"/>
              <w:jc w:val="both"/>
              <w:rPr>
                <w:sz w:val="24"/>
                <w:szCs w:val="24"/>
              </w:rPr>
            </w:pPr>
            <w:r>
              <w:rPr>
                <w:sz w:val="24"/>
                <w:szCs w:val="24"/>
              </w:rPr>
              <w:t xml:space="preserve">The foundational piece of legislation that practitioners use when supporting children is the Children Act 1989 and Children Act 2004 which provides the legal framework for the protection and welfare of children in the United Kingdom. The CA, 2004 was introduced to reinforce the CA 1989 to better regulate intervention to protect children. Alongside this, Wales Safeguarding Procedures 2019 are outlined in legislative frameworks, one being the SSWBWA 2014. Although WSP’s, 2019 is not a piece of legislation, it is guided by pieces of legislation and is designed to protect children from abuse. </w:t>
            </w:r>
          </w:p>
          <w:p w14:paraId="5E2E6BBB" w14:textId="77777777" w:rsidR="00D92942" w:rsidRDefault="00D92942" w:rsidP="00D92942">
            <w:pPr>
              <w:spacing w:line="360" w:lineRule="auto"/>
              <w:jc w:val="both"/>
              <w:rPr>
                <w:sz w:val="24"/>
                <w:szCs w:val="24"/>
              </w:rPr>
            </w:pPr>
          </w:p>
          <w:p w14:paraId="35E7C3A5" w14:textId="77777777" w:rsidR="00D92942" w:rsidRDefault="00D92942" w:rsidP="00D92942">
            <w:pPr>
              <w:spacing w:line="360" w:lineRule="auto"/>
              <w:jc w:val="both"/>
              <w:rPr>
                <w:sz w:val="24"/>
                <w:szCs w:val="24"/>
              </w:rPr>
            </w:pPr>
            <w:r>
              <w:rPr>
                <w:sz w:val="24"/>
                <w:szCs w:val="24"/>
              </w:rPr>
              <w:t xml:space="preserve">Professionals from child protection services have 24 hours to respond when there is concern that a child is in immediate danger. The assessment must then be completed within 24-72 hours, this involves gathering information from the child’s family, school and the child themselves that will support the assessment being made. If from the assessment it identifies significant risk, a strategy meeting will take place and this will need to be within 1-5 days and this will be with the relevant agencies such as health care providers, social services and the police. In the strategy meeting it will determine if a section 47 is required, this is if there is reasonable cause to suspect that the child is experiencing or likely to experience significant harm. The S47 is a statutory process under the Children Act 1989 and decisions are made on </w:t>
            </w:r>
            <w:r w:rsidRPr="00800D5E">
              <w:rPr>
                <w:sz w:val="24"/>
                <w:szCs w:val="24"/>
              </w:rPr>
              <w:t xml:space="preserve">what type of action is required to </w:t>
            </w:r>
            <w:r>
              <w:rPr>
                <w:sz w:val="24"/>
                <w:szCs w:val="24"/>
              </w:rPr>
              <w:t>promote and safeguard</w:t>
            </w:r>
            <w:r w:rsidRPr="00800D5E">
              <w:rPr>
                <w:sz w:val="24"/>
                <w:szCs w:val="24"/>
              </w:rPr>
              <w:t xml:space="preserve"> the welfare of a child</w:t>
            </w:r>
            <w:r>
              <w:rPr>
                <w:sz w:val="24"/>
                <w:szCs w:val="24"/>
              </w:rPr>
              <w:t>.</w:t>
            </w:r>
          </w:p>
          <w:p w14:paraId="17495B33" w14:textId="77777777" w:rsidR="00D92942" w:rsidRDefault="00D92942" w:rsidP="00D92942">
            <w:pPr>
              <w:spacing w:line="360" w:lineRule="auto"/>
              <w:jc w:val="both"/>
              <w:rPr>
                <w:sz w:val="24"/>
                <w:szCs w:val="24"/>
              </w:rPr>
            </w:pPr>
          </w:p>
          <w:p w14:paraId="743C673A" w14:textId="77777777" w:rsidR="00D92942" w:rsidRDefault="00D92942" w:rsidP="00D92942">
            <w:pPr>
              <w:spacing w:line="360" w:lineRule="auto"/>
              <w:jc w:val="both"/>
              <w:rPr>
                <w:sz w:val="24"/>
                <w:szCs w:val="24"/>
              </w:rPr>
            </w:pPr>
            <w:r>
              <w:rPr>
                <w:sz w:val="24"/>
                <w:szCs w:val="24"/>
              </w:rPr>
              <w:t xml:space="preserve">If for any reason following on from a S47 there is evidence to identify that the child is at ongoing risk of significant harm, this is when a child protection conference will take </w:t>
            </w:r>
            <w:proofErr w:type="gramStart"/>
            <w:r>
              <w:rPr>
                <w:sz w:val="24"/>
                <w:szCs w:val="24"/>
              </w:rPr>
              <w:t>place</w:t>
            </w:r>
            <w:proofErr w:type="gramEnd"/>
            <w:r>
              <w:rPr>
                <w:sz w:val="24"/>
                <w:szCs w:val="24"/>
              </w:rPr>
              <w:t xml:space="preserve"> and it is usually within 15 days. The purpose of the conference will determine if the child is to be placed on the child protection register. If the child is to be placed on the child protection register, immediately, actions must be taken to make sure the child is safeguarded, the plan is then reviewed regularly, </w:t>
            </w:r>
            <w:r w:rsidRPr="0033765E">
              <w:rPr>
                <w:sz w:val="24"/>
                <w:szCs w:val="24"/>
              </w:rPr>
              <w:t xml:space="preserve">typically within 3 months of the initial conference, and every 6 months </w:t>
            </w:r>
            <w:r>
              <w:rPr>
                <w:sz w:val="24"/>
                <w:szCs w:val="24"/>
              </w:rPr>
              <w:t xml:space="preserve">after. </w:t>
            </w:r>
          </w:p>
          <w:p w14:paraId="57246CE6" w14:textId="77777777" w:rsidR="00D92942" w:rsidRDefault="00D92942" w:rsidP="00D92942">
            <w:pPr>
              <w:jc w:val="both"/>
              <w:rPr>
                <w:sz w:val="24"/>
                <w:szCs w:val="24"/>
              </w:rPr>
            </w:pPr>
          </w:p>
          <w:p w14:paraId="478ED719" w14:textId="15A0DBFE" w:rsidR="00D92942" w:rsidRDefault="00D92942" w:rsidP="00D92942">
            <w:pPr>
              <w:jc w:val="both"/>
              <w:rPr>
                <w:sz w:val="24"/>
                <w:szCs w:val="24"/>
              </w:rPr>
            </w:pPr>
            <w:r>
              <w:rPr>
                <w:sz w:val="24"/>
                <w:szCs w:val="24"/>
              </w:rPr>
              <w:t xml:space="preserve">(595 words) </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65C3C9F" w14:textId="77777777" w:rsidR="00D92942" w:rsidRDefault="00D92942" w:rsidP="00D92942">
            <w:pPr>
              <w:spacing w:line="360" w:lineRule="auto"/>
              <w:jc w:val="both"/>
              <w:rPr>
                <w:sz w:val="24"/>
                <w:szCs w:val="24"/>
              </w:rPr>
            </w:pPr>
            <w:r>
              <w:rPr>
                <w:sz w:val="24"/>
                <w:szCs w:val="24"/>
              </w:rPr>
              <w:t xml:space="preserve">The aim of safeguarding with children and adults is crucial in both fields and the purpose is to protect individuals from any type of harm and abuse. The key difference between adult and children safeguarding is the legislation and legal framework. Children’s safeguarding is guided specifically by legal frameworks such as the Children Act 1989 and 2004. Alongside this, other legal frameworks used are the United Nations Convention on the Rights of the Child 1989 which is also known as the UNCRC 1989. Under these laws children have the right to be protected and action must be taken when there are reasons to believe there is any risk of neglect and abuse taking place. The legal framework used primarily when protecting adults is the Social Services and Well-being Wales Act 2014. Alongside this, other legal frameworks used are the Mental Capacity Act 2005 and Human Rights Act 1998. </w:t>
            </w:r>
          </w:p>
          <w:p w14:paraId="2B8E7508" w14:textId="77777777" w:rsidR="00D92942" w:rsidRDefault="00D92942" w:rsidP="00D92942">
            <w:pPr>
              <w:spacing w:line="360" w:lineRule="auto"/>
              <w:jc w:val="both"/>
              <w:rPr>
                <w:sz w:val="24"/>
                <w:szCs w:val="24"/>
              </w:rPr>
            </w:pPr>
          </w:p>
          <w:p w14:paraId="132C8282" w14:textId="77777777" w:rsidR="00D92942" w:rsidRDefault="00D92942" w:rsidP="00D92942">
            <w:pPr>
              <w:spacing w:line="360" w:lineRule="auto"/>
              <w:jc w:val="both"/>
              <w:rPr>
                <w:sz w:val="24"/>
                <w:szCs w:val="24"/>
              </w:rPr>
            </w:pPr>
            <w:r>
              <w:rPr>
                <w:sz w:val="24"/>
                <w:szCs w:val="24"/>
              </w:rPr>
              <w:t xml:space="preserve">The fundamental difference between safeguarding adults and children is centred on the balance of protection, this means the difference in adults and children is having the right to make decisions for themselves. Adults are assumed as having the capacity to make choices of their own unless there is evidence that proves otherwise. Whereas, </w:t>
            </w:r>
            <w:r w:rsidRPr="00771B84">
              <w:rPr>
                <w:sz w:val="24"/>
                <w:szCs w:val="24"/>
              </w:rPr>
              <w:t>Children</w:t>
            </w:r>
            <w:r>
              <w:rPr>
                <w:sz w:val="24"/>
                <w:szCs w:val="24"/>
              </w:rPr>
              <w:t>,</w:t>
            </w:r>
            <w:r w:rsidRPr="00771B84">
              <w:rPr>
                <w:sz w:val="24"/>
                <w:szCs w:val="24"/>
              </w:rPr>
              <w:t xml:space="preserve"> especially younger ones, are</w:t>
            </w:r>
            <w:r>
              <w:rPr>
                <w:sz w:val="24"/>
                <w:szCs w:val="24"/>
              </w:rPr>
              <w:t xml:space="preserve"> </w:t>
            </w:r>
            <w:r w:rsidRPr="00771B84">
              <w:rPr>
                <w:sz w:val="24"/>
                <w:szCs w:val="24"/>
              </w:rPr>
              <w:t>considered not fully capable of making decisions that affect their safety and well-being</w:t>
            </w:r>
            <w:r>
              <w:rPr>
                <w:sz w:val="24"/>
                <w:szCs w:val="24"/>
              </w:rPr>
              <w:t xml:space="preserve"> </w:t>
            </w:r>
            <w:r w:rsidRPr="00B816CE">
              <w:rPr>
                <w:sz w:val="24"/>
                <w:szCs w:val="24"/>
              </w:rPr>
              <w:t>due to their vulnerability and developing capacity for decision-making</w:t>
            </w:r>
            <w:r>
              <w:rPr>
                <w:sz w:val="24"/>
                <w:szCs w:val="24"/>
              </w:rPr>
              <w:t xml:space="preserve">, decisions made on behalf of children can be made by parents, guardians or professionals involved, all decisions made will be made in the child’s best interest. </w:t>
            </w:r>
          </w:p>
          <w:p w14:paraId="2D977D75" w14:textId="77777777" w:rsidR="00D92942" w:rsidRDefault="00D92942" w:rsidP="00D92942">
            <w:pPr>
              <w:spacing w:line="360" w:lineRule="auto"/>
              <w:jc w:val="both"/>
              <w:rPr>
                <w:sz w:val="24"/>
                <w:szCs w:val="24"/>
              </w:rPr>
            </w:pPr>
          </w:p>
          <w:p w14:paraId="27B4CF3E" w14:textId="77777777" w:rsidR="00D92942" w:rsidRDefault="00D92942" w:rsidP="00D92942">
            <w:pPr>
              <w:spacing w:line="360" w:lineRule="auto"/>
              <w:jc w:val="both"/>
              <w:rPr>
                <w:sz w:val="24"/>
                <w:szCs w:val="24"/>
              </w:rPr>
            </w:pPr>
            <w:r>
              <w:rPr>
                <w:sz w:val="24"/>
                <w:szCs w:val="24"/>
              </w:rPr>
              <w:t xml:space="preserve">The main difference between children and adult safeguarding comes down to consent and capacity. When it comes to multi agency working and decision making, professionals working with children will attend core groups and child protection conferences where they will work in a multi-agency way and include other professionals such as the school, police and any other professional involved to support them with assessing risk and form child protection plans to support the child moving forward if it was required. In adults, professionals will also work closely with other professionals such as mental health services, healthcare, police and any </w:t>
            </w:r>
            <w:r>
              <w:rPr>
                <w:sz w:val="24"/>
                <w:szCs w:val="24"/>
              </w:rPr>
              <w:lastRenderedPageBreak/>
              <w:t>other professionals involved to gain a clear understanding of the adult’s needs. However, the difference between safeguarding adults and children is that adults may choose not to protect themselves and can have the capacity to make those unwise decisions, whereas professionals have a duty</w:t>
            </w:r>
            <w:r w:rsidRPr="00F96D80">
              <w:rPr>
                <w:sz w:val="24"/>
                <w:szCs w:val="24"/>
              </w:rPr>
              <w:t xml:space="preserve"> to safeguard and promote the welfare of </w:t>
            </w:r>
            <w:r>
              <w:rPr>
                <w:sz w:val="24"/>
                <w:szCs w:val="24"/>
              </w:rPr>
              <w:t xml:space="preserve">the child. </w:t>
            </w:r>
          </w:p>
          <w:p w14:paraId="5E7F39EA" w14:textId="77777777" w:rsidR="00D92942" w:rsidRDefault="00D92942" w:rsidP="00D92942">
            <w:pPr>
              <w:jc w:val="both"/>
              <w:rPr>
                <w:sz w:val="24"/>
                <w:szCs w:val="24"/>
              </w:rPr>
            </w:pPr>
          </w:p>
          <w:p w14:paraId="51DDAF48" w14:textId="77777777" w:rsidR="00D92942" w:rsidRDefault="00D92942" w:rsidP="00D92942">
            <w:pPr>
              <w:jc w:val="both"/>
              <w:rPr>
                <w:sz w:val="24"/>
                <w:szCs w:val="24"/>
              </w:rPr>
            </w:pPr>
          </w:p>
          <w:p w14:paraId="1AA3081F" w14:textId="4DDE67B7" w:rsidR="00FC0334" w:rsidRDefault="00D92942" w:rsidP="00D92942">
            <w:pPr>
              <w:jc w:val="both"/>
              <w:rPr>
                <w:sz w:val="24"/>
                <w:szCs w:val="24"/>
              </w:rPr>
            </w:pPr>
            <w:r>
              <w:rPr>
                <w:sz w:val="24"/>
                <w:szCs w:val="24"/>
              </w:rPr>
              <w:t>(405 words)</w:t>
            </w:r>
          </w:p>
          <w:p w14:paraId="20DCB311" w14:textId="77777777" w:rsidR="00D92942" w:rsidRDefault="00D92942" w:rsidP="00D92942">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20E1194" w14:textId="77777777" w:rsidR="00D92942" w:rsidRDefault="00D92942" w:rsidP="00FC0334">
            <w:pPr>
              <w:jc w:val="both"/>
              <w:rPr>
                <w:i/>
                <w:sz w:val="24"/>
                <w:szCs w:val="24"/>
              </w:rPr>
            </w:pPr>
          </w:p>
          <w:p w14:paraId="7ECA35F9" w14:textId="77777777" w:rsidR="00D92942" w:rsidRDefault="00D92942" w:rsidP="00FC0334">
            <w:pPr>
              <w:jc w:val="both"/>
              <w:rPr>
                <w:i/>
                <w:sz w:val="24"/>
                <w:szCs w:val="24"/>
              </w:rPr>
            </w:pPr>
          </w:p>
          <w:p w14:paraId="569921E6" w14:textId="77777777" w:rsidR="00D92942" w:rsidRDefault="00D92942" w:rsidP="00FC0334">
            <w:pPr>
              <w:jc w:val="both"/>
              <w:rPr>
                <w:i/>
                <w:sz w:val="24"/>
                <w:szCs w:val="24"/>
              </w:rPr>
            </w:pPr>
          </w:p>
          <w:p w14:paraId="2F234540" w14:textId="77777777" w:rsidR="00D92942" w:rsidRDefault="00D92942" w:rsidP="00FC0334">
            <w:pPr>
              <w:jc w:val="both"/>
              <w:rPr>
                <w:i/>
                <w:sz w:val="24"/>
                <w:szCs w:val="24"/>
              </w:rPr>
            </w:pPr>
          </w:p>
          <w:p w14:paraId="49C895C4" w14:textId="77777777" w:rsidR="00D92942" w:rsidRDefault="00D92942" w:rsidP="00FC0334">
            <w:pPr>
              <w:jc w:val="both"/>
              <w:rPr>
                <w:i/>
                <w:sz w:val="24"/>
                <w:szCs w:val="24"/>
              </w:rPr>
            </w:pPr>
          </w:p>
          <w:p w14:paraId="6F029686" w14:textId="77777777" w:rsidR="00D92942" w:rsidRDefault="00D92942" w:rsidP="00FC0334">
            <w:pPr>
              <w:jc w:val="both"/>
              <w:rPr>
                <w:i/>
                <w:sz w:val="24"/>
                <w:szCs w:val="24"/>
              </w:rPr>
            </w:pPr>
          </w:p>
          <w:p w14:paraId="5B74F3E6" w14:textId="77777777" w:rsidR="00D92942" w:rsidRDefault="00D92942" w:rsidP="00FC0334">
            <w:pPr>
              <w:jc w:val="both"/>
              <w:rPr>
                <w:i/>
                <w:sz w:val="24"/>
                <w:szCs w:val="24"/>
              </w:rPr>
            </w:pPr>
          </w:p>
          <w:p w14:paraId="75DC7D3B" w14:textId="77777777" w:rsidR="00D92942" w:rsidRDefault="00D92942" w:rsidP="00FC0334">
            <w:pPr>
              <w:jc w:val="both"/>
              <w:rPr>
                <w:i/>
                <w:sz w:val="24"/>
                <w:szCs w:val="24"/>
              </w:rPr>
            </w:pPr>
          </w:p>
          <w:p w14:paraId="420FC572" w14:textId="77777777" w:rsidR="00D92942" w:rsidRDefault="00D92942" w:rsidP="00FC0334">
            <w:pPr>
              <w:jc w:val="both"/>
              <w:rPr>
                <w:i/>
                <w:sz w:val="24"/>
                <w:szCs w:val="24"/>
              </w:rPr>
            </w:pPr>
          </w:p>
          <w:p w14:paraId="65BB9E57" w14:textId="77777777" w:rsidR="00D92942" w:rsidRDefault="00D92942" w:rsidP="00FC0334">
            <w:pPr>
              <w:jc w:val="both"/>
              <w:rPr>
                <w:i/>
                <w:sz w:val="24"/>
                <w:szCs w:val="24"/>
              </w:rPr>
            </w:pPr>
          </w:p>
          <w:p w14:paraId="16736F4E" w14:textId="77777777" w:rsidR="00D92942" w:rsidRDefault="00D92942" w:rsidP="00FC0334">
            <w:pPr>
              <w:jc w:val="both"/>
              <w:rPr>
                <w:i/>
                <w:sz w:val="24"/>
                <w:szCs w:val="24"/>
              </w:rPr>
            </w:pPr>
          </w:p>
          <w:p w14:paraId="3F2EFA21" w14:textId="77777777" w:rsidR="00D92942" w:rsidRDefault="00D92942" w:rsidP="00FC0334">
            <w:pPr>
              <w:jc w:val="both"/>
              <w:rPr>
                <w:i/>
                <w:sz w:val="24"/>
                <w:szCs w:val="24"/>
              </w:rPr>
            </w:pPr>
          </w:p>
          <w:p w14:paraId="62488192" w14:textId="77777777" w:rsidR="00D92942" w:rsidRDefault="00D92942" w:rsidP="00FC0334">
            <w:pPr>
              <w:jc w:val="both"/>
              <w:rPr>
                <w:i/>
                <w:sz w:val="24"/>
                <w:szCs w:val="24"/>
              </w:rPr>
            </w:pPr>
          </w:p>
          <w:p w14:paraId="1055DB9F" w14:textId="77777777" w:rsidR="00D92942" w:rsidRDefault="00D92942" w:rsidP="00FC0334">
            <w:pPr>
              <w:jc w:val="both"/>
              <w:rPr>
                <w:i/>
                <w:sz w:val="24"/>
                <w:szCs w:val="24"/>
              </w:rPr>
            </w:pPr>
          </w:p>
          <w:p w14:paraId="7CAB48C8" w14:textId="77777777" w:rsidR="00D92942" w:rsidRDefault="00D92942" w:rsidP="00FC0334">
            <w:pPr>
              <w:jc w:val="both"/>
              <w:rPr>
                <w:i/>
                <w:sz w:val="24"/>
                <w:szCs w:val="24"/>
              </w:rPr>
            </w:pPr>
          </w:p>
          <w:p w14:paraId="65BC9204" w14:textId="77777777" w:rsidR="00D92942" w:rsidRDefault="00D92942" w:rsidP="00FC0334">
            <w:pPr>
              <w:jc w:val="both"/>
              <w:rPr>
                <w:i/>
                <w:sz w:val="24"/>
                <w:szCs w:val="24"/>
              </w:rPr>
            </w:pPr>
          </w:p>
          <w:p w14:paraId="78D66A85" w14:textId="77777777" w:rsidR="00D92942" w:rsidRDefault="00D92942" w:rsidP="00FC0334">
            <w:pPr>
              <w:jc w:val="both"/>
              <w:rPr>
                <w:i/>
                <w:sz w:val="24"/>
                <w:szCs w:val="24"/>
              </w:rPr>
            </w:pPr>
          </w:p>
          <w:p w14:paraId="1DA73D3D" w14:textId="77777777" w:rsidR="00D92942" w:rsidRDefault="00D92942" w:rsidP="00FC0334">
            <w:pPr>
              <w:jc w:val="both"/>
              <w:rPr>
                <w:i/>
                <w:sz w:val="24"/>
                <w:szCs w:val="24"/>
              </w:rPr>
            </w:pPr>
          </w:p>
          <w:p w14:paraId="75B4C399" w14:textId="77777777" w:rsidR="00D92942" w:rsidRDefault="00D92942" w:rsidP="00FC0334">
            <w:pPr>
              <w:jc w:val="both"/>
              <w:rPr>
                <w:i/>
                <w:sz w:val="24"/>
                <w:szCs w:val="24"/>
              </w:rPr>
            </w:pPr>
          </w:p>
          <w:p w14:paraId="2464B192" w14:textId="77777777" w:rsidR="00D92942" w:rsidRDefault="00D92942" w:rsidP="00FC0334">
            <w:pPr>
              <w:jc w:val="both"/>
              <w:rPr>
                <w:i/>
                <w:sz w:val="24"/>
                <w:szCs w:val="24"/>
              </w:rPr>
            </w:pPr>
          </w:p>
          <w:p w14:paraId="12E8652B" w14:textId="77777777" w:rsidR="00D92942" w:rsidRDefault="00D92942" w:rsidP="00FC0334">
            <w:pPr>
              <w:jc w:val="both"/>
              <w:rPr>
                <w:i/>
                <w:sz w:val="24"/>
                <w:szCs w:val="24"/>
              </w:rPr>
            </w:pPr>
          </w:p>
          <w:p w14:paraId="11570E8E" w14:textId="77777777" w:rsidR="00D92942" w:rsidRDefault="00D92942" w:rsidP="00FC0334">
            <w:pPr>
              <w:jc w:val="both"/>
              <w:rPr>
                <w:i/>
                <w:sz w:val="24"/>
                <w:szCs w:val="24"/>
              </w:rPr>
            </w:pPr>
          </w:p>
          <w:p w14:paraId="57BDD472" w14:textId="77777777" w:rsidR="00D92942" w:rsidRDefault="00D92942" w:rsidP="00FC0334">
            <w:pPr>
              <w:jc w:val="both"/>
              <w:rPr>
                <w:i/>
                <w:sz w:val="24"/>
                <w:szCs w:val="24"/>
              </w:rPr>
            </w:pPr>
          </w:p>
          <w:p w14:paraId="1FD6EA0F" w14:textId="77777777" w:rsidR="00D92942" w:rsidRDefault="00D92942" w:rsidP="00FC0334">
            <w:pPr>
              <w:jc w:val="both"/>
              <w:rPr>
                <w:i/>
                <w:sz w:val="24"/>
                <w:szCs w:val="24"/>
              </w:rPr>
            </w:pPr>
          </w:p>
          <w:p w14:paraId="6979E937" w14:textId="77777777" w:rsidR="00D92942" w:rsidRDefault="00D92942" w:rsidP="00FC0334">
            <w:pPr>
              <w:jc w:val="both"/>
              <w:rPr>
                <w:i/>
                <w:sz w:val="24"/>
                <w:szCs w:val="24"/>
              </w:rPr>
            </w:pPr>
          </w:p>
          <w:p w14:paraId="3D5B462F" w14:textId="77777777" w:rsidR="00D92942" w:rsidRDefault="00D92942" w:rsidP="00FC0334">
            <w:pPr>
              <w:jc w:val="both"/>
              <w:rPr>
                <w:i/>
                <w:sz w:val="24"/>
                <w:szCs w:val="24"/>
              </w:rPr>
            </w:pPr>
          </w:p>
          <w:p w14:paraId="2DED3471" w14:textId="77777777" w:rsidR="00D92942" w:rsidRDefault="00D92942" w:rsidP="00FC0334">
            <w:pPr>
              <w:jc w:val="both"/>
              <w:rPr>
                <w:i/>
                <w:sz w:val="24"/>
                <w:szCs w:val="24"/>
              </w:rPr>
            </w:pPr>
          </w:p>
          <w:p w14:paraId="58169DBF" w14:textId="77777777" w:rsidR="00D92942" w:rsidRDefault="00D92942" w:rsidP="00FC0334">
            <w:pPr>
              <w:jc w:val="both"/>
              <w:rPr>
                <w:i/>
                <w:sz w:val="24"/>
                <w:szCs w:val="24"/>
              </w:rPr>
            </w:pPr>
          </w:p>
          <w:p w14:paraId="1F598F85" w14:textId="77777777" w:rsidR="00D92942" w:rsidRDefault="00D92942" w:rsidP="00FC0334">
            <w:pPr>
              <w:jc w:val="both"/>
              <w:rPr>
                <w:i/>
                <w:sz w:val="24"/>
                <w:szCs w:val="24"/>
              </w:rPr>
            </w:pPr>
          </w:p>
          <w:p w14:paraId="3EB294AC" w14:textId="77777777" w:rsidR="00D92942" w:rsidRDefault="00D92942" w:rsidP="00FC0334">
            <w:pPr>
              <w:jc w:val="both"/>
              <w:rPr>
                <w:i/>
                <w:sz w:val="24"/>
                <w:szCs w:val="24"/>
              </w:rPr>
            </w:pPr>
          </w:p>
          <w:p w14:paraId="0CCFCC03" w14:textId="77777777" w:rsidR="00D92942" w:rsidRDefault="00D92942" w:rsidP="00FC0334">
            <w:pPr>
              <w:jc w:val="both"/>
              <w:rPr>
                <w:i/>
                <w:sz w:val="24"/>
                <w:szCs w:val="24"/>
              </w:rPr>
            </w:pPr>
          </w:p>
          <w:p w14:paraId="53ABE798" w14:textId="77777777" w:rsidR="00D92942" w:rsidRDefault="00D92942" w:rsidP="00FC0334">
            <w:pPr>
              <w:jc w:val="both"/>
              <w:rPr>
                <w:i/>
                <w:sz w:val="24"/>
                <w:szCs w:val="24"/>
              </w:rPr>
            </w:pPr>
          </w:p>
          <w:p w14:paraId="3427FB9B" w14:textId="77777777" w:rsidR="00D92942" w:rsidRDefault="00D92942" w:rsidP="00FC0334">
            <w:pPr>
              <w:jc w:val="both"/>
              <w:rPr>
                <w:i/>
                <w:sz w:val="24"/>
                <w:szCs w:val="24"/>
              </w:rPr>
            </w:pPr>
          </w:p>
          <w:p w14:paraId="6E6986AC" w14:textId="77777777" w:rsidR="00D92942" w:rsidRDefault="00D92942" w:rsidP="00D92942">
            <w:pPr>
              <w:jc w:val="both"/>
              <w:rPr>
                <w:sz w:val="24"/>
                <w:szCs w:val="24"/>
              </w:rPr>
            </w:pPr>
            <w:r>
              <w:rPr>
                <w:sz w:val="24"/>
                <w:szCs w:val="24"/>
              </w:rPr>
              <w:lastRenderedPageBreak/>
              <w:t xml:space="preserve">References: </w:t>
            </w:r>
          </w:p>
          <w:p w14:paraId="61606998" w14:textId="77777777" w:rsidR="00D92942" w:rsidRDefault="00D92942" w:rsidP="00D92942">
            <w:pPr>
              <w:jc w:val="both"/>
              <w:rPr>
                <w:sz w:val="24"/>
                <w:szCs w:val="24"/>
              </w:rPr>
            </w:pPr>
          </w:p>
          <w:p w14:paraId="4ABFE8D3" w14:textId="77777777" w:rsidR="00D92942" w:rsidRPr="00D8384A" w:rsidRDefault="00D92942" w:rsidP="00D92942">
            <w:pPr>
              <w:spacing w:line="360" w:lineRule="auto"/>
              <w:jc w:val="both"/>
              <w:rPr>
                <w:color w:val="0000FF"/>
                <w:sz w:val="24"/>
                <w:szCs w:val="24"/>
                <w:u w:val="single"/>
              </w:rPr>
            </w:pPr>
            <w:r>
              <w:rPr>
                <w:sz w:val="24"/>
                <w:szCs w:val="24"/>
              </w:rPr>
              <w:t xml:space="preserve">Stats Wales, 2023. Children Placed on the child protection register during the year, by local authority, category of abuse and neglect. Retrieved from: </w:t>
            </w:r>
            <w:hyperlink r:id="rId12" w:history="1">
              <w:r w:rsidRPr="005C77C8">
                <w:rPr>
                  <w:rStyle w:val="Hyperlink"/>
                  <w:sz w:val="24"/>
                  <w:szCs w:val="24"/>
                </w:rPr>
                <w:t>Children placed on the child protection register during the year, by local authority, category of abuse and age (</w:t>
              </w:r>
              <w:proofErr w:type="spellStart"/>
              <w:r w:rsidRPr="005C77C8">
                <w:rPr>
                  <w:rStyle w:val="Hyperlink"/>
                  <w:sz w:val="24"/>
                  <w:szCs w:val="24"/>
                </w:rPr>
                <w:t>gov.wales</w:t>
              </w:r>
              <w:proofErr w:type="spellEnd"/>
              <w:r w:rsidRPr="005C77C8">
                <w:rPr>
                  <w:rStyle w:val="Hyperlink"/>
                  <w:sz w:val="24"/>
                  <w:szCs w:val="24"/>
                </w:rPr>
                <w:t>)</w:t>
              </w:r>
            </w:hyperlink>
          </w:p>
          <w:p w14:paraId="3F53C31D" w14:textId="77777777" w:rsidR="00D92942" w:rsidRDefault="00D92942" w:rsidP="00D92942">
            <w:pPr>
              <w:spacing w:line="360" w:lineRule="auto"/>
              <w:jc w:val="both"/>
              <w:rPr>
                <w:sz w:val="24"/>
                <w:szCs w:val="24"/>
              </w:rPr>
            </w:pPr>
          </w:p>
          <w:p w14:paraId="0B710EEC" w14:textId="77777777" w:rsidR="00D92942" w:rsidRDefault="00D92942" w:rsidP="00D92942">
            <w:pPr>
              <w:spacing w:line="360" w:lineRule="auto"/>
              <w:jc w:val="both"/>
              <w:rPr>
                <w:sz w:val="24"/>
                <w:szCs w:val="24"/>
              </w:rPr>
            </w:pPr>
            <w:r>
              <w:rPr>
                <w:sz w:val="24"/>
                <w:szCs w:val="24"/>
              </w:rPr>
              <w:t xml:space="preserve">Social Services and Wel-being (Wales) Act, 2004. Retrieved from: </w:t>
            </w:r>
            <w:hyperlink r:id="rId13" w:history="1">
              <w:r w:rsidRPr="00B46223">
                <w:rPr>
                  <w:rStyle w:val="Hyperlink"/>
                  <w:sz w:val="24"/>
                  <w:szCs w:val="24"/>
                </w:rPr>
                <w:t>Social Services and Well-being (Wales) Act 2014 (legislation.gov.uk)</w:t>
              </w:r>
            </w:hyperlink>
          </w:p>
          <w:p w14:paraId="0B562FFB" w14:textId="77777777" w:rsidR="00D92942" w:rsidRDefault="00D92942" w:rsidP="00D92942">
            <w:pPr>
              <w:spacing w:line="360" w:lineRule="auto"/>
              <w:jc w:val="both"/>
              <w:rPr>
                <w:sz w:val="24"/>
                <w:szCs w:val="24"/>
              </w:rPr>
            </w:pPr>
          </w:p>
          <w:p w14:paraId="047B6529" w14:textId="77777777" w:rsidR="00D92942" w:rsidRDefault="00D92942" w:rsidP="00D92942">
            <w:pPr>
              <w:spacing w:line="360" w:lineRule="auto"/>
              <w:jc w:val="both"/>
              <w:rPr>
                <w:sz w:val="24"/>
                <w:szCs w:val="24"/>
              </w:rPr>
            </w:pPr>
            <w:r>
              <w:rPr>
                <w:sz w:val="24"/>
                <w:szCs w:val="24"/>
              </w:rPr>
              <w:t xml:space="preserve">Children Act, 1989. Retrieved from: </w:t>
            </w:r>
            <w:hyperlink r:id="rId14" w:history="1">
              <w:r w:rsidRPr="00074F4F">
                <w:rPr>
                  <w:rStyle w:val="Hyperlink"/>
                  <w:sz w:val="24"/>
                  <w:szCs w:val="24"/>
                </w:rPr>
                <w:t>Children Act 1989 (legislation.gov.uk)</w:t>
              </w:r>
            </w:hyperlink>
          </w:p>
          <w:p w14:paraId="0CE4997C" w14:textId="77777777" w:rsidR="00D92942" w:rsidRDefault="00D92942" w:rsidP="00D92942">
            <w:pPr>
              <w:spacing w:line="360" w:lineRule="auto"/>
              <w:jc w:val="both"/>
              <w:rPr>
                <w:sz w:val="24"/>
                <w:szCs w:val="24"/>
              </w:rPr>
            </w:pPr>
          </w:p>
          <w:p w14:paraId="38E0D761" w14:textId="77777777" w:rsidR="00D92942" w:rsidRDefault="00D92942" w:rsidP="00D92942">
            <w:pPr>
              <w:spacing w:line="360" w:lineRule="auto"/>
              <w:jc w:val="both"/>
              <w:rPr>
                <w:sz w:val="24"/>
                <w:szCs w:val="24"/>
              </w:rPr>
            </w:pPr>
            <w:r>
              <w:rPr>
                <w:sz w:val="24"/>
                <w:szCs w:val="24"/>
              </w:rPr>
              <w:t xml:space="preserve">Children Act, 2004. Retrieved from: </w:t>
            </w:r>
            <w:hyperlink r:id="rId15" w:history="1">
              <w:r w:rsidRPr="00F55A1D">
                <w:rPr>
                  <w:rStyle w:val="Hyperlink"/>
                  <w:sz w:val="24"/>
                  <w:szCs w:val="24"/>
                </w:rPr>
                <w:t>Children Act 2004 (legislation.gov.uk)</w:t>
              </w:r>
            </w:hyperlink>
          </w:p>
          <w:p w14:paraId="0EF59930" w14:textId="77777777" w:rsidR="00D92942" w:rsidRDefault="00D92942"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DC7"/>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2942"/>
    <w:rsid w:val="00DA1025"/>
    <w:rsid w:val="00DA22EC"/>
    <w:rsid w:val="00DA5682"/>
    <w:rsid w:val="00DA5860"/>
    <w:rsid w:val="00DA5C0C"/>
    <w:rsid w:val="00DB2767"/>
    <w:rsid w:val="00DC1B10"/>
    <w:rsid w:val="00DC2924"/>
    <w:rsid w:val="00DC4729"/>
    <w:rsid w:val="00DD31C5"/>
    <w:rsid w:val="00DD5020"/>
    <w:rsid w:val="00DD63BE"/>
    <w:rsid w:val="00DE4296"/>
    <w:rsid w:val="00DF1220"/>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92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anaw/2014/4/conten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tatswales.gov.wales/Catalogue/Health-and-Social-Care/Social-Services/social-services-performance-and-improvement-framework/children-and-families/childrens-safeguarding/childrenplacedonthechildprotectionregisterduringtheyear-by-localauthority-categoryofabuse-ag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1803596@uwtsd.ac.uk" TargetMode="External"/><Relationship Id="rId5" Type="http://schemas.openxmlformats.org/officeDocument/2006/relationships/styles" Target="styles.xml"/><Relationship Id="rId15" Type="http://schemas.openxmlformats.org/officeDocument/2006/relationships/hyperlink" Target="https://www.legislation.gov.uk/ukpga/2004/31/content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1288</Words>
  <Characters>7345</Characters>
  <Application>Microsoft Office Word</Application>
  <DocSecurity>4</DocSecurity>
  <Lines>61</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Kirsty Carter</cp:lastModifiedBy>
  <cp:revision>2</cp:revision>
  <cp:lastPrinted>2020-02-11T19:20:00Z</cp:lastPrinted>
  <dcterms:created xsi:type="dcterms:W3CDTF">2024-09-30T14:55:00Z</dcterms:created>
  <dcterms:modified xsi:type="dcterms:W3CDTF">2024-09-30T14:55:00Z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